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87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710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BAUM MARK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1A BURTON HILLS BLVD., SUITE 200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HARROW,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07/21/2025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37215</w:t>
            </w: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07/21/2025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600,000</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7.87</w:t>
            </w:r>
          </w:p>
        </w:tc>
        <w:tc>
          <w:tcPr>
            <w:tcW w:w="40" w:type="dxa"/>
            <w:vAlign w:val="bottom"/>
          </w:tcPr>
          <w:p>
            <w:pPr>
              <w:spacing w:after="0"/>
              <w:rPr>
                <w:sz w:val="22"/>
                <w:szCs w:val="22"/>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3,199,462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07/21/2025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313,338</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37.08</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2,886,124</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7.87</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07/31/2015</w:t>
            </w:r>
          </w:p>
        </w:tc>
        <w:tc>
          <w:tcPr>
            <w:tcW w:w="108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600,000</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07/31/2025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600,000</w:t>
            </w:r>
          </w:p>
        </w:tc>
        <w:tc>
          <w:tcPr>
            <w:tcW w:w="4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ind w:left="60"/>
              <w:spacing w:after="0" w:line="71"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ind w:left="40"/>
              <w:spacing w:after="0" w:line="71"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to Mr. Baum on July 31, 2015, and amended on June 4, 2020, under the Issuer's 2007 Stock Incentive and Awards Plan, as amended. The stock option vested upon achievement and maintenance of certain Harrow common stock-price-based performance targets. The Company withheld a total of 313,338 shares from issuance to Mr. Baum for: (i) 127,346 shares withheld as consideration for the cashless exercise of the option; and (ii) an additional 185,992 shares of common stock were withheld from issuance to Mr. Baum for payroll tax purposes.</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L. Baum</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07/23/2025</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74282"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2025-07-23T20:19:18Z</dcterms:created>
  <dcterms:modified xsi:type="dcterms:W3CDTF">2025-07-23T20:19:18Z</dcterms:modified>
</cp:coreProperties>
</file>