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media/image3.jpeg" ContentType="image/jpeg"/>
  <Override PartName="/word/media/image2.jpeg" ContentType="image/jpeg"/>
  <Override PartName="/word/media/image1.jpeg" ContentType="image/jpeg"/>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spacing w:before="0" w:after="0"/>
        <w:ind w:left="0" w:right="0" w:hanging="0"/>
        <w:jc w:val="center"/>
        <w:rPr>
          <w:rFonts w:ascii="helvetica" w:hAnsi="helvetica"/>
          <w:b/>
          <w:sz w:val="20"/>
        </w:rPr>
      </w:pPr>
      <w:bookmarkStart w:id="0" w:name="immy_s1a.htm"/>
      <w:bookmarkStart w:id="1" w:name="ksimmy_s1a"/>
      <w:bookmarkEnd w:id="0"/>
      <w:bookmarkEnd w:id="1"/>
      <w:r>
        <w:rPr>
          <w:rFonts w:ascii="helvetica" w:hAnsi="helvetica"/>
          <w:b/>
          <w:sz w:val="20"/>
        </w:rPr>
        <w:t>As filed with the Securities and Exchange Commission on September 4, 2012</w:t>
      </w:r>
    </w:p>
    <w:p>
      <w:pPr>
        <w:pStyle w:val="TextBody"/>
        <w:spacing w:before="0" w:after="0"/>
        <w:ind w:left="0" w:right="0" w:hanging="0"/>
        <w:jc w:val="right"/>
        <w:rPr>
          <w:rFonts w:ascii="helvetica" w:hAnsi="helvetica"/>
          <w:b/>
          <w:sz w:val="20"/>
        </w:rPr>
      </w:pPr>
      <w:r>
        <w:rPr>
          <w:rFonts w:ascii="helvetica" w:hAnsi="helvetica"/>
          <w:b/>
          <w:sz w:val="20"/>
        </w:rPr>
        <w:t>No. 333-182846        </w:t>
      </w:r>
    </w:p>
    <w:p>
      <w:pPr>
        <w:pStyle w:val="HorizontalLine"/>
        <w:pBdr>
          <w:bottom w:val="single" w:sz="24" w:space="0" w:color="808080"/>
        </w:pBdr>
        <w:rPr/>
      </w:pPr>
      <w:r>
        <w:rPr/>
      </w:r>
    </w:p>
    <w:p>
      <w:pPr>
        <w:pStyle w:val="HorizontalLine"/>
        <w:pBdr>
          <w:bottom w:val="single" w:sz="6" w:space="0" w:color="808080"/>
        </w:pBdr>
        <w:rPr/>
      </w:pPr>
      <w:r>
        <w:rPr/>
      </w:r>
    </w:p>
    <w:p>
      <w:pPr>
        <w:pStyle w:val="TextBody"/>
        <w:spacing w:before="0" w:after="0"/>
        <w:ind w:left="0" w:right="0" w:hanging="0"/>
        <w:jc w:val="center"/>
        <w:rPr>
          <w:rFonts w:ascii="helvetica" w:hAnsi="helvetica"/>
          <w:b/>
          <w:sz w:val="24"/>
        </w:rPr>
      </w:pPr>
      <w:r>
        <w:rPr>
          <w:rFonts w:ascii="helvetica" w:hAnsi="helvetica"/>
          <w:b/>
          <w:sz w:val="24"/>
        </w:rPr>
        <w:t>UNITED STATES</w:t>
      </w:r>
    </w:p>
    <w:p>
      <w:pPr>
        <w:pStyle w:val="TextBody"/>
        <w:spacing w:before="0" w:after="0"/>
        <w:ind w:left="0" w:right="0" w:hanging="0"/>
        <w:jc w:val="center"/>
        <w:rPr>
          <w:rFonts w:ascii="helvetica" w:hAnsi="helvetica"/>
          <w:b/>
          <w:sz w:val="24"/>
        </w:rPr>
      </w:pPr>
      <w:r>
        <w:rPr>
          <w:rFonts w:ascii="helvetica" w:hAnsi="helvetica"/>
          <w:b/>
          <w:sz w:val="24"/>
        </w:rPr>
        <w:t>SECURITIES AND EXCHANGE COMMISSION</w:t>
      </w:r>
    </w:p>
    <w:p>
      <w:pPr>
        <w:pStyle w:val="TextBody"/>
        <w:spacing w:before="0" w:after="0"/>
        <w:ind w:left="0" w:right="0" w:hanging="0"/>
        <w:jc w:val="center"/>
        <w:rPr>
          <w:rFonts w:ascii="helvetica" w:hAnsi="helvetica"/>
          <w:b/>
          <w:sz w:val="20"/>
        </w:rPr>
      </w:pPr>
      <w:r>
        <w:rPr>
          <w:rFonts w:ascii="helvetica" w:hAnsi="helvetica"/>
          <w:b/>
          <w:sz w:val="20"/>
        </w:rPr>
        <w:t>Washington, D.C. 20549</w:t>
      </w:r>
    </w:p>
    <w:p>
      <w:pPr>
        <w:pStyle w:val="TextBody"/>
        <w:spacing w:before="0" w:after="0"/>
        <w:jc w:val="center"/>
        <w:rPr/>
      </w:pPr>
      <w:r>
        <w:rPr>
          <w:sz w:val="28"/>
        </w:rPr>
        <w:t>___________________</w:t>
        <w:br/>
      </w:r>
      <w:r>
        <w:rPr>
          <w:rFonts w:ascii="helvetica" w:hAnsi="helvetica"/>
          <w:b/>
          <w:sz w:val="20"/>
        </w:rPr>
        <w:t xml:space="preserve">Amendment No. 2 </w:t>
      </w:r>
    </w:p>
    <w:p>
      <w:pPr>
        <w:pStyle w:val="TextBody"/>
        <w:spacing w:before="0" w:after="0"/>
        <w:jc w:val="center"/>
        <w:rPr>
          <w:b/>
        </w:rPr>
      </w:pPr>
      <w:r>
        <w:rPr>
          <w:b/>
        </w:rPr>
        <w:t>to</w:t>
      </w:r>
    </w:p>
    <w:p>
      <w:pPr>
        <w:pStyle w:val="TextBody"/>
        <w:spacing w:before="0" w:after="0"/>
        <w:jc w:val="center"/>
        <w:rPr/>
      </w:pPr>
      <w:r>
        <w:rPr/>
        <w:t> </w:t>
      </w:r>
    </w:p>
    <w:p>
      <w:pPr>
        <w:pStyle w:val="TextBody"/>
        <w:spacing w:before="0" w:after="0"/>
        <w:jc w:val="center"/>
        <w:rPr>
          <w:rFonts w:ascii="helvetica" w:hAnsi="helvetica"/>
          <w:b/>
          <w:sz w:val="28"/>
        </w:rPr>
      </w:pPr>
      <w:r>
        <w:rPr>
          <w:rFonts w:ascii="helvetica" w:hAnsi="helvetica"/>
          <w:b/>
          <w:sz w:val="28"/>
        </w:rPr>
        <w:t>FORM S-1</w:t>
      </w:r>
    </w:p>
    <w:p>
      <w:pPr>
        <w:pStyle w:val="TextBody"/>
        <w:spacing w:before="0" w:after="0"/>
        <w:ind w:left="0" w:right="0" w:hanging="0"/>
        <w:jc w:val="center"/>
        <w:rPr>
          <w:rFonts w:ascii="helvetica" w:hAnsi="helvetica"/>
          <w:b/>
          <w:sz w:val="20"/>
        </w:rPr>
      </w:pPr>
      <w:r>
        <w:rPr>
          <w:rFonts w:ascii="helvetica" w:hAnsi="helvetica"/>
          <w:b/>
          <w:sz w:val="20"/>
        </w:rPr>
        <w:t>REGISTRATION STATEMENT UNDER THE SECURITIES ACT OF 1933</w:t>
      </w:r>
    </w:p>
    <w:p>
      <w:pPr>
        <w:pStyle w:val="TextBody"/>
        <w:spacing w:before="0" w:after="0"/>
        <w:ind w:left="0" w:right="0" w:hanging="0"/>
        <w:jc w:val="center"/>
        <w:rPr/>
      </w:pPr>
      <w:r>
        <w:rPr/>
        <w:t>___________________________</w:t>
      </w:r>
    </w:p>
    <w:p>
      <w:pPr>
        <w:pStyle w:val="TextBody"/>
        <w:spacing w:before="0" w:after="0"/>
        <w:ind w:left="0" w:right="0" w:hanging="0"/>
        <w:jc w:val="center"/>
        <w:rPr>
          <w:rFonts w:ascii="helvetica" w:hAnsi="helvetica"/>
          <w:b/>
          <w:sz w:val="28"/>
        </w:rPr>
      </w:pPr>
      <w:r>
        <w:rPr>
          <w:rFonts w:ascii="helvetica" w:hAnsi="helvetica"/>
          <w:b/>
          <w:sz w:val="28"/>
        </w:rPr>
        <w:t>IMPRIMIS PHARMACEUTICALS, INC.</w:t>
      </w:r>
    </w:p>
    <w:p>
      <w:pPr>
        <w:pStyle w:val="TextBody"/>
        <w:spacing w:before="0" w:after="0"/>
        <w:ind w:left="0" w:right="0" w:hanging="0"/>
        <w:jc w:val="center"/>
        <w:rPr>
          <w:rFonts w:ascii="helvetica" w:hAnsi="helvetica"/>
          <w:sz w:val="20"/>
        </w:rPr>
      </w:pPr>
      <w:r>
        <w:rPr>
          <w:rFonts w:ascii="helvetica" w:hAnsi="helvetica"/>
          <w:sz w:val="20"/>
        </w:rPr>
        <w:t>(Exact name of registrant as specified in its charter)</w:t>
      </w:r>
    </w:p>
    <w:p>
      <w:pPr>
        <w:pStyle w:val="TextBody"/>
        <w:spacing w:before="0" w:after="0"/>
        <w:ind w:left="0" w:right="0" w:hanging="0"/>
        <w:jc w:val="center"/>
        <w:rPr/>
      </w:pPr>
      <w:r>
        <w:rPr/>
        <w:t>___________________________</w:t>
      </w:r>
    </w:p>
    <w:p>
      <w:pPr>
        <w:pStyle w:val="TextBody"/>
        <w:spacing w:before="0" w:after="0"/>
        <w:jc w:val="center"/>
        <w:rPr/>
      </w:pPr>
      <w:r>
        <w:rPr/>
      </w:r>
    </w:p>
    <w:tbl>
      <w:tblPr>
        <w:tblW w:w="4250" w:type="pct"/>
        <w:jc w:val="center"/>
        <w:tblInd w:w="0" w:type="dxa"/>
        <w:tblCellMar>
          <w:top w:w="0" w:type="dxa"/>
          <w:left w:w="0" w:type="dxa"/>
          <w:bottom w:w="28" w:type="dxa"/>
          <w:right w:w="0" w:type="dxa"/>
        </w:tblCellMar>
      </w:tblPr>
      <w:tblGrid>
        <w:gridCol w:w="2602"/>
        <w:gridCol w:w="433"/>
        <w:gridCol w:w="2603"/>
        <w:gridCol w:w="433"/>
        <w:gridCol w:w="2603"/>
      </w:tblGrid>
      <w:tr>
        <w:trPr/>
        <w:tc>
          <w:tcPr>
            <w:tcW w:w="2602" w:type="dxa"/>
            <w:tcBorders>
              <w:bottom w:val="single" w:sz="12" w:space="0" w:color="000000"/>
            </w:tcBorders>
            <w:shd w:fill="auto" w:val="clear"/>
          </w:tcPr>
          <w:p>
            <w:pPr>
              <w:pStyle w:val="TableContents"/>
              <w:spacing w:before="0" w:after="0"/>
              <w:ind w:left="0" w:right="0" w:hanging="0"/>
              <w:jc w:val="center"/>
              <w:rPr>
                <w:rFonts w:ascii="helvetica" w:hAnsi="helvetica"/>
                <w:b/>
                <w:sz w:val="20"/>
              </w:rPr>
            </w:pPr>
            <w:r>
              <w:rPr>
                <w:rFonts w:ascii="helvetica" w:hAnsi="helvetica"/>
                <w:b/>
                <w:sz w:val="20"/>
              </w:rPr>
              <w:t>Delaware</w:t>
            </w:r>
          </w:p>
        </w:tc>
        <w:tc>
          <w:tcPr>
            <w:tcW w:w="433" w:type="dxa"/>
            <w:tcBorders/>
            <w:shd w:fill="auto" w:val="clear"/>
            <w:tcMar>
              <w:bottom w:w="0" w:type="dxa"/>
            </w:tcMar>
            <w:vAlign w:val="bottom"/>
          </w:tcPr>
          <w:p>
            <w:pPr>
              <w:pStyle w:val="TableContents"/>
              <w:spacing w:before="0" w:after="283"/>
              <w:rPr/>
            </w:pPr>
            <w:r>
              <w:rPr/>
              <w:t xml:space="preserve">  </w:t>
            </w:r>
          </w:p>
        </w:tc>
        <w:tc>
          <w:tcPr>
            <w:tcW w:w="2603" w:type="dxa"/>
            <w:tcBorders>
              <w:bottom w:val="single" w:sz="12" w:space="0" w:color="000000"/>
            </w:tcBorders>
            <w:shd w:fill="auto" w:val="clear"/>
          </w:tcPr>
          <w:p>
            <w:pPr>
              <w:pStyle w:val="TableContents"/>
              <w:spacing w:before="0" w:after="0"/>
              <w:ind w:left="0" w:right="0" w:hanging="0"/>
              <w:jc w:val="center"/>
              <w:rPr>
                <w:rFonts w:ascii="helvetica" w:hAnsi="helvetica"/>
                <w:b/>
                <w:sz w:val="20"/>
              </w:rPr>
            </w:pPr>
            <w:r>
              <w:rPr>
                <w:rFonts w:ascii="helvetica" w:hAnsi="helvetica"/>
                <w:b/>
                <w:sz w:val="20"/>
              </w:rPr>
              <w:t>2834</w:t>
            </w:r>
          </w:p>
        </w:tc>
        <w:tc>
          <w:tcPr>
            <w:tcW w:w="433" w:type="dxa"/>
            <w:tcBorders/>
            <w:shd w:fill="auto" w:val="clear"/>
            <w:tcMar>
              <w:bottom w:w="0" w:type="dxa"/>
            </w:tcMar>
            <w:vAlign w:val="bottom"/>
          </w:tcPr>
          <w:p>
            <w:pPr>
              <w:pStyle w:val="TableContents"/>
              <w:spacing w:before="0" w:after="283"/>
              <w:rPr/>
            </w:pPr>
            <w:r>
              <w:rPr/>
              <w:t xml:space="preserve">  </w:t>
            </w:r>
          </w:p>
        </w:tc>
        <w:tc>
          <w:tcPr>
            <w:tcW w:w="2603" w:type="dxa"/>
            <w:tcBorders>
              <w:bottom w:val="single" w:sz="12" w:space="0" w:color="000000"/>
            </w:tcBorders>
            <w:shd w:fill="auto" w:val="clear"/>
          </w:tcPr>
          <w:p>
            <w:pPr>
              <w:pStyle w:val="TableContents"/>
              <w:spacing w:before="0" w:after="0"/>
              <w:ind w:left="0" w:right="0" w:hanging="0"/>
              <w:jc w:val="center"/>
              <w:rPr>
                <w:rFonts w:ascii="helvetica" w:hAnsi="helvetica"/>
                <w:b/>
                <w:sz w:val="20"/>
              </w:rPr>
            </w:pPr>
            <w:r>
              <w:rPr>
                <w:rFonts w:ascii="helvetica" w:hAnsi="helvetica"/>
                <w:b/>
                <w:sz w:val="20"/>
              </w:rPr>
              <w:t>45-0567010</w:t>
            </w:r>
          </w:p>
        </w:tc>
      </w:tr>
      <w:tr>
        <w:trPr/>
        <w:tc>
          <w:tcPr>
            <w:tcW w:w="2602" w:type="dxa"/>
            <w:tcBorders/>
            <w:shd w:fill="auto" w:val="clear"/>
            <w:tcMar>
              <w:bottom w:w="0" w:type="dxa"/>
            </w:tcMar>
          </w:tcPr>
          <w:p>
            <w:pPr>
              <w:pStyle w:val="TableContents"/>
              <w:spacing w:before="0" w:after="0"/>
              <w:ind w:left="0" w:right="0" w:hanging="0"/>
              <w:jc w:val="center"/>
              <w:rPr>
                <w:rFonts w:ascii="helvetica" w:hAnsi="helvetica"/>
                <w:sz w:val="20"/>
              </w:rPr>
            </w:pPr>
            <w:r>
              <w:rPr>
                <w:rFonts w:ascii="helvetica" w:hAnsi="helvetica"/>
                <w:sz w:val="20"/>
              </w:rPr>
              <w:t>(State or other jurisdiction of</w:t>
            </w:r>
          </w:p>
          <w:p>
            <w:pPr>
              <w:pStyle w:val="TableContents"/>
              <w:spacing w:before="0" w:after="0"/>
              <w:ind w:left="0" w:right="0" w:hanging="0"/>
              <w:jc w:val="center"/>
              <w:rPr>
                <w:rFonts w:ascii="helvetica" w:hAnsi="helvetica"/>
                <w:sz w:val="20"/>
              </w:rPr>
            </w:pPr>
            <w:r>
              <w:rPr>
                <w:rFonts w:ascii="helvetica" w:hAnsi="helvetica"/>
                <w:sz w:val="20"/>
              </w:rPr>
              <w:t>incorporation or organization)</w:t>
            </w:r>
          </w:p>
        </w:tc>
        <w:tc>
          <w:tcPr>
            <w:tcW w:w="433" w:type="dxa"/>
            <w:tcBorders/>
            <w:shd w:fill="auto" w:val="clear"/>
            <w:tcMar>
              <w:bottom w:w="0" w:type="dxa"/>
            </w:tcMar>
            <w:vAlign w:val="bottom"/>
          </w:tcPr>
          <w:p>
            <w:pPr>
              <w:pStyle w:val="TableContents"/>
              <w:spacing w:before="0" w:after="283"/>
              <w:rPr/>
            </w:pPr>
            <w:r>
              <w:rPr/>
              <w:t xml:space="preserve">  </w:t>
            </w:r>
          </w:p>
        </w:tc>
        <w:tc>
          <w:tcPr>
            <w:tcW w:w="2603" w:type="dxa"/>
            <w:tcBorders/>
            <w:shd w:fill="auto" w:val="clear"/>
            <w:tcMar>
              <w:bottom w:w="0" w:type="dxa"/>
            </w:tcMar>
          </w:tcPr>
          <w:p>
            <w:pPr>
              <w:pStyle w:val="TableContents"/>
              <w:spacing w:before="0" w:after="0"/>
              <w:ind w:left="0" w:right="0" w:hanging="0"/>
              <w:jc w:val="center"/>
              <w:rPr>
                <w:rFonts w:ascii="helvetica" w:hAnsi="helvetica"/>
                <w:sz w:val="20"/>
              </w:rPr>
            </w:pPr>
            <w:r>
              <w:rPr>
                <w:rFonts w:ascii="helvetica" w:hAnsi="helvetica"/>
                <w:sz w:val="20"/>
              </w:rPr>
              <w:t>(Primary Standard Industrial</w:t>
            </w:r>
          </w:p>
          <w:p>
            <w:pPr>
              <w:pStyle w:val="TableContents"/>
              <w:spacing w:before="0" w:after="0"/>
              <w:ind w:left="0" w:right="0" w:hanging="0"/>
              <w:jc w:val="center"/>
              <w:rPr>
                <w:rFonts w:ascii="helvetica" w:hAnsi="helvetica"/>
                <w:sz w:val="20"/>
              </w:rPr>
            </w:pPr>
            <w:r>
              <w:rPr>
                <w:rFonts w:ascii="helvetica" w:hAnsi="helvetica"/>
                <w:sz w:val="20"/>
              </w:rPr>
              <w:t>Classification Code Number)</w:t>
            </w:r>
          </w:p>
        </w:tc>
        <w:tc>
          <w:tcPr>
            <w:tcW w:w="433" w:type="dxa"/>
            <w:tcBorders/>
            <w:shd w:fill="auto" w:val="clear"/>
            <w:tcMar>
              <w:bottom w:w="0" w:type="dxa"/>
            </w:tcMar>
            <w:vAlign w:val="bottom"/>
          </w:tcPr>
          <w:p>
            <w:pPr>
              <w:pStyle w:val="TableContents"/>
              <w:spacing w:before="0" w:after="283"/>
              <w:rPr/>
            </w:pPr>
            <w:r>
              <w:rPr/>
              <w:t xml:space="preserve">  </w:t>
            </w:r>
          </w:p>
        </w:tc>
        <w:tc>
          <w:tcPr>
            <w:tcW w:w="2603" w:type="dxa"/>
            <w:tcBorders/>
            <w:shd w:fill="auto" w:val="clear"/>
            <w:tcMar>
              <w:bottom w:w="0" w:type="dxa"/>
            </w:tcMar>
          </w:tcPr>
          <w:p>
            <w:pPr>
              <w:pStyle w:val="TableContents"/>
              <w:spacing w:before="0" w:after="0"/>
              <w:ind w:left="0" w:right="0" w:hanging="0"/>
              <w:jc w:val="center"/>
              <w:rPr>
                <w:rFonts w:ascii="helvetica" w:hAnsi="helvetica"/>
                <w:sz w:val="20"/>
              </w:rPr>
            </w:pPr>
            <w:r>
              <w:rPr>
                <w:rFonts w:ascii="helvetica" w:hAnsi="helvetica"/>
                <w:sz w:val="20"/>
              </w:rPr>
              <w:t>(I.R.S. Employer</w:t>
            </w:r>
          </w:p>
          <w:p>
            <w:pPr>
              <w:pStyle w:val="TableContents"/>
              <w:spacing w:before="0" w:after="0"/>
              <w:ind w:left="0" w:right="0" w:hanging="0"/>
              <w:jc w:val="center"/>
              <w:rPr>
                <w:rFonts w:ascii="helvetica" w:hAnsi="helvetica"/>
                <w:sz w:val="20"/>
              </w:rPr>
            </w:pPr>
            <w:r>
              <w:rPr>
                <w:rFonts w:ascii="helvetica" w:hAnsi="helvetica"/>
                <w:sz w:val="20"/>
              </w:rPr>
              <w:t>Identification Number)</w:t>
            </w:r>
          </w:p>
        </w:tc>
      </w:tr>
    </w:tbl>
    <w:p>
      <w:pPr>
        <w:pStyle w:val="TextBody"/>
        <w:spacing w:before="0" w:after="0"/>
        <w:jc w:val="center"/>
        <w:rPr/>
      </w:pPr>
      <w:r>
        <w:rPr/>
      </w:r>
    </w:p>
    <w:p>
      <w:pPr>
        <w:pStyle w:val="TextBody"/>
        <w:spacing w:before="0" w:after="0"/>
        <w:ind w:left="0" w:right="0" w:hanging="0"/>
        <w:jc w:val="center"/>
        <w:rPr>
          <w:rFonts w:ascii="helvetica" w:hAnsi="helvetica"/>
          <w:b/>
          <w:sz w:val="20"/>
        </w:rPr>
      </w:pPr>
      <w:r>
        <w:rPr>
          <w:rFonts w:ascii="helvetica" w:hAnsi="helvetica"/>
          <w:b/>
          <w:sz w:val="20"/>
        </w:rPr>
        <w:t>437 S. Hwy 101, Suite 209</w:t>
      </w:r>
    </w:p>
    <w:p>
      <w:pPr>
        <w:pStyle w:val="TextBody"/>
        <w:spacing w:before="0" w:after="0"/>
        <w:ind w:left="0" w:right="0" w:hanging="0"/>
        <w:jc w:val="center"/>
        <w:rPr>
          <w:rFonts w:ascii="helvetica" w:hAnsi="helvetica"/>
          <w:b/>
          <w:sz w:val="20"/>
        </w:rPr>
      </w:pPr>
      <w:r>
        <w:rPr>
          <w:rFonts w:ascii="helvetica" w:hAnsi="helvetica"/>
          <w:b/>
          <w:sz w:val="20"/>
        </w:rPr>
        <w:t>Solana Beach, CA 92075</w:t>
      </w:r>
    </w:p>
    <w:p>
      <w:pPr>
        <w:pStyle w:val="TextBody"/>
        <w:spacing w:before="0" w:after="0"/>
        <w:ind w:left="0" w:right="0" w:hanging="0"/>
        <w:jc w:val="center"/>
        <w:rPr>
          <w:rFonts w:ascii="helvetica" w:hAnsi="helvetica"/>
          <w:b/>
          <w:sz w:val="20"/>
        </w:rPr>
      </w:pPr>
      <w:r>
        <w:rPr>
          <w:rFonts w:ascii="helvetica" w:hAnsi="helvetica"/>
          <w:b/>
          <w:sz w:val="20"/>
        </w:rPr>
        <w:t>(858) 433-2800</w:t>
      </w:r>
    </w:p>
    <w:p>
      <w:pPr>
        <w:pStyle w:val="TextBody"/>
        <w:spacing w:before="0" w:after="0"/>
        <w:ind w:left="0" w:right="0" w:hanging="0"/>
        <w:jc w:val="center"/>
        <w:rPr>
          <w:rFonts w:ascii="helvetica" w:hAnsi="helvetica"/>
          <w:sz w:val="20"/>
        </w:rPr>
      </w:pPr>
      <w:r>
        <w:rPr>
          <w:rFonts w:ascii="helvetica" w:hAnsi="helvetica"/>
          <w:sz w:val="20"/>
        </w:rPr>
        <w:t>(Address, including zip code, and telephone number, including</w:t>
      </w:r>
    </w:p>
    <w:p>
      <w:pPr>
        <w:pStyle w:val="TextBody"/>
        <w:spacing w:before="0" w:after="0"/>
        <w:ind w:left="0" w:right="0" w:hanging="0"/>
        <w:jc w:val="center"/>
        <w:rPr>
          <w:rFonts w:ascii="helvetica" w:hAnsi="helvetica"/>
          <w:sz w:val="20"/>
        </w:rPr>
      </w:pPr>
      <w:r>
        <w:rPr>
          <w:rFonts w:ascii="helvetica" w:hAnsi="helvetica"/>
          <w:sz w:val="20"/>
        </w:rPr>
        <w:t>area code, of registrant’s principal executive offices)</w:t>
      </w:r>
    </w:p>
    <w:p>
      <w:pPr>
        <w:pStyle w:val="TextBody"/>
        <w:spacing w:before="0" w:after="0"/>
        <w:ind w:left="0" w:right="0" w:hanging="0"/>
        <w:jc w:val="center"/>
        <w:rPr/>
      </w:pPr>
      <w:r>
        <w:rPr/>
        <w:t>___________________________</w:t>
      </w:r>
    </w:p>
    <w:p>
      <w:pPr>
        <w:pStyle w:val="TextBody"/>
        <w:spacing w:before="0" w:after="0"/>
        <w:ind w:left="0" w:right="0" w:hanging="0"/>
        <w:jc w:val="center"/>
        <w:rPr>
          <w:rFonts w:ascii="helvetica" w:hAnsi="helvetica"/>
          <w:b/>
          <w:sz w:val="20"/>
        </w:rPr>
      </w:pPr>
      <w:r>
        <w:rPr>
          <w:rFonts w:ascii="helvetica" w:hAnsi="helvetica"/>
          <w:b/>
          <w:sz w:val="20"/>
        </w:rPr>
        <w:t>Mark L. Baum</w:t>
      </w:r>
    </w:p>
    <w:p>
      <w:pPr>
        <w:pStyle w:val="TextBody"/>
        <w:spacing w:before="0" w:after="0"/>
        <w:ind w:left="0" w:right="0" w:hanging="0"/>
        <w:jc w:val="center"/>
        <w:rPr>
          <w:rFonts w:ascii="helvetica" w:hAnsi="helvetica"/>
          <w:b/>
          <w:sz w:val="20"/>
        </w:rPr>
      </w:pPr>
      <w:r>
        <w:rPr>
          <w:rFonts w:ascii="helvetica" w:hAnsi="helvetica"/>
          <w:b/>
          <w:sz w:val="20"/>
        </w:rPr>
        <w:t>Chief Executive Officer</w:t>
      </w:r>
    </w:p>
    <w:p>
      <w:pPr>
        <w:pStyle w:val="TextBody"/>
        <w:spacing w:before="0" w:after="0"/>
        <w:ind w:left="0" w:right="0" w:hanging="0"/>
        <w:jc w:val="center"/>
        <w:rPr>
          <w:rFonts w:ascii="helvetica" w:hAnsi="helvetica"/>
          <w:b/>
          <w:sz w:val="20"/>
        </w:rPr>
      </w:pPr>
      <w:r>
        <w:rPr>
          <w:rFonts w:ascii="helvetica" w:hAnsi="helvetica"/>
          <w:b/>
          <w:sz w:val="20"/>
        </w:rPr>
        <w:t>437 S. Hwy 101, Suite 209</w:t>
      </w:r>
    </w:p>
    <w:p>
      <w:pPr>
        <w:pStyle w:val="TextBody"/>
        <w:spacing w:before="0" w:after="0"/>
        <w:ind w:left="0" w:right="0" w:hanging="0"/>
        <w:jc w:val="center"/>
        <w:rPr>
          <w:rFonts w:ascii="helvetica" w:hAnsi="helvetica"/>
          <w:b/>
          <w:sz w:val="20"/>
        </w:rPr>
      </w:pPr>
      <w:r>
        <w:rPr>
          <w:rFonts w:ascii="helvetica" w:hAnsi="helvetica"/>
          <w:b/>
          <w:sz w:val="20"/>
        </w:rPr>
        <w:t>Solana Beach, CA 92075</w:t>
      </w:r>
    </w:p>
    <w:p>
      <w:pPr>
        <w:pStyle w:val="TextBody"/>
        <w:spacing w:before="0" w:after="0"/>
        <w:ind w:left="0" w:right="0" w:hanging="0"/>
        <w:jc w:val="center"/>
        <w:rPr>
          <w:rFonts w:ascii="helvetica" w:hAnsi="helvetica"/>
          <w:b/>
          <w:sz w:val="20"/>
        </w:rPr>
      </w:pPr>
      <w:r>
        <w:rPr>
          <w:rFonts w:ascii="helvetica" w:hAnsi="helvetica"/>
          <w:b/>
          <w:sz w:val="20"/>
        </w:rPr>
        <w:t>(858) 433-2800</w:t>
      </w:r>
    </w:p>
    <w:p>
      <w:pPr>
        <w:pStyle w:val="TextBody"/>
        <w:spacing w:before="0" w:after="0"/>
        <w:ind w:left="0" w:right="0" w:hanging="0"/>
        <w:jc w:val="center"/>
        <w:rPr/>
      </w:pPr>
      <w:r>
        <w:rPr/>
        <w:t> </w:t>
      </w:r>
      <w:r>
        <w:rPr>
          <w:rFonts w:ascii="helvetica" w:hAnsi="helvetica"/>
          <w:sz w:val="20"/>
        </w:rPr>
        <w:t>(Name, address, including zip code, and telephone number, including</w:t>
      </w:r>
    </w:p>
    <w:p>
      <w:pPr>
        <w:pStyle w:val="TextBody"/>
        <w:spacing w:before="0" w:after="0"/>
        <w:ind w:left="0" w:right="0" w:hanging="0"/>
        <w:jc w:val="center"/>
        <w:rPr>
          <w:rFonts w:ascii="helvetica" w:hAnsi="helvetica"/>
          <w:sz w:val="20"/>
        </w:rPr>
      </w:pPr>
      <w:r>
        <w:rPr>
          <w:rFonts w:ascii="helvetica" w:hAnsi="helvetica"/>
          <w:sz w:val="20"/>
        </w:rPr>
        <w:t>area code, of agent for service)</w:t>
      </w:r>
    </w:p>
    <w:p>
      <w:pPr>
        <w:pStyle w:val="TextBody"/>
        <w:spacing w:before="0" w:after="0"/>
        <w:jc w:val="center"/>
        <w:rPr/>
      </w:pPr>
      <w:r>
        <w:rPr/>
        <w:t>___________________________</w:t>
      </w:r>
    </w:p>
    <w:p>
      <w:pPr>
        <w:pStyle w:val="TextBody"/>
        <w:spacing w:before="0" w:after="0"/>
        <w:ind w:left="0" w:right="0" w:hanging="0"/>
        <w:jc w:val="center"/>
        <w:rPr>
          <w:rFonts w:ascii="helvetica" w:hAnsi="helvetica"/>
          <w:b/>
          <w:sz w:val="20"/>
        </w:rPr>
      </w:pPr>
      <w:r>
        <w:rPr>
          <w:rFonts w:ascii="helvetica" w:hAnsi="helvetica"/>
          <w:b/>
          <w:sz w:val="20"/>
        </w:rPr>
        <w:t>Copies to:</w:t>
      </w:r>
    </w:p>
    <w:tbl>
      <w:tblPr>
        <w:tblW w:w="5000" w:type="pct"/>
        <w:jc w:val="center"/>
        <w:tblInd w:w="0" w:type="dxa"/>
        <w:tblCellMar>
          <w:top w:w="0" w:type="dxa"/>
          <w:left w:w="0" w:type="dxa"/>
          <w:bottom w:w="0" w:type="dxa"/>
          <w:right w:w="0" w:type="dxa"/>
        </w:tblCellMar>
      </w:tblPr>
      <w:tblGrid>
        <w:gridCol w:w="5102"/>
        <w:gridCol w:w="5103"/>
      </w:tblGrid>
      <w:tr>
        <w:trPr/>
        <w:tc>
          <w:tcPr>
            <w:tcW w:w="5102" w:type="dxa"/>
            <w:tcBorders/>
            <w:shd w:fill="auto" w:val="clear"/>
            <w:vAlign w:val="center"/>
          </w:tcPr>
          <w:p>
            <w:pPr>
              <w:pStyle w:val="TableContents"/>
              <w:spacing w:before="0" w:after="283"/>
              <w:jc w:val="left"/>
              <w:rPr/>
            </w:pPr>
            <w:r>
              <w:rPr/>
              <w:t xml:space="preserve">  </w:t>
            </w:r>
          </w:p>
        </w:tc>
        <w:tc>
          <w:tcPr>
            <w:tcW w:w="5103" w:type="dxa"/>
            <w:tcBorders/>
            <w:shd w:fill="auto" w:val="clear"/>
            <w:vAlign w:val="center"/>
          </w:tcPr>
          <w:p>
            <w:pPr>
              <w:pStyle w:val="TableContents"/>
              <w:spacing w:before="0" w:after="283"/>
              <w:rPr/>
            </w:pPr>
            <w:r>
              <w:rPr/>
              <w:t xml:space="preserve">  </w:t>
            </w:r>
          </w:p>
        </w:tc>
      </w:tr>
      <w:tr>
        <w:trPr/>
        <w:tc>
          <w:tcPr>
            <w:tcW w:w="5102" w:type="dxa"/>
            <w:vMerge w:val="restart"/>
            <w:tcBorders/>
            <w:shd w:fill="auto" w:val="clear"/>
          </w:tcPr>
          <w:p>
            <w:pPr>
              <w:pStyle w:val="TableContents"/>
              <w:spacing w:before="0" w:after="0"/>
              <w:ind w:left="0" w:right="0" w:hanging="0"/>
              <w:jc w:val="center"/>
              <w:rPr>
                <w:rFonts w:ascii="helvetica" w:hAnsi="helvetica"/>
                <w:b/>
                <w:sz w:val="20"/>
              </w:rPr>
            </w:pPr>
            <w:r>
              <w:rPr>
                <w:rFonts w:ascii="helvetica" w:hAnsi="helvetica"/>
                <w:b/>
                <w:sz w:val="20"/>
              </w:rPr>
              <w:t>Steven G. Rowles, Esq.</w:t>
            </w:r>
          </w:p>
          <w:p>
            <w:pPr>
              <w:pStyle w:val="TableContents"/>
              <w:spacing w:before="0" w:after="0"/>
              <w:ind w:left="0" w:right="0" w:hanging="0"/>
              <w:jc w:val="center"/>
              <w:rPr>
                <w:rFonts w:ascii="helvetica" w:hAnsi="helvetica"/>
                <w:b/>
                <w:sz w:val="20"/>
              </w:rPr>
            </w:pPr>
            <w:r>
              <w:rPr>
                <w:rFonts w:ascii="helvetica" w:hAnsi="helvetica"/>
                <w:b/>
                <w:sz w:val="20"/>
              </w:rPr>
              <w:t>Jeannette V. Filippone, Esq.</w:t>
            </w:r>
          </w:p>
          <w:p>
            <w:pPr>
              <w:pStyle w:val="TableContents"/>
              <w:spacing w:before="0" w:after="0"/>
              <w:ind w:left="0" w:right="0" w:hanging="0"/>
              <w:jc w:val="center"/>
              <w:rPr>
                <w:rFonts w:ascii="helvetica" w:hAnsi="helvetica"/>
                <w:b/>
                <w:sz w:val="20"/>
              </w:rPr>
            </w:pPr>
            <w:r>
              <w:rPr>
                <w:rFonts w:ascii="helvetica" w:hAnsi="helvetica"/>
                <w:b/>
                <w:sz w:val="20"/>
              </w:rPr>
              <w:t>Morrison &amp; Foerster LLP</w:t>
            </w:r>
          </w:p>
          <w:p>
            <w:pPr>
              <w:pStyle w:val="TableContents"/>
              <w:spacing w:before="0" w:after="0"/>
              <w:ind w:left="0" w:right="0" w:hanging="0"/>
              <w:jc w:val="center"/>
              <w:rPr>
                <w:rFonts w:ascii="helvetica" w:hAnsi="helvetica"/>
                <w:b/>
                <w:sz w:val="20"/>
              </w:rPr>
            </w:pPr>
            <w:r>
              <w:rPr>
                <w:rFonts w:ascii="helvetica" w:hAnsi="helvetica"/>
                <w:b/>
                <w:sz w:val="20"/>
              </w:rPr>
              <w:t>12531 High Bluff Drive, Suite 100</w:t>
            </w:r>
          </w:p>
          <w:p>
            <w:pPr>
              <w:pStyle w:val="TableContents"/>
              <w:spacing w:before="0" w:after="0"/>
              <w:ind w:left="0" w:right="0" w:hanging="0"/>
              <w:jc w:val="center"/>
              <w:rPr>
                <w:rFonts w:ascii="helvetica" w:hAnsi="helvetica"/>
                <w:b/>
                <w:sz w:val="20"/>
              </w:rPr>
            </w:pPr>
            <w:r>
              <w:rPr>
                <w:rFonts w:ascii="helvetica" w:hAnsi="helvetica"/>
                <w:b/>
                <w:sz w:val="20"/>
              </w:rPr>
              <w:t>San Diego, California 92130</w:t>
            </w:r>
          </w:p>
          <w:p>
            <w:pPr>
              <w:pStyle w:val="TableContents"/>
              <w:spacing w:before="0" w:after="0"/>
              <w:ind w:left="0" w:right="0" w:hanging="0"/>
              <w:jc w:val="center"/>
              <w:rPr>
                <w:rFonts w:ascii="helvetica" w:hAnsi="helvetica"/>
                <w:b/>
                <w:sz w:val="20"/>
              </w:rPr>
            </w:pPr>
            <w:r>
              <w:rPr>
                <w:rFonts w:ascii="helvetica" w:hAnsi="helvetica"/>
                <w:b/>
                <w:sz w:val="20"/>
              </w:rPr>
              <w:t>Tel: (858) 720-5100</w:t>
            </w:r>
          </w:p>
          <w:p>
            <w:pPr>
              <w:pStyle w:val="TableContents"/>
              <w:spacing w:before="0" w:after="0"/>
              <w:ind w:left="0" w:right="0" w:hanging="0"/>
              <w:jc w:val="center"/>
              <w:rPr>
                <w:rFonts w:ascii="helvetica" w:hAnsi="helvetica"/>
                <w:b/>
                <w:sz w:val="20"/>
              </w:rPr>
            </w:pPr>
            <w:r>
              <w:rPr>
                <w:rFonts w:ascii="helvetica" w:hAnsi="helvetica"/>
                <w:b/>
                <w:sz w:val="20"/>
              </w:rPr>
              <w:t>Fax: (858) 720-5125</w:t>
            </w:r>
          </w:p>
        </w:tc>
        <w:tc>
          <w:tcPr>
            <w:tcW w:w="5103" w:type="dxa"/>
            <w:tcBorders/>
            <w:shd w:fill="auto" w:val="clear"/>
          </w:tcPr>
          <w:p>
            <w:pPr>
              <w:pStyle w:val="TableContents"/>
              <w:spacing w:before="0" w:after="0"/>
              <w:ind w:left="0" w:right="0" w:hanging="0"/>
              <w:jc w:val="center"/>
              <w:rPr>
                <w:rFonts w:ascii="helvetica" w:hAnsi="helvetica"/>
                <w:b/>
                <w:sz w:val="20"/>
              </w:rPr>
            </w:pPr>
            <w:r>
              <w:rPr>
                <w:rFonts w:ascii="helvetica" w:hAnsi="helvetica"/>
                <w:b/>
                <w:sz w:val="20"/>
              </w:rPr>
              <w:t>Kevin Friedmann, Esq.</w:t>
            </w:r>
          </w:p>
        </w:tc>
      </w:tr>
      <w:tr>
        <w:trPr/>
        <w:tc>
          <w:tcPr>
            <w:tcW w:w="5102" w:type="dxa"/>
            <w:vMerge w:val="continue"/>
            <w:tcBorders/>
            <w:shd w:fill="auto" w:val="clear"/>
          </w:tcPr>
          <w:p>
            <w:pPr>
              <w:pStyle w:val="Normal"/>
              <w:rPr/>
            </w:pPr>
            <w:r>
              <w:rPr/>
            </w:r>
          </w:p>
        </w:tc>
        <w:tc>
          <w:tcPr>
            <w:tcW w:w="5103" w:type="dxa"/>
            <w:tcBorders/>
            <w:shd w:fill="auto" w:val="clear"/>
          </w:tcPr>
          <w:p>
            <w:pPr>
              <w:pStyle w:val="TableContents"/>
              <w:spacing w:before="0" w:after="0"/>
              <w:ind w:left="0" w:right="0" w:hanging="0"/>
              <w:jc w:val="center"/>
              <w:rPr>
                <w:rFonts w:ascii="helvetica" w:hAnsi="helvetica"/>
                <w:b/>
                <w:sz w:val="20"/>
              </w:rPr>
            </w:pPr>
            <w:r>
              <w:rPr>
                <w:rFonts w:ascii="helvetica" w:hAnsi="helvetica"/>
                <w:b/>
                <w:sz w:val="20"/>
              </w:rPr>
              <w:t>Marc A. Jones, Esq.</w:t>
            </w:r>
          </w:p>
        </w:tc>
      </w:tr>
      <w:tr>
        <w:trPr/>
        <w:tc>
          <w:tcPr>
            <w:tcW w:w="5102" w:type="dxa"/>
            <w:vMerge w:val="continue"/>
            <w:tcBorders/>
            <w:shd w:fill="auto" w:val="clear"/>
          </w:tcPr>
          <w:p>
            <w:pPr>
              <w:pStyle w:val="Normal"/>
              <w:rPr/>
            </w:pPr>
            <w:r>
              <w:rPr/>
            </w:r>
          </w:p>
        </w:tc>
        <w:tc>
          <w:tcPr>
            <w:tcW w:w="5103" w:type="dxa"/>
            <w:tcBorders/>
            <w:shd w:fill="auto" w:val="clear"/>
          </w:tcPr>
          <w:p>
            <w:pPr>
              <w:pStyle w:val="TableContents"/>
              <w:spacing w:before="0" w:after="0"/>
              <w:ind w:left="0" w:right="0" w:hanging="0"/>
              <w:jc w:val="center"/>
              <w:rPr>
                <w:rFonts w:ascii="helvetica" w:hAnsi="helvetica"/>
                <w:b/>
                <w:sz w:val="20"/>
              </w:rPr>
            </w:pPr>
            <w:r>
              <w:rPr>
                <w:rFonts w:ascii="helvetica" w:hAnsi="helvetica"/>
                <w:b/>
                <w:sz w:val="20"/>
              </w:rPr>
              <w:t>Richardson &amp; Patel LLP</w:t>
            </w:r>
          </w:p>
        </w:tc>
      </w:tr>
      <w:tr>
        <w:trPr/>
        <w:tc>
          <w:tcPr>
            <w:tcW w:w="5102" w:type="dxa"/>
            <w:vMerge w:val="continue"/>
            <w:tcBorders/>
            <w:shd w:fill="auto" w:val="clear"/>
          </w:tcPr>
          <w:p>
            <w:pPr>
              <w:pStyle w:val="Normal"/>
              <w:rPr/>
            </w:pPr>
            <w:r>
              <w:rPr/>
            </w:r>
          </w:p>
        </w:tc>
        <w:tc>
          <w:tcPr>
            <w:tcW w:w="5103" w:type="dxa"/>
            <w:tcBorders/>
            <w:shd w:fill="auto" w:val="clear"/>
          </w:tcPr>
          <w:p>
            <w:pPr>
              <w:pStyle w:val="TableContents"/>
              <w:spacing w:before="0" w:after="0"/>
              <w:ind w:left="0" w:right="0" w:hanging="0"/>
              <w:jc w:val="center"/>
              <w:rPr>
                <w:rFonts w:ascii="helvetica" w:hAnsi="helvetica"/>
                <w:b/>
                <w:sz w:val="20"/>
              </w:rPr>
            </w:pPr>
            <w:r>
              <w:rPr>
                <w:rFonts w:ascii="helvetica" w:hAnsi="helvetica"/>
                <w:b/>
                <w:sz w:val="20"/>
              </w:rPr>
              <w:t>750 Third Avenue, 9th Floor</w:t>
            </w:r>
          </w:p>
        </w:tc>
      </w:tr>
      <w:tr>
        <w:trPr/>
        <w:tc>
          <w:tcPr>
            <w:tcW w:w="5102" w:type="dxa"/>
            <w:vMerge w:val="continue"/>
            <w:tcBorders/>
            <w:shd w:fill="auto" w:val="clear"/>
          </w:tcPr>
          <w:p>
            <w:pPr>
              <w:pStyle w:val="Normal"/>
              <w:rPr/>
            </w:pPr>
            <w:r>
              <w:rPr/>
            </w:r>
          </w:p>
        </w:tc>
        <w:tc>
          <w:tcPr>
            <w:tcW w:w="5103" w:type="dxa"/>
            <w:tcBorders/>
            <w:shd w:fill="auto" w:val="clear"/>
          </w:tcPr>
          <w:p>
            <w:pPr>
              <w:pStyle w:val="TableContents"/>
              <w:spacing w:before="0" w:after="0"/>
              <w:ind w:left="0" w:right="0" w:hanging="0"/>
              <w:jc w:val="center"/>
              <w:rPr>
                <w:rFonts w:ascii="helvetica" w:hAnsi="helvetica"/>
                <w:b/>
                <w:sz w:val="20"/>
              </w:rPr>
            </w:pPr>
            <w:r>
              <w:rPr>
                <w:rFonts w:ascii="helvetica" w:hAnsi="helvetica"/>
                <w:b/>
                <w:sz w:val="20"/>
              </w:rPr>
              <w:t>New York, New York 10017</w:t>
            </w:r>
          </w:p>
        </w:tc>
      </w:tr>
      <w:tr>
        <w:trPr/>
        <w:tc>
          <w:tcPr>
            <w:tcW w:w="5102" w:type="dxa"/>
            <w:vMerge w:val="continue"/>
            <w:tcBorders/>
            <w:shd w:fill="auto" w:val="clear"/>
          </w:tcPr>
          <w:p>
            <w:pPr>
              <w:pStyle w:val="Normal"/>
              <w:rPr/>
            </w:pPr>
            <w:r>
              <w:rPr/>
            </w:r>
          </w:p>
        </w:tc>
        <w:tc>
          <w:tcPr>
            <w:tcW w:w="5103" w:type="dxa"/>
            <w:tcBorders/>
            <w:shd w:fill="auto" w:val="clear"/>
          </w:tcPr>
          <w:p>
            <w:pPr>
              <w:pStyle w:val="TableContents"/>
              <w:spacing w:before="0" w:after="0"/>
              <w:ind w:left="0" w:right="0" w:hanging="0"/>
              <w:jc w:val="center"/>
              <w:rPr>
                <w:rFonts w:ascii="helvetica" w:hAnsi="helvetica"/>
                <w:b/>
                <w:sz w:val="20"/>
              </w:rPr>
            </w:pPr>
            <w:r>
              <w:rPr>
                <w:rFonts w:ascii="helvetica" w:hAnsi="helvetica"/>
                <w:b/>
                <w:sz w:val="20"/>
              </w:rPr>
              <w:t>Tel: (212) 561-5559</w:t>
            </w:r>
          </w:p>
        </w:tc>
      </w:tr>
      <w:tr>
        <w:trPr/>
        <w:tc>
          <w:tcPr>
            <w:tcW w:w="5102" w:type="dxa"/>
            <w:vMerge w:val="continue"/>
            <w:tcBorders/>
            <w:shd w:fill="auto" w:val="clear"/>
          </w:tcPr>
          <w:p>
            <w:pPr>
              <w:pStyle w:val="Normal"/>
              <w:rPr/>
            </w:pPr>
            <w:r>
              <w:rPr/>
            </w:r>
          </w:p>
        </w:tc>
        <w:tc>
          <w:tcPr>
            <w:tcW w:w="5103" w:type="dxa"/>
            <w:tcBorders/>
            <w:shd w:fill="auto" w:val="clear"/>
          </w:tcPr>
          <w:p>
            <w:pPr>
              <w:pStyle w:val="TableContents"/>
              <w:spacing w:before="0" w:after="0"/>
              <w:ind w:left="0" w:right="0" w:hanging="0"/>
              <w:jc w:val="center"/>
              <w:rPr>
                <w:rFonts w:ascii="helvetica" w:hAnsi="helvetica"/>
                <w:b/>
                <w:sz w:val="20"/>
              </w:rPr>
            </w:pPr>
            <w:r>
              <w:rPr>
                <w:rFonts w:ascii="helvetica" w:hAnsi="helvetica"/>
                <w:b/>
                <w:sz w:val="20"/>
              </w:rPr>
              <w:t>Fax: (917) 591-6898</w:t>
            </w:r>
          </w:p>
        </w:tc>
      </w:tr>
    </w:tbl>
    <w:p>
      <w:pPr>
        <w:pStyle w:val="TextBody"/>
        <w:spacing w:before="0" w:after="0"/>
        <w:jc w:val="center"/>
        <w:rPr/>
      </w:pPr>
      <w:r>
        <w:rPr/>
      </w:r>
    </w:p>
    <w:p>
      <w:pPr>
        <w:pStyle w:val="TextBody"/>
        <w:spacing w:before="0" w:after="0"/>
        <w:ind w:left="0" w:right="0" w:hanging="0"/>
        <w:jc w:val="left"/>
        <w:rPr>
          <w:rFonts w:ascii="helvetica" w:hAnsi="helvetica"/>
          <w:b/>
          <w:sz w:val="20"/>
        </w:rPr>
      </w:pPr>
      <w:r>
        <w:rPr>
          <w:rFonts w:ascii="helvetica" w:hAnsi="helvetica"/>
          <w:b/>
          <w:sz w:val="20"/>
        </w:rPr>
        <w:t>Approximate date of commencement of proposed sale to the public: As soon as possible after the effective date of this registration statement.</w:t>
      </w:r>
    </w:p>
    <w:p>
      <w:pPr>
        <w:pStyle w:val="TextBody"/>
        <w:spacing w:before="0" w:after="0"/>
        <w:ind w:left="0" w:right="0" w:hanging="0"/>
        <w:jc w:val="both"/>
        <w:rPr/>
      </w:pPr>
      <w:r>
        <w:rPr/>
        <w:t> </w:t>
      </w:r>
    </w:p>
    <w:p>
      <w:pPr>
        <w:pStyle w:val="TextBody"/>
        <w:spacing w:before="0" w:after="0"/>
        <w:ind w:left="0" w:right="0" w:hanging="0"/>
        <w:jc w:val="left"/>
        <w:rPr>
          <w:rFonts w:ascii="helvetica" w:hAnsi="helvetica"/>
          <w:sz w:val="20"/>
        </w:rPr>
      </w:pPr>
      <w:r>
        <w:rPr>
          <w:rFonts w:ascii="helvetica" w:hAnsi="helvetica"/>
          <w:sz w:val="20"/>
        </w:rPr>
        <w:t xml:space="preserve">If any of the securities being registered on this Form are to be offered on a delayed or continuous basis pursuant to Rule 415 under the Securities Act of 1933 check the following box. </w:t>
      </w:r>
      <w:r>
        <w:rPr>
          <w:rFonts w:ascii="wingdings" w:hAnsi="wingdings"/>
          <w:sz w:val="20"/>
        </w:rPr>
        <w:t>o</w:t>
      </w:r>
    </w:p>
    <w:p>
      <w:pPr>
        <w:pStyle w:val="TextBody"/>
        <w:spacing w:before="0" w:after="0"/>
        <w:ind w:left="0" w:right="0" w:hanging="0"/>
        <w:jc w:val="both"/>
        <w:rPr/>
      </w:pPr>
      <w:r>
        <w:rPr/>
        <w:t> </w:t>
      </w:r>
    </w:p>
    <w:p>
      <w:pPr>
        <w:pStyle w:val="TextBody"/>
        <w:spacing w:before="0" w:after="0"/>
        <w:ind w:left="0" w:right="0" w:hanging="0"/>
        <w:jc w:val="left"/>
        <w:rPr>
          <w:rFonts w:ascii="helvetica" w:hAnsi="helvetica"/>
          <w:sz w:val="20"/>
        </w:rPr>
      </w:pPr>
      <w:r>
        <w:rPr>
          <w:rFonts w:ascii="helvetica" w:hAnsi="helvetica"/>
          <w:sz w:val="20"/>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wingdings" w:hAnsi="wingdings"/>
          <w:sz w:val="20"/>
        </w:rPr>
        <w:t>o</w:t>
      </w:r>
    </w:p>
    <w:p>
      <w:pPr>
        <w:pStyle w:val="TextBody"/>
        <w:spacing w:before="0" w:after="0"/>
        <w:ind w:left="0" w:right="0" w:hanging="0"/>
        <w:jc w:val="both"/>
        <w:rPr/>
      </w:pPr>
      <w:r>
        <w:rPr/>
        <w:t> </w:t>
      </w:r>
    </w:p>
    <w:p>
      <w:pPr>
        <w:pStyle w:val="TextBody"/>
        <w:spacing w:before="0" w:after="0"/>
        <w:ind w:left="0" w:right="0" w:hanging="0"/>
        <w:jc w:val="left"/>
        <w:rPr>
          <w:rFonts w:ascii="helvetica" w:hAnsi="helvetica"/>
          <w:sz w:val="20"/>
        </w:rPr>
      </w:pPr>
      <w:r>
        <w:rPr>
          <w:rFonts w:ascii="helvetica" w:hAnsi="helvetica"/>
          <w:sz w:val="20"/>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wingdings" w:hAnsi="wingdings"/>
          <w:sz w:val="20"/>
        </w:rPr>
        <w:t>o</w:t>
      </w:r>
    </w:p>
    <w:p>
      <w:pPr>
        <w:pStyle w:val="TextBody"/>
        <w:spacing w:before="0" w:after="0"/>
        <w:ind w:left="0" w:right="0" w:hanging="0"/>
        <w:jc w:val="both"/>
        <w:rPr/>
      </w:pPr>
      <w:r>
        <w:rPr/>
        <w:t> </w:t>
      </w:r>
    </w:p>
    <w:p>
      <w:pPr>
        <w:pStyle w:val="TextBody"/>
        <w:spacing w:before="0" w:after="0"/>
        <w:ind w:left="0" w:right="0" w:hanging="0"/>
        <w:jc w:val="left"/>
        <w:rPr>
          <w:rFonts w:ascii="helvetica" w:hAnsi="helvetica"/>
          <w:sz w:val="20"/>
        </w:rPr>
      </w:pPr>
      <w:r>
        <w:rPr>
          <w:rFonts w:ascii="helvetica" w:hAnsi="helvetica"/>
          <w:sz w:val="20"/>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wingdings" w:hAnsi="wingdings"/>
          <w:sz w:val="20"/>
        </w:rPr>
        <w:t>o</w:t>
      </w:r>
    </w:p>
    <w:p>
      <w:pPr>
        <w:pStyle w:val="TextBody"/>
        <w:spacing w:before="0" w:after="0"/>
        <w:ind w:left="0" w:right="0" w:hanging="0"/>
        <w:jc w:val="both"/>
        <w:rPr/>
      </w:pPr>
      <w:r>
        <w:rPr/>
        <w:t> </w:t>
      </w:r>
    </w:p>
    <w:p>
      <w:pPr>
        <w:pStyle w:val="TextBody"/>
        <w:spacing w:before="0" w:after="0"/>
        <w:ind w:left="0" w:right="0" w:hanging="0"/>
        <w:jc w:val="left"/>
        <w:rPr>
          <w:rFonts w:ascii="helvetica" w:hAnsi="helvetica"/>
          <w:sz w:val="20"/>
        </w:rPr>
      </w:pPr>
      <w:r>
        <w:rPr>
          <w:rFonts w:ascii="helvetica" w:hAnsi="helvetica"/>
          <w:sz w:val="20"/>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pStyle w:val="TextBody"/>
        <w:spacing w:before="0" w:after="0"/>
        <w:ind w:left="0" w:right="0" w:hanging="0"/>
        <w:jc w:val="left"/>
        <w:rPr/>
      </w:pPr>
      <w:r>
        <w:rPr/>
        <w:t> </w:t>
      </w:r>
    </w:p>
    <w:tbl>
      <w:tblPr>
        <w:tblW w:w="5000" w:type="pct"/>
        <w:jc w:val="center"/>
        <w:tblInd w:w="0" w:type="dxa"/>
        <w:tblCellMar>
          <w:top w:w="0" w:type="dxa"/>
          <w:left w:w="0" w:type="dxa"/>
          <w:bottom w:w="0" w:type="dxa"/>
          <w:right w:w="0" w:type="dxa"/>
        </w:tblCellMar>
      </w:tblPr>
      <w:tblGrid>
        <w:gridCol w:w="6995"/>
        <w:gridCol w:w="3210"/>
      </w:tblGrid>
      <w:tr>
        <w:trPr/>
        <w:tc>
          <w:tcPr>
            <w:tcW w:w="6995" w:type="dxa"/>
            <w:tcBorders/>
            <w:shd w:fill="auto" w:val="clear"/>
          </w:tcPr>
          <w:p>
            <w:pPr>
              <w:pStyle w:val="TableContents"/>
              <w:spacing w:before="0" w:after="0"/>
              <w:ind w:left="0" w:right="0" w:hanging="0"/>
              <w:jc w:val="left"/>
              <w:rPr>
                <w:rFonts w:ascii="helvetica" w:hAnsi="helvetica"/>
                <w:sz w:val="20"/>
              </w:rPr>
            </w:pPr>
            <w:r>
              <w:rPr>
                <w:rFonts w:ascii="helvetica" w:hAnsi="helvetica"/>
                <w:sz w:val="20"/>
              </w:rPr>
              <w:t xml:space="preserve">Large accelerated filer </w:t>
            </w:r>
            <w:r>
              <w:rPr>
                <w:rFonts w:ascii="wingdings" w:hAnsi="wingdings"/>
                <w:sz w:val="20"/>
              </w:rPr>
              <w:t>o</w:t>
            </w:r>
          </w:p>
        </w:tc>
        <w:tc>
          <w:tcPr>
            <w:tcW w:w="3210" w:type="dxa"/>
            <w:tcBorders/>
            <w:shd w:fill="auto" w:val="clear"/>
          </w:tcPr>
          <w:p>
            <w:pPr>
              <w:pStyle w:val="TableContents"/>
              <w:spacing w:before="0" w:after="0"/>
              <w:ind w:left="0" w:right="0" w:hanging="0"/>
              <w:jc w:val="left"/>
              <w:rPr>
                <w:rFonts w:ascii="helvetica" w:hAnsi="helvetica"/>
                <w:sz w:val="20"/>
              </w:rPr>
            </w:pPr>
            <w:r>
              <w:rPr>
                <w:rFonts w:ascii="helvetica" w:hAnsi="helvetica"/>
                <w:sz w:val="20"/>
              </w:rPr>
              <w:t>Accelerated filer                   </w:t>
            </w:r>
            <w:r>
              <w:rPr>
                <w:rFonts w:ascii="wingdings" w:hAnsi="wingdings"/>
                <w:sz w:val="20"/>
              </w:rPr>
              <w:t>o</w:t>
            </w:r>
          </w:p>
        </w:tc>
      </w:tr>
      <w:tr>
        <w:trPr/>
        <w:tc>
          <w:tcPr>
            <w:tcW w:w="6995" w:type="dxa"/>
            <w:tcBorders/>
            <w:shd w:fill="auto" w:val="clear"/>
          </w:tcPr>
          <w:p>
            <w:pPr>
              <w:pStyle w:val="TableContents"/>
              <w:spacing w:before="0" w:after="0"/>
              <w:ind w:left="0" w:right="0" w:hanging="0"/>
              <w:jc w:val="left"/>
              <w:rPr>
                <w:rFonts w:ascii="helvetica" w:hAnsi="helvetica"/>
                <w:sz w:val="20"/>
              </w:rPr>
            </w:pPr>
            <w:r>
              <w:rPr>
                <w:rFonts w:ascii="helvetica" w:hAnsi="helvetica"/>
                <w:sz w:val="20"/>
              </w:rPr>
              <w:t>Non-accelerated filer   </w:t>
            </w:r>
            <w:r>
              <w:rPr>
                <w:rFonts w:ascii="wingdings" w:hAnsi="wingdings"/>
                <w:sz w:val="20"/>
              </w:rPr>
              <w:t>o</w:t>
            </w:r>
            <w:r>
              <w:rPr>
                <w:rFonts w:ascii="helvetica" w:hAnsi="helvetica"/>
                <w:sz w:val="20"/>
              </w:rPr>
              <w:t xml:space="preserve"> (Do not check if a smaller reporting company)</w:t>
            </w:r>
          </w:p>
        </w:tc>
        <w:tc>
          <w:tcPr>
            <w:tcW w:w="3210" w:type="dxa"/>
            <w:tcBorders/>
            <w:shd w:fill="auto" w:val="clear"/>
          </w:tcPr>
          <w:p>
            <w:pPr>
              <w:pStyle w:val="TableContents"/>
              <w:spacing w:before="0" w:after="0"/>
              <w:ind w:left="0" w:right="0" w:hanging="0"/>
              <w:jc w:val="left"/>
              <w:rPr>
                <w:rFonts w:ascii="helvetica" w:hAnsi="helvetica"/>
                <w:sz w:val="20"/>
              </w:rPr>
            </w:pPr>
            <w:r>
              <w:rPr>
                <w:rFonts w:ascii="helvetica" w:hAnsi="helvetica"/>
                <w:sz w:val="20"/>
              </w:rPr>
              <w:t>Smaller reporting company ☑</w:t>
            </w:r>
          </w:p>
        </w:tc>
      </w:tr>
    </w:tbl>
    <w:p>
      <w:pPr>
        <w:pStyle w:val="TextBody"/>
        <w:spacing w:before="0" w:after="0"/>
        <w:ind w:left="0" w:right="0" w:hanging="0"/>
        <w:jc w:val="center"/>
        <w:rPr/>
      </w:pPr>
      <w:r>
        <w:rPr/>
        <w:t> </w:t>
      </w:r>
    </w:p>
    <w:p>
      <w:pPr>
        <w:pStyle w:val="TextBody"/>
        <w:spacing w:before="0" w:after="0"/>
        <w:ind w:left="0" w:right="0" w:hanging="0"/>
        <w:jc w:val="center"/>
        <w:rPr/>
      </w:pPr>
      <w:r>
        <w:rPr>
          <w:rFonts w:ascii="helvetica" w:hAnsi="helvetica"/>
          <w:b/>
          <w:sz w:val="20"/>
        </w:rPr>
        <w:t>CALCULATION OF REGISTRATION FEE</w:t>
      </w:r>
      <w:r>
        <w:rPr/>
        <w:t xml:space="preserve"> </w:t>
      </w:r>
    </w:p>
    <w:p>
      <w:pPr>
        <w:pStyle w:val="TextBody"/>
        <w:spacing w:before="0" w:after="0"/>
        <w:ind w:left="0" w:right="0" w:hanging="0"/>
        <w:jc w:val="center"/>
        <w:rPr/>
      </w:pPr>
      <w:r>
        <w:rPr/>
        <w:t> </w:t>
      </w:r>
    </w:p>
    <w:tbl>
      <w:tblPr>
        <w:tblW w:w="5000" w:type="pct"/>
        <w:jc w:val="center"/>
        <w:tblInd w:w="0" w:type="dxa"/>
        <w:tblCellMar>
          <w:top w:w="28" w:type="dxa"/>
          <w:left w:w="0" w:type="dxa"/>
          <w:bottom w:w="28" w:type="dxa"/>
          <w:right w:w="0" w:type="dxa"/>
        </w:tblCellMar>
      </w:tblPr>
      <w:tblGrid>
        <w:gridCol w:w="6020"/>
        <w:gridCol w:w="261"/>
        <w:gridCol w:w="131"/>
        <w:gridCol w:w="1700"/>
        <w:gridCol w:w="261"/>
        <w:gridCol w:w="131"/>
        <w:gridCol w:w="1439"/>
        <w:gridCol w:w="262"/>
      </w:tblGrid>
      <w:tr>
        <w:trPr/>
        <w:tc>
          <w:tcPr>
            <w:tcW w:w="6020" w:type="dxa"/>
            <w:tcBorders>
              <w:top w:val="double" w:sz="4" w:space="0" w:color="000000"/>
              <w:bottom w:val="single" w:sz="12" w:space="0" w:color="000000"/>
            </w:tcBorders>
            <w:shd w:fill="auto" w:val="clear"/>
            <w:vAlign w:val="bottom"/>
          </w:tcPr>
          <w:p>
            <w:pPr>
              <w:pStyle w:val="TableContents"/>
              <w:spacing w:before="0" w:after="0"/>
              <w:ind w:left="0" w:right="0" w:hanging="0"/>
              <w:jc w:val="center"/>
              <w:rPr/>
            </w:pPr>
            <w:r>
              <w:rPr>
                <w:rFonts w:ascii="helvetica" w:hAnsi="helvetica"/>
                <w:b/>
                <w:sz w:val="20"/>
              </w:rPr>
              <w:t>Title of Each Class of</w:t>
            </w:r>
            <w:r>
              <w:rPr/>
              <w:t xml:space="preserve"> </w:t>
            </w:r>
          </w:p>
          <w:p>
            <w:pPr>
              <w:pStyle w:val="TableContents"/>
              <w:spacing w:before="0" w:after="0"/>
              <w:ind w:left="0" w:right="0" w:hanging="0"/>
              <w:jc w:val="center"/>
              <w:rPr/>
            </w:pPr>
            <w:r>
              <w:rPr>
                <w:rFonts w:ascii="helvetica" w:hAnsi="helvetica"/>
                <w:b/>
                <w:sz w:val="20"/>
              </w:rPr>
              <w:t>Securities to be Registered</w:t>
            </w:r>
            <w:r>
              <w:rPr/>
              <w:t xml:space="preserve"> </w:t>
            </w:r>
          </w:p>
        </w:tc>
        <w:tc>
          <w:tcPr>
            <w:tcW w:w="261" w:type="dxa"/>
            <w:tcBorders>
              <w:top w:val="double" w:sz="4" w:space="0" w:color="000000"/>
              <w:bottom w:val="single" w:sz="12" w:space="0" w:color="000000"/>
            </w:tcBorders>
            <w:shd w:fill="auto" w:val="clear"/>
            <w:vAlign w:val="bottom"/>
          </w:tcPr>
          <w:p>
            <w:pPr>
              <w:pStyle w:val="TableContents"/>
              <w:spacing w:before="0" w:after="283"/>
              <w:rPr/>
            </w:pPr>
            <w:r>
              <w:rPr/>
              <w:t xml:space="preserve">  </w:t>
            </w:r>
          </w:p>
        </w:tc>
        <w:tc>
          <w:tcPr>
            <w:tcW w:w="1831" w:type="dxa"/>
            <w:gridSpan w:val="2"/>
            <w:tcBorders>
              <w:top w:val="double" w:sz="4" w:space="0" w:color="000000"/>
              <w:bottom w:val="single" w:sz="12" w:space="0" w:color="000000"/>
            </w:tcBorders>
            <w:shd w:fill="auto" w:val="clear"/>
            <w:vAlign w:val="bottom"/>
          </w:tcPr>
          <w:p>
            <w:pPr>
              <w:pStyle w:val="TableContents"/>
              <w:spacing w:before="0" w:after="0"/>
              <w:ind w:left="0" w:right="0" w:hanging="0"/>
              <w:jc w:val="center"/>
              <w:rPr/>
            </w:pPr>
            <w:r>
              <w:rPr>
                <w:rFonts w:ascii="helvetica" w:hAnsi="helvetica"/>
                <w:b/>
                <w:sz w:val="20"/>
              </w:rPr>
              <w:t>Proposed Maximum</w:t>
            </w:r>
            <w:r>
              <w:rPr/>
              <w:t xml:space="preserve"> </w:t>
            </w:r>
          </w:p>
          <w:p>
            <w:pPr>
              <w:pStyle w:val="TableContents"/>
              <w:spacing w:before="0" w:after="0"/>
              <w:ind w:left="0" w:right="0" w:hanging="0"/>
              <w:jc w:val="center"/>
              <w:rPr/>
            </w:pPr>
            <w:r>
              <w:rPr>
                <w:rFonts w:ascii="helvetica" w:hAnsi="helvetica"/>
                <w:b/>
                <w:sz w:val="20"/>
              </w:rPr>
              <w:t>Aggregate</w:t>
            </w:r>
            <w:r>
              <w:rPr/>
              <w:t xml:space="preserve"> </w:t>
            </w:r>
          </w:p>
          <w:p>
            <w:pPr>
              <w:pStyle w:val="TableContents"/>
              <w:spacing w:before="0" w:after="0"/>
              <w:ind w:left="0" w:right="0" w:hanging="0"/>
              <w:jc w:val="center"/>
              <w:rPr/>
            </w:pPr>
            <w:r>
              <w:rPr>
                <w:rFonts w:ascii="helvetica" w:hAnsi="helvetica"/>
                <w:b/>
                <w:sz w:val="20"/>
              </w:rPr>
              <w:t>Offering Price (1)</w:t>
            </w:r>
            <w:r>
              <w:rPr/>
              <w:t xml:space="preserve"> </w:t>
            </w:r>
          </w:p>
        </w:tc>
        <w:tc>
          <w:tcPr>
            <w:tcW w:w="261" w:type="dxa"/>
            <w:tcBorders>
              <w:top w:val="double" w:sz="4" w:space="0" w:color="000000"/>
              <w:bottom w:val="single" w:sz="12" w:space="0" w:color="000000"/>
            </w:tcBorders>
            <w:shd w:fill="auto" w:val="clear"/>
            <w:vAlign w:val="bottom"/>
          </w:tcPr>
          <w:p>
            <w:pPr>
              <w:pStyle w:val="TableContents"/>
              <w:spacing w:before="0" w:after="283"/>
              <w:rPr/>
            </w:pPr>
            <w:r>
              <w:rPr/>
              <w:t xml:space="preserve">  </w:t>
            </w:r>
          </w:p>
        </w:tc>
        <w:tc>
          <w:tcPr>
            <w:tcW w:w="1570" w:type="dxa"/>
            <w:gridSpan w:val="2"/>
            <w:tcBorders>
              <w:top w:val="double" w:sz="4" w:space="0" w:color="000000"/>
              <w:bottom w:val="single" w:sz="12" w:space="0" w:color="000000"/>
            </w:tcBorders>
            <w:shd w:fill="auto" w:val="clear"/>
            <w:vAlign w:val="bottom"/>
          </w:tcPr>
          <w:p>
            <w:pPr>
              <w:pStyle w:val="TableContents"/>
              <w:spacing w:before="0" w:after="0"/>
              <w:ind w:left="0" w:right="0" w:hanging="0"/>
              <w:jc w:val="center"/>
              <w:rPr/>
            </w:pPr>
            <w:r>
              <w:rPr>
                <w:rFonts w:ascii="helvetica" w:hAnsi="helvetica"/>
                <w:b/>
                <w:sz w:val="20"/>
              </w:rPr>
              <w:t>Amount of</w:t>
            </w:r>
            <w:r>
              <w:rPr/>
              <w:t xml:space="preserve"> </w:t>
            </w:r>
          </w:p>
          <w:p>
            <w:pPr>
              <w:pStyle w:val="TableContents"/>
              <w:spacing w:before="0" w:after="0"/>
              <w:ind w:left="0" w:right="0" w:hanging="0"/>
              <w:jc w:val="center"/>
              <w:rPr/>
            </w:pPr>
            <w:r>
              <w:rPr>
                <w:rFonts w:ascii="helvetica" w:hAnsi="helvetica"/>
                <w:b/>
                <w:sz w:val="20"/>
              </w:rPr>
              <w:t>Registration</w:t>
            </w:r>
            <w:r>
              <w:rPr/>
              <w:t xml:space="preserve"> </w:t>
            </w:r>
          </w:p>
          <w:p>
            <w:pPr>
              <w:pStyle w:val="TableContents"/>
              <w:spacing w:before="0" w:after="0"/>
              <w:ind w:left="0" w:right="0" w:hanging="0"/>
              <w:jc w:val="center"/>
              <w:rPr/>
            </w:pPr>
            <w:r>
              <w:rPr>
                <w:rFonts w:ascii="helvetica" w:hAnsi="helvetica"/>
                <w:b/>
                <w:sz w:val="20"/>
              </w:rPr>
              <w:t>Fee (2)(3)</w:t>
            </w:r>
            <w:r>
              <w:rPr/>
              <w:t xml:space="preserve"> </w:t>
            </w:r>
          </w:p>
        </w:tc>
        <w:tc>
          <w:tcPr>
            <w:tcW w:w="262" w:type="dxa"/>
            <w:tcBorders>
              <w:top w:val="double" w:sz="4" w:space="0" w:color="000000"/>
              <w:bottom w:val="single" w:sz="12" w:space="0" w:color="000000"/>
            </w:tcBorders>
            <w:shd w:fill="auto" w:val="clear"/>
            <w:vAlign w:val="bottom"/>
          </w:tcPr>
          <w:p>
            <w:pPr>
              <w:pStyle w:val="TableContents"/>
              <w:spacing w:before="0" w:after="283"/>
              <w:rPr/>
            </w:pPr>
            <w:r>
              <w:rPr/>
              <w:t xml:space="preserve">  </w:t>
            </w:r>
          </w:p>
        </w:tc>
      </w:tr>
      <w:tr>
        <w:trPr/>
        <w:tc>
          <w:tcPr>
            <w:tcW w:w="6020" w:type="dxa"/>
            <w:tcBorders/>
            <w:shd w:fill="auto" w:val="clear"/>
            <w:tcMar>
              <w:top w:w="0" w:type="dxa"/>
              <w:bottom w:w="0" w:type="dxa"/>
            </w:tcMar>
            <w:vAlign w:val="bottom"/>
          </w:tcPr>
          <w:p>
            <w:pPr>
              <w:pStyle w:val="TableContents"/>
              <w:spacing w:before="0" w:after="0"/>
              <w:ind w:left="360" w:right="0" w:hanging="360"/>
              <w:jc w:val="left"/>
              <w:rPr/>
            </w:pPr>
            <w:r>
              <w:rPr>
                <w:rFonts w:ascii="helvetica" w:hAnsi="helvetica"/>
                <w:sz w:val="20"/>
              </w:rPr>
              <w:t>Common Stock, par value $0.001</w:t>
            </w:r>
            <w:r>
              <w:rPr/>
              <w:t xml:space="preserve"> </w:t>
            </w:r>
          </w:p>
        </w:tc>
        <w:tc>
          <w:tcPr>
            <w:tcW w:w="261" w:type="dxa"/>
            <w:tcBorders/>
            <w:shd w:fill="auto" w:val="clear"/>
            <w:tcMar>
              <w:top w:w="0" w:type="dxa"/>
              <w:bottom w:w="0" w:type="dxa"/>
            </w:tcMar>
            <w:vAlign w:val="bottom"/>
          </w:tcPr>
          <w:p>
            <w:pPr>
              <w:pStyle w:val="TableContents"/>
              <w:spacing w:before="0" w:after="283"/>
              <w:rPr/>
            </w:pPr>
            <w:r>
              <w:rPr/>
              <w:t xml:space="preserve">  </w:t>
            </w:r>
          </w:p>
        </w:tc>
        <w:tc>
          <w:tcPr>
            <w:tcW w:w="131" w:type="dxa"/>
            <w:tcBorders/>
            <w:shd w:fill="auto" w:val="clear"/>
            <w:tcMar>
              <w:top w:w="0" w:type="dxa"/>
              <w:bottom w:w="0" w:type="dxa"/>
            </w:tcMar>
            <w:vAlign w:val="bottom"/>
          </w:tcPr>
          <w:p>
            <w:pPr>
              <w:pStyle w:val="TableContents"/>
              <w:spacing w:before="0" w:after="283"/>
              <w:rPr/>
            </w:pPr>
            <w:r>
              <w:rPr/>
              <w:t xml:space="preserve">  </w:t>
            </w:r>
          </w:p>
        </w:tc>
        <w:tc>
          <w:tcPr>
            <w:tcW w:w="1700" w:type="dxa"/>
            <w:tcBorders/>
            <w:shd w:fill="auto" w:val="clear"/>
            <w:tcMar>
              <w:top w:w="0" w:type="dxa"/>
              <w:bottom w:w="0" w:type="dxa"/>
            </w:tcMar>
            <w:vAlign w:val="bottom"/>
          </w:tcPr>
          <w:p>
            <w:pPr>
              <w:pStyle w:val="TableContents"/>
              <w:spacing w:before="0" w:after="0"/>
              <w:ind w:left="0" w:right="0" w:hanging="0"/>
              <w:jc w:val="center"/>
              <w:rPr/>
            </w:pPr>
            <w:r>
              <w:rPr>
                <w:rFonts w:ascii="helvetica" w:hAnsi="helvetica"/>
                <w:sz w:val="20"/>
              </w:rPr>
              <w:t>$9,775,000</w:t>
            </w:r>
            <w:r>
              <w:rPr/>
              <w:t xml:space="preserve"> </w:t>
            </w:r>
          </w:p>
        </w:tc>
        <w:tc>
          <w:tcPr>
            <w:tcW w:w="261" w:type="dxa"/>
            <w:tcBorders/>
            <w:shd w:fill="auto" w:val="clear"/>
            <w:tcMar>
              <w:top w:w="0" w:type="dxa"/>
              <w:bottom w:w="0" w:type="dxa"/>
            </w:tcMar>
            <w:vAlign w:val="bottom"/>
          </w:tcPr>
          <w:p>
            <w:pPr>
              <w:pStyle w:val="TableContents"/>
              <w:spacing w:before="0" w:after="283"/>
              <w:rPr/>
            </w:pPr>
            <w:r>
              <w:rPr/>
              <w:t xml:space="preserve">  </w:t>
            </w:r>
          </w:p>
        </w:tc>
        <w:tc>
          <w:tcPr>
            <w:tcW w:w="131" w:type="dxa"/>
            <w:tcBorders/>
            <w:shd w:fill="auto" w:val="clear"/>
            <w:tcMar>
              <w:top w:w="0" w:type="dxa"/>
              <w:bottom w:w="0" w:type="dxa"/>
            </w:tcMar>
            <w:vAlign w:val="bottom"/>
          </w:tcPr>
          <w:p>
            <w:pPr>
              <w:pStyle w:val="TableContents"/>
              <w:spacing w:before="0" w:after="283"/>
              <w:rPr/>
            </w:pPr>
            <w:r>
              <w:rPr/>
              <w:t xml:space="preserve">  </w:t>
            </w:r>
          </w:p>
        </w:tc>
        <w:tc>
          <w:tcPr>
            <w:tcW w:w="1439" w:type="dxa"/>
            <w:tcBorders/>
            <w:shd w:fill="auto" w:val="clear"/>
            <w:tcMar>
              <w:top w:w="0" w:type="dxa"/>
              <w:bottom w:w="0" w:type="dxa"/>
            </w:tcMar>
            <w:vAlign w:val="bottom"/>
          </w:tcPr>
          <w:p>
            <w:pPr>
              <w:pStyle w:val="TableContents"/>
              <w:spacing w:before="0" w:after="0"/>
              <w:ind w:left="0" w:right="0" w:hanging="0"/>
              <w:jc w:val="center"/>
              <w:rPr/>
            </w:pPr>
            <w:r>
              <w:rPr>
                <w:rFonts w:ascii="helvetica" w:hAnsi="helvetica"/>
                <w:sz w:val="20"/>
              </w:rPr>
              <w:t>$1,120.22</w:t>
            </w:r>
            <w:r>
              <w:rPr/>
              <w:t xml:space="preserve"> </w:t>
            </w:r>
          </w:p>
        </w:tc>
        <w:tc>
          <w:tcPr>
            <w:tcW w:w="262" w:type="dxa"/>
            <w:tcBorders/>
            <w:shd w:fill="auto" w:val="clear"/>
            <w:tcMar>
              <w:top w:w="0" w:type="dxa"/>
              <w:bottom w:w="0" w:type="dxa"/>
            </w:tcMar>
            <w:vAlign w:val="bottom"/>
          </w:tcPr>
          <w:p>
            <w:pPr>
              <w:pStyle w:val="TableContents"/>
              <w:spacing w:before="0" w:after="283"/>
              <w:rPr/>
            </w:pPr>
            <w:r>
              <w:rPr/>
              <w:t xml:space="preserve">  </w:t>
            </w:r>
          </w:p>
        </w:tc>
      </w:tr>
    </w:tbl>
    <w:p>
      <w:pPr>
        <w:pStyle w:val="TextBody"/>
        <w:spacing w:before="0" w:after="0"/>
        <w:ind w:left="0" w:right="0" w:hanging="0"/>
        <w:jc w:val="center"/>
        <w:rPr/>
      </w:pPr>
      <w:r>
        <w:rPr/>
        <w:t> </w:t>
      </w:r>
    </w:p>
    <w:p>
      <w:pPr>
        <w:pStyle w:val="Normal"/>
        <w:spacing w:before="0" w:after="0"/>
        <w:jc w:val="center"/>
        <w:rPr>
          <w:sz w:val="4"/>
          <w:szCs w:val="4"/>
        </w:rPr>
      </w:pPr>
      <w:r>
        <w:rPr>
          <w:sz w:val="4"/>
          <w:szCs w:val="4"/>
        </w:rPr>
      </w:r>
      <w:bookmarkStart w:id="2" w:name="list"/>
      <w:bookmarkStart w:id="3" w:name="list"/>
      <w:bookmarkEnd w:id="3"/>
    </w:p>
    <w:tbl>
      <w:tblPr>
        <w:tblW w:w="5000" w:type="pct"/>
        <w:jc w:val="center"/>
        <w:tblInd w:w="0" w:type="dxa"/>
        <w:tblCellMar>
          <w:top w:w="0" w:type="dxa"/>
          <w:left w:w="0" w:type="dxa"/>
          <w:bottom w:w="0" w:type="dxa"/>
          <w:right w:w="0" w:type="dxa"/>
        </w:tblCellMar>
      </w:tblPr>
      <w:tblGrid>
        <w:gridCol w:w="452"/>
        <w:gridCol w:w="9753"/>
      </w:tblGrid>
      <w:tr>
        <w:trPr/>
        <w:tc>
          <w:tcPr>
            <w:tcW w:w="452" w:type="dxa"/>
            <w:tcBorders/>
            <w:shd w:fill="auto" w:val="clear"/>
          </w:tcPr>
          <w:p>
            <w:pPr>
              <w:pStyle w:val="TableContents"/>
              <w:spacing w:before="0" w:after="0"/>
              <w:jc w:val="right"/>
              <w:rPr/>
            </w:pPr>
            <w:r>
              <w:rPr>
                <w:rFonts w:ascii="helvetica" w:hAnsi="helvetica"/>
                <w:sz w:val="20"/>
              </w:rPr>
              <w:t>(1)  </w:t>
            </w:r>
            <w:r>
              <w:rPr/>
              <w:t xml:space="preserve"> </w:t>
            </w:r>
          </w:p>
        </w:tc>
        <w:tc>
          <w:tcPr>
            <w:tcW w:w="9753" w:type="dxa"/>
            <w:tcBorders/>
            <w:shd w:fill="auto" w:val="clear"/>
          </w:tcPr>
          <w:p>
            <w:pPr>
              <w:pStyle w:val="TableContents"/>
              <w:spacing w:before="0" w:after="0"/>
              <w:ind w:left="0" w:right="0" w:hanging="0"/>
              <w:jc w:val="both"/>
              <w:rPr/>
            </w:pPr>
            <w:r>
              <w:rPr>
                <w:rFonts w:ascii="helvetica" w:hAnsi="helvetica"/>
                <w:sz w:val="20"/>
              </w:rPr>
              <w:t>Includes $1,275,000 in additional shares that the underwriter has the option to purchase from the Registrant.</w:t>
            </w:r>
            <w:r>
              <w:rPr/>
              <w:t xml:space="preserve"> </w:t>
            </w:r>
          </w:p>
        </w:tc>
      </w:tr>
    </w:tbl>
    <w:p>
      <w:pPr>
        <w:pStyle w:val="TextBody"/>
        <w:spacing w:before="0" w:after="0"/>
        <w:ind w:left="0" w:right="0" w:hanging="0"/>
        <w:jc w:val="both"/>
        <w:rPr/>
      </w:pPr>
      <w:r>
        <w:rPr/>
        <w:t> </w:t>
      </w:r>
    </w:p>
    <w:p>
      <w:pPr>
        <w:pStyle w:val="Normal"/>
        <w:spacing w:before="0" w:after="0"/>
        <w:jc w:val="center"/>
        <w:rPr>
          <w:sz w:val="4"/>
          <w:szCs w:val="4"/>
        </w:rPr>
      </w:pPr>
      <w:r>
        <w:rPr>
          <w:sz w:val="4"/>
          <w:szCs w:val="4"/>
        </w:rPr>
      </w:r>
      <w:bookmarkStart w:id="4" w:name="list1"/>
      <w:bookmarkStart w:id="5" w:name="list1"/>
      <w:bookmarkEnd w:id="5"/>
    </w:p>
    <w:tbl>
      <w:tblPr>
        <w:tblW w:w="5000" w:type="pct"/>
        <w:jc w:val="center"/>
        <w:tblInd w:w="0" w:type="dxa"/>
        <w:tblCellMar>
          <w:top w:w="0" w:type="dxa"/>
          <w:left w:w="0" w:type="dxa"/>
          <w:bottom w:w="0" w:type="dxa"/>
          <w:right w:w="0" w:type="dxa"/>
        </w:tblCellMar>
      </w:tblPr>
      <w:tblGrid>
        <w:gridCol w:w="370"/>
        <w:gridCol w:w="9835"/>
      </w:tblGrid>
      <w:tr>
        <w:trPr/>
        <w:tc>
          <w:tcPr>
            <w:tcW w:w="370" w:type="dxa"/>
            <w:tcBorders/>
            <w:shd w:fill="auto" w:val="clear"/>
          </w:tcPr>
          <w:p>
            <w:pPr>
              <w:pStyle w:val="TableContents"/>
              <w:spacing w:before="0" w:after="0"/>
              <w:jc w:val="right"/>
              <w:rPr/>
            </w:pPr>
            <w:r>
              <w:rPr>
                <w:rFonts w:ascii="helvetica" w:hAnsi="helvetica"/>
                <w:sz w:val="20"/>
              </w:rPr>
              <w:t>(2)  </w:t>
            </w:r>
            <w:r>
              <w:rPr/>
              <w:t xml:space="preserve"> </w:t>
            </w:r>
          </w:p>
        </w:tc>
        <w:tc>
          <w:tcPr>
            <w:tcW w:w="9835" w:type="dxa"/>
            <w:tcBorders/>
            <w:shd w:fill="auto" w:val="clear"/>
          </w:tcPr>
          <w:p>
            <w:pPr>
              <w:pStyle w:val="TableContents"/>
              <w:spacing w:before="0" w:after="0"/>
              <w:ind w:left="0" w:right="0" w:hanging="0"/>
              <w:jc w:val="both"/>
              <w:rPr/>
            </w:pPr>
            <w:r>
              <w:rPr>
                <w:rFonts w:ascii="helvetica" w:hAnsi="helvetica"/>
                <w:sz w:val="20"/>
              </w:rPr>
              <w:t>Calculated pursuant to Rule 457 (o) under the Securities Act of 1933, on the basis of the maximum aggregate offering price of the securities to be registered.</w:t>
            </w:r>
            <w:r>
              <w:rPr/>
              <w:t xml:space="preserve"> </w:t>
            </w:r>
          </w:p>
        </w:tc>
      </w:tr>
    </w:tbl>
    <w:p>
      <w:pPr>
        <w:pStyle w:val="TextBody"/>
        <w:spacing w:before="0" w:after="0"/>
        <w:ind w:left="0" w:right="0" w:hanging="0"/>
        <w:jc w:val="both"/>
        <w:rPr/>
      </w:pPr>
      <w:r>
        <w:rPr/>
        <w:t> </w:t>
      </w:r>
    </w:p>
    <w:p>
      <w:pPr>
        <w:pStyle w:val="Normal"/>
        <w:spacing w:before="0" w:after="0"/>
        <w:jc w:val="center"/>
        <w:rPr>
          <w:sz w:val="4"/>
          <w:szCs w:val="4"/>
        </w:rPr>
      </w:pPr>
      <w:r>
        <w:rPr>
          <w:sz w:val="4"/>
          <w:szCs w:val="4"/>
        </w:rPr>
      </w:r>
      <w:bookmarkStart w:id="6" w:name="list2"/>
      <w:bookmarkStart w:id="7" w:name="list2"/>
      <w:bookmarkEnd w:id="7"/>
    </w:p>
    <w:tbl>
      <w:tblPr>
        <w:tblW w:w="5000" w:type="pct"/>
        <w:jc w:val="center"/>
        <w:tblInd w:w="0" w:type="dxa"/>
        <w:tblCellMar>
          <w:top w:w="0" w:type="dxa"/>
          <w:left w:w="0" w:type="dxa"/>
          <w:bottom w:w="0" w:type="dxa"/>
          <w:right w:w="0" w:type="dxa"/>
        </w:tblCellMar>
      </w:tblPr>
      <w:tblGrid>
        <w:gridCol w:w="2326"/>
        <w:gridCol w:w="7879"/>
      </w:tblGrid>
      <w:tr>
        <w:trPr/>
        <w:tc>
          <w:tcPr>
            <w:tcW w:w="2326" w:type="dxa"/>
            <w:tcBorders/>
            <w:shd w:fill="auto" w:val="clear"/>
          </w:tcPr>
          <w:p>
            <w:pPr>
              <w:pStyle w:val="TableContents"/>
              <w:spacing w:before="0" w:after="0"/>
              <w:jc w:val="right"/>
              <w:rPr/>
            </w:pPr>
            <w:r>
              <w:rPr>
                <w:rFonts w:ascii="helvetica" w:hAnsi="helvetica"/>
                <w:sz w:val="20"/>
              </w:rPr>
              <w:t>(3)  </w:t>
            </w:r>
            <w:r>
              <w:rPr/>
              <w:t xml:space="preserve"> </w:t>
            </w:r>
          </w:p>
        </w:tc>
        <w:tc>
          <w:tcPr>
            <w:tcW w:w="7879" w:type="dxa"/>
            <w:tcBorders/>
            <w:shd w:fill="auto" w:val="clear"/>
          </w:tcPr>
          <w:p>
            <w:pPr>
              <w:pStyle w:val="TableContents"/>
              <w:spacing w:before="0" w:after="0"/>
              <w:ind w:left="0" w:right="0" w:hanging="0"/>
              <w:jc w:val="both"/>
              <w:rPr/>
            </w:pPr>
            <w:r>
              <w:rPr>
                <w:rFonts w:ascii="helvetica" w:hAnsi="helvetica"/>
                <w:sz w:val="20"/>
              </w:rPr>
              <w:t>Previously paid.</w:t>
            </w:r>
            <w:r>
              <w:rPr/>
              <w:t xml:space="preserve"> </w:t>
            </w:r>
          </w:p>
        </w:tc>
      </w:tr>
    </w:tbl>
    <w:p>
      <w:pPr>
        <w:pStyle w:val="TextBody"/>
        <w:spacing w:before="0" w:after="0"/>
        <w:ind w:left="0" w:right="0" w:hanging="0"/>
        <w:jc w:val="both"/>
        <w:rPr/>
      </w:pPr>
      <w:r>
        <w:rPr/>
        <w:t> </w:t>
      </w:r>
    </w:p>
    <w:p>
      <w:pPr>
        <w:pStyle w:val="TextBody"/>
        <w:spacing w:before="0" w:after="0"/>
        <w:ind w:left="0" w:right="0" w:hanging="0"/>
        <w:jc w:val="left"/>
        <w:rPr>
          <w:rFonts w:ascii="helvetica" w:hAnsi="helvetica"/>
          <w:b/>
          <w:sz w:val="20"/>
        </w:rPr>
      </w:pPr>
      <w:r>
        <w:rPr>
          <w:rFonts w:ascii="helvetica" w:hAnsi="helvetica"/>
          <w:b/>
          <w:sz w:val="20"/>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the registration statement shall become effective on such date as the Securities and Exchange Commission, acting pursuant to said Section 8(a), may determine.</w:t>
      </w:r>
    </w:p>
    <w:p>
      <w:pPr>
        <w:sectPr>
          <w:type w:val="nextPage"/>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left"/>
        <w:rPr/>
      </w:pPr>
      <w:r>
        <w:rPr/>
        <w:t> </w:t>
      </w:r>
    </w:p>
    <w:p>
      <w:pPr>
        <w:pStyle w:val="TextBody"/>
        <w:spacing w:before="0" w:after="0"/>
        <w:ind w:left="0" w:right="0" w:hanging="0"/>
        <w:jc w:val="left"/>
        <w:rPr/>
      </w:pPr>
      <w:r>
        <w:rPr/>
        <w:t> </w:t>
      </w:r>
    </w:p>
    <w:p>
      <w:pPr>
        <w:pStyle w:val="HorizontalLine"/>
        <w:pBdr>
          <w:bottom w:val="single" w:sz="6" w:space="0" w:color="808080"/>
        </w:pBdr>
        <w:rPr/>
      </w:pPr>
      <w:r>
        <w:rPr/>
      </w:r>
    </w:p>
    <w:p>
      <w:pPr>
        <w:pStyle w:val="HorizontalLine"/>
        <w:pBdr>
          <w:bottom w:val="single" w:sz="24" w:space="0" w:color="808080"/>
        </w:pBdr>
        <w:rPr/>
      </w:pPr>
      <w:r>
        <w:rPr/>
      </w:r>
    </w:p>
    <w:p>
      <w:pPr>
        <w:pStyle w:val="TextBody"/>
        <w:spacing w:before="0" w:after="0"/>
        <w:ind w:left="0" w:right="0" w:hanging="0"/>
        <w:jc w:val="left"/>
        <w:rPr/>
      </w:pPr>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r>
      <w:bookmarkStart w:id="8" w:name="PGBRK"/>
      <w:bookmarkStart w:id="9" w:name="PGBRK"/>
      <w:bookmarkEnd w:id="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0" w:name="FTR"/>
      <w:bookmarkStart w:id="11" w:name="FTR"/>
      <w:bookmarkEnd w:id="1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r>
        <w:rPr/>
        <w:t> </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left"/>
        <w:rPr/>
      </w:pPr>
      <w:r>
        <w:rPr/>
        <w:t> </w:t>
      </w:r>
    </w:p>
    <w:p>
      <w:pPr>
        <w:pStyle w:val="TextBody"/>
        <w:spacing w:before="0" w:after="0"/>
        <w:ind w:left="0" w:right="0" w:hanging="0"/>
        <w:jc w:val="left"/>
        <w:rPr>
          <w:rFonts w:ascii="helvetica" w:hAnsi="helvetica"/>
          <w:b/>
          <w:color w:val="CD5C5C"/>
          <w:sz w:val="20"/>
        </w:rPr>
      </w:pPr>
      <w:r>
        <w:rPr>
          <w:rFonts w:ascii="helvetica" w:hAnsi="helvetica"/>
          <w:b/>
          <w:color w:val="CD5C5C"/>
          <w:sz w:val="20"/>
        </w:rPr>
        <w:t>The information in this prospectus is not complete and may be changed. We may not sell these securities until the registration statement filed with the Securities and Exchange Commission is effective. This prospectus is not an offer to sell these securities and it is not soliciting an offer to buy these securities in any state where the offer or sale is not permitted.</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pPr>
      <w:r>
        <w:rPr/>
        <w:t> </w:t>
      </w:r>
    </w:p>
    <w:p>
      <w:pPr>
        <w:pStyle w:val="TextBody"/>
        <w:spacing w:before="0" w:after="0"/>
        <w:ind w:left="0" w:right="0" w:hanging="0"/>
        <w:jc w:val="center"/>
        <w:rPr>
          <w:rFonts w:ascii="helvetica" w:hAnsi="helvetica"/>
          <w:b/>
          <w:color w:val="CD5C5C"/>
          <w:sz w:val="20"/>
        </w:rPr>
      </w:pPr>
      <w:r>
        <w:rPr>
          <w:rFonts w:ascii="helvetica" w:hAnsi="helvetica"/>
          <w:b/>
          <w:color w:val="CD5C5C"/>
          <w:sz w:val="20"/>
        </w:rPr>
        <w:t>SUBJECT TO COMPLETION, DATED SEPTEMBER 4, 2012</w:t>
      </w:r>
    </w:p>
    <w:p>
      <w:pPr>
        <w:pStyle w:val="TextBody"/>
        <w:spacing w:before="0" w:after="0"/>
        <w:ind w:left="0" w:right="0" w:hanging="0"/>
        <w:jc w:val="both"/>
        <w:rPr/>
      </w:pPr>
      <w:r>
        <w:rPr/>
        <w:t> </w:t>
      </w:r>
    </w:p>
    <w:p>
      <w:pPr>
        <w:pStyle w:val="TextBody"/>
        <w:spacing w:before="0" w:after="0"/>
        <w:ind w:left="0" w:right="0" w:hanging="0"/>
        <w:jc w:val="center"/>
        <w:rPr>
          <w:rFonts w:ascii="helvetica" w:hAnsi="helvetica"/>
          <w:b/>
          <w:sz w:val="24"/>
        </w:rPr>
      </w:pPr>
      <w:r>
        <w:rPr>
          <w:rFonts w:ascii="helvetica" w:hAnsi="helvetica"/>
          <w:b/>
          <w:sz w:val="24"/>
        </w:rPr>
        <w:t>IMPRIMIS PHARMACEUTICALS, INC.</w:t>
      </w:r>
    </w:p>
    <w:p>
      <w:pPr>
        <w:pStyle w:val="TextBody"/>
        <w:spacing w:before="0" w:after="0"/>
        <w:ind w:left="0" w:right="0" w:hanging="0"/>
        <w:jc w:val="both"/>
        <w:rPr/>
      </w:pPr>
      <w:r>
        <w:rPr/>
        <w:t> </w:t>
      </w:r>
    </w:p>
    <w:p>
      <w:pPr>
        <w:pStyle w:val="TextBody"/>
        <w:spacing w:before="0" w:after="0"/>
        <w:ind w:left="0" w:right="0" w:hanging="0"/>
        <w:jc w:val="center"/>
        <w:rPr>
          <w:rFonts w:ascii="helvetica" w:hAnsi="helvetica"/>
          <w:b/>
          <w:sz w:val="20"/>
        </w:rPr>
      </w:pPr>
      <w:r>
        <w:rPr>
          <w:rFonts w:ascii="helvetica" w:hAnsi="helvetica"/>
          <w:b/>
          <w:sz w:val="20"/>
        </w:rPr>
        <w:t>PRELIMINARY PROSPECTUS</w:t>
      </w:r>
    </w:p>
    <w:p>
      <w:pPr>
        <w:pStyle w:val="TextBody"/>
        <w:spacing w:before="0" w:after="0"/>
        <w:ind w:left="0" w:right="0" w:hanging="0"/>
        <w:jc w:val="both"/>
        <w:rPr/>
      </w:pPr>
      <w:r>
        <w:rPr/>
        <w:t> </w:t>
      </w:r>
    </w:p>
    <w:p>
      <w:pPr>
        <w:pStyle w:val="TextBody"/>
        <w:spacing w:before="0" w:after="0"/>
        <w:ind w:left="0" w:right="0" w:hanging="0"/>
        <w:jc w:val="center"/>
        <w:rPr>
          <w:rFonts w:ascii="helvetica" w:hAnsi="helvetica"/>
          <w:b/>
          <w:sz w:val="20"/>
        </w:rPr>
      </w:pPr>
      <w:r>
        <w:rPr>
          <w:rFonts w:ascii="helvetica" w:hAnsi="helvetica"/>
          <w:b/>
          <w:sz w:val="20"/>
        </w:rPr>
        <w:t>Shares of Common Stock</w:t>
      </w:r>
    </w:p>
    <w:p>
      <w:pPr>
        <w:pStyle w:val="TextBody"/>
        <w:spacing w:before="0" w:after="0"/>
        <w:ind w:left="0" w:right="0" w:hanging="0"/>
        <w:jc w:val="center"/>
        <w:rPr>
          <w:rFonts w:ascii="helvetica" w:hAnsi="helvetica"/>
          <w:sz w:val="20"/>
        </w:rPr>
      </w:pPr>
      <w:r>
        <w:rPr>
          <w:rFonts w:ascii="helvetica" w:hAnsi="helvetica"/>
          <w:sz w:val="20"/>
        </w:rPr>
        <w:t>___________________</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r>
        <w:rPr>
          <w:rFonts w:ascii="helvetica" w:hAnsi="helvetica"/>
          <w:sz w:val="20"/>
        </w:rPr>
        <w:t>We are offering                 shares of our common stock in a firm commitment offering.   After the effectiveness of the registration statement of which this prospectus is a part and concurrently with the pricing of this offering, we will effect a one-for-five reverse stock split.</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r>
        <w:rPr>
          <w:rFonts w:ascii="helvetica" w:hAnsi="helvetica"/>
          <w:sz w:val="20"/>
        </w:rPr>
        <w:t>Our common stock is quoted on the OTC Markets Group’s OTCQB tier under the symbol “IMMY”.  On August 31, 2012, the closing price of our common stock on the OTCQB was $4.75 per share (assuming a one-for-five stock split). We have applied for listing of our common stock on The NASDAQ Capital Market, which listing we expect to occur at the consummation of this offering. No assurance can be given that our application will be approved.  If the application is not approved, we will not commence this offering and the shares of our common stock will continue to be traded on the OTC Markets Group’s OTCQB tier.</w:t>
      </w:r>
    </w:p>
    <w:p>
      <w:pPr>
        <w:pStyle w:val="TextBody"/>
        <w:spacing w:before="0" w:after="0"/>
        <w:ind w:left="0" w:right="0" w:hanging="0"/>
        <w:jc w:val="both"/>
        <w:rPr/>
      </w:pPr>
      <w:r>
        <w:rPr/>
        <w:t> </w:t>
      </w:r>
    </w:p>
    <w:p>
      <w:pPr>
        <w:pStyle w:val="TextBody"/>
        <w:spacing w:before="0" w:after="0"/>
        <w:ind w:left="0" w:right="0" w:hanging="0"/>
        <w:jc w:val="center"/>
        <w:rPr>
          <w:rFonts w:ascii="helvetica" w:hAnsi="helvetica"/>
          <w:sz w:val="20"/>
        </w:rPr>
      </w:pPr>
      <w:r>
        <w:rPr>
          <w:rFonts w:ascii="helvetica" w:hAnsi="helvetica"/>
          <w:sz w:val="20"/>
        </w:rPr>
        <w:t>___________________</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b/>
          <w:sz w:val="20"/>
        </w:rPr>
      </w:pPr>
      <w:r>
        <w:rPr>
          <w:rFonts w:ascii="helvetica" w:hAnsi="helvetica"/>
          <w:b/>
          <w:sz w:val="20"/>
        </w:rPr>
        <w:t>Investing in our common stock involves a high degree of risk. Before making any investment in our common stock, you should read and carefully consider the risks described in this prospectus under “Risk Factors” beginning on page 8 of this prospectus.</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b/>
          <w:sz w:val="20"/>
        </w:rPr>
      </w:pPr>
      <w:r>
        <w:rPr>
          <w:rFonts w:ascii="helvetica" w:hAnsi="helvetica"/>
          <w:b/>
          <w:sz w:val="20"/>
        </w:rPr>
        <w:t>You should rely only on the information contained in this prospectus or any prospectus supplement or amendment thereto. We have not authorized anyone to provide you with different information.</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b/>
          <w:sz w:val="20"/>
        </w:rPr>
      </w:pPr>
      <w:r>
        <w:rPr>
          <w:rFonts w:ascii="helvetica" w:hAnsi="helvetica"/>
          <w:b/>
          <w:sz w:val="20"/>
        </w:rPr>
        <w:t>Neither the Securities and Exchange Commission nor any state securities commission has approved or disapproved of these securities or determined if this prospectus is truthful or complete. Any representation to the contrary is a criminal offense.</w:t>
      </w:r>
    </w:p>
    <w:p>
      <w:pPr>
        <w:pStyle w:val="TextBody"/>
        <w:spacing w:before="0" w:after="0"/>
        <w:ind w:left="0" w:right="0" w:hanging="0"/>
        <w:jc w:val="both"/>
        <w:rPr/>
      </w:pPr>
      <w:r>
        <w:rPr/>
        <w:t> </w:t>
      </w:r>
    </w:p>
    <w:tbl>
      <w:tblPr>
        <w:tblW w:w="4250" w:type="pct"/>
        <w:jc w:val="center"/>
        <w:tblInd w:w="0" w:type="dxa"/>
        <w:tblCellMar>
          <w:top w:w="0" w:type="dxa"/>
          <w:left w:w="0" w:type="dxa"/>
          <w:bottom w:w="0" w:type="dxa"/>
          <w:right w:w="0" w:type="dxa"/>
        </w:tblCellMar>
      </w:tblPr>
      <w:tblGrid>
        <w:gridCol w:w="6177"/>
        <w:gridCol w:w="113"/>
        <w:gridCol w:w="319"/>
        <w:gridCol w:w="712"/>
        <w:gridCol w:w="113"/>
        <w:gridCol w:w="113"/>
        <w:gridCol w:w="295"/>
        <w:gridCol w:w="700"/>
        <w:gridCol w:w="132"/>
      </w:tblGrid>
      <w:tr>
        <w:trPr/>
        <w:tc>
          <w:tcPr>
            <w:tcW w:w="6177" w:type="dxa"/>
            <w:tcBorders/>
            <w:shd w:fill="auto" w:val="clear"/>
            <w:vAlign w:val="bottom"/>
          </w:tcPr>
          <w:p>
            <w:pPr>
              <w:pStyle w:val="TableContents"/>
              <w:spacing w:before="0" w:after="283"/>
              <w:rPr/>
            </w:pPr>
            <w:r>
              <w:rPr/>
              <w:t xml:space="preserve">  </w:t>
            </w:r>
          </w:p>
        </w:tc>
        <w:tc>
          <w:tcPr>
            <w:tcW w:w="113" w:type="dxa"/>
            <w:tcBorders/>
            <w:shd w:fill="auto" w:val="clear"/>
            <w:vAlign w:val="bottom"/>
          </w:tcPr>
          <w:p>
            <w:pPr>
              <w:pStyle w:val="TableContents"/>
              <w:spacing w:before="0" w:after="283"/>
              <w:rPr/>
            </w:pPr>
            <w:r>
              <w:rPr/>
              <w:t> </w:t>
            </w:r>
          </w:p>
        </w:tc>
        <w:tc>
          <w:tcPr>
            <w:tcW w:w="1031"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helvetica" w:hAnsi="helvetica"/>
                <w:b/>
                <w:sz w:val="16"/>
              </w:rPr>
            </w:pPr>
            <w:r>
              <w:rPr>
                <w:rFonts w:ascii="helvetica" w:hAnsi="helvetica"/>
                <w:b/>
                <w:sz w:val="16"/>
              </w:rPr>
              <w:t>Per Share</w:t>
            </w:r>
          </w:p>
        </w:tc>
        <w:tc>
          <w:tcPr>
            <w:tcW w:w="113" w:type="dxa"/>
            <w:tcBorders/>
            <w:shd w:fill="auto" w:val="clear"/>
            <w:vAlign w:val="bottom"/>
          </w:tcPr>
          <w:p>
            <w:pPr>
              <w:pStyle w:val="TableContents"/>
              <w:spacing w:before="0" w:after="283"/>
              <w:jc w:val="left"/>
              <w:rPr/>
            </w:pPr>
            <w:r>
              <w:rPr/>
              <w:t> </w:t>
            </w:r>
          </w:p>
        </w:tc>
        <w:tc>
          <w:tcPr>
            <w:tcW w:w="113" w:type="dxa"/>
            <w:tcBorders/>
            <w:shd w:fill="auto" w:val="clear"/>
            <w:vAlign w:val="bottom"/>
          </w:tcPr>
          <w:p>
            <w:pPr>
              <w:pStyle w:val="TableContents"/>
              <w:spacing w:before="0" w:after="283"/>
              <w:jc w:val="left"/>
              <w:rPr/>
            </w:pPr>
            <w:r>
              <w:rPr/>
              <w:t> </w:t>
            </w:r>
          </w:p>
        </w:tc>
        <w:tc>
          <w:tcPr>
            <w:tcW w:w="995"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helvetica" w:hAnsi="helvetica"/>
                <w:b/>
                <w:sz w:val="16"/>
              </w:rPr>
            </w:pPr>
            <w:r>
              <w:rPr>
                <w:rFonts w:ascii="helvetica" w:hAnsi="helvetica"/>
                <w:b/>
                <w:sz w:val="16"/>
              </w:rPr>
              <w:t>Total</w:t>
            </w:r>
          </w:p>
        </w:tc>
        <w:tc>
          <w:tcPr>
            <w:tcW w:w="132" w:type="dxa"/>
            <w:tcBorders/>
            <w:shd w:fill="auto" w:val="clear"/>
            <w:vAlign w:val="bottom"/>
          </w:tcPr>
          <w:p>
            <w:pPr>
              <w:pStyle w:val="TableContents"/>
              <w:spacing w:before="0" w:after="283"/>
              <w:jc w:val="left"/>
              <w:rPr/>
            </w:pPr>
            <w:r>
              <w:rPr/>
              <w:t> </w:t>
            </w:r>
          </w:p>
        </w:tc>
      </w:tr>
      <w:tr>
        <w:trPr/>
        <w:tc>
          <w:tcPr>
            <w:tcW w:w="6177" w:type="dxa"/>
            <w:tcBorders/>
            <w:shd w:fill="CCEEFF" w:val="clear"/>
            <w:vAlign w:val="bottom"/>
          </w:tcPr>
          <w:p>
            <w:pPr>
              <w:pStyle w:val="TableContents"/>
              <w:spacing w:before="0" w:after="0"/>
              <w:ind w:left="0" w:right="0" w:hanging="0"/>
              <w:jc w:val="both"/>
              <w:rPr>
                <w:rFonts w:ascii="helvetica" w:hAnsi="helvetica"/>
                <w:sz w:val="20"/>
              </w:rPr>
            </w:pPr>
            <w:r>
              <w:rPr>
                <w:rFonts w:ascii="helvetica" w:hAnsi="helvetica"/>
                <w:sz w:val="20"/>
              </w:rPr>
              <w:t>Initial price to public</w:t>
            </w:r>
          </w:p>
        </w:tc>
        <w:tc>
          <w:tcPr>
            <w:tcW w:w="113" w:type="dxa"/>
            <w:tcBorders/>
            <w:shd w:fill="CCEEFF" w:val="clear"/>
            <w:vAlign w:val="bottom"/>
          </w:tcPr>
          <w:p>
            <w:pPr>
              <w:pStyle w:val="TableContents"/>
              <w:spacing w:before="0" w:after="283"/>
              <w:rPr/>
            </w:pPr>
            <w:r>
              <w:rPr/>
              <w:t> </w:t>
            </w:r>
          </w:p>
        </w:tc>
        <w:tc>
          <w:tcPr>
            <w:tcW w:w="319" w:type="dxa"/>
            <w:tcBorders/>
            <w:shd w:fill="CCEEFF" w:val="clear"/>
            <w:vAlign w:val="bottom"/>
          </w:tcPr>
          <w:p>
            <w:pPr>
              <w:pStyle w:val="TableContents"/>
              <w:spacing w:before="0" w:after="283"/>
              <w:jc w:val="left"/>
              <w:rPr>
                <w:rFonts w:ascii="helvetica" w:hAnsi="helvetica"/>
                <w:sz w:val="20"/>
              </w:rPr>
            </w:pPr>
            <w:r>
              <w:rPr>
                <w:rFonts w:ascii="helvetica" w:hAnsi="helvetica"/>
                <w:sz w:val="20"/>
              </w:rPr>
              <w:t>$</w:t>
            </w:r>
          </w:p>
        </w:tc>
        <w:tc>
          <w:tcPr>
            <w:tcW w:w="712" w:type="dxa"/>
            <w:tcBorders/>
            <w:shd w:fill="CCEEFF" w:val="clear"/>
            <w:vAlign w:val="bottom"/>
          </w:tcPr>
          <w:p>
            <w:pPr>
              <w:pStyle w:val="TableContents"/>
              <w:spacing w:before="0" w:after="283"/>
              <w:jc w:val="right"/>
              <w:rPr/>
            </w:pPr>
            <w:r>
              <w:rPr/>
              <w:t> </w:t>
            </w:r>
          </w:p>
        </w:tc>
        <w:tc>
          <w:tcPr>
            <w:tcW w:w="113" w:type="dxa"/>
            <w:tcBorders/>
            <w:shd w:fill="CCEEFF" w:val="clear"/>
            <w:vAlign w:val="bottom"/>
          </w:tcPr>
          <w:p>
            <w:pPr>
              <w:pStyle w:val="TableContents"/>
              <w:spacing w:before="0" w:after="283"/>
              <w:jc w:val="left"/>
              <w:rPr/>
            </w:pPr>
            <w:r>
              <w:rPr/>
              <w:t> </w:t>
            </w:r>
          </w:p>
        </w:tc>
        <w:tc>
          <w:tcPr>
            <w:tcW w:w="113" w:type="dxa"/>
            <w:tcBorders/>
            <w:shd w:fill="CCEEFF" w:val="clear"/>
            <w:vAlign w:val="bottom"/>
          </w:tcPr>
          <w:p>
            <w:pPr>
              <w:pStyle w:val="TableContents"/>
              <w:spacing w:before="0" w:after="283"/>
              <w:rPr/>
            </w:pPr>
            <w:r>
              <w:rPr/>
              <w:t> </w:t>
            </w:r>
          </w:p>
        </w:tc>
        <w:tc>
          <w:tcPr>
            <w:tcW w:w="295" w:type="dxa"/>
            <w:tcBorders/>
            <w:shd w:fill="CCEEFF" w:val="clear"/>
            <w:vAlign w:val="bottom"/>
          </w:tcPr>
          <w:p>
            <w:pPr>
              <w:pStyle w:val="TableContents"/>
              <w:spacing w:before="0" w:after="283"/>
              <w:jc w:val="left"/>
              <w:rPr>
                <w:rFonts w:ascii="helvetica" w:hAnsi="helvetica"/>
                <w:sz w:val="20"/>
              </w:rPr>
            </w:pPr>
            <w:r>
              <w:rPr>
                <w:rFonts w:ascii="helvetica" w:hAnsi="helvetica"/>
                <w:sz w:val="20"/>
              </w:rPr>
              <w:t>$</w:t>
            </w:r>
          </w:p>
        </w:tc>
        <w:tc>
          <w:tcPr>
            <w:tcW w:w="700" w:type="dxa"/>
            <w:tcBorders/>
            <w:shd w:fill="CCEEFF" w:val="clear"/>
            <w:vAlign w:val="bottom"/>
          </w:tcPr>
          <w:p>
            <w:pPr>
              <w:pStyle w:val="TableContents"/>
              <w:spacing w:before="0" w:after="283"/>
              <w:jc w:val="right"/>
              <w:rPr/>
            </w:pPr>
            <w:r>
              <w:rPr/>
              <w:t> </w:t>
            </w:r>
          </w:p>
        </w:tc>
        <w:tc>
          <w:tcPr>
            <w:tcW w:w="132" w:type="dxa"/>
            <w:tcBorders/>
            <w:shd w:fill="CCEEFF" w:val="clear"/>
            <w:vAlign w:val="bottom"/>
          </w:tcPr>
          <w:p>
            <w:pPr>
              <w:pStyle w:val="TableContents"/>
              <w:spacing w:before="0" w:after="283"/>
              <w:jc w:val="left"/>
              <w:rPr/>
            </w:pPr>
            <w:r>
              <w:rPr/>
              <w:t> </w:t>
            </w:r>
          </w:p>
        </w:tc>
      </w:tr>
      <w:tr>
        <w:trPr/>
        <w:tc>
          <w:tcPr>
            <w:tcW w:w="6177" w:type="dxa"/>
            <w:tcBorders/>
            <w:shd w:fill="FFFFFF" w:val="clear"/>
            <w:vAlign w:val="bottom"/>
          </w:tcPr>
          <w:p>
            <w:pPr>
              <w:pStyle w:val="TableContents"/>
              <w:spacing w:before="0" w:after="0"/>
              <w:ind w:left="0" w:right="0" w:hanging="0"/>
              <w:jc w:val="both"/>
              <w:rPr>
                <w:rFonts w:ascii="helvetica" w:hAnsi="helvetica"/>
                <w:sz w:val="20"/>
              </w:rPr>
            </w:pPr>
            <w:r>
              <w:rPr>
                <w:rFonts w:ascii="helvetica" w:hAnsi="helvetica"/>
                <w:sz w:val="20"/>
              </w:rPr>
              <w:t>Underwriting discount</w:t>
            </w:r>
          </w:p>
        </w:tc>
        <w:tc>
          <w:tcPr>
            <w:tcW w:w="113" w:type="dxa"/>
            <w:tcBorders/>
            <w:shd w:fill="FFFFFF" w:val="clear"/>
            <w:vAlign w:val="bottom"/>
          </w:tcPr>
          <w:p>
            <w:pPr>
              <w:pStyle w:val="TableContents"/>
              <w:spacing w:before="0" w:after="283"/>
              <w:rPr/>
            </w:pPr>
            <w:r>
              <w:rPr/>
              <w:t> </w:t>
            </w:r>
          </w:p>
        </w:tc>
        <w:tc>
          <w:tcPr>
            <w:tcW w:w="319" w:type="dxa"/>
            <w:tcBorders/>
            <w:shd w:fill="FFFFFF" w:val="clear"/>
            <w:vAlign w:val="bottom"/>
          </w:tcPr>
          <w:p>
            <w:pPr>
              <w:pStyle w:val="TableContents"/>
              <w:spacing w:before="0" w:after="283"/>
              <w:jc w:val="left"/>
              <w:rPr>
                <w:rFonts w:ascii="helvetica" w:hAnsi="helvetica"/>
                <w:sz w:val="20"/>
              </w:rPr>
            </w:pPr>
            <w:r>
              <w:rPr>
                <w:rFonts w:ascii="helvetica" w:hAnsi="helvetica"/>
                <w:sz w:val="20"/>
              </w:rPr>
              <w:t>$</w:t>
            </w:r>
          </w:p>
        </w:tc>
        <w:tc>
          <w:tcPr>
            <w:tcW w:w="712" w:type="dxa"/>
            <w:tcBorders/>
            <w:shd w:fill="FFFFFF" w:val="clear"/>
            <w:vAlign w:val="bottom"/>
          </w:tcPr>
          <w:p>
            <w:pPr>
              <w:pStyle w:val="TableContents"/>
              <w:spacing w:before="0" w:after="283"/>
              <w:jc w:val="right"/>
              <w:rPr/>
            </w:pPr>
            <w:r>
              <w:rPr/>
              <w:t> </w:t>
            </w:r>
          </w:p>
        </w:tc>
        <w:tc>
          <w:tcPr>
            <w:tcW w:w="113" w:type="dxa"/>
            <w:tcBorders/>
            <w:shd w:fill="FFFFFF" w:val="clear"/>
            <w:vAlign w:val="bottom"/>
          </w:tcPr>
          <w:p>
            <w:pPr>
              <w:pStyle w:val="TableContents"/>
              <w:spacing w:before="0" w:after="283"/>
              <w:jc w:val="left"/>
              <w:rPr/>
            </w:pPr>
            <w:r>
              <w:rPr/>
              <w:t> </w:t>
            </w:r>
          </w:p>
        </w:tc>
        <w:tc>
          <w:tcPr>
            <w:tcW w:w="113" w:type="dxa"/>
            <w:tcBorders/>
            <w:shd w:fill="FFFFFF" w:val="clear"/>
            <w:vAlign w:val="bottom"/>
          </w:tcPr>
          <w:p>
            <w:pPr>
              <w:pStyle w:val="TableContents"/>
              <w:spacing w:before="0" w:after="283"/>
              <w:rPr/>
            </w:pPr>
            <w:r>
              <w:rPr/>
              <w:t> </w:t>
            </w:r>
          </w:p>
        </w:tc>
        <w:tc>
          <w:tcPr>
            <w:tcW w:w="295" w:type="dxa"/>
            <w:tcBorders/>
            <w:shd w:fill="FFFFFF" w:val="clear"/>
            <w:vAlign w:val="bottom"/>
          </w:tcPr>
          <w:p>
            <w:pPr>
              <w:pStyle w:val="TableContents"/>
              <w:spacing w:before="0" w:after="283"/>
              <w:jc w:val="left"/>
              <w:rPr>
                <w:rFonts w:ascii="helvetica" w:hAnsi="helvetica"/>
                <w:sz w:val="20"/>
              </w:rPr>
            </w:pPr>
            <w:r>
              <w:rPr>
                <w:rFonts w:ascii="helvetica" w:hAnsi="helvetica"/>
                <w:sz w:val="20"/>
              </w:rPr>
              <w:t>$</w:t>
            </w:r>
          </w:p>
        </w:tc>
        <w:tc>
          <w:tcPr>
            <w:tcW w:w="700" w:type="dxa"/>
            <w:tcBorders/>
            <w:shd w:fill="FFFFFF" w:val="clear"/>
            <w:vAlign w:val="bottom"/>
          </w:tcPr>
          <w:p>
            <w:pPr>
              <w:pStyle w:val="TableContents"/>
              <w:spacing w:before="0" w:after="283"/>
              <w:jc w:val="right"/>
              <w:rPr/>
            </w:pPr>
            <w:r>
              <w:rPr/>
              <w:t> </w:t>
            </w:r>
          </w:p>
        </w:tc>
        <w:tc>
          <w:tcPr>
            <w:tcW w:w="132" w:type="dxa"/>
            <w:tcBorders/>
            <w:shd w:fill="FFFFFF" w:val="clear"/>
            <w:vAlign w:val="bottom"/>
          </w:tcPr>
          <w:p>
            <w:pPr>
              <w:pStyle w:val="TableContents"/>
              <w:spacing w:before="0" w:after="283"/>
              <w:jc w:val="left"/>
              <w:rPr/>
            </w:pPr>
            <w:r>
              <w:rPr/>
              <w:t> </w:t>
            </w:r>
          </w:p>
        </w:tc>
      </w:tr>
      <w:tr>
        <w:trPr/>
        <w:tc>
          <w:tcPr>
            <w:tcW w:w="6177" w:type="dxa"/>
            <w:tcBorders/>
            <w:shd w:fill="CCEEFF" w:val="clear"/>
            <w:vAlign w:val="bottom"/>
          </w:tcPr>
          <w:p>
            <w:pPr>
              <w:pStyle w:val="TableContents"/>
              <w:spacing w:before="0" w:after="0"/>
              <w:ind w:left="0" w:right="0" w:hanging="0"/>
              <w:jc w:val="left"/>
              <w:rPr>
                <w:rFonts w:ascii="helvetica" w:hAnsi="helvetica"/>
                <w:sz w:val="20"/>
              </w:rPr>
            </w:pPr>
            <w:r>
              <w:rPr>
                <w:rFonts w:ascii="helvetica" w:hAnsi="helvetica"/>
                <w:sz w:val="20"/>
              </w:rPr>
              <w:t xml:space="preserve">Proceeds, before expenses, to Imprimis Pharmaceuticals (1) </w:t>
            </w:r>
          </w:p>
        </w:tc>
        <w:tc>
          <w:tcPr>
            <w:tcW w:w="113" w:type="dxa"/>
            <w:tcBorders/>
            <w:shd w:fill="CCEEFF" w:val="clear"/>
            <w:vAlign w:val="bottom"/>
          </w:tcPr>
          <w:p>
            <w:pPr>
              <w:pStyle w:val="TableContents"/>
              <w:spacing w:before="0" w:after="283"/>
              <w:rPr/>
            </w:pPr>
            <w:r>
              <w:rPr/>
              <w:t> </w:t>
            </w:r>
          </w:p>
        </w:tc>
        <w:tc>
          <w:tcPr>
            <w:tcW w:w="319" w:type="dxa"/>
            <w:tcBorders/>
            <w:shd w:fill="CCEEFF" w:val="clear"/>
            <w:vAlign w:val="bottom"/>
          </w:tcPr>
          <w:p>
            <w:pPr>
              <w:pStyle w:val="TableContents"/>
              <w:spacing w:before="0" w:after="283"/>
              <w:jc w:val="left"/>
              <w:rPr>
                <w:rFonts w:ascii="helvetica" w:hAnsi="helvetica"/>
                <w:sz w:val="20"/>
              </w:rPr>
            </w:pPr>
            <w:r>
              <w:rPr>
                <w:rFonts w:ascii="helvetica" w:hAnsi="helvetica"/>
                <w:sz w:val="20"/>
              </w:rPr>
              <w:t>$</w:t>
            </w:r>
          </w:p>
        </w:tc>
        <w:tc>
          <w:tcPr>
            <w:tcW w:w="712" w:type="dxa"/>
            <w:tcBorders/>
            <w:shd w:fill="CCEEFF" w:val="clear"/>
            <w:vAlign w:val="bottom"/>
          </w:tcPr>
          <w:p>
            <w:pPr>
              <w:pStyle w:val="TableContents"/>
              <w:spacing w:before="0" w:after="283"/>
              <w:jc w:val="right"/>
              <w:rPr/>
            </w:pPr>
            <w:r>
              <w:rPr/>
              <w:t> </w:t>
            </w:r>
          </w:p>
        </w:tc>
        <w:tc>
          <w:tcPr>
            <w:tcW w:w="113" w:type="dxa"/>
            <w:tcBorders/>
            <w:shd w:fill="CCEEFF" w:val="clear"/>
            <w:vAlign w:val="bottom"/>
          </w:tcPr>
          <w:p>
            <w:pPr>
              <w:pStyle w:val="TableContents"/>
              <w:spacing w:before="0" w:after="283"/>
              <w:jc w:val="left"/>
              <w:rPr/>
            </w:pPr>
            <w:r>
              <w:rPr/>
              <w:t> </w:t>
            </w:r>
          </w:p>
        </w:tc>
        <w:tc>
          <w:tcPr>
            <w:tcW w:w="113" w:type="dxa"/>
            <w:tcBorders/>
            <w:shd w:fill="CCEEFF" w:val="clear"/>
            <w:vAlign w:val="bottom"/>
          </w:tcPr>
          <w:p>
            <w:pPr>
              <w:pStyle w:val="TableContents"/>
              <w:spacing w:before="0" w:after="283"/>
              <w:rPr/>
            </w:pPr>
            <w:r>
              <w:rPr/>
              <w:t> </w:t>
            </w:r>
          </w:p>
        </w:tc>
        <w:tc>
          <w:tcPr>
            <w:tcW w:w="295" w:type="dxa"/>
            <w:tcBorders/>
            <w:shd w:fill="CCEEFF" w:val="clear"/>
            <w:vAlign w:val="bottom"/>
          </w:tcPr>
          <w:p>
            <w:pPr>
              <w:pStyle w:val="TableContents"/>
              <w:spacing w:before="0" w:after="283"/>
              <w:jc w:val="left"/>
              <w:rPr>
                <w:rFonts w:ascii="helvetica" w:hAnsi="helvetica"/>
                <w:sz w:val="20"/>
              </w:rPr>
            </w:pPr>
            <w:r>
              <w:rPr>
                <w:rFonts w:ascii="helvetica" w:hAnsi="helvetica"/>
                <w:sz w:val="20"/>
              </w:rPr>
              <w:t>$</w:t>
            </w:r>
          </w:p>
        </w:tc>
        <w:tc>
          <w:tcPr>
            <w:tcW w:w="700" w:type="dxa"/>
            <w:tcBorders/>
            <w:shd w:fill="CCEEFF" w:val="clear"/>
            <w:vAlign w:val="bottom"/>
          </w:tcPr>
          <w:p>
            <w:pPr>
              <w:pStyle w:val="TableContents"/>
              <w:spacing w:before="0" w:after="283"/>
              <w:jc w:val="right"/>
              <w:rPr/>
            </w:pPr>
            <w:r>
              <w:rPr/>
              <w:t> </w:t>
            </w:r>
          </w:p>
        </w:tc>
        <w:tc>
          <w:tcPr>
            <w:tcW w:w="132" w:type="dxa"/>
            <w:tcBorders/>
            <w:shd w:fill="CCEEFF" w:val="clear"/>
            <w:vAlign w:val="bottom"/>
          </w:tcPr>
          <w:p>
            <w:pPr>
              <w:pStyle w:val="TableContents"/>
              <w:spacing w:before="0" w:after="283"/>
              <w:jc w:val="left"/>
              <w:rPr/>
            </w:pPr>
            <w:r>
              <w:rPr/>
              <w:t> </w:t>
            </w:r>
          </w:p>
        </w:tc>
      </w:tr>
    </w:tbl>
    <w:p>
      <w:pPr>
        <w:pStyle w:val="TextBody"/>
        <w:spacing w:before="0" w:after="0"/>
        <w:ind w:left="0" w:right="0" w:hanging="0"/>
        <w:rPr/>
      </w:pPr>
      <w:r>
        <w:rPr/>
        <w:t> </w:t>
      </w:r>
    </w:p>
    <w:tbl>
      <w:tblPr>
        <w:tblW w:w="5000" w:type="pct"/>
        <w:jc w:val="center"/>
        <w:tblInd w:w="0" w:type="dxa"/>
        <w:shd w:fill="FFFFFF" w:val="clear"/>
        <w:tblCellMar>
          <w:top w:w="0" w:type="dxa"/>
          <w:left w:w="0" w:type="dxa"/>
          <w:bottom w:w="0" w:type="dxa"/>
          <w:right w:w="0" w:type="dxa"/>
        </w:tblCellMar>
      </w:tblPr>
      <w:tblGrid>
        <w:gridCol w:w="713"/>
        <w:gridCol w:w="306"/>
        <w:gridCol w:w="9186"/>
      </w:tblGrid>
      <w:tr>
        <w:trPr/>
        <w:tc>
          <w:tcPr>
            <w:tcW w:w="713" w:type="dxa"/>
            <w:tcBorders/>
            <w:shd w:fill="FFFFFF" w:val="clear"/>
            <w:vAlign w:val="center"/>
          </w:tcPr>
          <w:p>
            <w:pPr>
              <w:pStyle w:val="TableContents"/>
              <w:spacing w:before="0" w:after="283"/>
              <w:rPr/>
            </w:pPr>
            <w:r>
              <w:rPr/>
              <w:t> </w:t>
            </w:r>
          </w:p>
        </w:tc>
        <w:tc>
          <w:tcPr>
            <w:tcW w:w="306" w:type="dxa"/>
            <w:tcBorders/>
            <w:shd w:fill="FFFFFF" w:val="clear"/>
          </w:tcPr>
          <w:p>
            <w:pPr>
              <w:pStyle w:val="TableContents"/>
              <w:spacing w:before="0" w:after="283"/>
              <w:rPr/>
            </w:pPr>
            <w:r>
              <w:rPr/>
              <w:t> </w:t>
            </w:r>
            <w:r>
              <w:rPr>
                <w:rFonts w:ascii="helvetica" w:hAnsi="helvetica"/>
                <w:sz w:val="20"/>
              </w:rPr>
              <w:t>(1)</w:t>
            </w:r>
            <w:r>
              <w:rPr/>
              <w:t xml:space="preserve"> </w:t>
            </w:r>
          </w:p>
        </w:tc>
        <w:tc>
          <w:tcPr>
            <w:tcW w:w="9186" w:type="dxa"/>
            <w:tcBorders/>
            <w:shd w:fill="FFFFFF" w:val="clear"/>
            <w:vAlign w:val="center"/>
          </w:tcPr>
          <w:p>
            <w:pPr>
              <w:pStyle w:val="TableContents"/>
              <w:spacing w:before="0" w:after="283"/>
              <w:rPr/>
            </w:pPr>
            <w:r>
              <w:rPr>
                <w:rFonts w:ascii="helvetica" w:hAnsi="helvetica"/>
                <w:sz w:val="20"/>
              </w:rPr>
              <w:t>Does not include a non-accountable expense amount of $150,000 payable to the underwriter and up to $10,000 in accountable expenses of the underwriter. See "Underwriting" for a description of compensation payable to the underwriter.</w:t>
            </w:r>
            <w:r>
              <w:rPr/>
              <w:t xml:space="preserve"> </w:t>
            </w:r>
          </w:p>
        </w:tc>
      </w:tr>
    </w:tbl>
    <w:p>
      <w:pPr>
        <w:pStyle w:val="TextBody"/>
        <w:spacing w:before="0" w:after="0"/>
        <w:rPr/>
      </w:pPr>
      <w:r>
        <w:rPr/>
        <w:t> </w:t>
      </w:r>
    </w:p>
    <w:p>
      <w:pPr>
        <w:pStyle w:val="TextBody"/>
        <w:spacing w:before="0" w:after="0"/>
        <w:ind w:left="0" w:right="0" w:firstLine="720"/>
        <w:jc w:val="left"/>
        <w:rPr>
          <w:rFonts w:ascii="helvetica" w:hAnsi="helvetica"/>
          <w:sz w:val="20"/>
        </w:rPr>
      </w:pPr>
      <w:r>
        <w:rPr>
          <w:rFonts w:ascii="helvetica" w:hAnsi="helvetica"/>
          <w:sz w:val="20"/>
        </w:rPr>
        <w:t>To the extent that the underwriter sells more than            shares of common stock, the underwriter has the option to purchase up to an additional                    shares from us at the initial price to the public less the underwriting discount.</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r>
        <w:rPr>
          <w:rFonts w:ascii="helvetica" w:hAnsi="helvetica"/>
          <w:sz w:val="20"/>
        </w:rPr>
        <w:t>The underwriter expects to deliver the shares on or about                     , 2012.</w:t>
      </w:r>
    </w:p>
    <w:p>
      <w:pPr>
        <w:pStyle w:val="TextBody"/>
        <w:spacing w:before="0" w:after="0"/>
        <w:ind w:left="0" w:right="0" w:hanging="0"/>
        <w:jc w:val="center"/>
        <w:rPr>
          <w:rFonts w:ascii="helvetica" w:hAnsi="helvetica"/>
          <w:sz w:val="20"/>
        </w:rPr>
      </w:pPr>
      <w:r>
        <w:rPr>
          <w:rFonts w:ascii="helvetica" w:hAnsi="helvetica"/>
          <w:sz w:val="20"/>
        </w:rPr>
        <w:t>___________________</w:t>
      </w:r>
    </w:p>
    <w:p>
      <w:pPr>
        <w:pStyle w:val="TextBody"/>
        <w:spacing w:before="0" w:after="0"/>
        <w:ind w:left="0" w:right="0" w:hanging="0"/>
        <w:jc w:val="both"/>
        <w:rPr/>
      </w:pPr>
      <w:r>
        <w:rPr/>
        <w:t> </w:t>
      </w:r>
    </w:p>
    <w:tbl>
      <w:tblPr>
        <w:tblW w:w="5000" w:type="pct"/>
        <w:jc w:val="left"/>
        <w:tblInd w:w="0" w:type="dxa"/>
        <w:tblCellMar>
          <w:top w:w="0" w:type="dxa"/>
          <w:left w:w="0" w:type="dxa"/>
          <w:bottom w:w="0" w:type="dxa"/>
          <w:right w:w="0" w:type="dxa"/>
        </w:tblCellMar>
      </w:tblPr>
      <w:tblGrid>
        <w:gridCol w:w="10205"/>
      </w:tblGrid>
      <w:tr>
        <w:trPr/>
        <w:tc>
          <w:tcPr>
            <w:tcW w:w="10205" w:type="dxa"/>
            <w:tcBorders/>
            <w:shd w:fill="auto" w:val="clear"/>
          </w:tcPr>
          <w:p>
            <w:pPr>
              <w:pStyle w:val="TableContents"/>
              <w:spacing w:before="0" w:after="0"/>
              <w:ind w:left="0" w:right="0" w:hanging="0"/>
              <w:jc w:val="center"/>
              <w:rPr>
                <w:rFonts w:ascii="helvetica" w:hAnsi="helvetica"/>
                <w:b/>
                <w:sz w:val="20"/>
              </w:rPr>
            </w:pPr>
            <w:r>
              <w:rPr>
                <w:rFonts w:ascii="helvetica" w:hAnsi="helvetica"/>
                <w:b/>
                <w:sz w:val="20"/>
              </w:rPr>
              <w:t>MDB Capital Group LLC</w:t>
            </w:r>
          </w:p>
        </w:tc>
      </w:tr>
    </w:tbl>
    <w:p>
      <w:pPr>
        <w:pStyle w:val="TextBody"/>
        <w:spacing w:before="0" w:after="0"/>
        <w:ind w:left="0" w:right="0" w:hanging="0"/>
        <w:jc w:val="both"/>
        <w:rPr/>
      </w:pPr>
      <w:r>
        <w:rPr/>
        <w:t> </w:t>
      </w:r>
    </w:p>
    <w:p>
      <w:pPr>
        <w:pStyle w:val="TextBody"/>
        <w:spacing w:before="0" w:after="0"/>
        <w:ind w:left="0" w:right="0" w:hanging="0"/>
        <w:jc w:val="center"/>
        <w:rPr>
          <w:rFonts w:ascii="helvetica" w:hAnsi="helvetica"/>
          <w:b/>
          <w:sz w:val="20"/>
        </w:rPr>
      </w:pPr>
      <w:r>
        <w:rPr>
          <w:rFonts w:ascii="helvetica" w:hAnsi="helvetica"/>
          <w:b/>
          <w:sz w:val="20"/>
        </w:rPr>
        <w:t>This prospectus is dated                      , 2012</w:t>
      </w:r>
    </w:p>
    <w:p>
      <w:pPr>
        <w:pStyle w:val="TextBody"/>
        <w:spacing w:before="0" w:after="0"/>
        <w:ind w:left="0" w:right="0" w:hanging="0"/>
        <w:jc w:val="center"/>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12" w:name="PGBRK1"/>
      <w:bookmarkStart w:id="13" w:name="PGBRK1"/>
      <w:bookmarkEnd w:id="1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4" w:name="FTR1"/>
      <w:bookmarkStart w:id="15" w:name="FTR1"/>
      <w:bookmarkEnd w:id="1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16" w:name="GLFTR"/>
      <w:bookmarkEnd w:id="16"/>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17" w:name="PN"/>
      <w:bookmarkEnd w:id="17"/>
      <w:r>
        <w:rPr/>
        <w:t> </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8" w:name="HDR"/>
      <w:bookmarkStart w:id="19" w:name="HDR"/>
      <w:bookmarkEnd w:id="1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20" w:name="GLHDR"/>
      <w:bookmarkEnd w:id="20"/>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115" w:hanging="0"/>
        <w:jc w:val="center"/>
        <w:rPr/>
      </w:pPr>
      <w:r>
        <w:rPr/>
        <w:t> </w:t>
      </w:r>
    </w:p>
    <w:p>
      <w:pPr>
        <w:pStyle w:val="TextBody"/>
        <w:spacing w:before="0" w:after="0"/>
        <w:ind w:left="0" w:right="115" w:hanging="0"/>
        <w:jc w:val="center"/>
        <w:rPr>
          <w:rFonts w:ascii="helvetica" w:hAnsi="helvetica"/>
          <w:b/>
          <w:sz w:val="20"/>
        </w:rPr>
      </w:pPr>
      <w:r>
        <w:rPr>
          <w:rFonts w:ascii="helvetica" w:hAnsi="helvetica"/>
          <w:b/>
          <w:sz w:val="20"/>
        </w:rPr>
        <w:t>TABLE OF CONTENTS</w:t>
      </w:r>
    </w:p>
    <w:p>
      <w:pPr>
        <w:pStyle w:val="TextBody"/>
        <w:spacing w:before="0" w:after="0"/>
        <w:ind w:left="0" w:right="115" w:hanging="0"/>
        <w:jc w:val="center"/>
        <w:rPr/>
      </w:pPr>
      <w:r>
        <w:rPr/>
        <w:t> </w:t>
      </w:r>
    </w:p>
    <w:tbl>
      <w:tblPr>
        <w:tblW w:w="5000" w:type="pct"/>
        <w:jc w:val="left"/>
        <w:tblInd w:w="0" w:type="dxa"/>
        <w:tblCellMar>
          <w:top w:w="0" w:type="dxa"/>
          <w:left w:w="0" w:type="dxa"/>
          <w:bottom w:w="0" w:type="dxa"/>
          <w:right w:w="0" w:type="dxa"/>
        </w:tblCellMar>
      </w:tblPr>
      <w:tblGrid>
        <w:gridCol w:w="8983"/>
        <w:gridCol w:w="101"/>
        <w:gridCol w:w="101"/>
        <w:gridCol w:w="918"/>
        <w:gridCol w:w="102"/>
      </w:tblGrid>
      <w:tr>
        <w:trPr/>
        <w:tc>
          <w:tcPr>
            <w:tcW w:w="8983" w:type="dxa"/>
            <w:tcBorders/>
            <w:shd w:fill="auto" w:val="clear"/>
            <w:vAlign w:val="bottom"/>
          </w:tcPr>
          <w:p>
            <w:pPr>
              <w:pStyle w:val="TableContents"/>
              <w:spacing w:before="0" w:after="283"/>
              <w:jc w:val="left"/>
              <w:rPr/>
            </w:pPr>
            <w:r>
              <w:rPr/>
              <w:t> </w:t>
            </w:r>
          </w:p>
        </w:tc>
        <w:tc>
          <w:tcPr>
            <w:tcW w:w="101" w:type="dxa"/>
            <w:tcBorders/>
            <w:shd w:fill="auto" w:val="clear"/>
            <w:vAlign w:val="bottom"/>
          </w:tcPr>
          <w:p>
            <w:pPr>
              <w:pStyle w:val="TableContents"/>
              <w:spacing w:before="0" w:after="283"/>
              <w:rPr/>
            </w:pPr>
            <w:r>
              <w:rPr/>
              <w:t> </w:t>
            </w:r>
          </w:p>
        </w:tc>
        <w:tc>
          <w:tcPr>
            <w:tcW w:w="1019"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helvetica" w:hAnsi="helvetica"/>
                <w:b/>
                <w:sz w:val="16"/>
              </w:rPr>
            </w:pPr>
            <w:r>
              <w:rPr>
                <w:rFonts w:ascii="helvetica" w:hAnsi="helvetica"/>
                <w:b/>
                <w:sz w:val="16"/>
              </w:rPr>
              <w:t>Page</w:t>
            </w:r>
          </w:p>
        </w:tc>
        <w:tc>
          <w:tcPr>
            <w:tcW w:w="102" w:type="dxa"/>
            <w:tcBorders/>
            <w:shd w:fill="auto" w:val="clear"/>
            <w:vAlign w:val="bottom"/>
          </w:tcPr>
          <w:p>
            <w:pPr>
              <w:pStyle w:val="TableContents"/>
              <w:spacing w:before="0" w:after="283"/>
              <w:jc w:val="left"/>
              <w:rPr/>
            </w:pPr>
            <w:r>
              <w:rPr/>
              <w:t> </w:t>
            </w:r>
          </w:p>
        </w:tc>
      </w:tr>
      <w:tr>
        <w:trPr/>
        <w:tc>
          <w:tcPr>
            <w:tcW w:w="8983" w:type="dxa"/>
            <w:tcBorders/>
            <w:shd w:fill="auto" w:val="clear"/>
            <w:vAlign w:val="bottom"/>
          </w:tcPr>
          <w:p>
            <w:pPr>
              <w:pStyle w:val="TableContents"/>
              <w:spacing w:before="0" w:after="283"/>
              <w:jc w:val="left"/>
              <w:rPr/>
            </w:pPr>
            <w:r>
              <w:rPr/>
              <w:t> </w:t>
            </w:r>
          </w:p>
        </w:tc>
        <w:tc>
          <w:tcPr>
            <w:tcW w:w="101" w:type="dxa"/>
            <w:tcBorders/>
            <w:shd w:fill="auto" w:val="clear"/>
            <w:vAlign w:val="bottom"/>
          </w:tcPr>
          <w:p>
            <w:pPr>
              <w:pStyle w:val="TableContents"/>
              <w:spacing w:before="0" w:after="283"/>
              <w:rPr/>
            </w:pPr>
            <w:r>
              <w:rPr/>
              <w:t> </w:t>
            </w:r>
          </w:p>
        </w:tc>
        <w:tc>
          <w:tcPr>
            <w:tcW w:w="1019" w:type="dxa"/>
            <w:gridSpan w:val="2"/>
            <w:tcBorders/>
            <w:shd w:fill="auto" w:val="clear"/>
            <w:vAlign w:val="bottom"/>
          </w:tcPr>
          <w:p>
            <w:pPr>
              <w:pStyle w:val="TableContents"/>
              <w:spacing w:before="0" w:after="283"/>
              <w:rPr/>
            </w:pPr>
            <w:r>
              <w:rPr/>
              <w:t> </w:t>
            </w:r>
          </w:p>
        </w:tc>
        <w:tc>
          <w:tcPr>
            <w:tcW w:w="102" w:type="dxa"/>
            <w:tcBorders/>
            <w:shd w:fill="auto" w:val="clear"/>
            <w:vAlign w:val="bottom"/>
          </w:tcPr>
          <w:p>
            <w:pPr>
              <w:pStyle w:val="TableContents"/>
              <w:spacing w:before="0" w:after="283"/>
              <w:jc w:val="left"/>
              <w:rPr/>
            </w:pPr>
            <w:r>
              <w:rPr/>
              <w:t> </w:t>
            </w:r>
          </w:p>
        </w:tc>
      </w:tr>
      <w:tr>
        <w:trPr/>
        <w:tc>
          <w:tcPr>
            <w:tcW w:w="8983" w:type="dxa"/>
            <w:tcBorders/>
            <w:shd w:fill="CCEEFF" w:val="clear"/>
            <w:vAlign w:val="bottom"/>
          </w:tcPr>
          <w:p>
            <w:pPr>
              <w:pStyle w:val="TableContents"/>
              <w:spacing w:before="0" w:after="0"/>
              <w:ind w:left="0" w:right="0" w:hanging="0"/>
              <w:jc w:val="left"/>
              <w:rPr>
                <w:rFonts w:ascii="helvetica" w:hAnsi="helvetica"/>
                <w:sz w:val="20"/>
              </w:rPr>
            </w:pPr>
            <w:r>
              <w:rPr>
                <w:rFonts w:ascii="helvetica" w:hAnsi="helvetica"/>
                <w:sz w:val="20"/>
              </w:rPr>
              <w:t>PROSPECTUS SUMMARY</w:t>
            </w:r>
          </w:p>
        </w:tc>
        <w:tc>
          <w:tcPr>
            <w:tcW w:w="101" w:type="dxa"/>
            <w:tcBorders/>
            <w:shd w:fill="CCEEFF" w:val="clear"/>
            <w:vAlign w:val="bottom"/>
          </w:tcPr>
          <w:p>
            <w:pPr>
              <w:pStyle w:val="TableContents"/>
              <w:spacing w:before="0" w:after="283"/>
              <w:rPr/>
            </w:pPr>
            <w:r>
              <w:rPr/>
              <w:t> </w:t>
            </w:r>
          </w:p>
        </w:tc>
        <w:tc>
          <w:tcPr>
            <w:tcW w:w="101" w:type="dxa"/>
            <w:tcBorders/>
            <w:shd w:fill="CCEEFF" w:val="clear"/>
            <w:vAlign w:val="bottom"/>
          </w:tcPr>
          <w:p>
            <w:pPr>
              <w:pStyle w:val="TableContents"/>
              <w:spacing w:before="0" w:after="283"/>
              <w:jc w:val="left"/>
              <w:rPr/>
            </w:pPr>
            <w:r>
              <w:rPr/>
              <w:t> </w:t>
            </w:r>
          </w:p>
        </w:tc>
        <w:tc>
          <w:tcPr>
            <w:tcW w:w="918"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1</w:t>
            </w:r>
          </w:p>
        </w:tc>
        <w:tc>
          <w:tcPr>
            <w:tcW w:w="102" w:type="dxa"/>
            <w:tcBorders/>
            <w:shd w:fill="CCEEFF" w:val="clear"/>
            <w:vAlign w:val="bottom"/>
          </w:tcPr>
          <w:p>
            <w:pPr>
              <w:pStyle w:val="TableContents"/>
              <w:spacing w:before="0" w:after="283"/>
              <w:jc w:val="left"/>
              <w:rPr/>
            </w:pPr>
            <w:r>
              <w:rPr/>
              <w:t> </w:t>
            </w:r>
          </w:p>
        </w:tc>
      </w:tr>
      <w:tr>
        <w:trPr/>
        <w:tc>
          <w:tcPr>
            <w:tcW w:w="8983" w:type="dxa"/>
            <w:tcBorders/>
            <w:shd w:fill="FFFFFF" w:val="clear"/>
            <w:vAlign w:val="bottom"/>
          </w:tcPr>
          <w:p>
            <w:pPr>
              <w:pStyle w:val="TableContents"/>
              <w:spacing w:before="0" w:after="0"/>
              <w:ind w:left="0" w:right="0" w:hanging="0"/>
              <w:jc w:val="left"/>
              <w:rPr>
                <w:rFonts w:ascii="helvetica" w:hAnsi="helvetica"/>
                <w:sz w:val="20"/>
              </w:rPr>
            </w:pPr>
            <w:r>
              <w:rPr>
                <w:rFonts w:ascii="helvetica" w:hAnsi="helvetica"/>
                <w:sz w:val="20"/>
              </w:rPr>
              <w:t>RISK FACTORS</w:t>
            </w:r>
          </w:p>
        </w:tc>
        <w:tc>
          <w:tcPr>
            <w:tcW w:w="101" w:type="dxa"/>
            <w:tcBorders/>
            <w:shd w:fill="FFFFFF" w:val="clear"/>
            <w:vAlign w:val="bottom"/>
          </w:tcPr>
          <w:p>
            <w:pPr>
              <w:pStyle w:val="TableContents"/>
              <w:spacing w:before="0" w:after="283"/>
              <w:rPr/>
            </w:pPr>
            <w:r>
              <w:rPr/>
              <w:t> </w:t>
            </w:r>
          </w:p>
        </w:tc>
        <w:tc>
          <w:tcPr>
            <w:tcW w:w="101" w:type="dxa"/>
            <w:tcBorders/>
            <w:shd w:fill="FFFFFF" w:val="clear"/>
            <w:vAlign w:val="bottom"/>
          </w:tcPr>
          <w:p>
            <w:pPr>
              <w:pStyle w:val="TableContents"/>
              <w:spacing w:before="0" w:after="283"/>
              <w:jc w:val="left"/>
              <w:rPr/>
            </w:pPr>
            <w:r>
              <w:rPr/>
              <w:t> </w:t>
            </w:r>
          </w:p>
        </w:tc>
        <w:tc>
          <w:tcPr>
            <w:tcW w:w="918"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8</w:t>
            </w:r>
          </w:p>
        </w:tc>
        <w:tc>
          <w:tcPr>
            <w:tcW w:w="102" w:type="dxa"/>
            <w:tcBorders/>
            <w:shd w:fill="FFFFFF" w:val="clear"/>
            <w:vAlign w:val="bottom"/>
          </w:tcPr>
          <w:p>
            <w:pPr>
              <w:pStyle w:val="TableContents"/>
              <w:spacing w:before="0" w:after="283"/>
              <w:jc w:val="left"/>
              <w:rPr/>
            </w:pPr>
            <w:r>
              <w:rPr/>
              <w:t> </w:t>
            </w:r>
          </w:p>
        </w:tc>
      </w:tr>
      <w:tr>
        <w:trPr/>
        <w:tc>
          <w:tcPr>
            <w:tcW w:w="8983" w:type="dxa"/>
            <w:tcBorders/>
            <w:shd w:fill="CCEEFF" w:val="clear"/>
            <w:vAlign w:val="bottom"/>
          </w:tcPr>
          <w:p>
            <w:pPr>
              <w:pStyle w:val="TableContents"/>
              <w:spacing w:before="0" w:after="0"/>
              <w:ind w:left="0" w:right="0" w:hanging="0"/>
              <w:jc w:val="left"/>
              <w:rPr>
                <w:rFonts w:ascii="helvetica" w:hAnsi="helvetica"/>
                <w:sz w:val="20"/>
              </w:rPr>
            </w:pPr>
            <w:r>
              <w:rPr>
                <w:rFonts w:ascii="helvetica" w:hAnsi="helvetica"/>
                <w:sz w:val="20"/>
              </w:rPr>
              <w:t>SPECIAL NOTE REGARDING FORWARD-LOOKING STATEMENTS</w:t>
            </w:r>
          </w:p>
        </w:tc>
        <w:tc>
          <w:tcPr>
            <w:tcW w:w="101" w:type="dxa"/>
            <w:tcBorders/>
            <w:shd w:fill="CCEEFF" w:val="clear"/>
            <w:vAlign w:val="bottom"/>
          </w:tcPr>
          <w:p>
            <w:pPr>
              <w:pStyle w:val="TableContents"/>
              <w:spacing w:before="0" w:after="283"/>
              <w:rPr/>
            </w:pPr>
            <w:r>
              <w:rPr/>
              <w:t> </w:t>
            </w:r>
          </w:p>
        </w:tc>
        <w:tc>
          <w:tcPr>
            <w:tcW w:w="101" w:type="dxa"/>
            <w:tcBorders/>
            <w:shd w:fill="CCEEFF" w:val="clear"/>
            <w:vAlign w:val="bottom"/>
          </w:tcPr>
          <w:p>
            <w:pPr>
              <w:pStyle w:val="TableContents"/>
              <w:spacing w:before="0" w:after="283"/>
              <w:jc w:val="left"/>
              <w:rPr/>
            </w:pPr>
            <w:r>
              <w:rPr/>
              <w:t> </w:t>
            </w:r>
          </w:p>
        </w:tc>
        <w:tc>
          <w:tcPr>
            <w:tcW w:w="918"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20</w:t>
            </w:r>
          </w:p>
        </w:tc>
        <w:tc>
          <w:tcPr>
            <w:tcW w:w="102" w:type="dxa"/>
            <w:tcBorders/>
            <w:shd w:fill="CCEEFF" w:val="clear"/>
            <w:vAlign w:val="bottom"/>
          </w:tcPr>
          <w:p>
            <w:pPr>
              <w:pStyle w:val="TableContents"/>
              <w:spacing w:before="0" w:after="283"/>
              <w:jc w:val="left"/>
              <w:rPr/>
            </w:pPr>
            <w:r>
              <w:rPr/>
              <w:t> </w:t>
            </w:r>
          </w:p>
        </w:tc>
      </w:tr>
      <w:tr>
        <w:trPr/>
        <w:tc>
          <w:tcPr>
            <w:tcW w:w="8983" w:type="dxa"/>
            <w:tcBorders/>
            <w:shd w:fill="FFFFFF" w:val="clear"/>
            <w:vAlign w:val="bottom"/>
          </w:tcPr>
          <w:p>
            <w:pPr>
              <w:pStyle w:val="TableContents"/>
              <w:spacing w:before="0" w:after="0"/>
              <w:ind w:left="0" w:right="0" w:hanging="0"/>
              <w:jc w:val="left"/>
              <w:rPr>
                <w:rFonts w:ascii="helvetica" w:hAnsi="helvetica"/>
                <w:sz w:val="20"/>
              </w:rPr>
            </w:pPr>
            <w:r>
              <w:rPr>
                <w:rFonts w:ascii="helvetica" w:hAnsi="helvetica"/>
                <w:sz w:val="20"/>
              </w:rPr>
              <w:t>USE OF PROCEEDS</w:t>
            </w:r>
          </w:p>
        </w:tc>
        <w:tc>
          <w:tcPr>
            <w:tcW w:w="101" w:type="dxa"/>
            <w:tcBorders/>
            <w:shd w:fill="FFFFFF" w:val="clear"/>
            <w:vAlign w:val="bottom"/>
          </w:tcPr>
          <w:p>
            <w:pPr>
              <w:pStyle w:val="TableContents"/>
              <w:spacing w:before="0" w:after="283"/>
              <w:rPr/>
            </w:pPr>
            <w:r>
              <w:rPr/>
              <w:t> </w:t>
            </w:r>
          </w:p>
        </w:tc>
        <w:tc>
          <w:tcPr>
            <w:tcW w:w="101" w:type="dxa"/>
            <w:tcBorders/>
            <w:shd w:fill="FFFFFF" w:val="clear"/>
            <w:vAlign w:val="bottom"/>
          </w:tcPr>
          <w:p>
            <w:pPr>
              <w:pStyle w:val="TableContents"/>
              <w:spacing w:before="0" w:after="283"/>
              <w:jc w:val="left"/>
              <w:rPr/>
            </w:pPr>
            <w:r>
              <w:rPr/>
              <w:t> </w:t>
            </w:r>
          </w:p>
        </w:tc>
        <w:tc>
          <w:tcPr>
            <w:tcW w:w="918"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21</w:t>
            </w:r>
          </w:p>
        </w:tc>
        <w:tc>
          <w:tcPr>
            <w:tcW w:w="102" w:type="dxa"/>
            <w:tcBorders/>
            <w:shd w:fill="FFFFFF" w:val="clear"/>
            <w:vAlign w:val="bottom"/>
          </w:tcPr>
          <w:p>
            <w:pPr>
              <w:pStyle w:val="TableContents"/>
              <w:spacing w:before="0" w:after="283"/>
              <w:jc w:val="left"/>
              <w:rPr/>
            </w:pPr>
            <w:r>
              <w:rPr/>
              <w:t> </w:t>
            </w:r>
          </w:p>
        </w:tc>
      </w:tr>
      <w:tr>
        <w:trPr/>
        <w:tc>
          <w:tcPr>
            <w:tcW w:w="8983" w:type="dxa"/>
            <w:tcBorders/>
            <w:shd w:fill="CCEEFF" w:val="clear"/>
            <w:vAlign w:val="bottom"/>
          </w:tcPr>
          <w:p>
            <w:pPr>
              <w:pStyle w:val="TableContents"/>
              <w:spacing w:before="0" w:after="0"/>
              <w:ind w:left="0" w:right="0" w:hanging="0"/>
              <w:jc w:val="left"/>
              <w:rPr>
                <w:rFonts w:ascii="helvetica" w:hAnsi="helvetica"/>
                <w:sz w:val="20"/>
              </w:rPr>
            </w:pPr>
            <w:r>
              <w:rPr>
                <w:rFonts w:ascii="helvetica" w:hAnsi="helvetica"/>
                <w:sz w:val="20"/>
              </w:rPr>
              <w:t>DESCRIPTION OF CAPITAL STOCK</w:t>
            </w:r>
          </w:p>
        </w:tc>
        <w:tc>
          <w:tcPr>
            <w:tcW w:w="101" w:type="dxa"/>
            <w:tcBorders/>
            <w:shd w:fill="CCEEFF" w:val="clear"/>
            <w:vAlign w:val="bottom"/>
          </w:tcPr>
          <w:p>
            <w:pPr>
              <w:pStyle w:val="TableContents"/>
              <w:spacing w:before="0" w:after="283"/>
              <w:rPr/>
            </w:pPr>
            <w:r>
              <w:rPr/>
              <w:t> </w:t>
            </w:r>
          </w:p>
        </w:tc>
        <w:tc>
          <w:tcPr>
            <w:tcW w:w="101" w:type="dxa"/>
            <w:tcBorders/>
            <w:shd w:fill="CCEEFF" w:val="clear"/>
            <w:vAlign w:val="bottom"/>
          </w:tcPr>
          <w:p>
            <w:pPr>
              <w:pStyle w:val="TableContents"/>
              <w:spacing w:before="0" w:after="283"/>
              <w:jc w:val="left"/>
              <w:rPr/>
            </w:pPr>
            <w:r>
              <w:rPr/>
              <w:t> </w:t>
            </w:r>
          </w:p>
        </w:tc>
        <w:tc>
          <w:tcPr>
            <w:tcW w:w="918"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22</w:t>
            </w:r>
          </w:p>
        </w:tc>
        <w:tc>
          <w:tcPr>
            <w:tcW w:w="102" w:type="dxa"/>
            <w:tcBorders/>
            <w:shd w:fill="CCEEFF" w:val="clear"/>
            <w:vAlign w:val="bottom"/>
          </w:tcPr>
          <w:p>
            <w:pPr>
              <w:pStyle w:val="TableContents"/>
              <w:spacing w:before="0" w:after="283"/>
              <w:jc w:val="left"/>
              <w:rPr/>
            </w:pPr>
            <w:r>
              <w:rPr/>
              <w:t> </w:t>
            </w:r>
          </w:p>
        </w:tc>
      </w:tr>
      <w:tr>
        <w:trPr/>
        <w:tc>
          <w:tcPr>
            <w:tcW w:w="8983" w:type="dxa"/>
            <w:tcBorders/>
            <w:shd w:fill="FFFFFF" w:val="clear"/>
            <w:vAlign w:val="bottom"/>
          </w:tcPr>
          <w:p>
            <w:pPr>
              <w:pStyle w:val="TableContents"/>
              <w:spacing w:before="0" w:after="0"/>
              <w:ind w:left="0" w:right="0" w:hanging="0"/>
              <w:jc w:val="left"/>
              <w:rPr>
                <w:rFonts w:ascii="helvetica" w:hAnsi="helvetica"/>
                <w:sz w:val="20"/>
              </w:rPr>
            </w:pPr>
            <w:r>
              <w:rPr>
                <w:rFonts w:ascii="helvetica" w:hAnsi="helvetica"/>
                <w:sz w:val="20"/>
              </w:rPr>
              <w:t>CAPITALIZATION</w:t>
            </w:r>
          </w:p>
        </w:tc>
        <w:tc>
          <w:tcPr>
            <w:tcW w:w="101" w:type="dxa"/>
            <w:tcBorders/>
            <w:shd w:fill="FFFFFF" w:val="clear"/>
            <w:vAlign w:val="bottom"/>
          </w:tcPr>
          <w:p>
            <w:pPr>
              <w:pStyle w:val="TableContents"/>
              <w:spacing w:before="0" w:after="283"/>
              <w:rPr/>
            </w:pPr>
            <w:r>
              <w:rPr/>
              <w:t> </w:t>
            </w:r>
          </w:p>
        </w:tc>
        <w:tc>
          <w:tcPr>
            <w:tcW w:w="101" w:type="dxa"/>
            <w:tcBorders/>
            <w:shd w:fill="FFFFFF" w:val="clear"/>
            <w:vAlign w:val="bottom"/>
          </w:tcPr>
          <w:p>
            <w:pPr>
              <w:pStyle w:val="TableContents"/>
              <w:spacing w:before="0" w:after="283"/>
              <w:jc w:val="left"/>
              <w:rPr/>
            </w:pPr>
            <w:r>
              <w:rPr/>
              <w:t> </w:t>
            </w:r>
          </w:p>
        </w:tc>
        <w:tc>
          <w:tcPr>
            <w:tcW w:w="918"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25</w:t>
            </w:r>
          </w:p>
        </w:tc>
        <w:tc>
          <w:tcPr>
            <w:tcW w:w="102" w:type="dxa"/>
            <w:tcBorders/>
            <w:shd w:fill="FFFFFF" w:val="clear"/>
            <w:vAlign w:val="bottom"/>
          </w:tcPr>
          <w:p>
            <w:pPr>
              <w:pStyle w:val="TableContents"/>
              <w:spacing w:before="0" w:after="283"/>
              <w:jc w:val="left"/>
              <w:rPr/>
            </w:pPr>
            <w:r>
              <w:rPr/>
              <w:t> </w:t>
            </w:r>
          </w:p>
        </w:tc>
      </w:tr>
      <w:tr>
        <w:trPr/>
        <w:tc>
          <w:tcPr>
            <w:tcW w:w="8983" w:type="dxa"/>
            <w:tcBorders/>
            <w:shd w:fill="CCEEFF" w:val="clear"/>
            <w:vAlign w:val="bottom"/>
          </w:tcPr>
          <w:p>
            <w:pPr>
              <w:pStyle w:val="TableContents"/>
              <w:spacing w:before="0" w:after="0"/>
              <w:ind w:left="0" w:right="0" w:hanging="0"/>
              <w:jc w:val="left"/>
              <w:rPr>
                <w:rFonts w:ascii="helvetica" w:hAnsi="helvetica"/>
                <w:sz w:val="20"/>
              </w:rPr>
            </w:pPr>
            <w:r>
              <w:rPr>
                <w:rFonts w:ascii="helvetica" w:hAnsi="helvetica"/>
                <w:sz w:val="20"/>
              </w:rPr>
              <w:t>DILUTION</w:t>
            </w:r>
          </w:p>
        </w:tc>
        <w:tc>
          <w:tcPr>
            <w:tcW w:w="101" w:type="dxa"/>
            <w:tcBorders/>
            <w:shd w:fill="CCEEFF" w:val="clear"/>
            <w:vAlign w:val="bottom"/>
          </w:tcPr>
          <w:p>
            <w:pPr>
              <w:pStyle w:val="TableContents"/>
              <w:spacing w:before="0" w:after="283"/>
              <w:rPr/>
            </w:pPr>
            <w:r>
              <w:rPr/>
              <w:t> </w:t>
            </w:r>
          </w:p>
        </w:tc>
        <w:tc>
          <w:tcPr>
            <w:tcW w:w="101" w:type="dxa"/>
            <w:tcBorders/>
            <w:shd w:fill="CCEEFF" w:val="clear"/>
            <w:vAlign w:val="bottom"/>
          </w:tcPr>
          <w:p>
            <w:pPr>
              <w:pStyle w:val="TableContents"/>
              <w:spacing w:before="0" w:after="283"/>
              <w:jc w:val="left"/>
              <w:rPr/>
            </w:pPr>
            <w:r>
              <w:rPr/>
              <w:t> </w:t>
            </w:r>
          </w:p>
        </w:tc>
        <w:tc>
          <w:tcPr>
            <w:tcW w:w="918"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27</w:t>
            </w:r>
          </w:p>
        </w:tc>
        <w:tc>
          <w:tcPr>
            <w:tcW w:w="102" w:type="dxa"/>
            <w:tcBorders/>
            <w:shd w:fill="CCEEFF" w:val="clear"/>
            <w:vAlign w:val="bottom"/>
          </w:tcPr>
          <w:p>
            <w:pPr>
              <w:pStyle w:val="TableContents"/>
              <w:spacing w:before="0" w:after="283"/>
              <w:jc w:val="left"/>
              <w:rPr/>
            </w:pPr>
            <w:r>
              <w:rPr/>
              <w:t> </w:t>
            </w:r>
          </w:p>
        </w:tc>
      </w:tr>
      <w:tr>
        <w:trPr/>
        <w:tc>
          <w:tcPr>
            <w:tcW w:w="8983" w:type="dxa"/>
            <w:tcBorders/>
            <w:shd w:fill="FFFFFF" w:val="clear"/>
            <w:vAlign w:val="bottom"/>
          </w:tcPr>
          <w:p>
            <w:pPr>
              <w:pStyle w:val="TableContents"/>
              <w:spacing w:before="0" w:after="283"/>
              <w:jc w:val="left"/>
              <w:rPr>
                <w:rFonts w:ascii="helvetica" w:hAnsi="helvetica"/>
                <w:sz w:val="20"/>
              </w:rPr>
            </w:pPr>
            <w:r>
              <w:rPr>
                <w:rFonts w:ascii="helvetica" w:hAnsi="helvetica"/>
                <w:sz w:val="20"/>
              </w:rPr>
              <w:t>UNDERWRITING</w:t>
            </w:r>
          </w:p>
        </w:tc>
        <w:tc>
          <w:tcPr>
            <w:tcW w:w="101" w:type="dxa"/>
            <w:tcBorders/>
            <w:shd w:fill="FFFFFF" w:val="clear"/>
            <w:vAlign w:val="bottom"/>
          </w:tcPr>
          <w:p>
            <w:pPr>
              <w:pStyle w:val="TableContents"/>
              <w:spacing w:before="0" w:after="283"/>
              <w:rPr/>
            </w:pPr>
            <w:r>
              <w:rPr/>
              <w:t> </w:t>
            </w:r>
          </w:p>
        </w:tc>
        <w:tc>
          <w:tcPr>
            <w:tcW w:w="101" w:type="dxa"/>
            <w:tcBorders/>
            <w:shd w:fill="FFFFFF" w:val="clear"/>
            <w:vAlign w:val="bottom"/>
          </w:tcPr>
          <w:p>
            <w:pPr>
              <w:pStyle w:val="TableContents"/>
              <w:spacing w:before="0" w:after="283"/>
              <w:jc w:val="left"/>
              <w:rPr/>
            </w:pPr>
            <w:r>
              <w:rPr/>
              <w:t> </w:t>
            </w:r>
          </w:p>
        </w:tc>
        <w:tc>
          <w:tcPr>
            <w:tcW w:w="918"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29</w:t>
            </w:r>
          </w:p>
        </w:tc>
        <w:tc>
          <w:tcPr>
            <w:tcW w:w="102" w:type="dxa"/>
            <w:tcBorders/>
            <w:shd w:fill="FFFFFF" w:val="clear"/>
            <w:vAlign w:val="bottom"/>
          </w:tcPr>
          <w:p>
            <w:pPr>
              <w:pStyle w:val="TableContents"/>
              <w:spacing w:before="0" w:after="283"/>
              <w:jc w:val="left"/>
              <w:rPr/>
            </w:pPr>
            <w:r>
              <w:rPr/>
              <w:t> </w:t>
            </w:r>
          </w:p>
        </w:tc>
      </w:tr>
      <w:tr>
        <w:trPr/>
        <w:tc>
          <w:tcPr>
            <w:tcW w:w="8983" w:type="dxa"/>
            <w:tcBorders/>
            <w:shd w:fill="CCEEFF" w:val="clear"/>
            <w:vAlign w:val="bottom"/>
          </w:tcPr>
          <w:p>
            <w:pPr>
              <w:pStyle w:val="TableContents"/>
              <w:spacing w:before="0" w:after="0"/>
              <w:ind w:left="0" w:right="0" w:hanging="0"/>
              <w:jc w:val="left"/>
              <w:rPr>
                <w:rFonts w:ascii="helvetica" w:hAnsi="helvetica"/>
                <w:sz w:val="20"/>
              </w:rPr>
            </w:pPr>
            <w:r>
              <w:rPr>
                <w:rFonts w:ascii="helvetica" w:hAnsi="helvetica"/>
                <w:sz w:val="20"/>
              </w:rPr>
              <w:t>MARKET PRICE OF AND DIVIDENDS ON COMMON STOCK AND RELATED MATTERS</w:t>
            </w:r>
          </w:p>
        </w:tc>
        <w:tc>
          <w:tcPr>
            <w:tcW w:w="101" w:type="dxa"/>
            <w:tcBorders/>
            <w:shd w:fill="CCEEFF" w:val="clear"/>
            <w:vAlign w:val="bottom"/>
          </w:tcPr>
          <w:p>
            <w:pPr>
              <w:pStyle w:val="TableContents"/>
              <w:spacing w:before="0" w:after="283"/>
              <w:rPr/>
            </w:pPr>
            <w:r>
              <w:rPr/>
              <w:t> </w:t>
            </w:r>
          </w:p>
        </w:tc>
        <w:tc>
          <w:tcPr>
            <w:tcW w:w="101" w:type="dxa"/>
            <w:tcBorders/>
            <w:shd w:fill="CCEEFF" w:val="clear"/>
            <w:vAlign w:val="bottom"/>
          </w:tcPr>
          <w:p>
            <w:pPr>
              <w:pStyle w:val="TableContents"/>
              <w:spacing w:before="0" w:after="283"/>
              <w:jc w:val="left"/>
              <w:rPr/>
            </w:pPr>
            <w:r>
              <w:rPr/>
              <w:t> </w:t>
            </w:r>
          </w:p>
        </w:tc>
        <w:tc>
          <w:tcPr>
            <w:tcW w:w="918"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33</w:t>
            </w:r>
          </w:p>
        </w:tc>
        <w:tc>
          <w:tcPr>
            <w:tcW w:w="102" w:type="dxa"/>
            <w:tcBorders/>
            <w:shd w:fill="CCEEFF" w:val="clear"/>
            <w:vAlign w:val="bottom"/>
          </w:tcPr>
          <w:p>
            <w:pPr>
              <w:pStyle w:val="TableContents"/>
              <w:spacing w:before="0" w:after="283"/>
              <w:jc w:val="left"/>
              <w:rPr/>
            </w:pPr>
            <w:r>
              <w:rPr/>
              <w:t> </w:t>
            </w:r>
          </w:p>
        </w:tc>
      </w:tr>
      <w:tr>
        <w:trPr/>
        <w:tc>
          <w:tcPr>
            <w:tcW w:w="8983" w:type="dxa"/>
            <w:tcBorders/>
            <w:shd w:fill="FFFFFF" w:val="clear"/>
            <w:vAlign w:val="bottom"/>
          </w:tcPr>
          <w:p>
            <w:pPr>
              <w:pStyle w:val="TableContents"/>
              <w:spacing w:before="0" w:after="283"/>
              <w:jc w:val="left"/>
              <w:rPr>
                <w:rFonts w:ascii="helvetica" w:hAnsi="helvetica"/>
                <w:sz w:val="20"/>
              </w:rPr>
            </w:pPr>
            <w:r>
              <w:rPr>
                <w:rFonts w:ascii="helvetica" w:hAnsi="helvetica"/>
                <w:sz w:val="20"/>
              </w:rPr>
              <w:t>SHARES AVAILABLE FOR FUTURE SALE</w:t>
            </w:r>
          </w:p>
        </w:tc>
        <w:tc>
          <w:tcPr>
            <w:tcW w:w="101" w:type="dxa"/>
            <w:tcBorders/>
            <w:shd w:fill="FFFFFF" w:val="clear"/>
            <w:vAlign w:val="bottom"/>
          </w:tcPr>
          <w:p>
            <w:pPr>
              <w:pStyle w:val="TableContents"/>
              <w:spacing w:before="0" w:after="283"/>
              <w:rPr/>
            </w:pPr>
            <w:r>
              <w:rPr/>
              <w:t> </w:t>
            </w:r>
          </w:p>
        </w:tc>
        <w:tc>
          <w:tcPr>
            <w:tcW w:w="101" w:type="dxa"/>
            <w:tcBorders/>
            <w:shd w:fill="FFFFFF" w:val="clear"/>
            <w:vAlign w:val="bottom"/>
          </w:tcPr>
          <w:p>
            <w:pPr>
              <w:pStyle w:val="TableContents"/>
              <w:spacing w:before="0" w:after="283"/>
              <w:jc w:val="left"/>
              <w:rPr/>
            </w:pPr>
            <w:r>
              <w:rPr/>
              <w:t> </w:t>
            </w:r>
          </w:p>
        </w:tc>
        <w:tc>
          <w:tcPr>
            <w:tcW w:w="918"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34</w:t>
            </w:r>
          </w:p>
        </w:tc>
        <w:tc>
          <w:tcPr>
            <w:tcW w:w="102" w:type="dxa"/>
            <w:tcBorders/>
            <w:shd w:fill="FFFFFF" w:val="clear"/>
            <w:vAlign w:val="bottom"/>
          </w:tcPr>
          <w:p>
            <w:pPr>
              <w:pStyle w:val="TableContents"/>
              <w:spacing w:before="0" w:after="283"/>
              <w:jc w:val="left"/>
              <w:rPr/>
            </w:pPr>
            <w:r>
              <w:rPr/>
              <w:t> </w:t>
            </w:r>
          </w:p>
        </w:tc>
      </w:tr>
      <w:tr>
        <w:trPr/>
        <w:tc>
          <w:tcPr>
            <w:tcW w:w="8983" w:type="dxa"/>
            <w:tcBorders/>
            <w:shd w:fill="CCEEFF" w:val="clear"/>
            <w:vAlign w:val="bottom"/>
          </w:tcPr>
          <w:p>
            <w:pPr>
              <w:pStyle w:val="TableContents"/>
              <w:spacing w:before="0" w:after="283"/>
              <w:jc w:val="left"/>
              <w:rPr>
                <w:rFonts w:ascii="helvetica" w:hAnsi="helvetica"/>
                <w:sz w:val="20"/>
              </w:rPr>
            </w:pPr>
            <w:r>
              <w:rPr>
                <w:rFonts w:ascii="helvetica" w:hAnsi="helvetica"/>
                <w:sz w:val="20"/>
              </w:rPr>
              <w:t>MANAGEMENT'S DISCUSSION AND ANALYSIS OF FINANCIAL CONDITION AND RESULTS OF OPERATIONS</w:t>
            </w:r>
          </w:p>
        </w:tc>
        <w:tc>
          <w:tcPr>
            <w:tcW w:w="101" w:type="dxa"/>
            <w:tcBorders/>
            <w:shd w:fill="CCEEFF" w:val="clear"/>
            <w:vAlign w:val="bottom"/>
          </w:tcPr>
          <w:p>
            <w:pPr>
              <w:pStyle w:val="TableContents"/>
              <w:spacing w:before="0" w:after="283"/>
              <w:rPr/>
            </w:pPr>
            <w:r>
              <w:rPr/>
              <w:t> </w:t>
            </w:r>
          </w:p>
        </w:tc>
        <w:tc>
          <w:tcPr>
            <w:tcW w:w="101" w:type="dxa"/>
            <w:tcBorders/>
            <w:shd w:fill="CCEEFF" w:val="clear"/>
            <w:vAlign w:val="bottom"/>
          </w:tcPr>
          <w:p>
            <w:pPr>
              <w:pStyle w:val="TableContents"/>
              <w:spacing w:before="0" w:after="283"/>
              <w:jc w:val="left"/>
              <w:rPr/>
            </w:pPr>
            <w:r>
              <w:rPr/>
              <w:t> </w:t>
            </w:r>
          </w:p>
        </w:tc>
        <w:tc>
          <w:tcPr>
            <w:tcW w:w="918"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37</w:t>
            </w:r>
          </w:p>
        </w:tc>
        <w:tc>
          <w:tcPr>
            <w:tcW w:w="102" w:type="dxa"/>
            <w:tcBorders/>
            <w:shd w:fill="CCEEFF" w:val="clear"/>
            <w:vAlign w:val="bottom"/>
          </w:tcPr>
          <w:p>
            <w:pPr>
              <w:pStyle w:val="TableContents"/>
              <w:spacing w:before="0" w:after="283"/>
              <w:jc w:val="left"/>
              <w:rPr/>
            </w:pPr>
            <w:r>
              <w:rPr/>
              <w:t> </w:t>
            </w:r>
          </w:p>
        </w:tc>
      </w:tr>
      <w:tr>
        <w:trPr/>
        <w:tc>
          <w:tcPr>
            <w:tcW w:w="8983" w:type="dxa"/>
            <w:tcBorders/>
            <w:shd w:fill="FFFFFF" w:val="clear"/>
            <w:vAlign w:val="bottom"/>
          </w:tcPr>
          <w:p>
            <w:pPr>
              <w:pStyle w:val="TableContents"/>
              <w:spacing w:before="0" w:after="0"/>
              <w:ind w:left="0" w:right="0" w:hanging="0"/>
              <w:jc w:val="left"/>
              <w:rPr>
                <w:rFonts w:ascii="helvetica" w:hAnsi="helvetica"/>
                <w:sz w:val="20"/>
              </w:rPr>
            </w:pPr>
            <w:r>
              <w:rPr>
                <w:rFonts w:ascii="helvetica" w:hAnsi="helvetica"/>
                <w:sz w:val="20"/>
              </w:rPr>
              <w:t>DESCRIPTION OF THE BUSINESS</w:t>
            </w:r>
          </w:p>
        </w:tc>
        <w:tc>
          <w:tcPr>
            <w:tcW w:w="101" w:type="dxa"/>
            <w:tcBorders/>
            <w:shd w:fill="FFFFFF" w:val="clear"/>
            <w:vAlign w:val="bottom"/>
          </w:tcPr>
          <w:p>
            <w:pPr>
              <w:pStyle w:val="TableContents"/>
              <w:spacing w:before="0" w:after="283"/>
              <w:rPr/>
            </w:pPr>
            <w:r>
              <w:rPr/>
              <w:t> </w:t>
            </w:r>
          </w:p>
        </w:tc>
        <w:tc>
          <w:tcPr>
            <w:tcW w:w="101" w:type="dxa"/>
            <w:tcBorders/>
            <w:shd w:fill="FFFFFF" w:val="clear"/>
            <w:vAlign w:val="bottom"/>
          </w:tcPr>
          <w:p>
            <w:pPr>
              <w:pStyle w:val="TableContents"/>
              <w:spacing w:before="0" w:after="283"/>
              <w:jc w:val="left"/>
              <w:rPr/>
            </w:pPr>
            <w:r>
              <w:rPr/>
              <w:t> </w:t>
            </w:r>
          </w:p>
        </w:tc>
        <w:tc>
          <w:tcPr>
            <w:tcW w:w="918"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48</w:t>
            </w:r>
          </w:p>
        </w:tc>
        <w:tc>
          <w:tcPr>
            <w:tcW w:w="102" w:type="dxa"/>
            <w:tcBorders/>
            <w:shd w:fill="FFFFFF" w:val="clear"/>
            <w:vAlign w:val="bottom"/>
          </w:tcPr>
          <w:p>
            <w:pPr>
              <w:pStyle w:val="TableContents"/>
              <w:spacing w:before="0" w:after="283"/>
              <w:jc w:val="left"/>
              <w:rPr/>
            </w:pPr>
            <w:r>
              <w:rPr/>
              <w:t> </w:t>
            </w:r>
          </w:p>
        </w:tc>
      </w:tr>
      <w:tr>
        <w:trPr/>
        <w:tc>
          <w:tcPr>
            <w:tcW w:w="8983" w:type="dxa"/>
            <w:tcBorders/>
            <w:shd w:fill="CCEEFF" w:val="clear"/>
            <w:vAlign w:val="bottom"/>
          </w:tcPr>
          <w:p>
            <w:pPr>
              <w:pStyle w:val="TableContents"/>
              <w:spacing w:before="0" w:after="0"/>
              <w:ind w:left="0" w:right="0" w:hanging="0"/>
              <w:jc w:val="left"/>
              <w:rPr>
                <w:rFonts w:ascii="helvetica" w:hAnsi="helvetica"/>
                <w:sz w:val="20"/>
              </w:rPr>
            </w:pPr>
            <w:r>
              <w:rPr>
                <w:rFonts w:ascii="helvetica" w:hAnsi="helvetica"/>
                <w:sz w:val="20"/>
              </w:rPr>
              <w:t>DIRECTORS, EXECUTIVE OFFICERS AND CORPORATE GOVERNANCE</w:t>
            </w:r>
          </w:p>
        </w:tc>
        <w:tc>
          <w:tcPr>
            <w:tcW w:w="101" w:type="dxa"/>
            <w:tcBorders/>
            <w:shd w:fill="CCEEFF" w:val="clear"/>
            <w:vAlign w:val="bottom"/>
          </w:tcPr>
          <w:p>
            <w:pPr>
              <w:pStyle w:val="TableContents"/>
              <w:spacing w:before="0" w:after="283"/>
              <w:rPr/>
            </w:pPr>
            <w:r>
              <w:rPr/>
              <w:t> </w:t>
            </w:r>
          </w:p>
        </w:tc>
        <w:tc>
          <w:tcPr>
            <w:tcW w:w="101" w:type="dxa"/>
            <w:tcBorders/>
            <w:shd w:fill="CCEEFF" w:val="clear"/>
            <w:vAlign w:val="bottom"/>
          </w:tcPr>
          <w:p>
            <w:pPr>
              <w:pStyle w:val="TableContents"/>
              <w:spacing w:before="0" w:after="283"/>
              <w:jc w:val="left"/>
              <w:rPr/>
            </w:pPr>
            <w:r>
              <w:rPr/>
              <w:t> </w:t>
            </w:r>
          </w:p>
        </w:tc>
        <w:tc>
          <w:tcPr>
            <w:tcW w:w="918"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58</w:t>
            </w:r>
          </w:p>
        </w:tc>
        <w:tc>
          <w:tcPr>
            <w:tcW w:w="102" w:type="dxa"/>
            <w:tcBorders/>
            <w:shd w:fill="CCEEFF" w:val="clear"/>
            <w:vAlign w:val="bottom"/>
          </w:tcPr>
          <w:p>
            <w:pPr>
              <w:pStyle w:val="TableContents"/>
              <w:spacing w:before="0" w:after="283"/>
              <w:jc w:val="left"/>
              <w:rPr/>
            </w:pPr>
            <w:r>
              <w:rPr/>
              <w:t> </w:t>
            </w:r>
          </w:p>
        </w:tc>
      </w:tr>
      <w:tr>
        <w:trPr/>
        <w:tc>
          <w:tcPr>
            <w:tcW w:w="8983" w:type="dxa"/>
            <w:tcBorders/>
            <w:shd w:fill="FFFFFF" w:val="clear"/>
            <w:vAlign w:val="bottom"/>
          </w:tcPr>
          <w:p>
            <w:pPr>
              <w:pStyle w:val="TableContents"/>
              <w:spacing w:before="0" w:after="0"/>
              <w:ind w:left="0" w:right="0" w:hanging="0"/>
              <w:jc w:val="left"/>
              <w:rPr>
                <w:rFonts w:ascii="helvetica" w:hAnsi="helvetica"/>
                <w:sz w:val="20"/>
              </w:rPr>
            </w:pPr>
            <w:r>
              <w:rPr>
                <w:rFonts w:ascii="helvetica" w:hAnsi="helvetica"/>
                <w:sz w:val="20"/>
              </w:rPr>
              <w:t>EXECUTIVE COMPENSATION</w:t>
            </w:r>
          </w:p>
        </w:tc>
        <w:tc>
          <w:tcPr>
            <w:tcW w:w="101" w:type="dxa"/>
            <w:tcBorders/>
            <w:shd w:fill="FFFFFF" w:val="clear"/>
            <w:vAlign w:val="bottom"/>
          </w:tcPr>
          <w:p>
            <w:pPr>
              <w:pStyle w:val="TableContents"/>
              <w:spacing w:before="0" w:after="283"/>
              <w:rPr/>
            </w:pPr>
            <w:r>
              <w:rPr/>
              <w:t> </w:t>
            </w:r>
          </w:p>
        </w:tc>
        <w:tc>
          <w:tcPr>
            <w:tcW w:w="101" w:type="dxa"/>
            <w:tcBorders/>
            <w:shd w:fill="FFFFFF" w:val="clear"/>
            <w:vAlign w:val="bottom"/>
          </w:tcPr>
          <w:p>
            <w:pPr>
              <w:pStyle w:val="TableContents"/>
              <w:spacing w:before="0" w:after="283"/>
              <w:jc w:val="left"/>
              <w:rPr/>
            </w:pPr>
            <w:r>
              <w:rPr/>
              <w:t> </w:t>
            </w:r>
          </w:p>
        </w:tc>
        <w:tc>
          <w:tcPr>
            <w:tcW w:w="918"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61</w:t>
            </w:r>
          </w:p>
        </w:tc>
        <w:tc>
          <w:tcPr>
            <w:tcW w:w="102" w:type="dxa"/>
            <w:tcBorders/>
            <w:shd w:fill="FFFFFF" w:val="clear"/>
            <w:vAlign w:val="bottom"/>
          </w:tcPr>
          <w:p>
            <w:pPr>
              <w:pStyle w:val="TableContents"/>
              <w:spacing w:before="0" w:after="283"/>
              <w:jc w:val="left"/>
              <w:rPr/>
            </w:pPr>
            <w:r>
              <w:rPr/>
              <w:t> </w:t>
            </w:r>
          </w:p>
        </w:tc>
      </w:tr>
      <w:tr>
        <w:trPr/>
        <w:tc>
          <w:tcPr>
            <w:tcW w:w="8983" w:type="dxa"/>
            <w:tcBorders/>
            <w:shd w:fill="CCEEFF" w:val="clear"/>
            <w:vAlign w:val="bottom"/>
          </w:tcPr>
          <w:p>
            <w:pPr>
              <w:pStyle w:val="TableContents"/>
              <w:spacing w:before="0" w:after="0"/>
              <w:ind w:left="0" w:right="0" w:hanging="0"/>
              <w:jc w:val="left"/>
              <w:rPr>
                <w:rFonts w:ascii="helvetica" w:hAnsi="helvetica"/>
                <w:sz w:val="20"/>
              </w:rPr>
            </w:pPr>
            <w:r>
              <w:rPr>
                <w:rFonts w:ascii="helvetica" w:hAnsi="helvetica"/>
                <w:sz w:val="20"/>
              </w:rPr>
              <w:t>CERTAIN RELATIONSHIPS AND RELATED TRANSACTIONS</w:t>
            </w:r>
          </w:p>
        </w:tc>
        <w:tc>
          <w:tcPr>
            <w:tcW w:w="101" w:type="dxa"/>
            <w:tcBorders/>
            <w:shd w:fill="CCEEFF" w:val="clear"/>
            <w:vAlign w:val="bottom"/>
          </w:tcPr>
          <w:p>
            <w:pPr>
              <w:pStyle w:val="TableContents"/>
              <w:spacing w:before="0" w:after="283"/>
              <w:rPr/>
            </w:pPr>
            <w:r>
              <w:rPr/>
              <w:t> </w:t>
            </w:r>
          </w:p>
        </w:tc>
        <w:tc>
          <w:tcPr>
            <w:tcW w:w="101" w:type="dxa"/>
            <w:tcBorders/>
            <w:shd w:fill="CCEEFF" w:val="clear"/>
            <w:vAlign w:val="bottom"/>
          </w:tcPr>
          <w:p>
            <w:pPr>
              <w:pStyle w:val="TableContents"/>
              <w:spacing w:before="0" w:after="283"/>
              <w:jc w:val="left"/>
              <w:rPr/>
            </w:pPr>
            <w:r>
              <w:rPr/>
              <w:t> </w:t>
            </w:r>
          </w:p>
        </w:tc>
        <w:tc>
          <w:tcPr>
            <w:tcW w:w="918"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65</w:t>
            </w:r>
          </w:p>
        </w:tc>
        <w:tc>
          <w:tcPr>
            <w:tcW w:w="102" w:type="dxa"/>
            <w:tcBorders/>
            <w:shd w:fill="CCEEFF" w:val="clear"/>
            <w:vAlign w:val="bottom"/>
          </w:tcPr>
          <w:p>
            <w:pPr>
              <w:pStyle w:val="TableContents"/>
              <w:spacing w:before="0" w:after="283"/>
              <w:jc w:val="left"/>
              <w:rPr/>
            </w:pPr>
            <w:r>
              <w:rPr/>
              <w:t> </w:t>
            </w:r>
          </w:p>
        </w:tc>
      </w:tr>
      <w:tr>
        <w:trPr/>
        <w:tc>
          <w:tcPr>
            <w:tcW w:w="8983" w:type="dxa"/>
            <w:tcBorders/>
            <w:shd w:fill="FFFFFF" w:val="clear"/>
            <w:vAlign w:val="bottom"/>
          </w:tcPr>
          <w:p>
            <w:pPr>
              <w:pStyle w:val="TableContents"/>
              <w:spacing w:before="0" w:after="0"/>
              <w:ind w:left="0" w:right="0" w:hanging="0"/>
              <w:jc w:val="left"/>
              <w:rPr>
                <w:rFonts w:ascii="helvetica" w:hAnsi="helvetica"/>
                <w:sz w:val="20"/>
              </w:rPr>
            </w:pPr>
            <w:r>
              <w:rPr>
                <w:rFonts w:ascii="helvetica" w:hAnsi="helvetica"/>
                <w:sz w:val="20"/>
              </w:rPr>
              <w:t>SECURITY OWNERSHIP OF CERTAIN BENEFICIAL OWNERS AND MANAGEMENT AND RELATED STOCKHOLDER MATTERS</w:t>
            </w:r>
          </w:p>
        </w:tc>
        <w:tc>
          <w:tcPr>
            <w:tcW w:w="101" w:type="dxa"/>
            <w:tcBorders/>
            <w:shd w:fill="FFFFFF" w:val="clear"/>
            <w:vAlign w:val="bottom"/>
          </w:tcPr>
          <w:p>
            <w:pPr>
              <w:pStyle w:val="TableContents"/>
              <w:spacing w:before="0" w:after="283"/>
              <w:rPr/>
            </w:pPr>
            <w:r>
              <w:rPr/>
              <w:t> </w:t>
            </w:r>
          </w:p>
        </w:tc>
        <w:tc>
          <w:tcPr>
            <w:tcW w:w="101" w:type="dxa"/>
            <w:tcBorders/>
            <w:shd w:fill="FFFFFF" w:val="clear"/>
            <w:vAlign w:val="bottom"/>
          </w:tcPr>
          <w:p>
            <w:pPr>
              <w:pStyle w:val="TableContents"/>
              <w:spacing w:before="0" w:after="283"/>
              <w:jc w:val="left"/>
              <w:rPr/>
            </w:pPr>
            <w:r>
              <w:rPr/>
              <w:t> </w:t>
            </w:r>
          </w:p>
        </w:tc>
        <w:tc>
          <w:tcPr>
            <w:tcW w:w="918"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68</w:t>
            </w:r>
          </w:p>
        </w:tc>
        <w:tc>
          <w:tcPr>
            <w:tcW w:w="102" w:type="dxa"/>
            <w:tcBorders/>
            <w:shd w:fill="FFFFFF" w:val="clear"/>
            <w:vAlign w:val="bottom"/>
          </w:tcPr>
          <w:p>
            <w:pPr>
              <w:pStyle w:val="TableContents"/>
              <w:spacing w:before="0" w:after="283"/>
              <w:jc w:val="left"/>
              <w:rPr/>
            </w:pPr>
            <w:r>
              <w:rPr/>
              <w:t> </w:t>
            </w:r>
          </w:p>
        </w:tc>
      </w:tr>
      <w:tr>
        <w:trPr/>
        <w:tc>
          <w:tcPr>
            <w:tcW w:w="8983" w:type="dxa"/>
            <w:tcBorders/>
            <w:shd w:fill="CCEEFF" w:val="clear"/>
            <w:vAlign w:val="bottom"/>
          </w:tcPr>
          <w:p>
            <w:pPr>
              <w:pStyle w:val="TableContents"/>
              <w:spacing w:before="0" w:after="0"/>
              <w:ind w:left="0" w:right="0" w:hanging="0"/>
              <w:jc w:val="left"/>
              <w:rPr>
                <w:rFonts w:ascii="helvetica" w:hAnsi="helvetica"/>
                <w:sz w:val="20"/>
              </w:rPr>
            </w:pPr>
            <w:r>
              <w:rPr>
                <w:rFonts w:ascii="helvetica" w:hAnsi="helvetica"/>
                <w:sz w:val="20"/>
              </w:rPr>
              <w:t>LEGAL MATTERS</w:t>
            </w:r>
          </w:p>
        </w:tc>
        <w:tc>
          <w:tcPr>
            <w:tcW w:w="101" w:type="dxa"/>
            <w:tcBorders/>
            <w:shd w:fill="CCEEFF" w:val="clear"/>
            <w:vAlign w:val="bottom"/>
          </w:tcPr>
          <w:p>
            <w:pPr>
              <w:pStyle w:val="TableContents"/>
              <w:spacing w:before="0" w:after="283"/>
              <w:rPr/>
            </w:pPr>
            <w:r>
              <w:rPr/>
              <w:t> </w:t>
            </w:r>
          </w:p>
        </w:tc>
        <w:tc>
          <w:tcPr>
            <w:tcW w:w="101" w:type="dxa"/>
            <w:tcBorders/>
            <w:shd w:fill="CCEEFF" w:val="clear"/>
            <w:vAlign w:val="bottom"/>
          </w:tcPr>
          <w:p>
            <w:pPr>
              <w:pStyle w:val="TableContents"/>
              <w:spacing w:before="0" w:after="283"/>
              <w:jc w:val="left"/>
              <w:rPr/>
            </w:pPr>
            <w:r>
              <w:rPr/>
              <w:t> </w:t>
            </w:r>
          </w:p>
        </w:tc>
        <w:tc>
          <w:tcPr>
            <w:tcW w:w="918"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69</w:t>
            </w:r>
          </w:p>
        </w:tc>
        <w:tc>
          <w:tcPr>
            <w:tcW w:w="102" w:type="dxa"/>
            <w:tcBorders/>
            <w:shd w:fill="CCEEFF" w:val="clear"/>
            <w:vAlign w:val="bottom"/>
          </w:tcPr>
          <w:p>
            <w:pPr>
              <w:pStyle w:val="TableContents"/>
              <w:spacing w:before="0" w:after="283"/>
              <w:jc w:val="left"/>
              <w:rPr/>
            </w:pPr>
            <w:r>
              <w:rPr/>
              <w:t> </w:t>
            </w:r>
          </w:p>
        </w:tc>
      </w:tr>
      <w:tr>
        <w:trPr/>
        <w:tc>
          <w:tcPr>
            <w:tcW w:w="8983" w:type="dxa"/>
            <w:tcBorders/>
            <w:shd w:fill="FFFFFF" w:val="clear"/>
            <w:vAlign w:val="bottom"/>
          </w:tcPr>
          <w:p>
            <w:pPr>
              <w:pStyle w:val="TableContents"/>
              <w:spacing w:before="0" w:after="0"/>
              <w:ind w:left="0" w:right="0" w:hanging="0"/>
              <w:jc w:val="left"/>
              <w:rPr>
                <w:rFonts w:ascii="helvetica" w:hAnsi="helvetica"/>
                <w:sz w:val="20"/>
              </w:rPr>
            </w:pPr>
            <w:r>
              <w:rPr>
                <w:rFonts w:ascii="helvetica" w:hAnsi="helvetica"/>
                <w:sz w:val="20"/>
              </w:rPr>
              <w:t>EXPERTS</w:t>
            </w:r>
          </w:p>
        </w:tc>
        <w:tc>
          <w:tcPr>
            <w:tcW w:w="101" w:type="dxa"/>
            <w:tcBorders/>
            <w:shd w:fill="FFFFFF" w:val="clear"/>
            <w:vAlign w:val="bottom"/>
          </w:tcPr>
          <w:p>
            <w:pPr>
              <w:pStyle w:val="TableContents"/>
              <w:spacing w:before="0" w:after="283"/>
              <w:rPr/>
            </w:pPr>
            <w:r>
              <w:rPr/>
              <w:t> </w:t>
            </w:r>
          </w:p>
        </w:tc>
        <w:tc>
          <w:tcPr>
            <w:tcW w:w="101" w:type="dxa"/>
            <w:tcBorders/>
            <w:shd w:fill="FFFFFF" w:val="clear"/>
            <w:vAlign w:val="bottom"/>
          </w:tcPr>
          <w:p>
            <w:pPr>
              <w:pStyle w:val="TableContents"/>
              <w:spacing w:before="0" w:after="283"/>
              <w:jc w:val="left"/>
              <w:rPr/>
            </w:pPr>
            <w:r>
              <w:rPr/>
              <w:t> </w:t>
            </w:r>
          </w:p>
        </w:tc>
        <w:tc>
          <w:tcPr>
            <w:tcW w:w="918"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69</w:t>
            </w:r>
          </w:p>
        </w:tc>
        <w:tc>
          <w:tcPr>
            <w:tcW w:w="102" w:type="dxa"/>
            <w:tcBorders/>
            <w:shd w:fill="FFFFFF" w:val="clear"/>
            <w:vAlign w:val="bottom"/>
          </w:tcPr>
          <w:p>
            <w:pPr>
              <w:pStyle w:val="TableContents"/>
              <w:spacing w:before="0" w:after="283"/>
              <w:jc w:val="left"/>
              <w:rPr/>
            </w:pPr>
            <w:r>
              <w:rPr/>
              <w:t> </w:t>
            </w:r>
          </w:p>
        </w:tc>
      </w:tr>
      <w:tr>
        <w:trPr/>
        <w:tc>
          <w:tcPr>
            <w:tcW w:w="8983" w:type="dxa"/>
            <w:tcBorders/>
            <w:shd w:fill="CCEEFF" w:val="clear"/>
            <w:vAlign w:val="bottom"/>
          </w:tcPr>
          <w:p>
            <w:pPr>
              <w:pStyle w:val="TableContents"/>
              <w:spacing w:before="0" w:after="0"/>
              <w:ind w:left="0" w:right="0" w:hanging="0"/>
              <w:jc w:val="left"/>
              <w:rPr>
                <w:rFonts w:ascii="helvetica" w:hAnsi="helvetica"/>
                <w:sz w:val="20"/>
              </w:rPr>
            </w:pPr>
            <w:r>
              <w:rPr>
                <w:rFonts w:ascii="helvetica" w:hAnsi="helvetica"/>
                <w:sz w:val="20"/>
              </w:rPr>
              <w:t>WHERE YOU CAN FIND MORE INFORMATION</w:t>
            </w:r>
          </w:p>
        </w:tc>
        <w:tc>
          <w:tcPr>
            <w:tcW w:w="101" w:type="dxa"/>
            <w:tcBorders/>
            <w:shd w:fill="CCEEFF" w:val="clear"/>
            <w:vAlign w:val="bottom"/>
          </w:tcPr>
          <w:p>
            <w:pPr>
              <w:pStyle w:val="TableContents"/>
              <w:spacing w:before="0" w:after="283"/>
              <w:rPr/>
            </w:pPr>
            <w:r>
              <w:rPr/>
              <w:t> </w:t>
            </w:r>
          </w:p>
        </w:tc>
        <w:tc>
          <w:tcPr>
            <w:tcW w:w="101" w:type="dxa"/>
            <w:tcBorders/>
            <w:shd w:fill="CCEEFF" w:val="clear"/>
            <w:vAlign w:val="bottom"/>
          </w:tcPr>
          <w:p>
            <w:pPr>
              <w:pStyle w:val="TableContents"/>
              <w:spacing w:before="0" w:after="283"/>
              <w:jc w:val="left"/>
              <w:rPr/>
            </w:pPr>
            <w:r>
              <w:rPr/>
              <w:t> </w:t>
            </w:r>
          </w:p>
        </w:tc>
        <w:tc>
          <w:tcPr>
            <w:tcW w:w="918"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69</w:t>
            </w:r>
          </w:p>
        </w:tc>
        <w:tc>
          <w:tcPr>
            <w:tcW w:w="102" w:type="dxa"/>
            <w:tcBorders/>
            <w:shd w:fill="CCEEFF" w:val="clear"/>
            <w:vAlign w:val="bottom"/>
          </w:tcPr>
          <w:p>
            <w:pPr>
              <w:pStyle w:val="TableContents"/>
              <w:spacing w:before="0" w:after="283"/>
              <w:jc w:val="left"/>
              <w:rPr/>
            </w:pPr>
            <w:r>
              <w:rPr/>
              <w:t> </w:t>
            </w:r>
          </w:p>
        </w:tc>
      </w:tr>
      <w:tr>
        <w:trPr/>
        <w:tc>
          <w:tcPr>
            <w:tcW w:w="8983" w:type="dxa"/>
            <w:tcBorders/>
            <w:shd w:fill="FFFFFF" w:val="clear"/>
            <w:vAlign w:val="bottom"/>
          </w:tcPr>
          <w:p>
            <w:pPr>
              <w:pStyle w:val="TableContents"/>
              <w:spacing w:before="0" w:after="0"/>
              <w:ind w:left="0" w:right="0" w:hanging="0"/>
              <w:jc w:val="left"/>
              <w:rPr>
                <w:rFonts w:ascii="helvetica" w:hAnsi="helvetica"/>
                <w:sz w:val="20"/>
              </w:rPr>
            </w:pPr>
            <w:r>
              <w:rPr>
                <w:rFonts w:ascii="helvetica" w:hAnsi="helvetica"/>
                <w:sz w:val="20"/>
              </w:rPr>
              <w:t>FINANCIAL STATEMENTS</w:t>
            </w:r>
          </w:p>
        </w:tc>
        <w:tc>
          <w:tcPr>
            <w:tcW w:w="101" w:type="dxa"/>
            <w:tcBorders/>
            <w:shd w:fill="FFFFFF" w:val="clear"/>
            <w:vAlign w:val="bottom"/>
          </w:tcPr>
          <w:p>
            <w:pPr>
              <w:pStyle w:val="TableContents"/>
              <w:spacing w:before="0" w:after="283"/>
              <w:rPr/>
            </w:pPr>
            <w:r>
              <w:rPr/>
              <w:t> </w:t>
            </w:r>
          </w:p>
        </w:tc>
        <w:tc>
          <w:tcPr>
            <w:tcW w:w="101" w:type="dxa"/>
            <w:tcBorders/>
            <w:shd w:fill="FFFFFF" w:val="clear"/>
            <w:vAlign w:val="bottom"/>
          </w:tcPr>
          <w:p>
            <w:pPr>
              <w:pStyle w:val="TableContents"/>
              <w:spacing w:before="0" w:after="283"/>
              <w:jc w:val="left"/>
              <w:rPr/>
            </w:pPr>
            <w:r>
              <w:rPr/>
              <w:t> </w:t>
            </w:r>
          </w:p>
        </w:tc>
        <w:tc>
          <w:tcPr>
            <w:tcW w:w="918"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F-1</w:t>
            </w:r>
          </w:p>
        </w:tc>
        <w:tc>
          <w:tcPr>
            <w:tcW w:w="102" w:type="dxa"/>
            <w:tcBorders/>
            <w:shd w:fill="FFFFFF" w:val="clear"/>
            <w:vAlign w:val="bottom"/>
          </w:tcPr>
          <w:p>
            <w:pPr>
              <w:pStyle w:val="TableContents"/>
              <w:spacing w:before="0" w:after="283"/>
              <w:jc w:val="left"/>
              <w:rPr/>
            </w:pPr>
            <w:r>
              <w:rPr/>
              <w:t> </w:t>
            </w:r>
          </w:p>
        </w:tc>
      </w:tr>
    </w:tbl>
    <w:p>
      <w:pPr>
        <w:pStyle w:val="TextBody"/>
        <w:spacing w:before="0" w:after="0"/>
        <w:ind w:left="0" w:right="0" w:hanging="0"/>
        <w:jc w:val="both"/>
        <w:rPr/>
      </w:pPr>
      <w:r>
        <w:rPr/>
        <w:t> </w:t>
      </w:r>
    </w:p>
    <w:p>
      <w:pPr>
        <w:pStyle w:val="TextBody"/>
        <w:spacing w:before="0" w:after="0"/>
        <w:ind w:left="0" w:right="0" w:hanging="0"/>
        <w:jc w:val="center"/>
        <w:rPr>
          <w:rFonts w:ascii="helvetica" w:hAnsi="helvetica"/>
          <w:b/>
          <w:sz w:val="20"/>
        </w:rPr>
      </w:pPr>
      <w:r>
        <w:rPr>
          <w:rFonts w:ascii="helvetica" w:hAnsi="helvetica"/>
          <w:b/>
          <w:sz w:val="20"/>
        </w:rPr>
        <w:t>About This Prospectus</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r>
        <w:rPr>
          <w:rFonts w:ascii="helvetica" w:hAnsi="helvetica"/>
          <w:sz w:val="20"/>
        </w:rPr>
        <w:t>You should rely only on the information that we have provided or incorporated by reference in this prospectus or any prospectus supplement.  We have not authorized anyone to provide you with different information. No dealer, salesperson or other person is authorized to give any information or to represent anything not contained in this prospectus or any prospectus supplement.  You must not rely on any unauthorized information or representation. This prospectus is an offer to sell only the securities offered hereby, but only under circumstances and in jurisdictions where it is lawful to do so. You should assume that the information in this prospectus or any prospectus supplement is accurate only as of the date on the front of the document and that any information we have incorporated by reference is accurate only as of the date of the document incorporated by reference, regardless of the time of delivery of this prospectus or any prospectus supplement, or any sale of a security.</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r>
        <w:rPr>
          <w:rFonts w:ascii="helvetica" w:hAnsi="helvetica"/>
          <w:sz w:val="20"/>
        </w:rPr>
        <w:t>This prospectus contains summaries of certain provisions contained in some of the documents described herein, but reference is made to the actual documents for complete information. All of the summaries are qualified in their entirety by the actual documents. Copies of some of the documents referred to herein have been filed, will be filed or will be incorporated by reference as exhibits to the registration statement of which this prospectus is a part, and you may obtain copies of those documents as described below under the heading “Where You Can Find Additional Information.”</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r>
        <w:rPr>
          <w:rFonts w:ascii="helvetica" w:hAnsi="helvetica"/>
          <w:sz w:val="20"/>
        </w:rPr>
        <w:t>We have pending trademark applications for Imprimis Pharmaceuticals, Accudel, Impracor and Generecycle.   All other trademarks, tradenames and service marks included in this prospectus or any related prospectus supplement, are the property of their respective owners.</w:t>
      </w:r>
    </w:p>
    <w:p>
      <w:pPr>
        <w:pStyle w:val="TextBody"/>
        <w:spacing w:before="0" w:after="0"/>
        <w:ind w:left="0" w:right="0" w:firstLine="720"/>
        <w:jc w:val="left"/>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21" w:name="PGBRK2"/>
      <w:bookmarkStart w:id="22" w:name="PGBRK2"/>
      <w:bookmarkEnd w:id="2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3" w:name="FTR2"/>
      <w:bookmarkStart w:id="24" w:name="FTR2"/>
      <w:bookmarkEnd w:id="2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25" w:name="GLFTR1"/>
      <w:bookmarkEnd w:id="25"/>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helvetica" w:hAnsi="helvetica"/>
          <w:sz w:val="20"/>
        </w:rPr>
      </w:pPr>
      <w:bookmarkStart w:id="26" w:name="PN1"/>
      <w:bookmarkEnd w:id="26"/>
      <w:r>
        <w:rPr>
          <w:rFonts w:ascii="helvetica" w:hAnsi="helvetica"/>
          <w:sz w:val="20"/>
        </w:rPr>
        <w:t>- i -</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7" w:name="HDR1"/>
      <w:bookmarkStart w:id="28" w:name="HDR1"/>
      <w:bookmarkEnd w:id="2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29" w:name="GLHDR1"/>
      <w:bookmarkEnd w:id="29"/>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pPr>
      <w:r>
        <w:rPr/>
        <w:t> </w:t>
      </w:r>
    </w:p>
    <w:p>
      <w:pPr>
        <w:pStyle w:val="TextBody"/>
        <w:spacing w:before="0" w:after="0"/>
        <w:ind w:left="0" w:right="0" w:hanging="0"/>
        <w:jc w:val="center"/>
        <w:rPr>
          <w:rFonts w:ascii="helvetica" w:hAnsi="helvetica"/>
          <w:b/>
          <w:sz w:val="20"/>
        </w:rPr>
      </w:pPr>
      <w:r>
        <w:rPr>
          <w:rFonts w:ascii="helvetica" w:hAnsi="helvetica"/>
          <w:b/>
          <w:sz w:val="20"/>
        </w:rPr>
        <w:t>PROSPECTUS SUMMARY</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b/>
          <w:sz w:val="20"/>
        </w:rPr>
      </w:pPr>
      <w:r>
        <w:rPr>
          <w:rFonts w:ascii="helvetica" w:hAnsi="helvetica"/>
          <w:b/>
          <w:sz w:val="20"/>
        </w:rPr>
        <w:t>This summary highlights selected information contained elsewhere in this prospectus and does not contain all of the information that should be considered before investing in our common stock. Investors should read the entire prospectus carefully, including the more detailed information regarding our business, the risks of purchasing our common stock discussed in this prospectus under “Risk Factors” beginning on page 8 of this prospectus, “Management’s Discussion and Analysis of Financial Condition and Results of Operations” beginning on page 37 of this prospectus, and our consolidated financial statements and the accompanying notes beginning on page F-1 of this prospectus.</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r>
        <w:rPr>
          <w:rFonts w:ascii="helvetica" w:hAnsi="helvetica"/>
          <w:sz w:val="20"/>
        </w:rPr>
        <w:t>As used in this prospectus, unless the context requires otherwise, the “Company”, “we”, “us”, and “our” refer to Imprimis Pharmaceuticals, Inc., a Delaware corporation.</w:t>
      </w:r>
    </w:p>
    <w:p>
      <w:pPr>
        <w:pStyle w:val="TextBody"/>
        <w:spacing w:before="0" w:after="0"/>
        <w:ind w:left="0" w:right="0" w:hanging="0"/>
        <w:jc w:val="both"/>
        <w:rPr/>
      </w:pPr>
      <w:r>
        <w:rPr/>
        <w:t> </w:t>
      </w:r>
    </w:p>
    <w:p>
      <w:pPr>
        <w:pStyle w:val="TextBody"/>
        <w:spacing w:before="0" w:after="0"/>
        <w:ind w:left="0" w:right="0" w:hanging="0"/>
        <w:rPr/>
      </w:pPr>
      <w:bookmarkStart w:id="30" w:name="TAB2"/>
      <w:bookmarkEnd w:id="30"/>
      <w:r>
        <w:rPr>
          <w:color w:val="000000"/>
          <w:spacing w:val="180"/>
        </w:rPr>
        <w:t> </w:t>
      </w:r>
      <w:r>
        <w:rPr>
          <w:rFonts w:ascii="helvetica" w:hAnsi="helvetica"/>
          <w:b/>
          <w:sz w:val="20"/>
        </w:rPr>
        <w:t>Our Company</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r>
        <w:rPr>
          <w:rFonts w:ascii="helvetica" w:hAnsi="helvetica"/>
          <w:sz w:val="20"/>
        </w:rPr>
        <w:t>We are a specialty pharmaceutical company developing non-invasive, topically delivered products. Our innovative patented Accudel cream formulation technology is designed to enable highly targeted site specific treatment.  Impracor, our lead pain product candidate, utilizes the Accudel platform technology to deliver the active drug, ketoprofen, a non-steroidal anti-inflammatory drug, through the skin directly into the underlying tissues where the drug exerts its localized anti-inflammatory and analgesic effects.  </w:t>
      </w:r>
    </w:p>
    <w:p>
      <w:pPr>
        <w:pStyle w:val="TextBody"/>
        <w:spacing w:before="0" w:after="0"/>
        <w:ind w:left="0" w:right="0" w:firstLine="720"/>
        <w:jc w:val="left"/>
        <w:rPr/>
      </w:pPr>
      <w:r>
        <w:rPr/>
        <w:t> </w:t>
      </w:r>
    </w:p>
    <w:p>
      <w:pPr>
        <w:pStyle w:val="TextBody"/>
        <w:spacing w:before="0" w:after="0"/>
        <w:ind w:left="0" w:right="0" w:firstLine="720"/>
        <w:jc w:val="left"/>
        <w:rPr/>
      </w:pPr>
      <w:r>
        <w:rPr>
          <w:rFonts w:ascii="helvetica" w:hAnsi="helvetica"/>
          <w:sz w:val="20"/>
        </w:rPr>
        <w:t>We intend to leverage the Accudel platform technology to expand and create a portfolio of topical products for a variety of indications. We are currently considering potential product candidates in the muscle relaxant and neuropathic pain fields, and we expect those areas to be our next avenues for new product development.</w:t>
      </w:r>
      <w:r>
        <w:rPr/>
        <w:t xml:space="preserve"> </w:t>
      </w:r>
    </w:p>
    <w:p>
      <w:pPr>
        <w:pStyle w:val="TextBody"/>
        <w:spacing w:before="0" w:after="0"/>
        <w:ind w:left="0" w:right="0" w:hanging="0"/>
        <w:jc w:val="left"/>
        <w:rPr/>
      </w:pPr>
      <w:r>
        <w:rPr/>
        <w:t> </w:t>
      </w:r>
    </w:p>
    <w:p>
      <w:pPr>
        <w:pStyle w:val="TextBody"/>
        <w:spacing w:before="0" w:after="0"/>
        <w:ind w:left="0" w:right="0" w:firstLine="720"/>
        <w:jc w:val="left"/>
        <w:rPr/>
      </w:pPr>
      <w:r>
        <w:rPr>
          <w:rFonts w:ascii="helvetica" w:hAnsi="helvetica"/>
          <w:sz w:val="20"/>
        </w:rPr>
        <w:t>Effective August 30, 2012, we entered into a strategic relationship with the Professional Compounding Centers of America, Inc. (“PCCA”), one of the largest drug compounding organizations in the world. We expect this relationship to facilitate our future selection, development and formulation of potential product candidates. Our relationship with PCCA provides us with exclusive access to and use of PCCA’s proprietary drug formulations and drug delivery technologies, as well as an extensive database of generic and other drug prescription information provided by PCCA’s member pharmacies and physicians. We plan to use our proprietary Accudel drug delivery technology, coupled with these licensed technologies, formulations and data, to identify markets in which we perceive development opportunities for new drug products and to develop reformatted and repurposed generic drugs, a process that we describe as “Generecycle.”</w:t>
      </w:r>
      <w:r>
        <w:rPr/>
        <w:t xml:space="preserve"> </w:t>
      </w:r>
    </w:p>
    <w:p>
      <w:pPr>
        <w:pStyle w:val="TextBody"/>
        <w:spacing w:before="0" w:after="0"/>
        <w:ind w:left="0" w:right="0" w:firstLine="720"/>
        <w:jc w:val="left"/>
        <w:rPr/>
      </w:pPr>
      <w:r>
        <w:rPr/>
        <w:t> </w:t>
      </w:r>
    </w:p>
    <w:p>
      <w:pPr>
        <w:pStyle w:val="TextBody"/>
        <w:spacing w:before="0" w:after="0"/>
        <w:ind w:left="0" w:right="0" w:firstLine="720"/>
        <w:jc w:val="left"/>
        <w:rPr>
          <w:rFonts w:ascii="helvetica" w:hAnsi="helvetica"/>
          <w:sz w:val="20"/>
        </w:rPr>
      </w:pPr>
      <w:r>
        <w:rPr>
          <w:rFonts w:ascii="helvetica" w:hAnsi="helvetica"/>
          <w:sz w:val="20"/>
        </w:rPr>
        <w:t>Our common stock has been quoted in the over-the-counter market since  March 2007 and is currently quoted on OTC Markets Group’s OTCQB tier under the symbol “IMMY”.  Our executive offices are located at 437 S. Hwy 101, Suite 209, Solana Beach, CA 92075 and our telephone number is (858) 433-2800.  Our website address is www.imprimispharma.com.  Information contained on our website is not deemed part of this prospectus.</w:t>
      </w:r>
    </w:p>
    <w:p>
      <w:pPr>
        <w:pStyle w:val="TextBody"/>
        <w:spacing w:before="0" w:after="0"/>
        <w:ind w:left="0" w:right="0" w:hanging="0"/>
        <w:jc w:val="both"/>
        <w:rPr/>
      </w:pPr>
      <w:r>
        <w:rPr/>
        <w:t> </w:t>
      </w:r>
    </w:p>
    <w:p>
      <w:pPr>
        <w:pStyle w:val="TextBody"/>
        <w:spacing w:before="0" w:after="0"/>
        <w:ind w:left="0" w:right="0" w:hanging="0"/>
        <w:rPr/>
      </w:pPr>
      <w:bookmarkStart w:id="31" w:name="TAB21"/>
      <w:bookmarkEnd w:id="31"/>
      <w:r>
        <w:rPr>
          <w:color w:val="000000"/>
          <w:spacing w:val="180"/>
        </w:rPr>
        <w:t> </w:t>
      </w:r>
      <w:r>
        <w:rPr>
          <w:rFonts w:ascii="helvetica" w:hAnsi="helvetica"/>
          <w:b/>
          <w:sz w:val="20"/>
        </w:rPr>
        <w:t>Reverse Stock Split and NASDAQ Listing Application</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r>
        <w:rPr>
          <w:rFonts w:ascii="helvetica" w:hAnsi="helvetica"/>
          <w:sz w:val="20"/>
        </w:rPr>
        <w:t>On April 25, 2012, our Board of Directors (the “Board of Directors” or the “Board”)</w:t>
      </w:r>
      <w:r>
        <w:rPr>
          <w:rFonts w:ascii="times new roman" w:hAnsi="times new roman"/>
          <w:sz w:val="20"/>
        </w:rPr>
        <w:t xml:space="preserve"> </w:t>
      </w:r>
      <w:r>
        <w:rPr>
          <w:rFonts w:ascii="helvetica" w:hAnsi="helvetica"/>
          <w:sz w:val="20"/>
        </w:rPr>
        <w:t>and stockholders holding a majority of our outstanding voting power approved a resolution authorizing our Board of Directors to effect a reverse split of our common stock at an exchange ratio of (i) one-for-three, (ii) one-for-four, (iii) one-for-five, or (iv) one-for-six, with our Board of Directors retaining the discretion as to whether to implement the reverse split and which exchange ratio to implement.  The action by written consent of the stockholders became effective on May 31, 2012, following our compliance with certain notice requirements under the Securities Exchange Act of 1934 (the “Exchange Act”).  We anticipate that immediately following the effectiveness of the registration statement of which this prospectus forms a part, and prior to the closing of this offering, our Board of Directors will effect a reverse stock split at a ratio of one-for-five (the “reverse stock split”).</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r>
        <w:rPr>
          <w:rFonts w:ascii="helvetica" w:hAnsi="helvetica"/>
          <w:sz w:val="20"/>
        </w:rPr>
        <w:t>The reverse stock split is intended to allow us to meet the minimum share price requirement of The NASDAQ Capital Market.  We have applied for listing of our common stock on The NASDAQ Capital Market, which listing we expect to occur at the closing of this offering. If the application is not approved, we will not complete this offering or effect the reverse stock split, and the shares of our common stock will continue to be traded on the OTC Markets Group’s OTCQB tier.</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b/>
          <w:sz w:val="20"/>
        </w:rPr>
      </w:pPr>
      <w:r>
        <w:rPr>
          <w:rFonts w:ascii="helvetica" w:hAnsi="helvetica"/>
          <w:b/>
          <w:sz w:val="20"/>
        </w:rPr>
        <w:t>Other than as otherwise indicated and except in our consolidated financial statements, all information regarding share amounts of common stock and prices per share of common stock contained in this prospectus assume the consummation of the one-for-five reverse stock split to be effected following effectiveness of the registration statement of which this prospectus forms a part and prior to the closing of this offering.</w:t>
      </w:r>
    </w:p>
    <w:p>
      <w:pPr>
        <w:pStyle w:val="TextBody"/>
        <w:spacing w:before="0" w:after="0"/>
        <w:ind w:left="0" w:right="0" w:hanging="0"/>
        <w:jc w:val="both"/>
        <w:rPr/>
      </w:pPr>
      <w:r>
        <w:rPr/>
        <w:t> </w:t>
      </w:r>
    </w:p>
    <w:p>
      <w:pPr>
        <w:pStyle w:val="TextBody"/>
        <w:spacing w:before="0" w:after="0"/>
        <w:ind w:left="0" w:right="0" w:hanging="0"/>
        <w:rPr/>
      </w:pPr>
      <w:bookmarkStart w:id="32" w:name="TAB22"/>
      <w:bookmarkEnd w:id="32"/>
      <w:r>
        <w:rPr>
          <w:color w:val="000000"/>
          <w:spacing w:val="180"/>
        </w:rPr>
        <w:t> </w:t>
      </w:r>
      <w:r>
        <w:rPr>
          <w:rFonts w:ascii="helvetica" w:hAnsi="helvetica"/>
          <w:b/>
          <w:sz w:val="20"/>
        </w:rPr>
        <w:t>Impracor</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r>
        <w:rPr>
          <w:rFonts w:ascii="helvetica" w:hAnsi="helvetica"/>
          <w:sz w:val="20"/>
        </w:rPr>
        <w:t>Impracor, our lead drug candidate, is comprised of a transdermal formulation of ketoprofen, a non-steroidal anti-inflammatory drug (NSAID). Impracor is formulated using our proprietary Accudel drug delivery system and is being developed for the treatment of acute musculoskeletal pain. Impracor penetrates the skin barrier to reach the targeted underlying tissues where it exerts its localized anti-inflammatory and analgesic effect. The topical delivery of the drug may minimize systemic exposure, which may in turn lead to fewer concerns pertaining to gastrointestinal, hepatic, cardiovascular and other adverse systemic effects, which are associated with orally administered NSAIDs. We believe that this product may be considered for patients with site specific localized pain and who also (i) have a history of gastrointestinal, cardiovascular, kidney or liver problems, (ii) are geriatric or pediatric and/or (iii) are at risk for drug interactions.</w:t>
      </w:r>
    </w:p>
    <w:p>
      <w:pPr>
        <w:pStyle w:val="TextBody"/>
        <w:spacing w:before="0" w:after="0"/>
        <w:ind w:left="0" w:right="0" w:firstLine="720"/>
        <w:jc w:val="left"/>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33" w:name="PGBRK3"/>
      <w:bookmarkStart w:id="34" w:name="PGBRK3"/>
      <w:bookmarkEnd w:id="3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35" w:name="FTR3"/>
      <w:bookmarkStart w:id="36" w:name="FTR3"/>
      <w:bookmarkEnd w:id="3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37" w:name="GLFTR2"/>
      <w:bookmarkEnd w:id="37"/>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helvetica" w:hAnsi="helvetica"/>
          <w:sz w:val="20"/>
        </w:rPr>
      </w:pPr>
      <w:bookmarkStart w:id="38" w:name="PN2"/>
      <w:bookmarkEnd w:id="38"/>
      <w:r>
        <w:rPr>
          <w:rFonts w:ascii="helvetica" w:hAnsi="helvetica"/>
          <w:sz w:val="20"/>
        </w:rPr>
        <w:t>1</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39" w:name="HDR2"/>
      <w:bookmarkStart w:id="40" w:name="HDR2"/>
      <w:bookmarkEnd w:id="4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41" w:name="GLHDR2"/>
      <w:bookmarkEnd w:id="41"/>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pPr>
      <w:r>
        <w:rPr/>
        <w:t> </w:t>
      </w:r>
    </w:p>
    <w:p>
      <w:pPr>
        <w:pStyle w:val="TextBody"/>
        <w:spacing w:before="0" w:after="0"/>
        <w:ind w:left="0" w:right="0" w:hanging="0"/>
        <w:jc w:val="both"/>
        <w:rPr>
          <w:b/>
        </w:rPr>
      </w:pPr>
      <w:r>
        <w:rPr>
          <w:rFonts w:ascii="helvetica" w:hAnsi="helvetica"/>
          <w:b/>
          <w:sz w:val="20"/>
        </w:rPr>
        <w:t>Completed Clinical Studies for Impracor</w:t>
      </w:r>
      <w:r>
        <w:rPr>
          <w:b/>
        </w:rPr>
        <w:t xml:space="preserve"> </w:t>
      </w:r>
    </w:p>
    <w:p>
      <w:pPr>
        <w:pStyle w:val="TextBody"/>
        <w:spacing w:before="0" w:after="0"/>
        <w:ind w:left="0" w:right="0" w:hanging="0"/>
        <w:jc w:val="both"/>
        <w:rPr/>
      </w:pPr>
      <w:r>
        <w:rPr/>
        <w:t> </w:t>
      </w:r>
    </w:p>
    <w:p>
      <w:pPr>
        <w:pStyle w:val="TextBody"/>
        <w:spacing w:before="0" w:after="0"/>
        <w:ind w:left="0" w:right="0" w:firstLine="720"/>
        <w:jc w:val="left"/>
        <w:rPr>
          <w:b/>
        </w:rPr>
      </w:pPr>
      <w:r>
        <w:rPr>
          <w:rFonts w:ascii="helvetica" w:hAnsi="helvetica"/>
          <w:b w:val="false"/>
          <w:sz w:val="20"/>
        </w:rPr>
        <w:t>In June 2008, we initiated a Phase 3 clinical trial designed as a randomized, double-blind, placebo-controlled, multi-center study that enrolled a total of 364 patients with acute soft tissue injuries of the upper or lower extremities in 26 centers in the United States.  As we reported in October 2009, the top-line results showed that the study demonstrated statistical significance in its primary endpoint in the per protocol analysis and was favorable for Impracor in the Intent-To Treat (ITT) analysis. Impracor also demonstrated a safety and tolerability profile similar to the placebo used in the study.  Of the over 180 patients treated with Impracor, there were no treatment related gastrointestinal, cardiovascular, hepatic or other clinically relevant adverse events (AEs) reported. Furthermore, Impracor was observed to be well absorbed through the skin and only minimal blood concentrations of ketoprofen were detected in a subset of patients who underwent blood sampling for pharmacokinetic (PK) analyses following repeated topical applications.</w:t>
      </w:r>
      <w:r>
        <w:rPr>
          <w:b/>
        </w:rPr>
        <w:t xml:space="preserve"> </w:t>
      </w:r>
    </w:p>
    <w:p>
      <w:pPr>
        <w:pStyle w:val="TextBody"/>
        <w:spacing w:before="0" w:after="0"/>
        <w:ind w:left="0" w:right="0" w:hanging="0"/>
        <w:jc w:val="both"/>
        <w:rPr/>
      </w:pPr>
      <w:r>
        <w:rPr/>
        <w:t> </w:t>
      </w:r>
    </w:p>
    <w:p>
      <w:pPr>
        <w:pStyle w:val="TextBody"/>
        <w:spacing w:before="0" w:after="0"/>
        <w:ind w:left="0" w:right="0" w:firstLine="720"/>
        <w:jc w:val="both"/>
        <w:rPr>
          <w:rFonts w:ascii="helvetica" w:hAnsi="helvetica"/>
          <w:sz w:val="20"/>
        </w:rPr>
      </w:pPr>
      <w:r>
        <w:rPr>
          <w:rFonts w:ascii="helvetica" w:hAnsi="helvetica"/>
          <w:sz w:val="20"/>
        </w:rPr>
        <w:t>In January 2010, we reported on further in-depth analyses of the ITT data from the Impracor Phase 3 study.  For the modified ITT analysis we identified 35 patients who did not meet study entry criteria at the time of randomization.  Excluding the data from these patients who should not have been randomized into the study based on information that was not known at the time of enrollment, the study demonstrated statistical significance (p&lt;0.038) on the primary efficacy endpoint.  This post-hoc analysis was confirmed by a third-party statistical expert.</w:t>
      </w:r>
    </w:p>
    <w:p>
      <w:pPr>
        <w:pStyle w:val="TextBody"/>
        <w:spacing w:before="0" w:after="0"/>
        <w:ind w:left="0" w:right="0" w:firstLine="720"/>
        <w:jc w:val="both"/>
        <w:rPr/>
      </w:pPr>
      <w:r>
        <w:rPr/>
        <w:t> </w:t>
      </w:r>
    </w:p>
    <w:p>
      <w:pPr>
        <w:pStyle w:val="TextBody"/>
        <w:spacing w:before="0" w:after="0"/>
        <w:ind w:left="0" w:right="0" w:firstLine="720"/>
        <w:jc w:val="both"/>
        <w:rPr/>
      </w:pPr>
      <w:r>
        <w:rPr>
          <w:rFonts w:ascii="helvetica" w:hAnsi="helvetica"/>
          <w:sz w:val="20"/>
        </w:rPr>
        <w:t>In February 2012, our management conducted an additional analysis of the ITT data and a body weight adjusted modified per protocol (“mPP”) analysis of those participants who completely complied with the Phase 3 Study protocol, including taking the recommended therapeutic quantity of the study drug.  This analysis excluded 52 participants from the ITT group who did not take a minimum therapeutic quantity of the study drug, and 20 patients who did not have a valid Day 3 primary end point assessment and 4 patients who were misdiagnosed.  This mPP analysis on 250 patients demonstrated statistical significance of the primary endpoint (p=0.034).</w:t>
      </w:r>
      <w:r>
        <w:rPr/>
        <w:t xml:space="preserve"> </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r>
        <w:rPr>
          <w:rFonts w:ascii="helvetica" w:hAnsi="helvetica"/>
          <w:sz w:val="20"/>
        </w:rPr>
        <w:t xml:space="preserve">We believe that the weight of evidence of a treatment effect in this study is further strengthened by a key secondary endpoint (pain intensity recorded three times daily on patient diary cards) that supports the primary endpoint. The patient diary data which yield pain curves over time show consistent separation between treatment groups reaching statistical significance in favor of Impracor using both the original and modified ITT population. Furthermore, the physician's global assessment, using a 7 Point Likert Scale, on day 3 produced statistically significant results (p=0.037), and a later exploratory analysis of the patient's global assessment of treatment satisfaction, using a binomial method, produced statistically significant results (p=0.023). </w:t>
      </w:r>
    </w:p>
    <w:p>
      <w:pPr>
        <w:pStyle w:val="TextBody"/>
        <w:spacing w:before="0" w:after="0"/>
        <w:ind w:left="0" w:right="0" w:hanging="0"/>
        <w:jc w:val="both"/>
        <w:rPr/>
      </w:pPr>
      <w:r>
        <w:rPr/>
        <w:t> </w:t>
      </w:r>
    </w:p>
    <w:p>
      <w:pPr>
        <w:pStyle w:val="TextBody"/>
        <w:spacing w:before="0" w:after="0"/>
        <w:ind w:left="0" w:right="0" w:hanging="0"/>
        <w:jc w:val="both"/>
        <w:rPr>
          <w:rFonts w:ascii="helvetica" w:hAnsi="helvetica"/>
          <w:sz w:val="20"/>
        </w:rPr>
      </w:pPr>
      <w:r>
        <w:rPr>
          <w:rFonts w:ascii="helvetica" w:hAnsi="helvetica"/>
          <w:b/>
          <w:sz w:val="20"/>
        </w:rPr>
        <w:t>Proposed Clinical Program for Impracor</w:t>
      </w:r>
      <w:r>
        <w:rPr>
          <w:rFonts w:ascii="helvetica" w:hAnsi="helvetica"/>
          <w:sz w:val="20"/>
        </w:rPr>
        <w:t xml:space="preserve"> </w:t>
      </w:r>
    </w:p>
    <w:p>
      <w:pPr>
        <w:pStyle w:val="TextBody"/>
        <w:spacing w:before="0" w:after="0"/>
        <w:jc w:val="left"/>
        <w:rPr/>
      </w:pPr>
      <w:r>
        <w:rPr/>
        <w:t>  </w:t>
      </w:r>
    </w:p>
    <w:p>
      <w:pPr>
        <w:pStyle w:val="TextBody"/>
        <w:spacing w:before="0" w:after="0"/>
        <w:ind w:left="0" w:right="0" w:firstLine="720"/>
        <w:jc w:val="left"/>
        <w:rPr>
          <w:rFonts w:ascii="helvetica" w:hAnsi="helvetica"/>
          <w:sz w:val="20"/>
        </w:rPr>
      </w:pPr>
      <w:r>
        <w:rPr>
          <w:rFonts w:ascii="helvetica" w:hAnsi="helvetica"/>
          <w:sz w:val="20"/>
        </w:rPr>
        <w:t>For Impracor to be approved by the FDA, an additional two confirmatory Phase 3 trials with exposure of at least 300 to 500 patients and supportive dermal safety studies are required. As required by the FDA, we expect to initiate routine supportive trials in healthy patients related to the potential contact sensitization and to study the absorption (blood levels) of ketoprofen during concurrent exercise and heat exposure, as well as the relative bioavailability of Impracor or topical ketoprofen versus oral ketoprofen.  We expect that all clinical studies will be executed with the professional help of clinical research organizations (CROs) with experience in clinical trials of similar design. We are in the process of selecting and negotiating arrangements with potential CROs and other third parties in order to initiate our Phase 3 clinical trials.</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r>
        <w:rPr>
          <w:rFonts w:ascii="helvetica" w:hAnsi="helvetica"/>
          <w:sz w:val="20"/>
        </w:rPr>
        <w:t>Initially we plan to commence two Phase 3 studies of Impracor in patients experiencing pain from osteoarthritis flare in their hands or knees.  The U.S. Food and Drug Administration (FDA) has indicated that the osteoarthritis flare study design is an acceptable clinical model of acute pain.  The Phase 3 program is being planned to encompass two double-blind placebo controlled Phase 3 osteoarthritis flare trials in approximately 330 to 360 patients each in 35 to 50 sites throughout the United States. Following a NSAID wash-out period, the proposed design study has the patients dosed with placebo or Impracor three times daily for 14 days. The primary endpoint for both trials is expected to employ well accepted pain measurements, which will be measured on day 14.  It is expected that the planned trials, if successful, would provide sufficient data for subsequent registration filing to the FDA.</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r>
        <w:rPr>
          <w:rFonts w:ascii="helvetica" w:hAnsi="helvetica"/>
          <w:sz w:val="20"/>
        </w:rPr>
        <w:t>Following successful completion of our clinical trials, we plan to file a New Drug Application for marketing authorization for Impracor under Section 505(b)(2) of the Hatch-Waxman Act of 1984, a regulatory route towards FDA approval, which allows referencing our submission to previously established safety and/or effectiveness of already approved ketoprofen products in other dosage forms.  We believe that this route provides the most attractive path for Impracor to reach the market.</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r>
        <w:rPr>
          <w:rFonts w:ascii="helvetica" w:hAnsi="helvetica"/>
          <w:sz w:val="20"/>
        </w:rPr>
        <w:t>The timing of Phase 3 trials and the other supportive studies will be dependent on obtaining adequate financing to support the execution of these activities and for other working capital expenditures, as well as feedback from the FDA.  Upon receipt of such financing, we anticipate initiating the supportive studies and Phase 3 trials in late 2012 and early 2013.  Assuming successful completion and outcome of the additional Phase 3 trials, we would expect to file the New Drug Application in 2014.</w:t>
      </w:r>
    </w:p>
    <w:p>
      <w:pPr>
        <w:pStyle w:val="TextBody"/>
        <w:spacing w:before="0" w:after="0"/>
        <w:ind w:left="0" w:right="0" w:firstLine="720"/>
        <w:jc w:val="left"/>
        <w:rPr/>
      </w:pPr>
      <w:r>
        <w:rPr/>
        <w:t> </w:t>
      </w:r>
    </w:p>
    <w:p>
      <w:pPr>
        <w:pStyle w:val="TextBody"/>
        <w:spacing w:before="0" w:after="0"/>
        <w:ind w:left="0" w:right="0" w:firstLine="720"/>
        <w:jc w:val="left"/>
        <w:rPr>
          <w:rFonts w:ascii="helvetica" w:hAnsi="helvetica"/>
          <w:sz w:val="20"/>
        </w:rPr>
      </w:pPr>
      <w:r>
        <w:rPr>
          <w:rFonts w:ascii="helvetica" w:hAnsi="helvetica"/>
          <w:sz w:val="20"/>
        </w:rPr>
        <w:t>We expect that Impracor, if approved by the FDA, could become one of the first NSAID cream products available by prescription in the United States for the topical treatment of acute musculoskeletal pain. </w:t>
      </w:r>
    </w:p>
    <w:p>
      <w:pPr>
        <w:pStyle w:val="TextBody"/>
        <w:spacing w:before="0" w:after="0"/>
        <w:ind w:left="0" w:right="0" w:hanging="0"/>
        <w:jc w:val="both"/>
        <w:rPr/>
      </w:pPr>
      <w:r>
        <w:rPr/>
        <w:t> </w:t>
      </w:r>
    </w:p>
    <w:p>
      <w:pPr>
        <w:pStyle w:val="TextBody"/>
        <w:spacing w:before="0" w:after="0"/>
        <w:ind w:left="0" w:right="0" w:hanging="0"/>
        <w:jc w:val="left"/>
        <w:rPr>
          <w:rFonts w:ascii="helvetica" w:hAnsi="helvetica"/>
          <w:b/>
          <w:sz w:val="20"/>
        </w:rPr>
      </w:pPr>
      <w:r>
        <w:rPr>
          <w:rFonts w:ascii="helvetica" w:hAnsi="helvetica"/>
          <w:b/>
          <w:sz w:val="20"/>
        </w:rPr>
        <w:t>The Accudel Technology</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r>
        <w:rPr>
          <w:rFonts w:ascii="helvetica" w:hAnsi="helvetica"/>
          <w:sz w:val="20"/>
        </w:rPr>
        <w:t>Accudel is our proprietary transdermal cream drug delivery platform which can facilitate the transdermal penetration of drugs, thus enabling the avoidance of first pass metabolism by the liver and minimizing systemic exposure.  The following diagram provides a schematic of the Accudel drug delivery system:</w:t>
      </w:r>
    </w:p>
    <w:p>
      <w:pPr>
        <w:pStyle w:val="TextBody"/>
        <w:spacing w:before="0" w:after="0"/>
        <w:ind w:left="0" w:right="0" w:firstLine="720"/>
        <w:jc w:val="left"/>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42" w:name="PGBRK4"/>
      <w:bookmarkStart w:id="43" w:name="PGBRK4"/>
      <w:bookmarkEnd w:id="4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44" w:name="FTR4"/>
      <w:bookmarkStart w:id="45" w:name="FTR4"/>
      <w:bookmarkEnd w:id="4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46" w:name="GLFTR3"/>
      <w:bookmarkEnd w:id="46"/>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helvetica" w:hAnsi="helvetica"/>
          <w:sz w:val="20"/>
        </w:rPr>
      </w:pPr>
      <w:bookmarkStart w:id="47" w:name="PN3"/>
      <w:bookmarkEnd w:id="47"/>
      <w:r>
        <w:rPr>
          <w:rFonts w:ascii="helvetica" w:hAnsi="helvetica"/>
          <w:sz w:val="20"/>
        </w:rPr>
        <w:t>2</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48" w:name="HDR3"/>
      <w:bookmarkStart w:id="49" w:name="HDR3"/>
      <w:bookmarkEnd w:id="4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50" w:name="GLHDR3"/>
      <w:bookmarkEnd w:id="50"/>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firstLine="720"/>
        <w:jc w:val="left"/>
        <w:rPr/>
      </w:pPr>
      <w:r>
        <w:rPr/>
        <w:t> </w:t>
      </w:r>
    </w:p>
    <w:p>
      <w:pPr>
        <w:pStyle w:val="TextBody"/>
        <w:spacing w:before="0" w:after="0"/>
        <w:ind w:left="0" w:right="0" w:firstLine="720"/>
        <w:jc w:val="left"/>
        <w:rPr/>
      </w:pPr>
      <w:r>
        <w:rPr/>
        <w:t xml:space="preserve">  </w:t>
      </w:r>
    </w:p>
    <w:p>
      <w:pPr>
        <w:pStyle w:val="TextBody"/>
        <w:spacing w:before="0" w:after="0"/>
        <w:ind w:left="0" w:right="0" w:hanging="0"/>
        <w:jc w:val="both"/>
        <w:rPr/>
      </w:pPr>
      <w:r>
        <w:rPr/>
        <w:drawing>
          <wp:inline distT="0" distB="0" distL="0" distR="0">
            <wp:extent cx="3829050" cy="27908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3829050" cy="2790825"/>
                    </a:xfrm>
                    <a:prstGeom prst="rect">
                      <a:avLst/>
                    </a:prstGeom>
                  </pic:spPr>
                </pic:pic>
              </a:graphicData>
            </a:graphic>
          </wp:inline>
        </w:drawing>
      </w:r>
    </w:p>
    <w:p>
      <w:pPr>
        <w:pStyle w:val="TextBody"/>
        <w:spacing w:before="0" w:after="0"/>
        <w:ind w:left="0" w:right="0" w:hanging="0"/>
        <w:jc w:val="both"/>
        <w:rPr/>
      </w:pPr>
      <w:r>
        <w:rPr/>
        <w:t> </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r>
        <w:rPr>
          <w:rFonts w:ascii="helvetica" w:hAnsi="helvetica"/>
          <w:sz w:val="20"/>
        </w:rPr>
        <w:t>Accudel has the following properties, which make it a highly versatile vehicle for topical drug administration:</w:t>
      </w:r>
    </w:p>
    <w:p>
      <w:pPr>
        <w:pStyle w:val="TextBody"/>
        <w:spacing w:before="0" w:after="0"/>
        <w:ind w:left="0" w:right="0" w:hanging="0"/>
        <w:jc w:val="both"/>
        <w:rPr/>
      </w:pPr>
      <w:r>
        <w:rPr/>
        <w:t> </w:t>
      </w:r>
    </w:p>
    <w:p>
      <w:pPr>
        <w:pStyle w:val="Normal"/>
        <w:spacing w:before="0" w:after="0"/>
        <w:rPr>
          <w:sz w:val="4"/>
          <w:szCs w:val="4"/>
        </w:rPr>
      </w:pPr>
      <w:r>
        <w:rPr>
          <w:sz w:val="4"/>
          <w:szCs w:val="4"/>
        </w:rPr>
      </w:r>
      <w:bookmarkStart w:id="51" w:name="list3"/>
      <w:bookmarkStart w:id="52" w:name="list3"/>
      <w:bookmarkEnd w:id="52"/>
    </w:p>
    <w:tbl>
      <w:tblPr>
        <w:tblW w:w="5000" w:type="pct"/>
        <w:jc w:val="left"/>
        <w:tblInd w:w="0" w:type="dxa"/>
        <w:tblCellMar>
          <w:top w:w="0" w:type="dxa"/>
          <w:left w:w="0" w:type="dxa"/>
          <w:bottom w:w="0" w:type="dxa"/>
          <w:right w:w="0" w:type="dxa"/>
        </w:tblCellMar>
      </w:tblPr>
      <w:tblGrid>
        <w:gridCol w:w="304"/>
        <w:gridCol w:w="9901"/>
      </w:tblGrid>
      <w:tr>
        <w:trPr/>
        <w:tc>
          <w:tcPr>
            <w:tcW w:w="304" w:type="dxa"/>
            <w:tcBorders/>
            <w:shd w:fill="auto" w:val="clear"/>
          </w:tcPr>
          <w:p>
            <w:pPr>
              <w:pStyle w:val="TableContents"/>
              <w:spacing w:before="0" w:after="0"/>
              <w:jc w:val="right"/>
              <w:rPr/>
            </w:pPr>
            <w:r>
              <w:rPr/>
              <w:t>●  </w:t>
            </w:r>
          </w:p>
        </w:tc>
        <w:tc>
          <w:tcPr>
            <w:tcW w:w="9901" w:type="dxa"/>
            <w:tcBorders/>
            <w:shd w:fill="auto" w:val="clear"/>
          </w:tcPr>
          <w:p>
            <w:pPr>
              <w:pStyle w:val="TableContents"/>
              <w:spacing w:before="0" w:after="0"/>
              <w:ind w:left="0" w:right="0" w:hanging="0"/>
              <w:jc w:val="both"/>
              <w:rPr>
                <w:rFonts w:ascii="helvetica" w:hAnsi="helvetica"/>
                <w:sz w:val="20"/>
              </w:rPr>
            </w:pPr>
            <w:r>
              <w:rPr>
                <w:rFonts w:ascii="helvetica" w:hAnsi="helvetica"/>
                <w:sz w:val="20"/>
              </w:rPr>
              <w:t>utilizes a pluronic lecithin organogel (PLO) based matrix which is known to penetrate the stratum corneum and aid in the diffusion of active ingredients through the skin;</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53" w:name="list4"/>
      <w:bookmarkStart w:id="54" w:name="list4"/>
      <w:bookmarkEnd w:id="54"/>
    </w:p>
    <w:tbl>
      <w:tblPr>
        <w:tblW w:w="5000" w:type="pct"/>
        <w:jc w:val="left"/>
        <w:tblInd w:w="0" w:type="dxa"/>
        <w:tblCellMar>
          <w:top w:w="0" w:type="dxa"/>
          <w:left w:w="0" w:type="dxa"/>
          <w:bottom w:w="0" w:type="dxa"/>
          <w:right w:w="0" w:type="dxa"/>
        </w:tblCellMar>
      </w:tblPr>
      <w:tblGrid>
        <w:gridCol w:w="350"/>
        <w:gridCol w:w="9855"/>
      </w:tblGrid>
      <w:tr>
        <w:trPr/>
        <w:tc>
          <w:tcPr>
            <w:tcW w:w="350" w:type="dxa"/>
            <w:tcBorders/>
            <w:shd w:fill="auto" w:val="clear"/>
          </w:tcPr>
          <w:p>
            <w:pPr>
              <w:pStyle w:val="TableContents"/>
              <w:spacing w:before="0" w:after="0"/>
              <w:jc w:val="right"/>
              <w:rPr/>
            </w:pPr>
            <w:r>
              <w:rPr/>
              <w:t>●  </w:t>
            </w:r>
          </w:p>
        </w:tc>
        <w:tc>
          <w:tcPr>
            <w:tcW w:w="9855" w:type="dxa"/>
            <w:tcBorders/>
            <w:shd w:fill="auto" w:val="clear"/>
          </w:tcPr>
          <w:p>
            <w:pPr>
              <w:pStyle w:val="TableContents"/>
              <w:spacing w:before="0" w:after="0"/>
              <w:ind w:left="0" w:right="0" w:hanging="0"/>
              <w:jc w:val="both"/>
              <w:rPr>
                <w:rFonts w:ascii="helvetica" w:hAnsi="helvetica"/>
                <w:sz w:val="20"/>
              </w:rPr>
            </w:pPr>
            <w:r>
              <w:rPr>
                <w:rFonts w:ascii="helvetica" w:hAnsi="helvetica"/>
                <w:sz w:val="20"/>
              </w:rPr>
              <w:t>helps solubilize various types of drugs and its components (lipophilic, hydrophilic and amphiphilic);</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55" w:name="list5"/>
      <w:bookmarkStart w:id="56" w:name="list5"/>
      <w:bookmarkEnd w:id="56"/>
    </w:p>
    <w:tbl>
      <w:tblPr>
        <w:tblW w:w="5000" w:type="pct"/>
        <w:jc w:val="left"/>
        <w:tblInd w:w="0" w:type="dxa"/>
        <w:tblCellMar>
          <w:top w:w="0" w:type="dxa"/>
          <w:left w:w="0" w:type="dxa"/>
          <w:bottom w:w="0" w:type="dxa"/>
          <w:right w:w="0" w:type="dxa"/>
        </w:tblCellMar>
      </w:tblPr>
      <w:tblGrid>
        <w:gridCol w:w="588"/>
        <w:gridCol w:w="9617"/>
      </w:tblGrid>
      <w:tr>
        <w:trPr/>
        <w:tc>
          <w:tcPr>
            <w:tcW w:w="588" w:type="dxa"/>
            <w:tcBorders/>
            <w:shd w:fill="auto" w:val="clear"/>
          </w:tcPr>
          <w:p>
            <w:pPr>
              <w:pStyle w:val="TableContents"/>
              <w:spacing w:before="0" w:after="0"/>
              <w:jc w:val="right"/>
              <w:rPr/>
            </w:pPr>
            <w:r>
              <w:rPr/>
              <w:t>●  </w:t>
            </w:r>
          </w:p>
        </w:tc>
        <w:tc>
          <w:tcPr>
            <w:tcW w:w="9617" w:type="dxa"/>
            <w:tcBorders/>
            <w:shd w:fill="auto" w:val="clear"/>
          </w:tcPr>
          <w:p>
            <w:pPr>
              <w:pStyle w:val="TableContents"/>
              <w:spacing w:before="0" w:after="0"/>
              <w:ind w:left="0" w:right="0" w:hanging="0"/>
              <w:jc w:val="both"/>
              <w:rPr>
                <w:rFonts w:ascii="helvetica" w:hAnsi="helvetica"/>
                <w:sz w:val="20"/>
              </w:rPr>
            </w:pPr>
            <w:r>
              <w:rPr>
                <w:rFonts w:ascii="helvetica" w:hAnsi="helvetica"/>
                <w:sz w:val="20"/>
              </w:rPr>
              <w:t>uses penetration enhancers in a synergistic combination;</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57" w:name="list6"/>
      <w:bookmarkStart w:id="58" w:name="list6"/>
      <w:bookmarkEnd w:id="58"/>
    </w:p>
    <w:tbl>
      <w:tblPr>
        <w:tblW w:w="5000" w:type="pct"/>
        <w:jc w:val="left"/>
        <w:tblInd w:w="0" w:type="dxa"/>
        <w:tblCellMar>
          <w:top w:w="0" w:type="dxa"/>
          <w:left w:w="0" w:type="dxa"/>
          <w:bottom w:w="0" w:type="dxa"/>
          <w:right w:w="0" w:type="dxa"/>
        </w:tblCellMar>
      </w:tblPr>
      <w:tblGrid>
        <w:gridCol w:w="605"/>
        <w:gridCol w:w="9600"/>
      </w:tblGrid>
      <w:tr>
        <w:trPr/>
        <w:tc>
          <w:tcPr>
            <w:tcW w:w="605" w:type="dxa"/>
            <w:tcBorders/>
            <w:shd w:fill="auto" w:val="clear"/>
          </w:tcPr>
          <w:p>
            <w:pPr>
              <w:pStyle w:val="TableContents"/>
              <w:spacing w:before="0" w:after="0"/>
              <w:jc w:val="right"/>
              <w:rPr/>
            </w:pPr>
            <w:r>
              <w:rPr/>
              <w:t>●  </w:t>
            </w:r>
          </w:p>
        </w:tc>
        <w:tc>
          <w:tcPr>
            <w:tcW w:w="9600" w:type="dxa"/>
            <w:tcBorders/>
            <w:shd w:fill="auto" w:val="clear"/>
          </w:tcPr>
          <w:p>
            <w:pPr>
              <w:pStyle w:val="TableContents"/>
              <w:spacing w:before="0" w:after="0"/>
              <w:ind w:left="0" w:right="0" w:hanging="0"/>
              <w:jc w:val="both"/>
              <w:rPr>
                <w:rFonts w:ascii="helvetica" w:hAnsi="helvetica"/>
                <w:sz w:val="20"/>
              </w:rPr>
            </w:pPr>
            <w:r>
              <w:rPr>
                <w:rFonts w:ascii="helvetica" w:hAnsi="helvetica"/>
                <w:sz w:val="20"/>
              </w:rPr>
              <w:t>can incorporate compounds of various molecular sizes;</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59" w:name="list7"/>
      <w:bookmarkStart w:id="60" w:name="list7"/>
      <w:bookmarkEnd w:id="60"/>
    </w:p>
    <w:tbl>
      <w:tblPr>
        <w:tblW w:w="5000" w:type="pct"/>
        <w:jc w:val="left"/>
        <w:tblInd w:w="0" w:type="dxa"/>
        <w:tblCellMar>
          <w:top w:w="0" w:type="dxa"/>
          <w:left w:w="0" w:type="dxa"/>
          <w:bottom w:w="0" w:type="dxa"/>
          <w:right w:w="0" w:type="dxa"/>
        </w:tblCellMar>
      </w:tblPr>
      <w:tblGrid>
        <w:gridCol w:w="364"/>
        <w:gridCol w:w="9841"/>
      </w:tblGrid>
      <w:tr>
        <w:trPr/>
        <w:tc>
          <w:tcPr>
            <w:tcW w:w="364" w:type="dxa"/>
            <w:tcBorders/>
            <w:shd w:fill="auto" w:val="clear"/>
          </w:tcPr>
          <w:p>
            <w:pPr>
              <w:pStyle w:val="TableContents"/>
              <w:spacing w:before="0" w:after="0"/>
              <w:jc w:val="right"/>
              <w:rPr/>
            </w:pPr>
            <w:r>
              <w:rPr/>
              <w:t>●  </w:t>
            </w:r>
          </w:p>
        </w:tc>
        <w:tc>
          <w:tcPr>
            <w:tcW w:w="9841" w:type="dxa"/>
            <w:tcBorders/>
            <w:shd w:fill="auto" w:val="clear"/>
          </w:tcPr>
          <w:p>
            <w:pPr>
              <w:pStyle w:val="TableContents"/>
              <w:spacing w:before="0" w:after="0"/>
              <w:ind w:left="0" w:right="0" w:hanging="0"/>
              <w:jc w:val="both"/>
              <w:rPr>
                <w:rFonts w:ascii="helvetica" w:hAnsi="helvetica"/>
                <w:sz w:val="20"/>
              </w:rPr>
            </w:pPr>
            <w:r>
              <w:rPr>
                <w:rFonts w:ascii="helvetica" w:hAnsi="helvetica"/>
                <w:sz w:val="20"/>
              </w:rPr>
              <w:t>contains biocompatible components which are generally regarded as safe (GRAS) by the FDA;</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61" w:name="list8"/>
      <w:bookmarkStart w:id="62" w:name="list8"/>
      <w:bookmarkEnd w:id="62"/>
    </w:p>
    <w:tbl>
      <w:tblPr>
        <w:tblW w:w="5000" w:type="pct"/>
        <w:jc w:val="left"/>
        <w:tblInd w:w="0" w:type="dxa"/>
        <w:tblCellMar>
          <w:top w:w="0" w:type="dxa"/>
          <w:left w:w="0" w:type="dxa"/>
          <w:bottom w:w="0" w:type="dxa"/>
          <w:right w:w="0" w:type="dxa"/>
        </w:tblCellMar>
      </w:tblPr>
      <w:tblGrid>
        <w:gridCol w:w="368"/>
        <w:gridCol w:w="9837"/>
      </w:tblGrid>
      <w:tr>
        <w:trPr/>
        <w:tc>
          <w:tcPr>
            <w:tcW w:w="368" w:type="dxa"/>
            <w:tcBorders/>
            <w:shd w:fill="auto" w:val="clear"/>
          </w:tcPr>
          <w:p>
            <w:pPr>
              <w:pStyle w:val="TableContents"/>
              <w:spacing w:before="0" w:after="0"/>
              <w:jc w:val="right"/>
              <w:rPr/>
            </w:pPr>
            <w:r>
              <w:rPr/>
              <w:t>●  </w:t>
            </w:r>
          </w:p>
        </w:tc>
        <w:tc>
          <w:tcPr>
            <w:tcW w:w="9837" w:type="dxa"/>
            <w:tcBorders/>
            <w:shd w:fill="auto" w:val="clear"/>
          </w:tcPr>
          <w:p>
            <w:pPr>
              <w:pStyle w:val="TableContents"/>
              <w:spacing w:before="0" w:after="0"/>
              <w:ind w:left="0" w:right="0" w:hanging="0"/>
              <w:jc w:val="both"/>
              <w:rPr>
                <w:rFonts w:ascii="helvetica" w:hAnsi="helvetica"/>
                <w:sz w:val="20"/>
              </w:rPr>
            </w:pPr>
            <w:r>
              <w:rPr>
                <w:rFonts w:ascii="helvetica" w:hAnsi="helvetica"/>
                <w:sz w:val="20"/>
              </w:rPr>
              <w:t>is thermodynamically stable, insensitive to moisture and resistant to microbial contamination;</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63" w:name="list9"/>
      <w:bookmarkStart w:id="64" w:name="list9"/>
      <w:bookmarkEnd w:id="64"/>
    </w:p>
    <w:tbl>
      <w:tblPr>
        <w:tblW w:w="5000" w:type="pct"/>
        <w:jc w:val="left"/>
        <w:tblInd w:w="0" w:type="dxa"/>
        <w:tblCellMar>
          <w:top w:w="0" w:type="dxa"/>
          <w:left w:w="0" w:type="dxa"/>
          <w:bottom w:w="0" w:type="dxa"/>
          <w:right w:w="0" w:type="dxa"/>
        </w:tblCellMar>
      </w:tblPr>
      <w:tblGrid>
        <w:gridCol w:w="380"/>
        <w:gridCol w:w="9825"/>
      </w:tblGrid>
      <w:tr>
        <w:trPr/>
        <w:tc>
          <w:tcPr>
            <w:tcW w:w="380" w:type="dxa"/>
            <w:tcBorders/>
            <w:shd w:fill="auto" w:val="clear"/>
          </w:tcPr>
          <w:p>
            <w:pPr>
              <w:pStyle w:val="TableContents"/>
              <w:spacing w:before="0" w:after="0"/>
              <w:jc w:val="right"/>
              <w:rPr/>
            </w:pPr>
            <w:r>
              <w:rPr/>
              <w:t>●  </w:t>
            </w:r>
          </w:p>
        </w:tc>
        <w:tc>
          <w:tcPr>
            <w:tcW w:w="9825" w:type="dxa"/>
            <w:tcBorders/>
            <w:shd w:fill="auto" w:val="clear"/>
          </w:tcPr>
          <w:p>
            <w:pPr>
              <w:pStyle w:val="TableContents"/>
              <w:spacing w:before="0" w:after="0"/>
              <w:ind w:left="0" w:right="0" w:hanging="0"/>
              <w:jc w:val="both"/>
              <w:rPr>
                <w:rFonts w:ascii="helvetica" w:hAnsi="helvetica"/>
                <w:sz w:val="20"/>
              </w:rPr>
            </w:pPr>
            <w:r>
              <w:rPr>
                <w:rFonts w:ascii="helvetica" w:hAnsi="helvetica"/>
                <w:sz w:val="20"/>
              </w:rPr>
              <w:t>potentially results in decreased safety concerns associated with oral or intravenous drugs;</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65" w:name="list10"/>
      <w:bookmarkStart w:id="66" w:name="list10"/>
      <w:bookmarkEnd w:id="66"/>
    </w:p>
    <w:tbl>
      <w:tblPr>
        <w:tblW w:w="5000" w:type="pct"/>
        <w:jc w:val="left"/>
        <w:tblInd w:w="0" w:type="dxa"/>
        <w:tblCellMar>
          <w:top w:w="0" w:type="dxa"/>
          <w:left w:w="0" w:type="dxa"/>
          <w:bottom w:w="0" w:type="dxa"/>
          <w:right w:w="0" w:type="dxa"/>
        </w:tblCellMar>
      </w:tblPr>
      <w:tblGrid>
        <w:gridCol w:w="536"/>
        <w:gridCol w:w="9669"/>
      </w:tblGrid>
      <w:tr>
        <w:trPr/>
        <w:tc>
          <w:tcPr>
            <w:tcW w:w="536" w:type="dxa"/>
            <w:tcBorders/>
            <w:shd w:fill="auto" w:val="clear"/>
          </w:tcPr>
          <w:p>
            <w:pPr>
              <w:pStyle w:val="TableContents"/>
              <w:spacing w:before="0" w:after="0"/>
              <w:jc w:val="right"/>
              <w:rPr/>
            </w:pPr>
            <w:r>
              <w:rPr/>
              <w:t>●  </w:t>
            </w:r>
          </w:p>
        </w:tc>
        <w:tc>
          <w:tcPr>
            <w:tcW w:w="9669" w:type="dxa"/>
            <w:tcBorders/>
            <w:shd w:fill="auto" w:val="clear"/>
          </w:tcPr>
          <w:p>
            <w:pPr>
              <w:pStyle w:val="TableContents"/>
              <w:spacing w:before="0" w:after="0"/>
              <w:ind w:left="0" w:right="0" w:hanging="0"/>
              <w:jc w:val="both"/>
              <w:rPr>
                <w:rFonts w:ascii="helvetica" w:hAnsi="helvetica"/>
                <w:sz w:val="20"/>
              </w:rPr>
            </w:pPr>
            <w:r>
              <w:rPr>
                <w:rFonts w:ascii="helvetica" w:hAnsi="helvetica"/>
                <w:sz w:val="20"/>
              </w:rPr>
              <w:t>avoids certain limitations associated with transdermal patches;</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67" w:name="list11"/>
      <w:bookmarkStart w:id="68" w:name="list11"/>
      <w:bookmarkEnd w:id="68"/>
    </w:p>
    <w:tbl>
      <w:tblPr>
        <w:tblW w:w="5000" w:type="pct"/>
        <w:jc w:val="left"/>
        <w:tblInd w:w="0" w:type="dxa"/>
        <w:tblCellMar>
          <w:top w:w="0" w:type="dxa"/>
          <w:left w:w="0" w:type="dxa"/>
          <w:bottom w:w="0" w:type="dxa"/>
          <w:right w:w="0" w:type="dxa"/>
        </w:tblCellMar>
      </w:tblPr>
      <w:tblGrid>
        <w:gridCol w:w="561"/>
        <w:gridCol w:w="9644"/>
      </w:tblGrid>
      <w:tr>
        <w:trPr/>
        <w:tc>
          <w:tcPr>
            <w:tcW w:w="561" w:type="dxa"/>
            <w:tcBorders/>
            <w:shd w:fill="auto" w:val="clear"/>
          </w:tcPr>
          <w:p>
            <w:pPr>
              <w:pStyle w:val="TableContents"/>
              <w:spacing w:before="0" w:after="0"/>
              <w:jc w:val="right"/>
              <w:rPr/>
            </w:pPr>
            <w:r>
              <w:rPr/>
              <w:t>●  </w:t>
            </w:r>
          </w:p>
        </w:tc>
        <w:tc>
          <w:tcPr>
            <w:tcW w:w="9644" w:type="dxa"/>
            <w:tcBorders/>
            <w:shd w:fill="auto" w:val="clear"/>
          </w:tcPr>
          <w:p>
            <w:pPr>
              <w:pStyle w:val="TableContents"/>
              <w:spacing w:before="0" w:after="0"/>
              <w:ind w:left="0" w:right="0" w:hanging="0"/>
              <w:jc w:val="both"/>
              <w:rPr>
                <w:rFonts w:ascii="helvetica" w:hAnsi="helvetica"/>
                <w:sz w:val="20"/>
              </w:rPr>
            </w:pPr>
            <w:r>
              <w:rPr>
                <w:rFonts w:ascii="helvetica" w:hAnsi="helvetica"/>
                <w:sz w:val="20"/>
              </w:rPr>
              <w:t>is easy to apply, aesthetically acceptable and odorless; and</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69" w:name="list12"/>
      <w:bookmarkStart w:id="70" w:name="list12"/>
      <w:bookmarkEnd w:id="70"/>
    </w:p>
    <w:tbl>
      <w:tblPr>
        <w:tblW w:w="5000" w:type="pct"/>
        <w:jc w:val="left"/>
        <w:tblInd w:w="0" w:type="dxa"/>
        <w:tblCellMar>
          <w:top w:w="0" w:type="dxa"/>
          <w:left w:w="0" w:type="dxa"/>
          <w:bottom w:w="0" w:type="dxa"/>
          <w:right w:w="0" w:type="dxa"/>
        </w:tblCellMar>
      </w:tblPr>
      <w:tblGrid>
        <w:gridCol w:w="372"/>
        <w:gridCol w:w="9833"/>
      </w:tblGrid>
      <w:tr>
        <w:trPr/>
        <w:tc>
          <w:tcPr>
            <w:tcW w:w="372" w:type="dxa"/>
            <w:tcBorders/>
            <w:shd w:fill="auto" w:val="clear"/>
          </w:tcPr>
          <w:p>
            <w:pPr>
              <w:pStyle w:val="TableContents"/>
              <w:spacing w:before="0" w:after="0"/>
              <w:jc w:val="right"/>
              <w:rPr/>
            </w:pPr>
            <w:r>
              <w:rPr/>
              <w:t>●  </w:t>
            </w:r>
          </w:p>
        </w:tc>
        <w:tc>
          <w:tcPr>
            <w:tcW w:w="9833" w:type="dxa"/>
            <w:tcBorders/>
            <w:shd w:fill="auto" w:val="clear"/>
          </w:tcPr>
          <w:p>
            <w:pPr>
              <w:pStyle w:val="TableContents"/>
              <w:spacing w:before="0" w:after="0"/>
              <w:ind w:left="0" w:right="0" w:hanging="0"/>
              <w:jc w:val="both"/>
              <w:rPr>
                <w:rFonts w:ascii="helvetica" w:hAnsi="helvetica"/>
                <w:sz w:val="20"/>
              </w:rPr>
            </w:pPr>
            <w:r>
              <w:rPr>
                <w:rFonts w:ascii="helvetica" w:hAnsi="helvetica"/>
                <w:sz w:val="20"/>
              </w:rPr>
              <w:t>potentially produces patentable new products when combined with established or new drugs.</w:t>
            </w:r>
          </w:p>
        </w:tc>
      </w:tr>
    </w:tbl>
    <w:p>
      <w:pPr>
        <w:pStyle w:val="TextBody"/>
        <w:spacing w:before="0" w:after="0"/>
        <w:ind w:left="0" w:right="0" w:hanging="0"/>
        <w:jc w:val="both"/>
        <w:rPr/>
      </w:pPr>
      <w:r>
        <w:rPr/>
        <w:t> </w:t>
      </w:r>
    </w:p>
    <w:p>
      <w:pPr>
        <w:pStyle w:val="TextBody"/>
        <w:spacing w:before="0" w:after="0"/>
        <w:ind w:left="0" w:right="0" w:firstLine="720"/>
        <w:jc w:val="left"/>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71" w:name="PGBRK5"/>
      <w:bookmarkStart w:id="72" w:name="PGBRK5"/>
      <w:bookmarkEnd w:id="7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73" w:name="FTR5"/>
      <w:bookmarkStart w:id="74" w:name="FTR5"/>
      <w:bookmarkEnd w:id="7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75" w:name="GLFTR4"/>
      <w:bookmarkEnd w:id="75"/>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helvetica" w:hAnsi="helvetica"/>
          <w:sz w:val="20"/>
        </w:rPr>
      </w:pPr>
      <w:bookmarkStart w:id="76" w:name="PN4"/>
      <w:bookmarkEnd w:id="76"/>
      <w:r>
        <w:rPr>
          <w:rFonts w:ascii="helvetica" w:hAnsi="helvetica"/>
          <w:sz w:val="20"/>
        </w:rPr>
        <w:t>3</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77" w:name="HDR4"/>
      <w:bookmarkStart w:id="78" w:name="HDR4"/>
      <w:bookmarkEnd w:id="7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79" w:name="GLHDR4"/>
      <w:bookmarkEnd w:id="79"/>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pPr>
      <w:r>
        <w:rPr/>
        <w:t> </w:t>
      </w:r>
    </w:p>
    <w:p>
      <w:pPr>
        <w:pStyle w:val="TextBody"/>
        <w:spacing w:before="0" w:after="0"/>
        <w:ind w:left="0" w:right="0" w:hanging="0"/>
        <w:jc w:val="left"/>
        <w:rPr/>
      </w:pPr>
      <w:r>
        <w:rPr>
          <w:rFonts w:ascii="helvetica" w:hAnsi="helvetica"/>
          <w:b/>
          <w:sz w:val="20"/>
        </w:rPr>
        <w:t>Product Development Program</w:t>
      </w:r>
      <w:r>
        <w:rPr/>
        <w:t xml:space="preserve"> </w:t>
      </w:r>
    </w:p>
    <w:p>
      <w:pPr>
        <w:pStyle w:val="TextBody"/>
        <w:spacing w:before="0" w:after="0"/>
        <w:ind w:left="0" w:right="0" w:hanging="0"/>
        <w:jc w:val="both"/>
        <w:rPr/>
      </w:pPr>
      <w:r>
        <w:rPr/>
        <w:t> </w:t>
      </w:r>
    </w:p>
    <w:p>
      <w:pPr>
        <w:pStyle w:val="TextBody"/>
        <w:spacing w:before="0" w:after="0"/>
        <w:ind w:left="0" w:right="0" w:firstLine="720"/>
        <w:jc w:val="left"/>
        <w:rPr/>
      </w:pPr>
      <w:r>
        <w:rPr>
          <w:rFonts w:ascii="helvetica" w:hAnsi="helvetica"/>
          <w:sz w:val="20"/>
        </w:rPr>
        <w:t>We believe that the clinical success of Impracor will facilitate the use of the Accudel delivery technology in other products. We have identified development opportunities for potential products in pain management and other therapeutic areas utilizing the Accudel platform technology and we are exploring potential commercial relationships for these identified product candidates. In particular, we are currently considering potential new drug candidates in the muscle relaxant and neuropathic pain fields, and we expect those to be our next avenues for new product development. We estimate that pre-Phase 3 clinical studies for these two potential product candidates could each be completed approximately 18 to 24 months after their commencement, and that costs for such development would range from approximately $2 million to $2.5 million for each proposed drug candidate, after their commencement.</w:t>
      </w:r>
      <w:r>
        <w:rPr/>
        <w:t xml:space="preserve"> </w:t>
      </w:r>
    </w:p>
    <w:p>
      <w:pPr>
        <w:pStyle w:val="TextBody"/>
        <w:spacing w:before="0" w:after="0"/>
        <w:ind w:left="0" w:right="0" w:hanging="0"/>
        <w:jc w:val="both"/>
        <w:rPr/>
      </w:pPr>
      <w:r>
        <w:rPr/>
        <w:t> </w:t>
      </w:r>
    </w:p>
    <w:p>
      <w:pPr>
        <w:pStyle w:val="TextBody"/>
        <w:spacing w:before="0" w:after="0"/>
        <w:ind w:left="0" w:right="0" w:firstLine="720"/>
        <w:jc w:val="left"/>
        <w:rPr/>
      </w:pPr>
      <w:r>
        <w:rPr>
          <w:rFonts w:ascii="helvetica" w:hAnsi="helvetica"/>
          <w:sz w:val="20"/>
        </w:rPr>
        <w:t>In addition, we expect our new relationship with PCCA to facilitate our future selection, development and formulation of potential product candidates. Our relationship with PCCA provides us with exclusive access to and use of PCCA’s proprietary drug formulations and drug delivery technologies, as well as an extensive database of generic and other drug prescription information provided by PCCA’s member pharmacies and physicians. We plan to use our proprietary Accudel drug delivery technology, coupled with these licensed technologies, formulations and data, to identify markets in which we perceive development opportunities for new drug products and to develop reformatted and repurposed generic drugs, a process that we describe as “Generecycle.”</w:t>
      </w:r>
      <w:r>
        <w:rPr/>
        <w:t xml:space="preserve"> </w:t>
      </w:r>
    </w:p>
    <w:p>
      <w:pPr>
        <w:pStyle w:val="TextBody"/>
        <w:spacing w:before="0" w:after="0"/>
        <w:ind w:left="0" w:right="0" w:hanging="0"/>
        <w:jc w:val="both"/>
        <w:rPr/>
      </w:pPr>
      <w:r>
        <w:rPr/>
        <w:t> </w:t>
      </w:r>
    </w:p>
    <w:p>
      <w:pPr>
        <w:pStyle w:val="TextBody"/>
        <w:spacing w:before="0" w:after="0"/>
        <w:ind w:left="0" w:right="0" w:firstLine="720"/>
        <w:jc w:val="left"/>
        <w:rPr/>
      </w:pPr>
      <w:r>
        <w:rPr>
          <w:rFonts w:ascii="helvetica" w:hAnsi="helvetica"/>
          <w:sz w:val="20"/>
        </w:rPr>
        <w:t>In the past our product development program has included cosmetic and cosmeceutical products utilizing our patented transdermal delivery system technology, Accudel. Our lead product candidate was an anti-cellulite formulation, for which we have initial clinical information supporting the beneficial effects of this cosmetic product on skin appearance. Our potential pipeline of cosmetic products includes hyperpigmentation and anti-aging formulations. We remain interested in pursuing this business opportunity and continue to consider entering into new relationships with third parties.  We may also pursue the out-licensing of our Accudel drug delivery technology for the development and commercialization of additional innovative drug and cosmeceutical products.</w:t>
      </w:r>
      <w:r>
        <w:rPr/>
        <w:t xml:space="preserve"> </w:t>
      </w:r>
    </w:p>
    <w:p>
      <w:pPr>
        <w:pStyle w:val="TextBody"/>
        <w:spacing w:before="0" w:after="0"/>
        <w:ind w:left="0" w:right="0" w:hanging="0"/>
        <w:jc w:val="left"/>
        <w:rPr/>
      </w:pPr>
      <w:r>
        <w:rPr/>
        <w:t> </w:t>
      </w:r>
    </w:p>
    <w:p>
      <w:pPr>
        <w:pStyle w:val="TextBody"/>
        <w:spacing w:before="0" w:after="0"/>
        <w:ind w:left="0" w:right="0" w:hanging="0"/>
        <w:jc w:val="left"/>
        <w:rPr>
          <w:rFonts w:ascii="helvetica" w:hAnsi="helvetica"/>
          <w:b/>
          <w:sz w:val="20"/>
        </w:rPr>
      </w:pPr>
      <w:r>
        <w:rPr>
          <w:rFonts w:ascii="helvetica" w:hAnsi="helvetica"/>
          <w:b/>
          <w:sz w:val="20"/>
        </w:rPr>
        <w:t>Market and Opportunity</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r>
        <w:rPr>
          <w:rFonts w:ascii="helvetica" w:hAnsi="helvetica"/>
          <w:sz w:val="20"/>
        </w:rPr>
        <w:t>According to Wolters-Kluwer PHAST, the U.S. pain market was approximately $39.8 billion in 2011.  Of that total, the NSAID market made up approximately $13.5 billion from approximately 155 million written prescriptions.  The topical NSAID market in 2011 was approximately $506 million, averaging an approximately 28% compound annual growth rate since 2007.</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r>
        <w:rPr>
          <w:rFonts w:ascii="helvetica" w:hAnsi="helvetica"/>
          <w:sz w:val="20"/>
        </w:rPr>
        <w:t xml:space="preserve">According to the Archives of Internal Medicine, NSAIDs are regularly used by more than 60 million Americans.   Approximately 70% of  people aged 65 or older take NSAIDs weekly.  As a result of the widespread usage of oral NSAIDs, according to Bandolier, there are over 100,000 hospitalizations annually and 16,500 deaths in the U.S. due to gastro-intestinal complications annually.  In the United Kingdom, there are approximately 12,000 hospitalizations and an estimated 2,600 deaths annually related to GI complications following oral NSAID use per year.  One study published in 1998 in the American Journal of Medicine found that NSAID-related gastro-intestinal side effects cause almost as many deaths as asthma, cervical cancer and malignant melanona combined, and another 1999 study published in the Journal of Rheumatology found that death resulting from gastro-intestinal complications was the 15th most common cause of death in the U.S.  According to Singh G, Triadafilopoulos G., Epidemiology of NSAID induced gastrointestinal complications, </w:t>
      </w:r>
      <w:r>
        <w:rPr>
          <w:rFonts w:ascii="helvetica" w:hAnsi="helvetica"/>
          <w:i/>
          <w:sz w:val="20"/>
        </w:rPr>
        <w:t>J Rheumatol</w:t>
      </w:r>
      <w:r>
        <w:rPr>
          <w:rFonts w:ascii="helvetica" w:hAnsi="helvetica"/>
          <w:sz w:val="20"/>
        </w:rPr>
        <w:t>. 1999, the hospitalizations and deaths related to systemic NSAID use has a financial impact of more than $2 billion per year in the U.S.  Therefore, we believe there is a significant demand from physicians and patients for topical pain management products such as Impracor, especially with respect to the treatment of localized, acute musculoskeletal pain, which we believe is driven primarily by the concern of possible negative systemic effects of orally administered NSAIDs.</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r>
        <w:rPr>
          <w:rFonts w:ascii="helvetica" w:hAnsi="helvetica"/>
          <w:sz w:val="20"/>
        </w:rPr>
        <w:t>For more information regarding our business, see “Management’s Discussion and Analysis of Financial Condition and Results of Operations” and “Business,” included elsewhere in this prospectus.</w:t>
      </w:r>
    </w:p>
    <w:p>
      <w:pPr>
        <w:pStyle w:val="TextBody"/>
        <w:spacing w:before="0" w:after="0"/>
        <w:ind w:left="0" w:right="0" w:hanging="0"/>
        <w:jc w:val="both"/>
        <w:rPr/>
      </w:pPr>
      <w:r>
        <w:rPr/>
        <w:t> </w:t>
      </w:r>
    </w:p>
    <w:p>
      <w:pPr>
        <w:pStyle w:val="TextBody"/>
        <w:spacing w:before="0" w:after="0"/>
        <w:ind w:left="0" w:right="0" w:hanging="0"/>
        <w:rPr/>
      </w:pPr>
      <w:bookmarkStart w:id="80" w:name="TAB23"/>
      <w:bookmarkEnd w:id="80"/>
      <w:r>
        <w:rPr>
          <w:color w:val="000000"/>
          <w:spacing w:val="180"/>
        </w:rPr>
        <w:t> </w:t>
      </w:r>
      <w:r>
        <w:rPr>
          <w:rFonts w:ascii="helvetica" w:hAnsi="helvetica"/>
          <w:b/>
          <w:sz w:val="20"/>
        </w:rPr>
        <w:t>Recent Developments</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r>
        <w:rPr>
          <w:rFonts w:ascii="helvetica" w:hAnsi="helvetica"/>
          <w:sz w:val="20"/>
        </w:rPr>
        <w:t>All information regarding share amounts of common stock and prices per share of common stock described below assume the consummation of the one-for-five reverse stock split to be effected following the effectiveness of the registration statement of which this prospectus forms a part and prior to the closing of this offering.</w:t>
      </w:r>
    </w:p>
    <w:p>
      <w:pPr>
        <w:pStyle w:val="TextBody"/>
        <w:spacing w:before="0" w:after="0"/>
        <w:ind w:left="0" w:right="0" w:hanging="0"/>
        <w:jc w:val="both"/>
        <w:rPr/>
      </w:pPr>
      <w:r>
        <w:rPr/>
        <w:t> </w:t>
      </w:r>
    </w:p>
    <w:p>
      <w:pPr>
        <w:pStyle w:val="TextBody"/>
        <w:spacing w:before="0" w:after="0"/>
        <w:ind w:left="0" w:right="0" w:hanging="0"/>
        <w:jc w:val="left"/>
        <w:rPr/>
      </w:pPr>
      <w:r>
        <w:rPr>
          <w:rFonts w:ascii="helvetica" w:hAnsi="helvetica"/>
          <w:b/>
          <w:i/>
          <w:sz w:val="20"/>
        </w:rPr>
        <w:t>PCCA Transaction</w:t>
      </w:r>
      <w:r>
        <w:rPr/>
        <w:t xml:space="preserve"> </w:t>
      </w:r>
    </w:p>
    <w:p>
      <w:pPr>
        <w:pStyle w:val="TextBody"/>
        <w:spacing w:before="0" w:after="0"/>
        <w:ind w:left="0" w:right="0" w:hanging="0"/>
        <w:rPr/>
      </w:pPr>
      <w:r>
        <w:rPr/>
        <w:t> </w:t>
      </w:r>
    </w:p>
    <w:p>
      <w:pPr>
        <w:pStyle w:val="TextBody"/>
        <w:spacing w:before="0" w:after="0"/>
        <w:ind w:left="0" w:right="0" w:firstLine="720"/>
        <w:jc w:val="left"/>
        <w:rPr/>
      </w:pPr>
      <w:r>
        <w:rPr>
          <w:rFonts w:ascii="helvetica" w:hAnsi="helvetica"/>
          <w:sz w:val="20"/>
        </w:rPr>
        <w:t>On August 30, 2012, we entered into a License Agreement (the “PCCA License Agreement") and a Stock Purchase Agreement (the “PCCA Purchase Agreement”) in a strategic transaction with PCCA (the “PCCA Transaction”).</w:t>
      </w:r>
      <w:r>
        <w:rPr/>
        <w:t xml:space="preserve"> </w:t>
      </w:r>
    </w:p>
    <w:p>
      <w:pPr>
        <w:pStyle w:val="TextBody"/>
        <w:spacing w:before="0" w:after="0"/>
        <w:ind w:left="0" w:right="0" w:hanging="0"/>
        <w:rPr/>
      </w:pPr>
      <w:r>
        <w:rPr/>
        <w:t> </w:t>
      </w:r>
    </w:p>
    <w:p>
      <w:pPr>
        <w:pStyle w:val="TextBody"/>
        <w:spacing w:before="0" w:after="0"/>
        <w:ind w:left="0" w:right="0" w:firstLine="720"/>
        <w:jc w:val="left"/>
        <w:rPr/>
      </w:pPr>
      <w:r>
        <w:rPr>
          <w:rFonts w:ascii="helvetica" w:hAnsi="helvetica"/>
          <w:sz w:val="20"/>
        </w:rPr>
        <w:t>Pursuant to the terms of the PCCA License Agreement, effective August 30, 2012, PCCA has granted to us and our affiliates certain exclusive rights under PCCA’s proprietary formulations, other technologies and data, and we have agreed to pay to PCCA certain royalties on net sales relating to the sale of certain future products, which royalties range from 4.5% to 9% for each product, subject to certain minimum royalty payments. PCCA may terminate the PCCA License Agreement if we fail to commence efforts to research and develop future products within certain time periods.</w:t>
      </w:r>
      <w:r>
        <w:rPr/>
        <w:t xml:space="preserve"> </w:t>
      </w:r>
    </w:p>
    <w:p>
      <w:pPr>
        <w:pStyle w:val="TextBody"/>
        <w:spacing w:before="0" w:after="0"/>
        <w:ind w:left="0" w:right="0" w:hanging="0"/>
        <w:rPr/>
      </w:pPr>
      <w:r>
        <w:rPr/>
        <w:t> </w:t>
      </w:r>
    </w:p>
    <w:p>
      <w:pPr>
        <w:pStyle w:val="TextBody"/>
        <w:spacing w:before="0" w:after="0"/>
        <w:ind w:left="0" w:right="0" w:firstLine="720"/>
        <w:jc w:val="left"/>
        <w:rPr/>
      </w:pPr>
      <w:r>
        <w:rPr>
          <w:rFonts w:ascii="helvetica" w:hAnsi="helvetica"/>
          <w:sz w:val="20"/>
        </w:rPr>
        <w:t>Pursuant to the terms of the PCCA Purchase Agreement, closed on August 31, 2012, we issued and sold to PCCA 832,683 shares of our common stock at a per share purchase price of $4.8038, for aggregate gross proceeds to us of $4,000,000. The PCCA Purchase Agreement does not grant to PCCA any registration rights with respect to the shares purchased and sold thereunder. The shares sold to PCCA were sold in reliance on the exemption from the registration requirements of the Securities Act of 1933 (the “Securities Act”) afforded by Section 4(2) thereof.</w:t>
      </w:r>
      <w:r>
        <w:rPr/>
        <w:t xml:space="preserve"> </w:t>
      </w:r>
    </w:p>
    <w:p>
      <w:pPr>
        <w:pStyle w:val="TextBody"/>
        <w:spacing w:before="0" w:after="0"/>
        <w:ind w:left="0" w:right="0" w:hanging="0"/>
        <w:rPr/>
      </w:pPr>
      <w:r>
        <w:rPr/>
        <w:t> </w:t>
      </w:r>
    </w:p>
    <w:p>
      <w:pPr>
        <w:pStyle w:val="TextBody"/>
        <w:spacing w:before="0" w:after="0"/>
        <w:ind w:left="0" w:right="0" w:hanging="0"/>
        <w:rPr>
          <w:rFonts w:ascii="helvetica" w:hAnsi="helvetica"/>
          <w:b/>
          <w:i/>
          <w:sz w:val="20"/>
        </w:rPr>
      </w:pPr>
      <w:r>
        <w:rPr>
          <w:rFonts w:ascii="helvetica" w:hAnsi="helvetica"/>
          <w:b/>
          <w:i/>
          <w:sz w:val="20"/>
        </w:rPr>
        <w:t>April Private Placement</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r>
        <w:rPr>
          <w:rFonts w:ascii="helvetica" w:hAnsi="helvetica"/>
          <w:sz w:val="20"/>
        </w:rPr>
        <w:t>On April 20, 2012, we entered into a Securities Purchase Agreement with certain accredited investors relating to the sale and issuance of an aggregate of 2,011,691 shares of our common stock and warrants to purchase up to 502,928 shares of common stock at an exercise price of $5.925 per share, for an aggregate purchase price of approximately $7.95 million (the “April Private Placement”).  We closed the April Private Placement on April 25, 2012.  The securities sold in the April Private Placement were sold in reliance on the exemption from the registration requirements of the Securities Act afforded by Section 4(2) thereof and Rule 506 of Regulation D.</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r>
        <w:rPr>
          <w:rFonts w:ascii="helvetica" w:hAnsi="helvetica"/>
          <w:sz w:val="20"/>
        </w:rPr>
        <w:t>The investors are not entitled to any registration rights with respect to the common stock and warrants issued in the April Private Placement.  The warrants have a term of three years and are exercisable any time after April 25, 2012. We may require that the investors exercise the warrants in whole, but not in part, at any time within 20 business days after all of the following conditions have been satisfied: (i) the volume weighted average price of the our common stock for 10 consecutive trading days is equal to or greater than the exercise price of the warrants; (ii) we have received a Filing Review Notification from the FDA regarding the status of Impracor; and (iii) sufficient shares of common stock are authorized and reserved for issuance upon full exercise of the warrants.</w:t>
      </w:r>
    </w:p>
    <w:p>
      <w:pPr>
        <w:pStyle w:val="TextBody"/>
        <w:spacing w:before="0" w:after="0"/>
        <w:ind w:left="0" w:right="0" w:firstLine="720"/>
        <w:jc w:val="left"/>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81" w:name="PGBRK6"/>
      <w:bookmarkStart w:id="82" w:name="PGBRK6"/>
      <w:bookmarkEnd w:id="8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83" w:name="FTR6"/>
      <w:bookmarkStart w:id="84" w:name="FTR6"/>
      <w:bookmarkEnd w:id="8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85" w:name="GLFTR5"/>
      <w:bookmarkEnd w:id="85"/>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helvetica" w:hAnsi="helvetica"/>
          <w:sz w:val="20"/>
        </w:rPr>
      </w:pPr>
      <w:bookmarkStart w:id="86" w:name="PN5"/>
      <w:bookmarkEnd w:id="86"/>
      <w:r>
        <w:rPr>
          <w:rFonts w:ascii="helvetica" w:hAnsi="helvetica"/>
          <w:sz w:val="20"/>
        </w:rPr>
        <w:t>4</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87" w:name="HDR5"/>
      <w:bookmarkStart w:id="88" w:name="HDR5"/>
      <w:bookmarkEnd w:id="8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89" w:name="GLHDR5"/>
      <w:bookmarkEnd w:id="89"/>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pPr>
      <w:r>
        <w:rPr/>
        <w:t> </w:t>
      </w:r>
    </w:p>
    <w:p>
      <w:pPr>
        <w:pStyle w:val="TextBody"/>
        <w:spacing w:before="0" w:after="0"/>
        <w:ind w:left="0" w:right="0" w:hanging="0"/>
        <w:rPr/>
      </w:pPr>
      <w:bookmarkStart w:id="90" w:name="TAB24"/>
      <w:bookmarkEnd w:id="90"/>
      <w:r>
        <w:rPr>
          <w:color w:val="000000"/>
          <w:spacing w:val="180"/>
        </w:rPr>
        <w:t> </w:t>
      </w:r>
      <w:r>
        <w:rPr>
          <w:rFonts w:ascii="helvetica" w:hAnsi="helvetica"/>
          <w:b/>
          <w:i/>
          <w:sz w:val="20"/>
        </w:rPr>
        <w:t>Conversion of Convertible Note and Balance Under Line of Credit</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r>
        <w:rPr>
          <w:rFonts w:ascii="helvetica" w:hAnsi="helvetica"/>
          <w:sz w:val="20"/>
        </w:rPr>
        <w:t>Effective immediately following the effective time of the Certificate of Amendment to our Certificate of Incorporation increasing the number of authorized shares of our common stock on February 28, 2012, the entire outstanding balance and all accrued but unpaid interest owing under our $1,000,000 7.5% Convertible Promissory Note issued on April 5, 2010, as well as certain outstanding accounts payable held by DermaStar International, LLC (“DermaStar”), were converted into 1,835,830 shares of common stock, and the convertible promissory note was terminated.  DermaStar was the holder of 80% of the convertible promissory note.</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r>
        <w:rPr>
          <w:rFonts w:ascii="helvetica" w:hAnsi="helvetica"/>
          <w:sz w:val="20"/>
        </w:rPr>
        <w:t>On April 25, 2012, the entire outstanding principal balance and all accrued and unpaid interest under our line of credit with DermaStar, an aggregate of $762,534, was converted into 193,047 shares of common stock and warrants to purchase 48,262 shares of our common stock pursuant to a conversion agreement we entered into with DermaStar on April 20, 2012.  The warrants have substantially the same terms as the warrants issued in the April Private Placement.  The line of credit was terminated upon the completion of the conversion.  Director and Chief Executive Officer Mark L. Baum and the Chairman of our Board of Directors, Robert J. Kammer, were the Managing Members of DermaStar prior to its dissolution in July 2012. The conversion agreement was unanimously approved by the Company’s disinterested directors, with Mr. Baum and Dr. Kammer abstaining.</w:t>
      </w:r>
    </w:p>
    <w:p>
      <w:pPr>
        <w:pStyle w:val="TextBody"/>
        <w:spacing w:before="0" w:after="0"/>
        <w:ind w:left="0" w:right="0" w:hanging="0"/>
        <w:jc w:val="both"/>
        <w:rPr/>
      </w:pPr>
      <w:r>
        <w:rPr/>
        <w:t> </w:t>
      </w:r>
    </w:p>
    <w:p>
      <w:pPr>
        <w:pStyle w:val="TextBody"/>
        <w:spacing w:before="0" w:after="0"/>
        <w:ind w:left="0" w:right="0" w:hanging="0"/>
        <w:rPr/>
      </w:pPr>
      <w:bookmarkStart w:id="91" w:name="TAB25"/>
      <w:bookmarkEnd w:id="91"/>
      <w:r>
        <w:rPr>
          <w:color w:val="000000"/>
          <w:spacing w:val="180"/>
        </w:rPr>
        <w:t> </w:t>
      </w:r>
      <w:r>
        <w:rPr>
          <w:rFonts w:ascii="helvetica" w:hAnsi="helvetica"/>
          <w:b/>
          <w:i/>
          <w:sz w:val="20"/>
        </w:rPr>
        <w:t>Written Consent of the Stockholders Approving Increase in Option Plan Reserve</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r>
        <w:rPr>
          <w:rFonts w:ascii="helvetica" w:hAnsi="helvetica"/>
          <w:sz w:val="20"/>
        </w:rPr>
        <w:t>On June 29, 2012, stockholders holding a majority of our outstanding voting power approved an amendment to our 2007 Incentive Stock and Awards Plan (the “2007 Plan”) to increase the number of shares available for issuance under the 2007 Plan from 750,000 to 2,400,000.  The stockholder approval of the increase will not become effective until we have complied with certain notice requirements under the Exchange Act.</w:t>
      </w:r>
    </w:p>
    <w:p>
      <w:pPr>
        <w:pStyle w:val="TextBody"/>
        <w:spacing w:before="0" w:after="0"/>
        <w:ind w:left="0" w:right="0" w:hanging="0"/>
        <w:jc w:val="both"/>
        <w:rPr/>
      </w:pPr>
      <w:r>
        <w:rPr/>
        <w:t> </w:t>
      </w:r>
    </w:p>
    <w:p>
      <w:pPr>
        <w:pStyle w:val="TextBody"/>
        <w:spacing w:before="0" w:after="0"/>
        <w:ind w:left="0" w:right="0" w:hanging="0"/>
        <w:jc w:val="left"/>
        <w:rPr>
          <w:rFonts w:ascii="helvetica" w:hAnsi="helvetica"/>
          <w:b/>
          <w:sz w:val="20"/>
        </w:rPr>
      </w:pPr>
      <w:r>
        <w:rPr>
          <w:rFonts w:ascii="helvetica" w:hAnsi="helvetica"/>
          <w:b/>
          <w:sz w:val="20"/>
        </w:rPr>
        <w:t>Going Concern</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r>
        <w:rPr>
          <w:rFonts w:ascii="helvetica" w:hAnsi="helvetica"/>
          <w:sz w:val="20"/>
        </w:rPr>
        <w:t>Our independent registered public accounting firm has issued an unqualified opinion with an explanatory paragraph to the effect that there is substantial doubt about our ability to continue as a going concern. This unqualified opinion with an explanatory paragraph could have a material adverse effect on our business, financial condition, results of operations and cash flows. See “Management’s Discussion and Analysis of Financial Condition and Results of Operations - Liquidity and Capital Resources” and Note 2 to our consolidated financial statements included elsewhere in this prospectus.  We experienced net losses of $(953,936) and $(2,531,228) for the years ended December 31, 2011 and 2010, respectively. As of June 30, 2012, our accumulated deficit was $(21,405,414).</w:t>
      </w:r>
    </w:p>
    <w:p>
      <w:pPr>
        <w:pStyle w:val="TextBody"/>
        <w:spacing w:before="0" w:after="0"/>
        <w:ind w:left="0" w:right="0" w:hanging="0"/>
        <w:rPr/>
      </w:pPr>
      <w:r>
        <w:rPr/>
        <w:t> </w:t>
      </w:r>
    </w:p>
    <w:p>
      <w:pPr>
        <w:pStyle w:val="TextBody"/>
        <w:spacing w:before="0" w:after="0"/>
        <w:ind w:left="0" w:right="0" w:firstLine="720"/>
        <w:jc w:val="left"/>
        <w:rPr>
          <w:rFonts w:ascii="helvetica" w:hAnsi="helvetica"/>
          <w:sz w:val="20"/>
        </w:rPr>
      </w:pPr>
      <w:r>
        <w:rPr>
          <w:rFonts w:ascii="helvetica" w:hAnsi="helvetica"/>
          <w:sz w:val="20"/>
        </w:rPr>
        <w:t>Unless and until we execute an underwriting agreement with our underwriter in connection with this offering, we have no committed sources of capital and do not know whether additional financing will be available when needed on terms that are acceptable, if at all. The going concern statement from our independent registered public accounting firm may discourage some investors from purchasing our stock or from providing alternative capital financing to us. The failure to satisfy our capital requirements would adversely affect our business, financial condition, results of operations and prospects.</w:t>
      </w:r>
    </w:p>
    <w:p>
      <w:pPr>
        <w:pStyle w:val="TextBody"/>
        <w:spacing w:before="0" w:after="0"/>
        <w:ind w:left="0" w:right="0" w:hanging="0"/>
        <w:rPr/>
      </w:pPr>
      <w:r>
        <w:rPr/>
        <w:t> </w:t>
      </w:r>
    </w:p>
    <w:p>
      <w:pPr>
        <w:pStyle w:val="TextBody"/>
        <w:spacing w:before="0" w:after="0"/>
        <w:ind w:left="0" w:right="0" w:firstLine="720"/>
        <w:jc w:val="left"/>
        <w:rPr>
          <w:rFonts w:ascii="helvetica" w:hAnsi="helvetica"/>
          <w:sz w:val="20"/>
        </w:rPr>
      </w:pPr>
      <w:r>
        <w:rPr>
          <w:rFonts w:ascii="helvetica" w:hAnsi="helvetica"/>
          <w:sz w:val="20"/>
        </w:rPr>
        <w:t>Unless we raise additional funds, either through the sale of equity securities such as through this offering or one or more collaborative arrangements, we will not have sufficient funds to continue operations. Even if we take these actions, the funds we raise may be insufficient, particularly if our costs are higher than projected or unforeseen expenses arise.</w:t>
      </w:r>
    </w:p>
    <w:p>
      <w:pPr>
        <w:pStyle w:val="TextBody"/>
        <w:spacing w:before="0" w:after="0"/>
        <w:ind w:left="0" w:right="0" w:hanging="0"/>
        <w:rPr/>
      </w:pPr>
      <w:r>
        <w:rPr/>
        <w:t> </w:t>
      </w:r>
    </w:p>
    <w:p>
      <w:pPr>
        <w:pStyle w:val="TextBody"/>
        <w:spacing w:before="0" w:after="0"/>
        <w:ind w:left="0" w:right="0" w:hanging="0"/>
        <w:jc w:val="left"/>
        <w:rPr>
          <w:rFonts w:ascii="helvetica" w:hAnsi="helvetica"/>
          <w:b/>
          <w:sz w:val="20"/>
        </w:rPr>
      </w:pPr>
      <w:r>
        <w:rPr>
          <w:rFonts w:ascii="helvetica" w:hAnsi="helvetica"/>
          <w:b/>
          <w:sz w:val="20"/>
        </w:rPr>
        <w:t>Risks Related to Our Business</w:t>
      </w:r>
    </w:p>
    <w:p>
      <w:pPr>
        <w:pStyle w:val="TextBody"/>
        <w:spacing w:before="0" w:after="0"/>
        <w:ind w:left="0" w:right="0" w:hanging="0"/>
        <w:jc w:val="left"/>
        <w:rPr/>
      </w:pPr>
      <w:r>
        <w:rPr/>
        <w:t> </w:t>
      </w:r>
    </w:p>
    <w:p>
      <w:pPr>
        <w:pStyle w:val="TextBody"/>
        <w:spacing w:before="0" w:after="0"/>
        <w:ind w:left="0" w:right="0" w:firstLine="720"/>
        <w:jc w:val="left"/>
        <w:rPr>
          <w:rFonts w:ascii="helvetica" w:hAnsi="helvetica"/>
          <w:sz w:val="20"/>
        </w:rPr>
      </w:pPr>
      <w:r>
        <w:rPr>
          <w:rFonts w:ascii="helvetica" w:hAnsi="helvetica"/>
          <w:sz w:val="20"/>
        </w:rPr>
        <w:t>Our business is subject to a number of risks. You should understand these risks before making an investment decision. If any of these risks actually occurs, our business, financial condition or results of operations would likely be materially adversely affected. In such case, the trading price of our common stock would likely decline, and you may lose all or part of your investment. Below is a summary of some of the principal risks we face. The risks are discussed more fully in the section of this prospectus below entitled “Risk Factors.” </w:t>
      </w:r>
    </w:p>
    <w:p>
      <w:pPr>
        <w:pStyle w:val="TextBody"/>
        <w:spacing w:before="0" w:after="0"/>
        <w:ind w:left="0" w:right="0" w:hanging="0"/>
        <w:rPr/>
      </w:pPr>
      <w:r>
        <w:rPr/>
        <w:t> </w:t>
      </w:r>
    </w:p>
    <w:p>
      <w:pPr>
        <w:pStyle w:val="Normal"/>
        <w:spacing w:before="0" w:after="0"/>
        <w:rPr>
          <w:sz w:val="4"/>
          <w:szCs w:val="4"/>
        </w:rPr>
      </w:pPr>
      <w:r>
        <w:rPr>
          <w:sz w:val="4"/>
          <w:szCs w:val="4"/>
        </w:rPr>
      </w:r>
      <w:bookmarkStart w:id="92" w:name="list13"/>
      <w:bookmarkStart w:id="93" w:name="list13"/>
      <w:bookmarkEnd w:id="93"/>
    </w:p>
    <w:tbl>
      <w:tblPr>
        <w:tblW w:w="5000" w:type="pct"/>
        <w:jc w:val="left"/>
        <w:tblInd w:w="0" w:type="dxa"/>
        <w:tblCellMar>
          <w:top w:w="0" w:type="dxa"/>
          <w:left w:w="0" w:type="dxa"/>
          <w:bottom w:w="0" w:type="dxa"/>
          <w:right w:w="0" w:type="dxa"/>
        </w:tblCellMar>
      </w:tblPr>
      <w:tblGrid>
        <w:gridCol w:w="304"/>
        <w:gridCol w:w="9901"/>
      </w:tblGrid>
      <w:tr>
        <w:trPr/>
        <w:tc>
          <w:tcPr>
            <w:tcW w:w="304" w:type="dxa"/>
            <w:tcBorders/>
            <w:shd w:fill="auto" w:val="clear"/>
          </w:tcPr>
          <w:p>
            <w:pPr>
              <w:pStyle w:val="TableContents"/>
              <w:spacing w:before="0" w:after="0"/>
              <w:jc w:val="right"/>
              <w:rPr/>
            </w:pPr>
            <w:r>
              <w:rPr/>
              <w:t>●  </w:t>
            </w:r>
          </w:p>
        </w:tc>
        <w:tc>
          <w:tcPr>
            <w:tcW w:w="9901" w:type="dxa"/>
            <w:tcBorders/>
            <w:shd w:fill="auto" w:val="clear"/>
          </w:tcPr>
          <w:p>
            <w:pPr>
              <w:pStyle w:val="TableContents"/>
              <w:spacing w:before="0" w:after="0"/>
              <w:ind w:left="0" w:right="0" w:hanging="0"/>
              <w:jc w:val="both"/>
              <w:rPr>
                <w:rFonts w:ascii="helvetica" w:hAnsi="helvetica"/>
                <w:sz w:val="20"/>
              </w:rPr>
            </w:pPr>
            <w:r>
              <w:rPr>
                <w:rFonts w:ascii="helvetica" w:hAnsi="helvetica"/>
                <w:sz w:val="20"/>
              </w:rPr>
              <w:t>We have a limited operating history since the dismissal of our voluntary petition for reorganization relief under Chapter 11 of the Bankruptcy Code in December 2011, and we may be unable to successfully resume our operations and implement our business plan.</w:t>
            </w:r>
          </w:p>
        </w:tc>
      </w:tr>
    </w:tbl>
    <w:p>
      <w:pPr>
        <w:pStyle w:val="TextBody"/>
        <w:spacing w:before="0" w:after="0"/>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94" w:name="PGBRK7"/>
      <w:bookmarkStart w:id="95" w:name="PGBRK7"/>
      <w:bookmarkEnd w:id="9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96" w:name="FTR7"/>
      <w:bookmarkStart w:id="97" w:name="FTR7"/>
      <w:bookmarkEnd w:id="9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98" w:name="GLFTR6"/>
      <w:bookmarkEnd w:id="98"/>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helvetica" w:hAnsi="helvetica"/>
          <w:sz w:val="20"/>
        </w:rPr>
      </w:pPr>
      <w:bookmarkStart w:id="99" w:name="PN6"/>
      <w:bookmarkEnd w:id="99"/>
      <w:r>
        <w:rPr>
          <w:rFonts w:ascii="helvetica" w:hAnsi="helvetica"/>
          <w:sz w:val="20"/>
        </w:rPr>
        <w:t>5</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00" w:name="HDR6"/>
      <w:bookmarkStart w:id="101" w:name="HDR6"/>
      <w:bookmarkEnd w:id="10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102" w:name="GLHDR6"/>
      <w:bookmarkEnd w:id="102"/>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t> </w:t>
      </w:r>
    </w:p>
    <w:p>
      <w:pPr>
        <w:pStyle w:val="Normal"/>
        <w:spacing w:before="0" w:after="0"/>
        <w:rPr>
          <w:sz w:val="4"/>
          <w:szCs w:val="4"/>
        </w:rPr>
      </w:pPr>
      <w:r>
        <w:rPr>
          <w:sz w:val="4"/>
          <w:szCs w:val="4"/>
        </w:rPr>
      </w:r>
      <w:bookmarkStart w:id="103" w:name="list14"/>
      <w:bookmarkStart w:id="104" w:name="list14"/>
      <w:bookmarkEnd w:id="104"/>
    </w:p>
    <w:tbl>
      <w:tblPr>
        <w:tblW w:w="5000" w:type="pct"/>
        <w:jc w:val="left"/>
        <w:tblInd w:w="0" w:type="dxa"/>
        <w:tblCellMar>
          <w:top w:w="0" w:type="dxa"/>
          <w:left w:w="0" w:type="dxa"/>
          <w:bottom w:w="0" w:type="dxa"/>
          <w:right w:w="0" w:type="dxa"/>
        </w:tblCellMar>
      </w:tblPr>
      <w:tblGrid>
        <w:gridCol w:w="304"/>
        <w:gridCol w:w="9901"/>
      </w:tblGrid>
      <w:tr>
        <w:trPr/>
        <w:tc>
          <w:tcPr>
            <w:tcW w:w="304" w:type="dxa"/>
            <w:tcBorders/>
            <w:shd w:fill="auto" w:val="clear"/>
          </w:tcPr>
          <w:p>
            <w:pPr>
              <w:pStyle w:val="TableContents"/>
              <w:spacing w:before="0" w:after="0"/>
              <w:jc w:val="right"/>
              <w:rPr/>
            </w:pPr>
            <w:r>
              <w:rPr/>
              <w:t>●  </w:t>
            </w:r>
          </w:p>
        </w:tc>
        <w:tc>
          <w:tcPr>
            <w:tcW w:w="9901" w:type="dxa"/>
            <w:tcBorders/>
            <w:shd w:fill="auto" w:val="clear"/>
          </w:tcPr>
          <w:p>
            <w:pPr>
              <w:pStyle w:val="TableContents"/>
              <w:spacing w:before="0" w:after="0"/>
              <w:ind w:left="0" w:right="0" w:hanging="0"/>
              <w:jc w:val="both"/>
              <w:rPr>
                <w:rFonts w:ascii="helvetica" w:hAnsi="helvetica"/>
                <w:sz w:val="20"/>
              </w:rPr>
            </w:pPr>
            <w:r>
              <w:rPr>
                <w:rFonts w:ascii="helvetica" w:hAnsi="helvetica"/>
                <w:sz w:val="20"/>
              </w:rPr>
              <w:t>The report of our independent registered public accounting firm on our 2011 consolidated financial statements contains a going concern modification.</w:t>
            </w:r>
          </w:p>
        </w:tc>
      </w:tr>
    </w:tbl>
    <w:p>
      <w:pPr>
        <w:pStyle w:val="TextBody"/>
        <w:spacing w:before="0" w:after="0"/>
        <w:ind w:left="0" w:right="0" w:hanging="0"/>
        <w:rPr/>
      </w:pPr>
      <w:r>
        <w:rPr/>
        <w:t> </w:t>
      </w:r>
    </w:p>
    <w:p>
      <w:pPr>
        <w:pStyle w:val="Normal"/>
        <w:spacing w:before="0" w:after="0"/>
        <w:rPr>
          <w:sz w:val="4"/>
          <w:szCs w:val="4"/>
        </w:rPr>
      </w:pPr>
      <w:r>
        <w:rPr>
          <w:sz w:val="4"/>
          <w:szCs w:val="4"/>
        </w:rPr>
      </w:r>
      <w:bookmarkStart w:id="105" w:name="list15"/>
      <w:bookmarkStart w:id="106" w:name="list15"/>
      <w:bookmarkEnd w:id="106"/>
    </w:p>
    <w:tbl>
      <w:tblPr>
        <w:tblW w:w="5000" w:type="pct"/>
        <w:jc w:val="left"/>
        <w:tblInd w:w="0" w:type="dxa"/>
        <w:tblCellMar>
          <w:top w:w="0" w:type="dxa"/>
          <w:left w:w="0" w:type="dxa"/>
          <w:bottom w:w="0" w:type="dxa"/>
          <w:right w:w="0" w:type="dxa"/>
        </w:tblCellMar>
      </w:tblPr>
      <w:tblGrid>
        <w:gridCol w:w="304"/>
        <w:gridCol w:w="9901"/>
      </w:tblGrid>
      <w:tr>
        <w:trPr/>
        <w:tc>
          <w:tcPr>
            <w:tcW w:w="304" w:type="dxa"/>
            <w:tcBorders/>
            <w:shd w:fill="auto" w:val="clear"/>
          </w:tcPr>
          <w:p>
            <w:pPr>
              <w:pStyle w:val="TableContents"/>
              <w:spacing w:before="0" w:after="0"/>
              <w:jc w:val="right"/>
              <w:rPr/>
            </w:pPr>
            <w:r>
              <w:rPr/>
              <w:t>●  </w:t>
            </w:r>
          </w:p>
        </w:tc>
        <w:tc>
          <w:tcPr>
            <w:tcW w:w="9901" w:type="dxa"/>
            <w:tcBorders/>
            <w:shd w:fill="auto" w:val="clear"/>
          </w:tcPr>
          <w:p>
            <w:pPr>
              <w:pStyle w:val="TableContents"/>
              <w:spacing w:before="0" w:after="0"/>
              <w:ind w:left="0" w:right="0" w:hanging="0"/>
              <w:jc w:val="both"/>
              <w:rPr>
                <w:rFonts w:ascii="helvetica" w:hAnsi="helvetica"/>
                <w:sz w:val="20"/>
              </w:rPr>
            </w:pPr>
            <w:r>
              <w:rPr>
                <w:rFonts w:ascii="helvetica" w:hAnsi="helvetica"/>
                <w:sz w:val="20"/>
              </w:rPr>
              <w:t>We have incurred losses in the research and development of Impracor and our Accudel technology since inception. We may never generate revenue or become profitable.</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107" w:name="list16"/>
      <w:bookmarkStart w:id="108" w:name="list16"/>
      <w:bookmarkEnd w:id="108"/>
    </w:p>
    <w:tbl>
      <w:tblPr>
        <w:tblW w:w="5000" w:type="pct"/>
        <w:jc w:val="left"/>
        <w:tblInd w:w="0" w:type="dxa"/>
        <w:tblCellMar>
          <w:top w:w="0" w:type="dxa"/>
          <w:left w:w="0" w:type="dxa"/>
          <w:bottom w:w="0" w:type="dxa"/>
          <w:right w:w="0" w:type="dxa"/>
        </w:tblCellMar>
      </w:tblPr>
      <w:tblGrid>
        <w:gridCol w:w="304"/>
        <w:gridCol w:w="9901"/>
      </w:tblGrid>
      <w:tr>
        <w:trPr/>
        <w:tc>
          <w:tcPr>
            <w:tcW w:w="304" w:type="dxa"/>
            <w:tcBorders/>
            <w:shd w:fill="auto" w:val="clear"/>
          </w:tcPr>
          <w:p>
            <w:pPr>
              <w:pStyle w:val="TableContents"/>
              <w:spacing w:before="0" w:after="0"/>
              <w:jc w:val="right"/>
              <w:rPr/>
            </w:pPr>
            <w:r>
              <w:rPr/>
              <w:t>●  </w:t>
            </w:r>
          </w:p>
        </w:tc>
        <w:tc>
          <w:tcPr>
            <w:tcW w:w="9901" w:type="dxa"/>
            <w:tcBorders/>
            <w:shd w:fill="auto" w:val="clear"/>
          </w:tcPr>
          <w:p>
            <w:pPr>
              <w:pStyle w:val="TableContents"/>
              <w:spacing w:before="0" w:after="0"/>
              <w:ind w:left="0" w:right="0" w:hanging="0"/>
              <w:jc w:val="both"/>
              <w:rPr>
                <w:rFonts w:ascii="helvetica" w:hAnsi="helvetica"/>
                <w:sz w:val="20"/>
              </w:rPr>
            </w:pPr>
            <w:r>
              <w:rPr>
                <w:rFonts w:ascii="helvetica" w:hAnsi="helvetica"/>
                <w:sz w:val="20"/>
              </w:rPr>
              <w:t>Timing and results of clinical trials to demonstrate the safety and efficacy of products as well as FDA approval of products are uncertain.</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109" w:name="list17"/>
      <w:bookmarkStart w:id="110" w:name="list17"/>
      <w:bookmarkEnd w:id="110"/>
    </w:p>
    <w:tbl>
      <w:tblPr>
        <w:tblW w:w="5000" w:type="pct"/>
        <w:jc w:val="left"/>
        <w:tblInd w:w="0" w:type="dxa"/>
        <w:tblCellMar>
          <w:top w:w="0" w:type="dxa"/>
          <w:left w:w="0" w:type="dxa"/>
          <w:bottom w:w="0" w:type="dxa"/>
          <w:right w:w="0" w:type="dxa"/>
        </w:tblCellMar>
      </w:tblPr>
      <w:tblGrid>
        <w:gridCol w:w="304"/>
        <w:gridCol w:w="9901"/>
      </w:tblGrid>
      <w:tr>
        <w:trPr/>
        <w:tc>
          <w:tcPr>
            <w:tcW w:w="304" w:type="dxa"/>
            <w:tcBorders/>
            <w:shd w:fill="auto" w:val="clear"/>
          </w:tcPr>
          <w:p>
            <w:pPr>
              <w:pStyle w:val="TableContents"/>
              <w:spacing w:before="0" w:after="0"/>
              <w:jc w:val="right"/>
              <w:rPr/>
            </w:pPr>
            <w:r>
              <w:rPr/>
              <w:t>●  </w:t>
            </w:r>
          </w:p>
        </w:tc>
        <w:tc>
          <w:tcPr>
            <w:tcW w:w="9901" w:type="dxa"/>
            <w:tcBorders/>
            <w:shd w:fill="auto" w:val="clear"/>
          </w:tcPr>
          <w:p>
            <w:pPr>
              <w:pStyle w:val="TableContents"/>
              <w:spacing w:before="0" w:after="0"/>
              <w:ind w:left="0" w:right="0" w:hanging="0"/>
              <w:jc w:val="both"/>
              <w:rPr>
                <w:rFonts w:ascii="helvetica" w:hAnsi="helvetica"/>
                <w:sz w:val="20"/>
              </w:rPr>
            </w:pPr>
            <w:r>
              <w:rPr>
                <w:rFonts w:ascii="helvetica" w:hAnsi="helvetica"/>
                <w:sz w:val="20"/>
              </w:rPr>
              <w:t>Delays in the conduct or completion of our clinical and non-clinical trials for Impracor or the analysis of the data from our clinical or non-clinical trials may result in delays in our planned filings for regulatory approvals, and may adversely affect our business.</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111" w:name="list18"/>
      <w:bookmarkStart w:id="112" w:name="list18"/>
      <w:bookmarkEnd w:id="112"/>
    </w:p>
    <w:tbl>
      <w:tblPr>
        <w:tblW w:w="5000" w:type="pct"/>
        <w:jc w:val="left"/>
        <w:tblInd w:w="0" w:type="dxa"/>
        <w:tblCellMar>
          <w:top w:w="0" w:type="dxa"/>
          <w:left w:w="0" w:type="dxa"/>
          <w:bottom w:w="0" w:type="dxa"/>
          <w:right w:w="0" w:type="dxa"/>
        </w:tblCellMar>
      </w:tblPr>
      <w:tblGrid>
        <w:gridCol w:w="304"/>
        <w:gridCol w:w="9901"/>
      </w:tblGrid>
      <w:tr>
        <w:trPr/>
        <w:tc>
          <w:tcPr>
            <w:tcW w:w="304" w:type="dxa"/>
            <w:tcBorders/>
            <w:shd w:fill="auto" w:val="clear"/>
          </w:tcPr>
          <w:p>
            <w:pPr>
              <w:pStyle w:val="TableContents"/>
              <w:spacing w:before="0" w:after="0"/>
              <w:jc w:val="right"/>
              <w:rPr/>
            </w:pPr>
            <w:r>
              <w:rPr/>
              <w:t>●  </w:t>
            </w:r>
          </w:p>
        </w:tc>
        <w:tc>
          <w:tcPr>
            <w:tcW w:w="9901" w:type="dxa"/>
            <w:tcBorders/>
            <w:shd w:fill="auto" w:val="clear"/>
          </w:tcPr>
          <w:p>
            <w:pPr>
              <w:pStyle w:val="TableContents"/>
              <w:spacing w:before="0" w:after="0"/>
              <w:ind w:left="0" w:right="0" w:hanging="0"/>
              <w:jc w:val="both"/>
              <w:rPr>
                <w:rFonts w:ascii="helvetica" w:hAnsi="helvetica"/>
                <w:sz w:val="20"/>
              </w:rPr>
            </w:pPr>
            <w:r>
              <w:rPr>
                <w:rFonts w:ascii="helvetica" w:hAnsi="helvetica"/>
                <w:sz w:val="20"/>
              </w:rPr>
              <w:t>If we are not successful in introducing our products or if the market does not accept our products, or if our proposed product identification and development strategy is not successful, our business, financial position and results of operations may be materially adversely affected and the market price for our common stock would decline.</w:t>
            </w:r>
          </w:p>
        </w:tc>
      </w:tr>
    </w:tbl>
    <w:p>
      <w:pPr>
        <w:pStyle w:val="TextBody"/>
        <w:spacing w:before="0" w:after="0"/>
        <w:ind w:left="0" w:right="0" w:hanging="0"/>
        <w:rPr/>
      </w:pPr>
      <w:r>
        <w:rPr/>
        <w:t> </w:t>
      </w:r>
    </w:p>
    <w:p>
      <w:pPr>
        <w:pStyle w:val="Normal"/>
        <w:spacing w:before="0" w:after="0"/>
        <w:rPr>
          <w:sz w:val="4"/>
          <w:szCs w:val="4"/>
        </w:rPr>
      </w:pPr>
      <w:r>
        <w:rPr>
          <w:sz w:val="4"/>
          <w:szCs w:val="4"/>
        </w:rPr>
      </w:r>
      <w:bookmarkStart w:id="113" w:name="list19"/>
      <w:bookmarkStart w:id="114" w:name="list19"/>
      <w:bookmarkEnd w:id="114"/>
    </w:p>
    <w:tbl>
      <w:tblPr>
        <w:tblW w:w="5000" w:type="pct"/>
        <w:jc w:val="left"/>
        <w:tblInd w:w="0" w:type="dxa"/>
        <w:tblCellMar>
          <w:top w:w="0" w:type="dxa"/>
          <w:left w:w="0" w:type="dxa"/>
          <w:bottom w:w="0" w:type="dxa"/>
          <w:right w:w="0" w:type="dxa"/>
        </w:tblCellMar>
      </w:tblPr>
      <w:tblGrid>
        <w:gridCol w:w="304"/>
        <w:gridCol w:w="9901"/>
      </w:tblGrid>
      <w:tr>
        <w:trPr/>
        <w:tc>
          <w:tcPr>
            <w:tcW w:w="304" w:type="dxa"/>
            <w:tcBorders/>
            <w:shd w:fill="auto" w:val="clear"/>
          </w:tcPr>
          <w:p>
            <w:pPr>
              <w:pStyle w:val="TableContents"/>
              <w:spacing w:before="0" w:after="0"/>
              <w:jc w:val="right"/>
              <w:rPr/>
            </w:pPr>
            <w:r>
              <w:rPr/>
              <w:t>●  </w:t>
            </w:r>
          </w:p>
        </w:tc>
        <w:tc>
          <w:tcPr>
            <w:tcW w:w="9901" w:type="dxa"/>
            <w:tcBorders/>
            <w:shd w:fill="auto" w:val="clear"/>
          </w:tcPr>
          <w:p>
            <w:pPr>
              <w:pStyle w:val="TableContents"/>
              <w:spacing w:before="0" w:after="0"/>
              <w:ind w:left="0" w:right="0" w:hanging="0"/>
              <w:jc w:val="both"/>
              <w:rPr>
                <w:rFonts w:ascii="helvetica" w:hAnsi="helvetica"/>
                <w:sz w:val="20"/>
              </w:rPr>
            </w:pPr>
            <w:r>
              <w:rPr>
                <w:rFonts w:ascii="helvetica" w:hAnsi="helvetica"/>
                <w:sz w:val="20"/>
              </w:rPr>
              <w:t>If our patents are determined to be unenforceable or expire, or if we are unable to obtain new patents based on current patent applications or for future inventions, we may not be able to prevent others from using our intellectual property.</w:t>
            </w:r>
          </w:p>
        </w:tc>
      </w:tr>
    </w:tbl>
    <w:p>
      <w:pPr>
        <w:pStyle w:val="TextBody"/>
        <w:spacing w:before="0" w:after="0"/>
        <w:ind w:left="0" w:right="0" w:hanging="0"/>
        <w:rPr/>
      </w:pPr>
      <w:r>
        <w:rPr/>
        <w:t> </w:t>
      </w:r>
    </w:p>
    <w:p>
      <w:pPr>
        <w:pStyle w:val="Normal"/>
        <w:spacing w:before="0" w:after="0"/>
        <w:rPr>
          <w:sz w:val="4"/>
          <w:szCs w:val="4"/>
        </w:rPr>
      </w:pPr>
      <w:r>
        <w:rPr>
          <w:sz w:val="4"/>
          <w:szCs w:val="4"/>
        </w:rPr>
      </w:r>
      <w:bookmarkStart w:id="115" w:name="list20"/>
      <w:bookmarkStart w:id="116" w:name="list20"/>
      <w:bookmarkEnd w:id="116"/>
    </w:p>
    <w:tbl>
      <w:tblPr>
        <w:tblW w:w="5000" w:type="pct"/>
        <w:jc w:val="left"/>
        <w:tblInd w:w="0" w:type="dxa"/>
        <w:tblCellMar>
          <w:top w:w="0" w:type="dxa"/>
          <w:left w:w="0" w:type="dxa"/>
          <w:bottom w:w="0" w:type="dxa"/>
          <w:right w:w="0" w:type="dxa"/>
        </w:tblCellMar>
      </w:tblPr>
      <w:tblGrid>
        <w:gridCol w:w="304"/>
        <w:gridCol w:w="9901"/>
      </w:tblGrid>
      <w:tr>
        <w:trPr/>
        <w:tc>
          <w:tcPr>
            <w:tcW w:w="304" w:type="dxa"/>
            <w:tcBorders/>
            <w:shd w:fill="auto" w:val="clear"/>
          </w:tcPr>
          <w:p>
            <w:pPr>
              <w:pStyle w:val="TableContents"/>
              <w:spacing w:before="0" w:after="0"/>
              <w:jc w:val="right"/>
              <w:rPr/>
            </w:pPr>
            <w:r>
              <w:rPr/>
              <w:t>●  </w:t>
            </w:r>
          </w:p>
        </w:tc>
        <w:tc>
          <w:tcPr>
            <w:tcW w:w="9901" w:type="dxa"/>
            <w:tcBorders/>
            <w:shd w:fill="auto" w:val="clear"/>
          </w:tcPr>
          <w:p>
            <w:pPr>
              <w:pStyle w:val="TableContents"/>
              <w:spacing w:before="0" w:after="0"/>
              <w:ind w:left="0" w:right="0" w:hanging="0"/>
              <w:jc w:val="both"/>
              <w:rPr>
                <w:rFonts w:ascii="helvetica" w:hAnsi="helvetica"/>
                <w:sz w:val="20"/>
              </w:rPr>
            </w:pPr>
            <w:r>
              <w:rPr>
                <w:rFonts w:ascii="helvetica" w:hAnsi="helvetica"/>
                <w:sz w:val="20"/>
              </w:rPr>
              <w:t>Our principal stockholders have the ability to exert significant control in matters requiring a stockholder vote and could delay, deter or prevent a change in control of our company.</w:t>
            </w:r>
          </w:p>
        </w:tc>
      </w:tr>
    </w:tbl>
    <w:p>
      <w:pPr>
        <w:pStyle w:val="TextBody"/>
        <w:ind w:left="0" w:right="0" w:hanging="0"/>
        <w:jc w:val="center"/>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ind w:left="0" w:right="0" w:hanging="0"/>
        <w:jc w:val="center"/>
        <w:rPr/>
      </w:pPr>
      <w:r>
        <w:rPr/>
      </w:r>
      <w:bookmarkStart w:id="117" w:name="PGBRK8"/>
      <w:bookmarkStart w:id="118" w:name="PGBRK8"/>
      <w:bookmarkEnd w:id="118"/>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center"/>
        <w:rPr/>
      </w:pPr>
      <w:r>
        <w:rPr/>
      </w:r>
      <w:bookmarkStart w:id="119" w:name="FTR8"/>
      <w:bookmarkStart w:id="120" w:name="FTR8"/>
      <w:bookmarkEnd w:id="120"/>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left"/>
        <w:rPr/>
      </w:pPr>
      <w:bookmarkStart w:id="121" w:name="GLFTR7"/>
      <w:bookmarkEnd w:id="121"/>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helvetica" w:hAnsi="helvetica"/>
          <w:sz w:val="20"/>
        </w:rPr>
      </w:pPr>
      <w:bookmarkStart w:id="122" w:name="PN7"/>
      <w:bookmarkEnd w:id="122"/>
      <w:r>
        <w:rPr>
          <w:rFonts w:ascii="helvetica" w:hAnsi="helvetica"/>
          <w:sz w:val="20"/>
        </w:rPr>
        <w:t>6</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center"/>
        <w:rPr/>
      </w:pPr>
      <w:r>
        <w:rPr/>
      </w:r>
      <w:bookmarkStart w:id="123" w:name="HDR7"/>
      <w:bookmarkStart w:id="124" w:name="HDR7"/>
      <w:bookmarkEnd w:id="124"/>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right"/>
        <w:rPr/>
      </w:pPr>
      <w:bookmarkStart w:id="125" w:name="GLHDR7"/>
      <w:bookmarkEnd w:id="125"/>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r>
        <w:rPr/>
        <w:br/>
      </w:r>
      <w:r>
        <w:rPr>
          <w:rFonts w:ascii="helvetica" w:hAnsi="helvetica"/>
          <w:b/>
          <w:sz w:val="20"/>
        </w:rPr>
        <w:t>THE OFFERING</w:t>
      </w:r>
    </w:p>
    <w:p>
      <w:pPr>
        <w:pStyle w:val="TextBody"/>
        <w:spacing w:before="0" w:after="0"/>
        <w:ind w:left="0" w:right="0" w:hanging="0"/>
        <w:jc w:val="both"/>
        <w:rPr/>
      </w:pPr>
      <w:r>
        <w:rPr/>
        <w:t> </w:t>
      </w:r>
    </w:p>
    <w:p>
      <w:pPr>
        <w:pStyle w:val="TextBody"/>
        <w:spacing w:before="0" w:after="0"/>
        <w:ind w:left="0" w:right="0" w:hanging="0"/>
        <w:jc w:val="left"/>
        <w:rPr>
          <w:rFonts w:ascii="helvetica" w:hAnsi="helvetica"/>
          <w:i/>
          <w:sz w:val="20"/>
        </w:rPr>
      </w:pPr>
      <w:r>
        <w:rPr>
          <w:rFonts w:ascii="helvetica" w:hAnsi="helvetica"/>
          <w:i/>
          <w:sz w:val="20"/>
        </w:rPr>
        <w:t>The following summary contains basic information about the offering and our common stock and is not intended to be complete. It does not contain all the information that is important to you. For a more complete understanding of our common stock, please refer to the section of this prospectus entitled “Description of Capital Stock.”</w:t>
      </w:r>
    </w:p>
    <w:p>
      <w:pPr>
        <w:pStyle w:val="TextBody"/>
        <w:spacing w:before="0" w:after="0"/>
        <w:ind w:left="0" w:right="0" w:hanging="0"/>
        <w:rPr/>
      </w:pPr>
      <w:r>
        <w:rPr/>
        <w:t> </w:t>
      </w:r>
    </w:p>
    <w:p>
      <w:pPr>
        <w:pStyle w:val="TextBody"/>
        <w:spacing w:before="0" w:after="0"/>
        <w:ind w:left="0" w:right="0" w:hanging="0"/>
        <w:jc w:val="left"/>
        <w:rPr>
          <w:rFonts w:ascii="helvetica" w:hAnsi="helvetica"/>
          <w:i/>
          <w:sz w:val="20"/>
        </w:rPr>
      </w:pPr>
      <w:r>
        <w:rPr>
          <w:rFonts w:ascii="helvetica" w:hAnsi="helvetica"/>
          <w:i/>
          <w:sz w:val="20"/>
        </w:rPr>
        <w:t>All information regarding share amounts of common stock and prices per share of common stock described below assume the consummation of the one-for-five reverse stock split to be effected following the effectiveness of the registration statement of which this prospectus forms a part and prior to the closing of this offering.</w:t>
      </w:r>
    </w:p>
    <w:p>
      <w:pPr>
        <w:pStyle w:val="TextBody"/>
        <w:spacing w:before="0" w:after="0"/>
        <w:ind w:left="0" w:right="0" w:hanging="0"/>
        <w:rPr/>
      </w:pPr>
      <w:r>
        <w:rPr/>
        <w:t> </w:t>
      </w:r>
    </w:p>
    <w:tbl>
      <w:tblPr>
        <w:tblW w:w="5000" w:type="pct"/>
        <w:jc w:val="left"/>
        <w:tblInd w:w="0" w:type="dxa"/>
        <w:tblCellMar>
          <w:top w:w="45" w:type="dxa"/>
          <w:left w:w="45" w:type="dxa"/>
          <w:bottom w:w="45" w:type="dxa"/>
          <w:right w:w="45" w:type="dxa"/>
        </w:tblCellMar>
      </w:tblPr>
      <w:tblGrid>
        <w:gridCol w:w="5102"/>
        <w:gridCol w:w="5103"/>
      </w:tblGrid>
      <w:tr>
        <w:trPr/>
        <w:tc>
          <w:tcPr>
            <w:tcW w:w="5102" w:type="dxa"/>
            <w:tcBorders/>
            <w:shd w:fill="auto" w:val="clear"/>
          </w:tcPr>
          <w:p>
            <w:pPr>
              <w:pStyle w:val="TableContents"/>
              <w:spacing w:before="0" w:after="0"/>
              <w:ind w:left="0" w:right="0" w:hanging="0"/>
              <w:jc w:val="left"/>
              <w:rPr>
                <w:rFonts w:ascii="helvetica" w:hAnsi="helvetica"/>
                <w:b/>
                <w:sz w:val="20"/>
              </w:rPr>
            </w:pPr>
            <w:r>
              <w:rPr>
                <w:rFonts w:ascii="helvetica" w:hAnsi="helvetica"/>
                <w:b/>
                <w:sz w:val="20"/>
              </w:rPr>
              <w:t>Issuer</w:t>
            </w:r>
          </w:p>
        </w:tc>
        <w:tc>
          <w:tcPr>
            <w:tcW w:w="5103" w:type="dxa"/>
            <w:tcBorders/>
            <w:shd w:fill="auto" w:val="clear"/>
          </w:tcPr>
          <w:p>
            <w:pPr>
              <w:pStyle w:val="TableContents"/>
              <w:spacing w:before="0" w:after="0"/>
              <w:ind w:left="0" w:right="0" w:hanging="0"/>
              <w:jc w:val="left"/>
              <w:rPr>
                <w:rFonts w:ascii="helvetica" w:hAnsi="helvetica"/>
                <w:sz w:val="20"/>
              </w:rPr>
            </w:pPr>
            <w:r>
              <w:rPr>
                <w:rFonts w:ascii="helvetica" w:hAnsi="helvetica"/>
                <w:sz w:val="20"/>
              </w:rPr>
              <w:t>Imprimis Pharmaceuticals, Inc.</w:t>
            </w:r>
          </w:p>
        </w:tc>
      </w:tr>
      <w:tr>
        <w:trPr/>
        <w:tc>
          <w:tcPr>
            <w:tcW w:w="5102" w:type="dxa"/>
            <w:tcBorders/>
            <w:shd w:fill="auto" w:val="clear"/>
          </w:tcPr>
          <w:p>
            <w:pPr>
              <w:pStyle w:val="TableContents"/>
              <w:spacing w:before="0" w:after="0"/>
              <w:ind w:left="0" w:right="0" w:hanging="0"/>
              <w:jc w:val="left"/>
              <w:rPr>
                <w:rFonts w:ascii="helvetica" w:hAnsi="helvetica"/>
                <w:b/>
                <w:sz w:val="20"/>
              </w:rPr>
            </w:pPr>
            <w:r>
              <w:rPr>
                <w:rFonts w:ascii="helvetica" w:hAnsi="helvetica"/>
                <w:b/>
                <w:sz w:val="20"/>
              </w:rPr>
              <w:t>Securities offered</w:t>
            </w:r>
          </w:p>
        </w:tc>
        <w:tc>
          <w:tcPr>
            <w:tcW w:w="5103" w:type="dxa"/>
            <w:tcBorders/>
            <w:shd w:fill="auto" w:val="clear"/>
          </w:tcPr>
          <w:p>
            <w:pPr>
              <w:pStyle w:val="TableContents"/>
              <w:spacing w:before="0" w:after="0"/>
              <w:ind w:left="0" w:right="0" w:hanging="0"/>
              <w:jc w:val="left"/>
              <w:rPr>
                <w:rFonts w:ascii="helvetica" w:hAnsi="helvetica"/>
                <w:sz w:val="20"/>
              </w:rPr>
            </w:pPr>
            <w:r>
              <w:rPr>
                <w:rFonts w:ascii="helvetica" w:hAnsi="helvetica"/>
                <w:sz w:val="20"/>
              </w:rPr>
              <w:t>Up to                       shares of common stock</w:t>
            </w:r>
          </w:p>
        </w:tc>
      </w:tr>
      <w:tr>
        <w:trPr/>
        <w:tc>
          <w:tcPr>
            <w:tcW w:w="5102" w:type="dxa"/>
            <w:tcBorders/>
            <w:shd w:fill="auto" w:val="clear"/>
          </w:tcPr>
          <w:p>
            <w:pPr>
              <w:pStyle w:val="TableContents"/>
              <w:spacing w:before="0" w:after="0"/>
              <w:ind w:left="0" w:right="0" w:hanging="0"/>
              <w:rPr>
                <w:rFonts w:ascii="helvetica" w:hAnsi="helvetica"/>
                <w:b/>
                <w:sz w:val="20"/>
              </w:rPr>
            </w:pPr>
            <w:r>
              <w:rPr>
                <w:rFonts w:ascii="helvetica" w:hAnsi="helvetica"/>
                <w:b/>
                <w:sz w:val="20"/>
              </w:rPr>
              <w:t>Common stock outstanding prior to offering</w:t>
            </w:r>
          </w:p>
        </w:tc>
        <w:tc>
          <w:tcPr>
            <w:tcW w:w="5103" w:type="dxa"/>
            <w:tcBorders/>
            <w:shd w:fill="auto" w:val="clear"/>
          </w:tcPr>
          <w:p>
            <w:pPr>
              <w:pStyle w:val="TableContents"/>
              <w:spacing w:before="0" w:after="0"/>
              <w:ind w:left="0" w:right="0" w:hanging="0"/>
              <w:jc w:val="left"/>
              <w:rPr>
                <w:rFonts w:ascii="helvetica" w:hAnsi="helvetica"/>
                <w:sz w:val="20"/>
              </w:rPr>
            </w:pPr>
            <w:r>
              <w:rPr>
                <w:rFonts w:ascii="helvetica" w:hAnsi="helvetica"/>
                <w:sz w:val="20"/>
              </w:rPr>
              <w:t>6,771,926 (1)</w:t>
            </w:r>
          </w:p>
        </w:tc>
      </w:tr>
      <w:tr>
        <w:trPr/>
        <w:tc>
          <w:tcPr>
            <w:tcW w:w="5102" w:type="dxa"/>
            <w:tcBorders/>
            <w:shd w:fill="auto" w:val="clear"/>
          </w:tcPr>
          <w:p>
            <w:pPr>
              <w:pStyle w:val="TableContents"/>
              <w:spacing w:before="0" w:after="0"/>
              <w:ind w:left="0" w:right="0" w:hanging="0"/>
              <w:rPr>
                <w:rFonts w:ascii="helvetica" w:hAnsi="helvetica"/>
                <w:b/>
                <w:sz w:val="20"/>
              </w:rPr>
            </w:pPr>
            <w:r>
              <w:rPr>
                <w:rFonts w:ascii="helvetica" w:hAnsi="helvetica"/>
                <w:b/>
                <w:sz w:val="20"/>
              </w:rPr>
              <w:t>Common stock outstanding after the offering</w:t>
            </w:r>
          </w:p>
        </w:tc>
        <w:tc>
          <w:tcPr>
            <w:tcW w:w="5103" w:type="dxa"/>
            <w:tcBorders/>
            <w:shd w:fill="auto" w:val="clear"/>
          </w:tcPr>
          <w:p>
            <w:pPr>
              <w:pStyle w:val="TableContents"/>
              <w:spacing w:before="0" w:after="0"/>
              <w:ind w:left="0" w:right="0" w:hanging="0"/>
              <w:jc w:val="left"/>
              <w:rPr>
                <w:rFonts w:ascii="helvetica" w:hAnsi="helvetica"/>
                <w:sz w:val="20"/>
              </w:rPr>
            </w:pPr>
            <w:r>
              <w:rPr>
                <w:rFonts w:ascii="helvetica" w:hAnsi="helvetica"/>
                <w:sz w:val="20"/>
              </w:rPr>
              <w:t>(1)(2)</w:t>
            </w:r>
          </w:p>
        </w:tc>
      </w:tr>
      <w:tr>
        <w:trPr/>
        <w:tc>
          <w:tcPr>
            <w:tcW w:w="5102" w:type="dxa"/>
            <w:tcBorders/>
            <w:shd w:fill="auto" w:val="clear"/>
          </w:tcPr>
          <w:p>
            <w:pPr>
              <w:pStyle w:val="TableContents"/>
              <w:spacing w:before="0" w:after="0"/>
              <w:ind w:left="0" w:right="0" w:hanging="0"/>
              <w:rPr>
                <w:rFonts w:ascii="helvetica" w:hAnsi="helvetica"/>
                <w:b/>
                <w:sz w:val="20"/>
              </w:rPr>
            </w:pPr>
            <w:r>
              <w:rPr>
                <w:rFonts w:ascii="helvetica" w:hAnsi="helvetica"/>
                <w:b/>
                <w:sz w:val="20"/>
              </w:rPr>
              <w:t>Use of Proceeds</w:t>
            </w:r>
          </w:p>
        </w:tc>
        <w:tc>
          <w:tcPr>
            <w:tcW w:w="5103" w:type="dxa"/>
            <w:tcBorders/>
            <w:shd w:fill="auto" w:val="clear"/>
          </w:tcPr>
          <w:p>
            <w:pPr>
              <w:pStyle w:val="TableContents"/>
              <w:spacing w:before="0" w:after="0"/>
              <w:ind w:left="0" w:right="0" w:hanging="0"/>
              <w:jc w:val="left"/>
              <w:rPr>
                <w:rFonts w:ascii="helvetica" w:hAnsi="helvetica"/>
                <w:sz w:val="20"/>
              </w:rPr>
            </w:pPr>
            <w:r>
              <w:rPr>
                <w:rFonts w:ascii="helvetica" w:hAnsi="helvetica"/>
                <w:sz w:val="20"/>
              </w:rPr>
              <w:t>We expect to use the net proceeds received from the offering, to fund our clinical trials and for working capital and general corporate purposes. See “Use of Proceeds” for more information.</w:t>
            </w:r>
          </w:p>
        </w:tc>
      </w:tr>
      <w:tr>
        <w:trPr/>
        <w:tc>
          <w:tcPr>
            <w:tcW w:w="5102" w:type="dxa"/>
            <w:tcBorders/>
            <w:shd w:fill="auto" w:val="clear"/>
          </w:tcPr>
          <w:p>
            <w:pPr>
              <w:pStyle w:val="TableContents"/>
              <w:spacing w:before="0" w:after="0"/>
              <w:ind w:left="0" w:right="0" w:hanging="0"/>
              <w:rPr>
                <w:rFonts w:ascii="helvetica" w:hAnsi="helvetica"/>
                <w:b/>
                <w:sz w:val="20"/>
              </w:rPr>
            </w:pPr>
            <w:r>
              <w:rPr>
                <w:rFonts w:ascii="helvetica" w:hAnsi="helvetica"/>
                <w:b/>
                <w:sz w:val="20"/>
              </w:rPr>
              <w:t>OTC Markets Group Symbol</w:t>
            </w:r>
          </w:p>
        </w:tc>
        <w:tc>
          <w:tcPr>
            <w:tcW w:w="5103" w:type="dxa"/>
            <w:tcBorders/>
            <w:shd w:fill="auto" w:val="clear"/>
          </w:tcPr>
          <w:p>
            <w:pPr>
              <w:pStyle w:val="TableContents"/>
              <w:spacing w:before="0" w:after="0"/>
              <w:ind w:left="0" w:right="0" w:hanging="0"/>
              <w:jc w:val="left"/>
              <w:rPr/>
            </w:pPr>
            <w:r>
              <w:rPr/>
              <w:t>“</w:t>
            </w:r>
            <w:r>
              <w:rPr>
                <w:rFonts w:ascii="helvetica" w:hAnsi="helvetica"/>
                <w:sz w:val="20"/>
              </w:rPr>
              <w:t>IMMY”</w:t>
            </w:r>
          </w:p>
        </w:tc>
      </w:tr>
      <w:tr>
        <w:trPr/>
        <w:tc>
          <w:tcPr>
            <w:tcW w:w="5102" w:type="dxa"/>
            <w:tcBorders/>
            <w:shd w:fill="auto" w:val="clear"/>
          </w:tcPr>
          <w:p>
            <w:pPr>
              <w:pStyle w:val="TableContents"/>
              <w:spacing w:before="0" w:after="0"/>
              <w:ind w:left="0" w:right="0" w:hanging="0"/>
              <w:rPr>
                <w:rFonts w:ascii="helvetica" w:hAnsi="helvetica"/>
                <w:b/>
                <w:sz w:val="20"/>
              </w:rPr>
            </w:pPr>
            <w:r>
              <w:rPr>
                <w:rFonts w:ascii="helvetica" w:hAnsi="helvetica"/>
                <w:b/>
                <w:sz w:val="20"/>
              </w:rPr>
              <w:t>Proposed NASDAQ Symbol</w:t>
            </w:r>
          </w:p>
        </w:tc>
        <w:tc>
          <w:tcPr>
            <w:tcW w:w="5103" w:type="dxa"/>
            <w:tcBorders/>
            <w:shd w:fill="auto" w:val="clear"/>
          </w:tcPr>
          <w:p>
            <w:pPr>
              <w:pStyle w:val="TableContents"/>
              <w:spacing w:before="0" w:after="0"/>
              <w:ind w:left="0" w:right="0" w:hanging="0"/>
              <w:jc w:val="left"/>
              <w:rPr/>
            </w:pPr>
            <w:r>
              <w:rPr/>
              <w:t>“</w:t>
            </w:r>
            <w:r>
              <w:rPr>
                <w:rFonts w:ascii="helvetica" w:hAnsi="helvetica"/>
                <w:sz w:val="20"/>
              </w:rPr>
              <w:t>IMMY”</w:t>
            </w:r>
          </w:p>
        </w:tc>
      </w:tr>
      <w:tr>
        <w:trPr/>
        <w:tc>
          <w:tcPr>
            <w:tcW w:w="5102" w:type="dxa"/>
            <w:tcBorders/>
            <w:shd w:fill="auto" w:val="clear"/>
          </w:tcPr>
          <w:p>
            <w:pPr>
              <w:pStyle w:val="TableContents"/>
              <w:spacing w:before="0" w:after="0"/>
              <w:ind w:left="0" w:right="0" w:hanging="0"/>
              <w:rPr>
                <w:rFonts w:ascii="helvetica" w:hAnsi="helvetica"/>
                <w:b/>
                <w:sz w:val="20"/>
              </w:rPr>
            </w:pPr>
            <w:r>
              <w:rPr>
                <w:rFonts w:ascii="helvetica" w:hAnsi="helvetica"/>
                <w:b/>
                <w:sz w:val="20"/>
              </w:rPr>
              <w:t>Risk Factors</w:t>
            </w:r>
          </w:p>
        </w:tc>
        <w:tc>
          <w:tcPr>
            <w:tcW w:w="5103" w:type="dxa"/>
            <w:tcBorders/>
            <w:shd w:fill="auto" w:val="clear"/>
          </w:tcPr>
          <w:p>
            <w:pPr>
              <w:pStyle w:val="TableContents"/>
              <w:spacing w:before="0" w:after="0"/>
              <w:ind w:left="0" w:right="0" w:hanging="0"/>
              <w:jc w:val="left"/>
              <w:rPr>
                <w:rFonts w:ascii="helvetica" w:hAnsi="helvetica"/>
                <w:sz w:val="20"/>
              </w:rPr>
            </w:pPr>
            <w:r>
              <w:rPr>
                <w:rFonts w:ascii="helvetica" w:hAnsi="helvetica"/>
                <w:sz w:val="20"/>
              </w:rPr>
              <w:t>See “Risk Factors” beginning on page 8 and other information in this prospectus for a discussion of the factors you should consider before you decide to invest in our common stock.</w:t>
            </w:r>
          </w:p>
        </w:tc>
      </w:tr>
      <w:tr>
        <w:trPr/>
        <w:tc>
          <w:tcPr>
            <w:tcW w:w="5102" w:type="dxa"/>
            <w:tcBorders/>
            <w:shd w:fill="auto" w:val="clear"/>
          </w:tcPr>
          <w:p>
            <w:pPr>
              <w:pStyle w:val="TableContents"/>
              <w:spacing w:before="0" w:after="0"/>
              <w:ind w:left="0" w:right="0" w:hanging="0"/>
              <w:jc w:val="left"/>
              <w:rPr>
                <w:rFonts w:ascii="helvetica" w:hAnsi="helvetica"/>
                <w:b/>
                <w:sz w:val="20"/>
              </w:rPr>
            </w:pPr>
            <w:r>
              <w:rPr>
                <w:rFonts w:ascii="helvetica" w:hAnsi="helvetica"/>
                <w:b/>
                <w:sz w:val="20"/>
              </w:rPr>
              <w:t>Underwriter common stock purchase warrant</w:t>
            </w:r>
          </w:p>
        </w:tc>
        <w:tc>
          <w:tcPr>
            <w:tcW w:w="5103" w:type="dxa"/>
            <w:tcBorders/>
            <w:shd w:fill="auto" w:val="clear"/>
          </w:tcPr>
          <w:p>
            <w:pPr>
              <w:pStyle w:val="TableContents"/>
              <w:spacing w:before="0" w:after="0"/>
              <w:ind w:left="0" w:right="0" w:hanging="0"/>
              <w:jc w:val="left"/>
              <w:rPr>
                <w:rFonts w:ascii="helvetica" w:hAnsi="helvetica"/>
                <w:sz w:val="20"/>
              </w:rPr>
            </w:pPr>
            <w:r>
              <w:rPr>
                <w:rFonts w:ascii="helvetica" w:hAnsi="helvetica"/>
                <w:sz w:val="20"/>
              </w:rPr>
              <w:t>In connection with this offering, we have also agreed to sell to MDB Capital Group LLC and its designees a warrant to purchase up to 8.5% of the shares of common stock sold in this offering. If this warrant is exercised, each share may be purchased by MDB Capital Group LLC at $              per share (100% of the price of the shares sold in this offering.)</w:t>
            </w:r>
          </w:p>
        </w:tc>
      </w:tr>
      <w:tr>
        <w:trPr/>
        <w:tc>
          <w:tcPr>
            <w:tcW w:w="5102" w:type="dxa"/>
            <w:tcBorders/>
            <w:shd w:fill="auto" w:val="clear"/>
          </w:tcPr>
          <w:p>
            <w:pPr>
              <w:pStyle w:val="TableContents"/>
              <w:spacing w:before="0" w:after="0"/>
              <w:ind w:left="0" w:right="0" w:hanging="0"/>
              <w:jc w:val="left"/>
              <w:rPr>
                <w:rFonts w:ascii="helvetica" w:hAnsi="helvetica"/>
                <w:b/>
                <w:sz w:val="20"/>
              </w:rPr>
            </w:pPr>
            <w:r>
              <w:rPr>
                <w:rFonts w:ascii="helvetica" w:hAnsi="helvetica"/>
                <w:b/>
                <w:sz w:val="20"/>
              </w:rPr>
              <w:t>Lock-Up Agreements</w:t>
            </w:r>
          </w:p>
        </w:tc>
        <w:tc>
          <w:tcPr>
            <w:tcW w:w="5103" w:type="dxa"/>
            <w:tcBorders/>
            <w:shd w:fill="auto" w:val="clear"/>
          </w:tcPr>
          <w:p>
            <w:pPr>
              <w:pStyle w:val="TableContents"/>
              <w:spacing w:before="0" w:after="0"/>
              <w:ind w:left="0" w:right="0" w:hanging="0"/>
              <w:jc w:val="left"/>
              <w:rPr>
                <w:rFonts w:ascii="helvetica" w:hAnsi="helvetica"/>
                <w:sz w:val="20"/>
              </w:rPr>
            </w:pPr>
            <w:r>
              <w:rPr>
                <w:rFonts w:ascii="helvetica" w:hAnsi="helvetica"/>
                <w:sz w:val="20"/>
              </w:rPr>
              <w:t>Each of our officers, directors and shareholders beneficially owning 5% or more of our common stock have agreed that for a period of 180 days from the effective date of this offering, they will be subject to a lockup prohibiting any sales, transfers or hedging transactions in our securities held by them. See section titled “Lock-Up Agreements” in this prospectus.</w:t>
            </w:r>
          </w:p>
        </w:tc>
      </w:tr>
    </w:tbl>
    <w:p>
      <w:pPr>
        <w:pStyle w:val="TextBody"/>
        <w:spacing w:before="0" w:after="0"/>
        <w:ind w:left="0" w:right="0" w:hanging="0"/>
        <w:rPr/>
      </w:pPr>
      <w:r>
        <w:rPr/>
        <w:t> </w:t>
      </w:r>
    </w:p>
    <w:p>
      <w:pPr>
        <w:pStyle w:val="TextBody"/>
        <w:spacing w:before="0" w:after="0"/>
        <w:ind w:left="0" w:right="0" w:hanging="0"/>
        <w:jc w:val="left"/>
        <w:rPr>
          <w:rFonts w:ascii="helvetica" w:hAnsi="helvetica"/>
          <w:sz w:val="20"/>
        </w:rPr>
      </w:pPr>
      <w:r>
        <w:rPr>
          <w:rFonts w:ascii="helvetica" w:hAnsi="helvetica"/>
          <w:sz w:val="20"/>
        </w:rPr>
        <w:t>(1) Excludes (i) 570,290 shares of common stock issuable upon the exercise of outstanding warrants with exercise prices ranging from $5.925 to $176.00 per share, (ii) 917,154 shares of our common stock issuable upon exercise of outstanding options with a weighted average exercise price of $5.15 per share outstanding under the 2007 Plan, and (iii) 200,000 shares of common stock underlying restricted stock units granted outside the 2007 Plan.</w:t>
      </w:r>
    </w:p>
    <w:p>
      <w:pPr>
        <w:pStyle w:val="TextBody"/>
        <w:spacing w:before="0" w:after="0"/>
        <w:ind w:left="0" w:right="0" w:hanging="0"/>
        <w:jc w:val="both"/>
        <w:rPr/>
      </w:pPr>
      <w:r>
        <w:rPr/>
        <w:t> </w:t>
      </w:r>
    </w:p>
    <w:p>
      <w:pPr>
        <w:pStyle w:val="TextBody"/>
        <w:spacing w:before="0" w:after="0"/>
        <w:ind w:left="0" w:right="0" w:hanging="0"/>
        <w:jc w:val="left"/>
        <w:rPr>
          <w:rFonts w:ascii="helvetica" w:hAnsi="helvetica"/>
          <w:sz w:val="20"/>
        </w:rPr>
      </w:pPr>
      <w:r>
        <w:rPr>
          <w:rFonts w:ascii="helvetica" w:hAnsi="helvetica"/>
          <w:sz w:val="20"/>
        </w:rPr>
        <w:t>(2) Excludes any shares of common stock issuable pursuant to the exercise of the underwriter’s over-allotment option and any shares of common stock issuable upon the exercise of warrants issuable to the underwriter upon the closing of this offering.</w:t>
      </w:r>
    </w:p>
    <w:p>
      <w:pPr>
        <w:pStyle w:val="TextBody"/>
        <w:spacing w:before="0" w:after="0"/>
        <w:ind w:left="0" w:right="0" w:hanging="0"/>
        <w:jc w:val="left"/>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126" w:name="PGBRK9"/>
      <w:bookmarkStart w:id="127" w:name="PGBRK9"/>
      <w:bookmarkEnd w:id="12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28" w:name="FTR9"/>
      <w:bookmarkStart w:id="129" w:name="FTR9"/>
      <w:bookmarkEnd w:id="12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130" w:name="GLFTR8"/>
      <w:bookmarkEnd w:id="130"/>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helvetica" w:hAnsi="helvetica"/>
          <w:sz w:val="20"/>
        </w:rPr>
      </w:pPr>
      <w:bookmarkStart w:id="131" w:name="PN8"/>
      <w:bookmarkEnd w:id="131"/>
      <w:r>
        <w:rPr>
          <w:rFonts w:ascii="helvetica" w:hAnsi="helvetica"/>
          <w:sz w:val="20"/>
        </w:rPr>
        <w:t>7</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32" w:name="HDR8"/>
      <w:bookmarkStart w:id="133" w:name="HDR8"/>
      <w:bookmarkEnd w:id="13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134" w:name="GLHDR8"/>
      <w:bookmarkEnd w:id="134"/>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pPr>
      <w:r>
        <w:rPr/>
        <w:t> </w:t>
      </w:r>
    </w:p>
    <w:p>
      <w:pPr>
        <w:pStyle w:val="TextBody"/>
        <w:spacing w:before="0" w:after="0"/>
        <w:ind w:left="0" w:right="0" w:hanging="0"/>
        <w:jc w:val="center"/>
        <w:rPr>
          <w:rFonts w:ascii="helvetica" w:hAnsi="helvetica"/>
          <w:b/>
          <w:sz w:val="20"/>
        </w:rPr>
      </w:pPr>
      <w:r>
        <w:rPr>
          <w:rFonts w:ascii="helvetica" w:hAnsi="helvetica"/>
          <w:b/>
          <w:sz w:val="20"/>
        </w:rPr>
        <w:t>RISK FACTORS</w:t>
      </w:r>
    </w:p>
    <w:p>
      <w:pPr>
        <w:pStyle w:val="TextBody"/>
        <w:spacing w:before="0" w:after="0"/>
        <w:ind w:left="0" w:right="0" w:hanging="0"/>
        <w:jc w:val="both"/>
        <w:rPr/>
      </w:pPr>
      <w:r>
        <w:rPr/>
        <w:t> </w:t>
      </w:r>
    </w:p>
    <w:p>
      <w:pPr>
        <w:pStyle w:val="TextBody"/>
        <w:spacing w:before="0" w:after="0"/>
        <w:ind w:left="0" w:right="0" w:hanging="0"/>
        <w:jc w:val="left"/>
        <w:rPr>
          <w:rFonts w:ascii="helvetica" w:hAnsi="helvetica"/>
          <w:i/>
          <w:sz w:val="20"/>
        </w:rPr>
      </w:pPr>
      <w:r>
        <w:rPr>
          <w:rFonts w:ascii="helvetica" w:hAnsi="helvetica"/>
          <w:i/>
          <w:sz w:val="20"/>
        </w:rPr>
        <w:t>Investing in our common stock involves a high degree of risk.  You should carefully consider the following risk factors in addition to the other information contained in this prospectus. This prospectus contains forward-looking statements. Our business, financial condition, results of operations and stock price could be materially adversely affected by any of these risks. Additional risks not presently known to us or that we currently deem immaterial may also impair our business financial condition, results of operations and stock price.</w:t>
      </w:r>
    </w:p>
    <w:p>
      <w:pPr>
        <w:pStyle w:val="TextBody"/>
        <w:spacing w:before="0" w:after="0"/>
        <w:ind w:left="0" w:right="0" w:hanging="0"/>
        <w:jc w:val="both"/>
        <w:rPr/>
      </w:pPr>
      <w:r>
        <w:rPr/>
        <w:t> </w:t>
      </w:r>
    </w:p>
    <w:p>
      <w:pPr>
        <w:pStyle w:val="TextBody"/>
        <w:spacing w:before="0" w:after="0"/>
        <w:ind w:left="0" w:right="0" w:hanging="0"/>
        <w:rPr/>
      </w:pPr>
      <w:bookmarkStart w:id="135" w:name="TAB26"/>
      <w:bookmarkEnd w:id="135"/>
      <w:r>
        <w:rPr>
          <w:color w:val="000000"/>
          <w:spacing w:val="180"/>
        </w:rPr>
        <w:t> </w:t>
      </w:r>
      <w:r>
        <w:rPr>
          <w:rFonts w:ascii="helvetica" w:hAnsi="helvetica"/>
          <w:b/>
          <w:sz w:val="20"/>
        </w:rPr>
        <w:t>Risks Related to Our Business</w:t>
      </w:r>
    </w:p>
    <w:p>
      <w:pPr>
        <w:pStyle w:val="TextBody"/>
        <w:spacing w:before="0" w:after="0"/>
        <w:ind w:left="0" w:right="0" w:hanging="0"/>
        <w:jc w:val="both"/>
        <w:rPr/>
      </w:pPr>
      <w:r>
        <w:rPr/>
        <w:t> </w:t>
      </w:r>
    </w:p>
    <w:p>
      <w:pPr>
        <w:pStyle w:val="TextBody"/>
        <w:spacing w:before="0" w:after="0"/>
        <w:ind w:left="0" w:right="0" w:hanging="0"/>
        <w:rPr>
          <w:rFonts w:ascii="helvetica" w:hAnsi="helvetica"/>
          <w:b/>
          <w:i/>
          <w:sz w:val="20"/>
        </w:rPr>
      </w:pPr>
      <w:r>
        <w:rPr>
          <w:rFonts w:ascii="helvetica" w:hAnsi="helvetica"/>
          <w:b/>
          <w:i/>
          <w:sz w:val="20"/>
        </w:rPr>
        <w:t>We have a limited operating history since the dismissal of our voluntary petition for reorganization relief under Chapter 11 of the Bankruptcy Code in December 2011, and we may be unable to successfully resume our operations and implement our business plan.</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r>
        <w:rPr>
          <w:rFonts w:ascii="helvetica" w:hAnsi="helvetica"/>
          <w:sz w:val="20"/>
        </w:rPr>
        <w:t>On June 26, 2011, we suspended our operations and filed a voluntary petition for reorganization relief under Chapter 11 of the United States Bankruptcy Code in the United States Bankruptcy Court for the Southern District of California (the “Bankruptcy Court”), Case No. 11-10497-11 (the “Chapter 11 Case”). On November 21, 2011, in connection with our entry into a line of credit agreement and securities purchase agreement with DermaStar International, LLC (“DermaStar”), we requested that the Bankruptcy Court dismiss the Chapter 11 Case.  On December 8, 2011, the Bankruptcy Court entered an order dismissing the Chapter 11 Case, and since that date we have engaged a new management team, appointed new directors to fill certain vacancies on our Board and worked towards re-initiating our Phase 3 clinical trials for Impracor.  However, we have a limited operating history since the dismissal of the Chapter 11 Case, and we may not be successful in our efforts to resume our operations.  We did not receive any type of discharge of debts, claims or obligations in the Chapter 11 Case, and prior unknown or contingent liabilities could have a material adverse effect on our financial condition.  Prior to the filing of the Chapter 11 Case, we were unable to successfully pursue our business plan due to a lack of funding.  We will require additional capital to pursue our clinical trials and maintain our operations.  We may be unable to obtain such funds when necessary.  In addition, by September 2011 we employed no full-time employees and had retained the consulting services of one former employee in order to manage any matters related to the Chapter 11 Case.  We have had to re-assemble an executive management team and a research and development team, and other employees to assist with our general operations.  We currently have five employees, a number of whom are former employees, and we will need to hire additional employees in order to execute our business plan.  Given our operating history, we may be unable to assemble an effective management team, or hire and retain qualified individuals.  As a result, we may be unable to successfully resume our operations and pursue our business plan.</w:t>
      </w:r>
    </w:p>
    <w:p>
      <w:pPr>
        <w:pStyle w:val="TextBody"/>
        <w:spacing w:before="0" w:after="0"/>
        <w:ind w:left="0" w:right="0" w:hanging="0"/>
        <w:jc w:val="both"/>
        <w:rPr/>
      </w:pPr>
      <w:r>
        <w:rPr/>
        <w:t> </w:t>
      </w:r>
    </w:p>
    <w:p>
      <w:pPr>
        <w:pStyle w:val="TextBody"/>
        <w:spacing w:before="0" w:after="0"/>
        <w:ind w:left="0" w:right="0" w:hanging="0"/>
        <w:rPr>
          <w:rFonts w:ascii="helvetica" w:hAnsi="helvetica"/>
          <w:b/>
          <w:i/>
          <w:sz w:val="20"/>
        </w:rPr>
      </w:pPr>
      <w:r>
        <w:rPr>
          <w:rFonts w:ascii="helvetica" w:hAnsi="helvetica"/>
          <w:b/>
          <w:i/>
          <w:sz w:val="20"/>
        </w:rPr>
        <w:t>We must raise additional capital in order to continue operating our business, and such additional funds may not be available on acceptable terms or at all.</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r>
        <w:rPr>
          <w:rFonts w:ascii="helvetica" w:hAnsi="helvetica"/>
          <w:sz w:val="20"/>
        </w:rPr>
        <w:t>We do not generate any cash from operations and must raise additional funds in order to continue operating our business.  We expect to continue to fund our operations primarily through equity and debt financings in the future. If additional capital is not available when necessary, we may not be able to continue to operate our business pursuant to our business plan or we may have to discontinue our operations entirely. Even following our recent issuance of securities to PCCA in the PCCA Transaction and the completion of this offering, based on our use of proceeds from the PCCA Transaction and our proposed use of proceeds from this offering, we will likely need significant additional capital, which we may seek to raise through, among other things, public and private equity offerings and debt financing.</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r>
        <w:rPr>
          <w:rFonts w:ascii="helvetica" w:hAnsi="helvetica"/>
          <w:sz w:val="20"/>
        </w:rPr>
        <w:t>We expect our total expenditures over the next 12 months to be approximately $7 million.  However, our estimate of total expenditures could increase if we encounter unanticipated difficulties.  In addition, our estimates of the amount of cash necessary to fund our business may prove to be wrong and we could spend our available financial resources much faster than we currently expect.  If we cannot raise the money that we need in order to continue to develop our business, we will be forced to delay, scale back or eliminate some or all of our proposed operations. If any of these events were to occur, there is a substantial risk that our business would fail.  Following this offering, we expect to continue to seek funding from our existing stockholders and other qualified investors in order to pursue our business plan.  Sources of additional funds may not be available on acceptable terms or at all.  Weak economic and capital market conditions could result in increased difficulties in raising capital for our operations. We may not be able to raise money through the sale of our equity securities or through borrowing funds on terms we find acceptable. If we cannot raise the funds that we need, we will be unable to continue our operations, and our stockholders could lose their entire investment in our company.</w:t>
      </w:r>
    </w:p>
    <w:p>
      <w:pPr>
        <w:pStyle w:val="TextBody"/>
        <w:spacing w:before="0" w:after="0"/>
        <w:ind w:left="0" w:right="0" w:firstLine="720"/>
        <w:jc w:val="left"/>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136" w:name="PGBRK10"/>
      <w:bookmarkStart w:id="137" w:name="PGBRK10"/>
      <w:bookmarkEnd w:id="13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38" w:name="FTR10"/>
      <w:bookmarkStart w:id="139" w:name="FTR10"/>
      <w:bookmarkEnd w:id="13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140" w:name="GLFTR9"/>
      <w:bookmarkEnd w:id="140"/>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helvetica" w:hAnsi="helvetica"/>
          <w:sz w:val="20"/>
        </w:rPr>
      </w:pPr>
      <w:bookmarkStart w:id="141" w:name="PN9"/>
      <w:bookmarkEnd w:id="141"/>
      <w:r>
        <w:rPr>
          <w:rFonts w:ascii="helvetica" w:hAnsi="helvetica"/>
          <w:sz w:val="20"/>
        </w:rPr>
        <w:t>8</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42" w:name="HDR9"/>
      <w:bookmarkStart w:id="143" w:name="HDR9"/>
      <w:bookmarkEnd w:id="14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144" w:name="GLHDR9"/>
      <w:bookmarkEnd w:id="144"/>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r>
        <w:rPr>
          <w:rFonts w:ascii="helvetica" w:hAnsi="helvetica"/>
          <w:sz w:val="20"/>
        </w:rPr>
        <w:t>We will be required to pursue sources of additional capital to fund our operations through various means, including equity or debt financing, funding from a corporate partnership or licensing arrangement or any similar financing. However, we may be unable to obtain such financings on reasonable terms, or at all. If we issue equity or convertible debt securities to raise additional funds, our existing stockholders may experience substantial dilution, and the new equity or debt securities may have rights, preferences and privileges senior to those of our existing stockholders. In addition, if we raise additional funds through collaboration and licensing arrangements, we may be required to relinquish potentially valuable rights to our product candidates or proprietary technologies, or grant licenses on terms that are not favorable to us. If we incur additional debt, it may increase our leverage relative to our earnings or to our equity capitalization, requiring us to pay additional interest expenses. Obtaining commercial loans, assuming those loans would be available, would increase our liabilities and future cash commitments. Further, we may incur substantial costs in pursuing future capital and/or financing, including investment banking fees, legal fees, accounting fees, printing and distribution expenses and other costs. We may also be required to recognize non-cash expenses in connection with certain securities we may issue, such as options, convertible notes and warrants, which would adversely impact our financial results.</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r>
        <w:rPr>
          <w:rFonts w:ascii="helvetica" w:hAnsi="helvetica"/>
          <w:sz w:val="20"/>
        </w:rPr>
        <w:t>The significant downturn in the overall economy and the ongoing disruption in the capital markets has reduced investor confidence and negatively affected investments generally and specifically in the pharmaceutical industry. In addition, the fact that we are not profitable, have previously filed for Chapter 11 bankruptcy, and will need significant additional funds to execute the additional Phase 3 clinical trials and supportive studies in order to obtain regulatory approval to market Impracor, and any other clinical trials we would want to commence for other products, could further impact the availability or cost of future financings. As a result, there can be no assurance that additional funds will be available when needed from any source or, if available, will be available on terms that are acceptable to us.</w:t>
      </w:r>
    </w:p>
    <w:p>
      <w:pPr>
        <w:pStyle w:val="TextBody"/>
        <w:spacing w:before="0" w:after="0"/>
        <w:ind w:left="0" w:right="0" w:hanging="0"/>
        <w:jc w:val="both"/>
        <w:rPr/>
      </w:pPr>
      <w:r>
        <w:rPr/>
        <w:t> </w:t>
      </w:r>
    </w:p>
    <w:p>
      <w:pPr>
        <w:pStyle w:val="TextBody"/>
        <w:spacing w:before="0" w:after="0"/>
        <w:ind w:left="0" w:right="0" w:hanging="0"/>
        <w:rPr>
          <w:rFonts w:ascii="helvetica" w:hAnsi="helvetica"/>
          <w:b/>
          <w:i/>
          <w:sz w:val="20"/>
        </w:rPr>
      </w:pPr>
      <w:r>
        <w:rPr>
          <w:rFonts w:ascii="helvetica" w:hAnsi="helvetica"/>
          <w:b/>
          <w:i/>
          <w:sz w:val="20"/>
        </w:rPr>
        <w:t>The report of our independent registered public accounting firm on our 2011 consolidated financial statements contains a going concern modification, and we will need additional financing to execute our business plan, fund our operations and to continue as a going concern.</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r>
        <w:rPr>
          <w:rFonts w:ascii="helvetica" w:hAnsi="helvetica"/>
          <w:sz w:val="20"/>
        </w:rPr>
        <w:t>We have limited remaining funds to support our operations. We have prepared our consolidated financial statements for the fiscal year ended December 31, 2011 and the six months ended June 30, 2012 on a going-concern basis, which contemplates the realization of assets and the satisfaction of liabilities in the normal course of business.  The report of our independent registered public accounting firm included in our December 31, 2011 consolidated financial statements includes an explanatory paragraph stating that the recurring losses incurred from operations and a working capital deficiency raise substantial doubt about our ability to continue as a going concern. We received proceeds, net of offering costs, of approximately $7.93 million in the April Private Placement, which will enable us to pursue obtaining regulatory approval to market Impracor. As a result of the April Private Placement, with our current cash and cash equivalents position as of the date of this prospectus, we expect to have adequate resources in order to operate our business for at least the next twelve months.  However, we will need to secure additional funds in order to complete our clinical trials and pursue other product development opportunities. If adequate financing is not available, we will not be able to meet FDA requirements to obtain regulatory approval to market Impracor. In addition, if one or more of the risks discussed in these risk factors occur or our expenses exceed our expectations, we may be required to raise further additional funds sooner than anticipated.  The inclusion of a going concern modification in our independent registered public accounting firm’s report for the year ended December 31, 2011 may materially and adversely affect our stock price or our ability to raise new capital.</w:t>
      </w:r>
    </w:p>
    <w:p>
      <w:pPr>
        <w:pStyle w:val="TextBody"/>
        <w:spacing w:before="0" w:after="0"/>
        <w:ind w:left="0" w:right="0" w:hanging="0"/>
        <w:jc w:val="both"/>
        <w:rPr/>
      </w:pPr>
      <w:r>
        <w:rPr/>
        <w:t> </w:t>
      </w:r>
    </w:p>
    <w:p>
      <w:pPr>
        <w:pStyle w:val="TextBody"/>
        <w:spacing w:before="0" w:after="0"/>
        <w:ind w:left="0" w:right="0" w:hanging="0"/>
        <w:rPr>
          <w:rFonts w:ascii="helvetica" w:hAnsi="helvetica"/>
          <w:b/>
          <w:i/>
          <w:sz w:val="20"/>
        </w:rPr>
      </w:pPr>
      <w:r>
        <w:rPr>
          <w:rFonts w:ascii="helvetica" w:hAnsi="helvetica"/>
          <w:b/>
          <w:i/>
          <w:sz w:val="20"/>
        </w:rPr>
        <w:t>We have incurred losses in the research and development of Impracor and our Accudel technology since inception. We may never generate revenue or become profitable.</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r>
        <w:rPr>
          <w:rFonts w:ascii="helvetica" w:hAnsi="helvetica"/>
          <w:sz w:val="20"/>
        </w:rPr>
        <w:t>We have incurred losses in every year of our operations, including net losses of $(953,936) and $(2,531,228) for the years ended December 31, 2011 and 2010, respectively. As of June 30, 2012, our accumulated deficit was $(21,405,414).  In addition, we expect to incur increasing operating losses for the foreseeable future as we continue to incur costs for research and development and clinical trials, and in other development activities. Our ability to generate revenue and achieve profitability depends upon our ability, alone or with others, to complete the development of our proposed products, obtain the required regulatory approvals and manufacture, market and sell our proposed products. Development is costly and requires significant investment. In addition, we may choose to in-license rights to particular drugs or active ingredients for use in cosmetic products. The license fees for such drugs or active ingredients may increase our costs.</w:t>
      </w:r>
    </w:p>
    <w:p>
      <w:pPr>
        <w:pStyle w:val="TextBody"/>
        <w:spacing w:before="0" w:after="0"/>
        <w:ind w:left="0" w:right="0" w:firstLine="720"/>
        <w:jc w:val="left"/>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145" w:name="PGBRK11"/>
      <w:bookmarkStart w:id="146" w:name="PGBRK11"/>
      <w:bookmarkEnd w:id="14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47" w:name="FTR11"/>
      <w:bookmarkStart w:id="148" w:name="FTR11"/>
      <w:bookmarkEnd w:id="14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149" w:name="GLFTR10"/>
      <w:bookmarkEnd w:id="149"/>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helvetica" w:hAnsi="helvetica"/>
          <w:sz w:val="20"/>
        </w:rPr>
      </w:pPr>
      <w:bookmarkStart w:id="150" w:name="PN10"/>
      <w:bookmarkEnd w:id="150"/>
      <w:r>
        <w:rPr>
          <w:rFonts w:ascii="helvetica" w:hAnsi="helvetica"/>
          <w:sz w:val="20"/>
        </w:rPr>
        <w:t>9</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51" w:name="HDR10"/>
      <w:bookmarkStart w:id="152" w:name="HDR10"/>
      <w:bookmarkEnd w:id="15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153" w:name="GLHDR10"/>
      <w:bookmarkEnd w:id="153"/>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r>
        <w:rPr>
          <w:rFonts w:ascii="helvetica" w:hAnsi="helvetica"/>
          <w:sz w:val="20"/>
        </w:rPr>
        <w:t>As we continue to engage in the development of Impracor and develop other products, we may never be able to achieve or sustain market acceptance, profitability or positive cash flow. Our ultimate success will depend on many factors, including whether Impracor receives FDA approval. We cannot be certain that we will receive FDA approval for Impracor, or that we will reach the level of sales and revenues necessary to achieve and sustain profitability. Unless we raise additional capital, we will not be able to execute our business plan or fund business operations. Furthermore, we will be forced to reduce our expenses and cash expenditures to a material extent, which would impair or delay our ability to execute our business plan.</w:t>
      </w:r>
    </w:p>
    <w:p>
      <w:pPr>
        <w:pStyle w:val="TextBody"/>
        <w:spacing w:before="0" w:after="0"/>
        <w:ind w:left="0" w:right="0" w:hanging="0"/>
        <w:jc w:val="both"/>
        <w:rPr/>
      </w:pPr>
      <w:r>
        <w:rPr/>
        <w:t> </w:t>
      </w:r>
    </w:p>
    <w:p>
      <w:pPr>
        <w:pStyle w:val="TextBody"/>
        <w:spacing w:before="0" w:after="0"/>
        <w:ind w:left="0" w:right="0" w:hanging="0"/>
        <w:rPr>
          <w:rFonts w:ascii="helvetica" w:hAnsi="helvetica"/>
          <w:b/>
          <w:i/>
          <w:sz w:val="20"/>
        </w:rPr>
      </w:pPr>
      <w:r>
        <w:rPr>
          <w:rFonts w:ascii="helvetica" w:hAnsi="helvetica"/>
          <w:b/>
          <w:i/>
          <w:sz w:val="20"/>
        </w:rPr>
        <w:t>We may not be able to correctly estimate our future operating expenses, which could lead to cash shortfalls.</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r>
        <w:rPr>
          <w:rFonts w:ascii="helvetica" w:hAnsi="helvetica"/>
          <w:sz w:val="20"/>
        </w:rPr>
        <w:t>Our operating expenses may fluctuate significantly in the future as a result of a variety of factors, many of which are outside of our control. These factors include:</w:t>
      </w:r>
    </w:p>
    <w:p>
      <w:pPr>
        <w:pStyle w:val="TextBody"/>
        <w:spacing w:before="0" w:after="0"/>
        <w:ind w:left="0" w:right="0" w:hanging="0"/>
        <w:jc w:val="both"/>
        <w:rPr/>
      </w:pPr>
      <w:r>
        <w:rPr/>
        <w:t> </w:t>
      </w:r>
    </w:p>
    <w:p>
      <w:pPr>
        <w:pStyle w:val="Normal"/>
        <w:spacing w:before="0" w:after="0"/>
        <w:rPr>
          <w:sz w:val="4"/>
          <w:szCs w:val="4"/>
        </w:rPr>
      </w:pPr>
      <w:r>
        <w:rPr>
          <w:sz w:val="4"/>
          <w:szCs w:val="4"/>
        </w:rPr>
      </w:r>
      <w:bookmarkStart w:id="154" w:name="list21"/>
      <w:bookmarkStart w:id="155" w:name="list21"/>
      <w:bookmarkEnd w:id="155"/>
    </w:p>
    <w:tbl>
      <w:tblPr>
        <w:tblW w:w="5000" w:type="pct"/>
        <w:jc w:val="left"/>
        <w:tblInd w:w="0" w:type="dxa"/>
        <w:tblCellMar>
          <w:top w:w="0" w:type="dxa"/>
          <w:left w:w="0" w:type="dxa"/>
          <w:bottom w:w="0" w:type="dxa"/>
          <w:right w:w="0" w:type="dxa"/>
        </w:tblCellMar>
      </w:tblPr>
      <w:tblGrid>
        <w:gridCol w:w="304"/>
        <w:gridCol w:w="9901"/>
      </w:tblGrid>
      <w:tr>
        <w:trPr/>
        <w:tc>
          <w:tcPr>
            <w:tcW w:w="304" w:type="dxa"/>
            <w:tcBorders/>
            <w:shd w:fill="auto" w:val="clear"/>
          </w:tcPr>
          <w:p>
            <w:pPr>
              <w:pStyle w:val="TableContents"/>
              <w:spacing w:before="0" w:after="0"/>
              <w:jc w:val="right"/>
              <w:rPr/>
            </w:pPr>
            <w:r>
              <w:rPr/>
              <w:t>●  </w:t>
            </w:r>
          </w:p>
        </w:tc>
        <w:tc>
          <w:tcPr>
            <w:tcW w:w="9901" w:type="dxa"/>
            <w:tcBorders/>
            <w:shd w:fill="auto" w:val="clear"/>
          </w:tcPr>
          <w:p>
            <w:pPr>
              <w:pStyle w:val="TableContents"/>
              <w:spacing w:before="0" w:after="0"/>
              <w:ind w:left="0" w:right="0" w:hanging="0"/>
              <w:jc w:val="both"/>
              <w:rPr>
                <w:rFonts w:ascii="helvetica" w:hAnsi="helvetica"/>
                <w:sz w:val="20"/>
              </w:rPr>
            </w:pPr>
            <w:r>
              <w:rPr>
                <w:rFonts w:ascii="helvetica" w:hAnsi="helvetica"/>
                <w:sz w:val="20"/>
              </w:rPr>
              <w:t>the time and resources required to develop, conduct clinical trials and obtain regulatory approvals for our drug candidates;</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156" w:name="list22"/>
      <w:bookmarkStart w:id="157" w:name="list22"/>
      <w:bookmarkEnd w:id="157"/>
    </w:p>
    <w:tbl>
      <w:tblPr>
        <w:tblW w:w="5000" w:type="pct"/>
        <w:jc w:val="left"/>
        <w:tblInd w:w="0" w:type="dxa"/>
        <w:tblCellMar>
          <w:top w:w="0" w:type="dxa"/>
          <w:left w:w="0" w:type="dxa"/>
          <w:bottom w:w="0" w:type="dxa"/>
          <w:right w:w="0" w:type="dxa"/>
        </w:tblCellMar>
      </w:tblPr>
      <w:tblGrid>
        <w:gridCol w:w="304"/>
        <w:gridCol w:w="9901"/>
      </w:tblGrid>
      <w:tr>
        <w:trPr/>
        <w:tc>
          <w:tcPr>
            <w:tcW w:w="304" w:type="dxa"/>
            <w:tcBorders/>
            <w:shd w:fill="auto" w:val="clear"/>
          </w:tcPr>
          <w:p>
            <w:pPr>
              <w:pStyle w:val="TableContents"/>
              <w:spacing w:before="0" w:after="0"/>
              <w:jc w:val="right"/>
              <w:rPr/>
            </w:pPr>
            <w:r>
              <w:rPr/>
              <w:t>●  </w:t>
            </w:r>
          </w:p>
        </w:tc>
        <w:tc>
          <w:tcPr>
            <w:tcW w:w="9901" w:type="dxa"/>
            <w:tcBorders/>
            <w:shd w:fill="auto" w:val="clear"/>
          </w:tcPr>
          <w:p>
            <w:pPr>
              <w:pStyle w:val="TableContents"/>
              <w:spacing w:before="0" w:after="0"/>
              <w:ind w:left="0" w:right="0" w:hanging="0"/>
              <w:jc w:val="both"/>
              <w:rPr>
                <w:rFonts w:ascii="helvetica" w:hAnsi="helvetica"/>
                <w:sz w:val="20"/>
              </w:rPr>
            </w:pPr>
            <w:r>
              <w:rPr>
                <w:rFonts w:ascii="helvetica" w:hAnsi="helvetica"/>
                <w:sz w:val="20"/>
              </w:rPr>
              <w:t>the costs to rebuild our management team following the dismissal of the Chapter 11 Case, including attracting and retaining personnel with the skills required for effective operations; and</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158" w:name="list23"/>
      <w:bookmarkStart w:id="159" w:name="list23"/>
      <w:bookmarkEnd w:id="159"/>
    </w:p>
    <w:tbl>
      <w:tblPr>
        <w:tblW w:w="5000" w:type="pct"/>
        <w:jc w:val="left"/>
        <w:tblInd w:w="0" w:type="dxa"/>
        <w:tblCellMar>
          <w:top w:w="0" w:type="dxa"/>
          <w:left w:w="0" w:type="dxa"/>
          <w:bottom w:w="0" w:type="dxa"/>
          <w:right w:w="0" w:type="dxa"/>
        </w:tblCellMar>
      </w:tblPr>
      <w:tblGrid>
        <w:gridCol w:w="304"/>
        <w:gridCol w:w="9901"/>
      </w:tblGrid>
      <w:tr>
        <w:trPr/>
        <w:tc>
          <w:tcPr>
            <w:tcW w:w="304" w:type="dxa"/>
            <w:tcBorders/>
            <w:shd w:fill="auto" w:val="clear"/>
          </w:tcPr>
          <w:p>
            <w:pPr>
              <w:pStyle w:val="TableContents"/>
              <w:spacing w:before="0" w:after="0"/>
              <w:jc w:val="right"/>
              <w:rPr/>
            </w:pPr>
            <w:r>
              <w:rPr/>
              <w:t>●  </w:t>
            </w:r>
          </w:p>
        </w:tc>
        <w:tc>
          <w:tcPr>
            <w:tcW w:w="9901" w:type="dxa"/>
            <w:tcBorders/>
            <w:shd w:fill="auto" w:val="clear"/>
          </w:tcPr>
          <w:p>
            <w:pPr>
              <w:pStyle w:val="TableContents"/>
              <w:spacing w:before="0" w:after="0"/>
              <w:ind w:left="0" w:right="0" w:hanging="0"/>
              <w:jc w:val="both"/>
              <w:rPr>
                <w:rFonts w:ascii="helvetica" w:hAnsi="helvetica"/>
                <w:sz w:val="20"/>
              </w:rPr>
            </w:pPr>
            <w:r>
              <w:rPr>
                <w:rFonts w:ascii="helvetica" w:hAnsi="helvetica"/>
                <w:sz w:val="20"/>
              </w:rPr>
              <w:t>the costs of preparing, filing, prosecuting, defending and enforcing patent claims and other patent related costs, including litigation costs and the results of such litigation.</w:t>
            </w:r>
          </w:p>
        </w:tc>
      </w:tr>
    </w:tbl>
    <w:p>
      <w:pPr>
        <w:pStyle w:val="TextBody"/>
        <w:spacing w:before="0" w:after="0"/>
        <w:ind w:left="0" w:right="0" w:hanging="0"/>
        <w:jc w:val="both"/>
        <w:rPr/>
      </w:pPr>
      <w:r>
        <w:rPr/>
        <w:t> </w:t>
      </w:r>
    </w:p>
    <w:p>
      <w:pPr>
        <w:pStyle w:val="TextBody"/>
        <w:spacing w:before="0" w:after="0"/>
        <w:ind w:left="0" w:right="0" w:hanging="0"/>
        <w:rPr>
          <w:rFonts w:ascii="helvetica" w:hAnsi="helvetica"/>
          <w:b/>
          <w:i/>
          <w:sz w:val="20"/>
        </w:rPr>
      </w:pPr>
      <w:r>
        <w:rPr>
          <w:rFonts w:ascii="helvetica" w:hAnsi="helvetica"/>
          <w:b/>
          <w:i/>
          <w:sz w:val="20"/>
        </w:rPr>
        <w:t>Our clinical trials may not demonstrate the safety and efficacy of our product candidates.</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r>
        <w:rPr>
          <w:rFonts w:ascii="helvetica" w:hAnsi="helvetica"/>
          <w:sz w:val="20"/>
        </w:rPr>
        <w:t>We are subject to extensive government regulations. The process of obtaining FDA approval is costly, time consuming, uncertain and subject to unanticipated delays. Before obtaining regulatory approvals for the sale of any of our product candidates, we must demonstrate through preclinical studies and clinical trials that the product candidate is safe and effective for each intended use. Preclinical and clinical studies may fail to demonstrate the safety and effectiveness of our product candidates. Even promising results from preclinical and early clinical studies do not always accurately predict results in later, large scale trials. A failure to demonstrate safety and efficacy would result in our failure to obtain regulatory approvals. Moreover, if the FDA grants regulatory approval of a product candidate, the approval may be limited to specific indications or limited with respect to its distribution, which could limit revenues.</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r>
        <w:rPr>
          <w:rFonts w:ascii="helvetica" w:hAnsi="helvetica"/>
          <w:sz w:val="20"/>
        </w:rPr>
        <w:t>The FDA or other regulatory agencies may not approve any product candidates developed by us on a timely basis or at all, and, if granted, such approval may subject the marketing of our product candidates to certain limits on indicated use. In particular, the outcome of the final analyses of the data from the Phase 3 clinical trials for Impracor may vary from our initial conclusions or the FDA may not agree with our interpretation of such results or may challenge the adequacy of our clinical trial design or the execution of the clinical trial. The FDA has required two adequate and well controlled Phase 3 clinical trials for Impracor before we can submit a 505(b) (2) New Drug Application. We have not yet initiated these Phase 3 clinical trials.  The results of any future clinical trials may not be favorable and we may never receive regulatory approval for Impracor. Any limitation on use imposed by the FDA or delay in or failure to obtain FDA approvals of product candidates developed by us would adversely affect our ability to generate product revenue, as well as the price of our common stock.</w:t>
      </w:r>
    </w:p>
    <w:p>
      <w:pPr>
        <w:pStyle w:val="TextBody"/>
        <w:spacing w:before="0" w:after="0"/>
        <w:ind w:left="0" w:right="0" w:hanging="0"/>
        <w:jc w:val="both"/>
        <w:rPr/>
      </w:pPr>
      <w:r>
        <w:rPr/>
        <w:t> </w:t>
      </w:r>
    </w:p>
    <w:p>
      <w:pPr>
        <w:pStyle w:val="TextBody"/>
        <w:spacing w:before="0" w:after="0"/>
        <w:ind w:left="0" w:right="0" w:hanging="0"/>
        <w:rPr>
          <w:rFonts w:ascii="helvetica" w:hAnsi="helvetica"/>
          <w:b/>
          <w:i/>
          <w:sz w:val="20"/>
        </w:rPr>
      </w:pPr>
      <w:r>
        <w:rPr>
          <w:rFonts w:ascii="helvetica" w:hAnsi="helvetica"/>
          <w:b/>
          <w:i/>
          <w:sz w:val="20"/>
        </w:rPr>
        <w:t>Delays in the conduct or completion of our clinical and non-clinical trials for Impracor or the analysis of the data from our clinical or non-clinical trials may adversely affect our business.</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r>
        <w:rPr>
          <w:rFonts w:ascii="helvetica" w:hAnsi="helvetica"/>
          <w:sz w:val="20"/>
        </w:rPr>
        <w:t>We cannot predict whether we will encounter problems with any of our completed or planned clinical or non-clinical studies that will cause us or regulatory authorities to delay or suspend planned clinical and non-clinical studies.  Any of the following could delay the completion of our planned clinical studies:</w:t>
      </w:r>
    </w:p>
    <w:p>
      <w:pPr>
        <w:pStyle w:val="TextBody"/>
        <w:spacing w:before="0" w:after="0"/>
        <w:ind w:left="0" w:right="0" w:hanging="0"/>
        <w:jc w:val="both"/>
        <w:rPr/>
      </w:pPr>
      <w:r>
        <w:rPr/>
        <w:t> </w:t>
      </w:r>
    </w:p>
    <w:p>
      <w:pPr>
        <w:pStyle w:val="Normal"/>
        <w:spacing w:before="0" w:after="0"/>
        <w:rPr>
          <w:sz w:val="4"/>
          <w:szCs w:val="4"/>
        </w:rPr>
      </w:pPr>
      <w:r>
        <w:rPr>
          <w:sz w:val="4"/>
          <w:szCs w:val="4"/>
        </w:rPr>
      </w:r>
      <w:bookmarkStart w:id="160" w:name="list24"/>
      <w:bookmarkStart w:id="161" w:name="list24"/>
      <w:bookmarkEnd w:id="161"/>
    </w:p>
    <w:tbl>
      <w:tblPr>
        <w:tblW w:w="5000" w:type="pct"/>
        <w:jc w:val="left"/>
        <w:tblInd w:w="0" w:type="dxa"/>
        <w:tblCellMar>
          <w:top w:w="0" w:type="dxa"/>
          <w:left w:w="0" w:type="dxa"/>
          <w:bottom w:w="0" w:type="dxa"/>
          <w:right w:w="0" w:type="dxa"/>
        </w:tblCellMar>
      </w:tblPr>
      <w:tblGrid>
        <w:gridCol w:w="321"/>
        <w:gridCol w:w="9884"/>
      </w:tblGrid>
      <w:tr>
        <w:trPr/>
        <w:tc>
          <w:tcPr>
            <w:tcW w:w="321" w:type="dxa"/>
            <w:tcBorders/>
            <w:shd w:fill="auto" w:val="clear"/>
          </w:tcPr>
          <w:p>
            <w:pPr>
              <w:pStyle w:val="TableContents"/>
              <w:spacing w:before="0" w:after="0"/>
              <w:jc w:val="right"/>
              <w:rPr/>
            </w:pPr>
            <w:r>
              <w:rPr/>
              <w:t>●  </w:t>
            </w:r>
          </w:p>
        </w:tc>
        <w:tc>
          <w:tcPr>
            <w:tcW w:w="9884" w:type="dxa"/>
            <w:tcBorders/>
            <w:shd w:fill="auto" w:val="clear"/>
          </w:tcPr>
          <w:p>
            <w:pPr>
              <w:pStyle w:val="TableContents"/>
              <w:spacing w:before="0" w:after="0"/>
              <w:ind w:left="0" w:right="0" w:hanging="0"/>
              <w:jc w:val="both"/>
              <w:rPr>
                <w:rFonts w:ascii="helvetica" w:hAnsi="helvetica"/>
                <w:sz w:val="20"/>
              </w:rPr>
            </w:pPr>
            <w:r>
              <w:rPr>
                <w:rFonts w:ascii="helvetica" w:hAnsi="helvetica"/>
                <w:sz w:val="20"/>
              </w:rPr>
              <w:t>failure of the FDA to approve the scope or design of our clinical or non-clinical trials or manufacturing plans;</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162" w:name="list25"/>
      <w:bookmarkStart w:id="163" w:name="list25"/>
      <w:bookmarkEnd w:id="163"/>
    </w:p>
    <w:tbl>
      <w:tblPr>
        <w:tblW w:w="5000" w:type="pct"/>
        <w:jc w:val="left"/>
        <w:tblInd w:w="0" w:type="dxa"/>
        <w:tblCellMar>
          <w:top w:w="0" w:type="dxa"/>
          <w:left w:w="0" w:type="dxa"/>
          <w:bottom w:w="0" w:type="dxa"/>
          <w:right w:w="0" w:type="dxa"/>
        </w:tblCellMar>
      </w:tblPr>
      <w:tblGrid>
        <w:gridCol w:w="728"/>
        <w:gridCol w:w="9477"/>
      </w:tblGrid>
      <w:tr>
        <w:trPr/>
        <w:tc>
          <w:tcPr>
            <w:tcW w:w="728" w:type="dxa"/>
            <w:tcBorders/>
            <w:shd w:fill="auto" w:val="clear"/>
          </w:tcPr>
          <w:p>
            <w:pPr>
              <w:pStyle w:val="TableContents"/>
              <w:spacing w:before="0" w:after="0"/>
              <w:jc w:val="right"/>
              <w:rPr/>
            </w:pPr>
            <w:r>
              <w:rPr/>
              <w:t>●  </w:t>
            </w:r>
          </w:p>
        </w:tc>
        <w:tc>
          <w:tcPr>
            <w:tcW w:w="9477" w:type="dxa"/>
            <w:tcBorders/>
            <w:shd w:fill="auto" w:val="clear"/>
          </w:tcPr>
          <w:p>
            <w:pPr>
              <w:pStyle w:val="TableContents"/>
              <w:spacing w:before="0" w:after="0"/>
              <w:ind w:left="0" w:right="0" w:hanging="0"/>
              <w:jc w:val="both"/>
              <w:rPr>
                <w:rFonts w:ascii="helvetica" w:hAnsi="helvetica"/>
                <w:sz w:val="20"/>
              </w:rPr>
            </w:pPr>
            <w:r>
              <w:rPr>
                <w:rFonts w:ascii="helvetica" w:hAnsi="helvetica"/>
                <w:sz w:val="20"/>
              </w:rPr>
              <w:t>delays in enrolling volunteers in clinical trials;</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164" w:name="list26"/>
      <w:bookmarkStart w:id="165" w:name="list26"/>
      <w:bookmarkEnd w:id="165"/>
    </w:p>
    <w:tbl>
      <w:tblPr>
        <w:tblW w:w="5000" w:type="pct"/>
        <w:jc w:val="left"/>
        <w:tblInd w:w="0" w:type="dxa"/>
        <w:tblCellMar>
          <w:top w:w="0" w:type="dxa"/>
          <w:left w:w="0" w:type="dxa"/>
          <w:bottom w:w="0" w:type="dxa"/>
          <w:right w:w="0" w:type="dxa"/>
        </w:tblCellMar>
      </w:tblPr>
      <w:tblGrid>
        <w:gridCol w:w="309"/>
        <w:gridCol w:w="9896"/>
      </w:tblGrid>
      <w:tr>
        <w:trPr/>
        <w:tc>
          <w:tcPr>
            <w:tcW w:w="309" w:type="dxa"/>
            <w:tcBorders/>
            <w:shd w:fill="auto" w:val="clear"/>
          </w:tcPr>
          <w:p>
            <w:pPr>
              <w:pStyle w:val="TableContents"/>
              <w:spacing w:before="0" w:after="0"/>
              <w:jc w:val="right"/>
              <w:rPr/>
            </w:pPr>
            <w:r>
              <w:rPr/>
              <w:t>●  </w:t>
            </w:r>
          </w:p>
        </w:tc>
        <w:tc>
          <w:tcPr>
            <w:tcW w:w="9896" w:type="dxa"/>
            <w:tcBorders/>
            <w:shd w:fill="auto" w:val="clear"/>
          </w:tcPr>
          <w:p>
            <w:pPr>
              <w:pStyle w:val="TableContents"/>
              <w:spacing w:before="0" w:after="0"/>
              <w:ind w:left="0" w:right="0" w:hanging="0"/>
              <w:jc w:val="both"/>
              <w:rPr>
                <w:rFonts w:ascii="helvetica" w:hAnsi="helvetica"/>
                <w:sz w:val="20"/>
              </w:rPr>
            </w:pPr>
            <w:r>
              <w:rPr>
                <w:rFonts w:ascii="helvetica" w:hAnsi="helvetica"/>
                <w:sz w:val="20"/>
              </w:rPr>
              <w:t>insufficient supply or deficient quality of materials necessary for the performance of clinical or non-clinical trials;</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166" w:name="list27"/>
      <w:bookmarkStart w:id="167" w:name="list27"/>
      <w:bookmarkEnd w:id="167"/>
    </w:p>
    <w:tbl>
      <w:tblPr>
        <w:tblW w:w="5000" w:type="pct"/>
        <w:jc w:val="left"/>
        <w:tblInd w:w="0" w:type="dxa"/>
        <w:tblCellMar>
          <w:top w:w="0" w:type="dxa"/>
          <w:left w:w="0" w:type="dxa"/>
          <w:bottom w:w="0" w:type="dxa"/>
          <w:right w:w="0" w:type="dxa"/>
        </w:tblCellMar>
      </w:tblPr>
      <w:tblGrid>
        <w:gridCol w:w="623"/>
        <w:gridCol w:w="9582"/>
      </w:tblGrid>
      <w:tr>
        <w:trPr/>
        <w:tc>
          <w:tcPr>
            <w:tcW w:w="623" w:type="dxa"/>
            <w:tcBorders/>
            <w:shd w:fill="auto" w:val="clear"/>
          </w:tcPr>
          <w:p>
            <w:pPr>
              <w:pStyle w:val="TableContents"/>
              <w:spacing w:before="0" w:after="0"/>
              <w:jc w:val="right"/>
              <w:rPr/>
            </w:pPr>
            <w:r>
              <w:rPr/>
              <w:t>●  </w:t>
            </w:r>
          </w:p>
        </w:tc>
        <w:tc>
          <w:tcPr>
            <w:tcW w:w="9582" w:type="dxa"/>
            <w:tcBorders/>
            <w:shd w:fill="auto" w:val="clear"/>
          </w:tcPr>
          <w:p>
            <w:pPr>
              <w:pStyle w:val="TableContents"/>
              <w:spacing w:before="0" w:after="0"/>
              <w:ind w:left="0" w:right="0" w:hanging="0"/>
              <w:jc w:val="both"/>
              <w:rPr>
                <w:rFonts w:ascii="helvetica" w:hAnsi="helvetica"/>
                <w:sz w:val="20"/>
              </w:rPr>
            </w:pPr>
            <w:r>
              <w:rPr>
                <w:rFonts w:ascii="helvetica" w:hAnsi="helvetica"/>
                <w:sz w:val="20"/>
              </w:rPr>
              <w:t>negative results of clinical or non-clinical studies; and</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168" w:name="list28"/>
      <w:bookmarkStart w:id="169" w:name="list28"/>
      <w:bookmarkEnd w:id="169"/>
    </w:p>
    <w:tbl>
      <w:tblPr>
        <w:tblW w:w="5000" w:type="pct"/>
        <w:jc w:val="left"/>
        <w:tblInd w:w="0" w:type="dxa"/>
        <w:tblCellMar>
          <w:top w:w="0" w:type="dxa"/>
          <w:left w:w="0" w:type="dxa"/>
          <w:bottom w:w="0" w:type="dxa"/>
          <w:right w:w="0" w:type="dxa"/>
        </w:tblCellMar>
      </w:tblPr>
      <w:tblGrid>
        <w:gridCol w:w="344"/>
        <w:gridCol w:w="9861"/>
      </w:tblGrid>
      <w:tr>
        <w:trPr/>
        <w:tc>
          <w:tcPr>
            <w:tcW w:w="344" w:type="dxa"/>
            <w:tcBorders/>
            <w:shd w:fill="auto" w:val="clear"/>
          </w:tcPr>
          <w:p>
            <w:pPr>
              <w:pStyle w:val="TableContents"/>
              <w:spacing w:before="0" w:after="0"/>
              <w:jc w:val="right"/>
              <w:rPr/>
            </w:pPr>
            <w:r>
              <w:rPr/>
              <w:t>●  </w:t>
            </w:r>
          </w:p>
        </w:tc>
        <w:tc>
          <w:tcPr>
            <w:tcW w:w="9861" w:type="dxa"/>
            <w:tcBorders/>
            <w:shd w:fill="auto" w:val="clear"/>
          </w:tcPr>
          <w:p>
            <w:pPr>
              <w:pStyle w:val="TableContents"/>
              <w:spacing w:before="0" w:after="0"/>
              <w:ind w:left="0" w:right="0" w:hanging="0"/>
              <w:jc w:val="both"/>
              <w:rPr>
                <w:rFonts w:ascii="helvetica" w:hAnsi="helvetica"/>
                <w:sz w:val="20"/>
              </w:rPr>
            </w:pPr>
            <w:r>
              <w:rPr>
                <w:rFonts w:ascii="helvetica" w:hAnsi="helvetica"/>
                <w:sz w:val="20"/>
              </w:rPr>
              <w:t>adverse side effects experienced by study participants in clinical trials relating to a specific product.</w:t>
            </w:r>
          </w:p>
        </w:tc>
      </w:tr>
    </w:tbl>
    <w:p>
      <w:pPr>
        <w:pStyle w:val="TextBody"/>
        <w:spacing w:before="0" w:after="0"/>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170" w:name="PGBRK12"/>
      <w:bookmarkStart w:id="171" w:name="PGBRK12"/>
      <w:bookmarkEnd w:id="17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72" w:name="FTR12"/>
      <w:bookmarkStart w:id="173" w:name="FTR12"/>
      <w:bookmarkEnd w:id="17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174" w:name="GLFTR11"/>
      <w:bookmarkEnd w:id="174"/>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helvetica" w:hAnsi="helvetica"/>
          <w:sz w:val="20"/>
        </w:rPr>
      </w:pPr>
      <w:bookmarkStart w:id="175" w:name="PN11"/>
      <w:bookmarkEnd w:id="175"/>
      <w:r>
        <w:rPr>
          <w:rFonts w:ascii="helvetica" w:hAnsi="helvetica"/>
          <w:sz w:val="20"/>
        </w:rPr>
        <w:t>10</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76" w:name="HDR11"/>
      <w:bookmarkStart w:id="177" w:name="HDR11"/>
      <w:bookmarkEnd w:id="17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178" w:name="GLHDR11"/>
      <w:bookmarkEnd w:id="178"/>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r>
        <w:rPr>
          <w:rFonts w:ascii="helvetica" w:hAnsi="helvetica"/>
          <w:sz w:val="20"/>
        </w:rPr>
        <w:t>There may be other circumstances other than the ones described above, over which we may have no control that could materially delay the successful completion of our clinical and non-clinical studies.Furthermore, we expect to rely on contract research organizations, or CROs, to ensure the proper and timely conduct of our clinical trials, and while we expect to enter into agreements governing their committed activities, we have limited influence over their actual performance.  </w:t>
      </w:r>
    </w:p>
    <w:p>
      <w:pPr>
        <w:pStyle w:val="TextBody"/>
        <w:spacing w:before="0" w:after="0"/>
        <w:ind w:left="0" w:right="0" w:hanging="0"/>
        <w:jc w:val="both"/>
        <w:rPr/>
      </w:pPr>
      <w:r>
        <w:rPr/>
        <w:t> </w:t>
      </w:r>
    </w:p>
    <w:p>
      <w:pPr>
        <w:pStyle w:val="TextBody"/>
        <w:spacing w:before="0" w:after="0"/>
        <w:ind w:left="0" w:right="0" w:hanging="0"/>
        <w:rPr>
          <w:rFonts w:ascii="helvetica" w:hAnsi="helvetica"/>
          <w:b/>
          <w:i/>
          <w:sz w:val="20"/>
        </w:rPr>
      </w:pPr>
      <w:r>
        <w:rPr>
          <w:rFonts w:ascii="helvetica" w:hAnsi="helvetica"/>
          <w:b/>
          <w:i/>
          <w:sz w:val="20"/>
        </w:rPr>
        <w:t>If our patents are determined to be unenforceable or expire, or if we are unable to obtain new patents based on current patent applications or for future inventions, we may not be able to prevent others from using our intellectual property.</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r>
        <w:rPr>
          <w:rFonts w:ascii="helvetica" w:hAnsi="helvetica"/>
          <w:sz w:val="20"/>
        </w:rPr>
        <w:t>Our success will depend in part on our ability to:</w:t>
      </w:r>
    </w:p>
    <w:p>
      <w:pPr>
        <w:pStyle w:val="TextBody"/>
        <w:spacing w:before="0" w:after="0"/>
        <w:ind w:left="0" w:right="0" w:hanging="0"/>
        <w:jc w:val="both"/>
        <w:rPr/>
      </w:pPr>
      <w:r>
        <w:rPr/>
        <w:t> </w:t>
      </w:r>
    </w:p>
    <w:p>
      <w:pPr>
        <w:pStyle w:val="Normal"/>
        <w:spacing w:before="0" w:after="0"/>
        <w:rPr>
          <w:sz w:val="4"/>
          <w:szCs w:val="4"/>
        </w:rPr>
      </w:pPr>
      <w:r>
        <w:rPr>
          <w:sz w:val="4"/>
          <w:szCs w:val="4"/>
        </w:rPr>
      </w:r>
      <w:bookmarkStart w:id="179" w:name="list29"/>
      <w:bookmarkStart w:id="180" w:name="list29"/>
      <w:bookmarkEnd w:id="180"/>
    </w:p>
    <w:tbl>
      <w:tblPr>
        <w:tblW w:w="5000" w:type="pct"/>
        <w:jc w:val="left"/>
        <w:tblInd w:w="0" w:type="dxa"/>
        <w:tblCellMar>
          <w:top w:w="0" w:type="dxa"/>
          <w:left w:w="0" w:type="dxa"/>
          <w:bottom w:w="0" w:type="dxa"/>
          <w:right w:w="0" w:type="dxa"/>
        </w:tblCellMar>
      </w:tblPr>
      <w:tblGrid>
        <w:gridCol w:w="511"/>
        <w:gridCol w:w="9694"/>
      </w:tblGrid>
      <w:tr>
        <w:trPr/>
        <w:tc>
          <w:tcPr>
            <w:tcW w:w="511" w:type="dxa"/>
            <w:tcBorders/>
            <w:shd w:fill="auto" w:val="clear"/>
          </w:tcPr>
          <w:p>
            <w:pPr>
              <w:pStyle w:val="TableContents"/>
              <w:spacing w:before="0" w:after="0"/>
              <w:jc w:val="right"/>
              <w:rPr/>
            </w:pPr>
            <w:r>
              <w:rPr/>
              <w:t>●  </w:t>
            </w:r>
          </w:p>
        </w:tc>
        <w:tc>
          <w:tcPr>
            <w:tcW w:w="9694" w:type="dxa"/>
            <w:tcBorders/>
            <w:shd w:fill="auto" w:val="clear"/>
          </w:tcPr>
          <w:p>
            <w:pPr>
              <w:pStyle w:val="TableContents"/>
              <w:spacing w:before="0" w:after="0"/>
              <w:ind w:left="0" w:right="0" w:hanging="0"/>
              <w:jc w:val="both"/>
              <w:rPr>
                <w:rFonts w:ascii="helvetica" w:hAnsi="helvetica"/>
                <w:sz w:val="20"/>
              </w:rPr>
            </w:pPr>
            <w:r>
              <w:rPr>
                <w:rFonts w:ascii="helvetica" w:hAnsi="helvetica"/>
                <w:sz w:val="20"/>
              </w:rPr>
              <w:t>obtain and maintain patent protection with respect to our products;</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181" w:name="list30"/>
      <w:bookmarkStart w:id="182" w:name="list30"/>
      <w:bookmarkEnd w:id="182"/>
    </w:p>
    <w:tbl>
      <w:tblPr>
        <w:tblW w:w="5000" w:type="pct"/>
        <w:jc w:val="left"/>
        <w:tblInd w:w="0" w:type="dxa"/>
        <w:tblCellMar>
          <w:top w:w="0" w:type="dxa"/>
          <w:left w:w="0" w:type="dxa"/>
          <w:bottom w:w="0" w:type="dxa"/>
          <w:right w:w="0" w:type="dxa"/>
        </w:tblCellMar>
      </w:tblPr>
      <w:tblGrid>
        <w:gridCol w:w="542"/>
        <w:gridCol w:w="9663"/>
      </w:tblGrid>
      <w:tr>
        <w:trPr/>
        <w:tc>
          <w:tcPr>
            <w:tcW w:w="542" w:type="dxa"/>
            <w:tcBorders/>
            <w:shd w:fill="auto" w:val="clear"/>
          </w:tcPr>
          <w:p>
            <w:pPr>
              <w:pStyle w:val="TableContents"/>
              <w:spacing w:before="0" w:after="0"/>
              <w:jc w:val="right"/>
              <w:rPr/>
            </w:pPr>
            <w:r>
              <w:rPr/>
              <w:t>●  </w:t>
            </w:r>
          </w:p>
        </w:tc>
        <w:tc>
          <w:tcPr>
            <w:tcW w:w="9663" w:type="dxa"/>
            <w:tcBorders/>
            <w:shd w:fill="auto" w:val="clear"/>
          </w:tcPr>
          <w:p>
            <w:pPr>
              <w:pStyle w:val="TableContents"/>
              <w:spacing w:before="0" w:after="0"/>
              <w:ind w:left="0" w:right="0" w:hanging="0"/>
              <w:jc w:val="both"/>
              <w:rPr>
                <w:rFonts w:ascii="helvetica" w:hAnsi="helvetica"/>
                <w:sz w:val="20"/>
              </w:rPr>
            </w:pPr>
            <w:r>
              <w:rPr>
                <w:rFonts w:ascii="helvetica" w:hAnsi="helvetica"/>
                <w:sz w:val="20"/>
              </w:rPr>
              <w:t>prevent third parties from infringing upon our proprietary rights;</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183" w:name="list31"/>
      <w:bookmarkStart w:id="184" w:name="list31"/>
      <w:bookmarkEnd w:id="184"/>
    </w:p>
    <w:tbl>
      <w:tblPr>
        <w:tblW w:w="5000" w:type="pct"/>
        <w:jc w:val="left"/>
        <w:tblInd w:w="0" w:type="dxa"/>
        <w:tblCellMar>
          <w:top w:w="0" w:type="dxa"/>
          <w:left w:w="0" w:type="dxa"/>
          <w:bottom w:w="0" w:type="dxa"/>
          <w:right w:w="0" w:type="dxa"/>
        </w:tblCellMar>
      </w:tblPr>
      <w:tblGrid>
        <w:gridCol w:w="1332"/>
        <w:gridCol w:w="8873"/>
      </w:tblGrid>
      <w:tr>
        <w:trPr/>
        <w:tc>
          <w:tcPr>
            <w:tcW w:w="1332" w:type="dxa"/>
            <w:tcBorders/>
            <w:shd w:fill="auto" w:val="clear"/>
          </w:tcPr>
          <w:p>
            <w:pPr>
              <w:pStyle w:val="TableContents"/>
              <w:spacing w:before="0" w:after="0"/>
              <w:jc w:val="right"/>
              <w:rPr/>
            </w:pPr>
            <w:r>
              <w:rPr/>
              <w:t>●  </w:t>
            </w:r>
          </w:p>
        </w:tc>
        <w:tc>
          <w:tcPr>
            <w:tcW w:w="8873" w:type="dxa"/>
            <w:tcBorders/>
            <w:shd w:fill="auto" w:val="clear"/>
          </w:tcPr>
          <w:p>
            <w:pPr>
              <w:pStyle w:val="TableContents"/>
              <w:spacing w:before="0" w:after="0"/>
              <w:ind w:left="0" w:right="0" w:hanging="0"/>
              <w:jc w:val="both"/>
              <w:rPr>
                <w:rFonts w:ascii="helvetica" w:hAnsi="helvetica"/>
                <w:sz w:val="20"/>
              </w:rPr>
            </w:pPr>
            <w:r>
              <w:rPr>
                <w:rFonts w:ascii="helvetica" w:hAnsi="helvetica"/>
                <w:sz w:val="20"/>
              </w:rPr>
              <w:t>maintain trade secrets;</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185" w:name="list32"/>
      <w:bookmarkStart w:id="186" w:name="list32"/>
      <w:bookmarkEnd w:id="186"/>
    </w:p>
    <w:tbl>
      <w:tblPr>
        <w:tblW w:w="5000" w:type="pct"/>
        <w:jc w:val="left"/>
        <w:tblInd w:w="0" w:type="dxa"/>
        <w:tblCellMar>
          <w:top w:w="0" w:type="dxa"/>
          <w:left w:w="0" w:type="dxa"/>
          <w:bottom w:w="0" w:type="dxa"/>
          <w:right w:w="0" w:type="dxa"/>
        </w:tblCellMar>
      </w:tblPr>
      <w:tblGrid>
        <w:gridCol w:w="434"/>
        <w:gridCol w:w="9771"/>
      </w:tblGrid>
      <w:tr>
        <w:trPr/>
        <w:tc>
          <w:tcPr>
            <w:tcW w:w="434" w:type="dxa"/>
            <w:tcBorders/>
            <w:shd w:fill="auto" w:val="clear"/>
          </w:tcPr>
          <w:p>
            <w:pPr>
              <w:pStyle w:val="TableContents"/>
              <w:spacing w:before="0" w:after="0"/>
              <w:jc w:val="right"/>
              <w:rPr/>
            </w:pPr>
            <w:r>
              <w:rPr/>
              <w:t>●  </w:t>
            </w:r>
          </w:p>
        </w:tc>
        <w:tc>
          <w:tcPr>
            <w:tcW w:w="9771" w:type="dxa"/>
            <w:tcBorders/>
            <w:shd w:fill="auto" w:val="clear"/>
          </w:tcPr>
          <w:p>
            <w:pPr>
              <w:pStyle w:val="TableContents"/>
              <w:spacing w:before="0" w:after="0"/>
              <w:ind w:left="0" w:right="0" w:hanging="0"/>
              <w:jc w:val="both"/>
              <w:rPr>
                <w:rFonts w:ascii="helvetica" w:hAnsi="helvetica"/>
                <w:sz w:val="20"/>
              </w:rPr>
            </w:pPr>
            <w:r>
              <w:rPr>
                <w:rFonts w:ascii="helvetica" w:hAnsi="helvetica"/>
                <w:sz w:val="20"/>
              </w:rPr>
              <w:t>operate without infringing upon the patents and proprietary rights of others; and</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187" w:name="list33"/>
      <w:bookmarkStart w:id="188" w:name="list33"/>
      <w:bookmarkEnd w:id="188"/>
    </w:p>
    <w:tbl>
      <w:tblPr>
        <w:tblW w:w="5000" w:type="pct"/>
        <w:jc w:val="left"/>
        <w:tblInd w:w="0" w:type="dxa"/>
        <w:tblCellMar>
          <w:top w:w="0" w:type="dxa"/>
          <w:left w:w="0" w:type="dxa"/>
          <w:bottom w:w="0" w:type="dxa"/>
          <w:right w:w="0" w:type="dxa"/>
        </w:tblCellMar>
      </w:tblPr>
      <w:tblGrid>
        <w:gridCol w:w="304"/>
        <w:gridCol w:w="9901"/>
      </w:tblGrid>
      <w:tr>
        <w:trPr/>
        <w:tc>
          <w:tcPr>
            <w:tcW w:w="304" w:type="dxa"/>
            <w:tcBorders/>
            <w:shd w:fill="auto" w:val="clear"/>
          </w:tcPr>
          <w:p>
            <w:pPr>
              <w:pStyle w:val="TableContents"/>
              <w:spacing w:before="0" w:after="0"/>
              <w:jc w:val="right"/>
              <w:rPr/>
            </w:pPr>
            <w:r>
              <w:rPr/>
              <w:t>●  </w:t>
            </w:r>
          </w:p>
        </w:tc>
        <w:tc>
          <w:tcPr>
            <w:tcW w:w="9901" w:type="dxa"/>
            <w:tcBorders/>
            <w:shd w:fill="auto" w:val="clear"/>
          </w:tcPr>
          <w:p>
            <w:pPr>
              <w:pStyle w:val="TableContents"/>
              <w:spacing w:before="0" w:after="0"/>
              <w:ind w:left="0" w:right="0" w:hanging="0"/>
              <w:jc w:val="both"/>
              <w:rPr>
                <w:rFonts w:ascii="helvetica" w:hAnsi="helvetica"/>
                <w:sz w:val="20"/>
              </w:rPr>
            </w:pPr>
            <w:r>
              <w:rPr>
                <w:rFonts w:ascii="helvetica" w:hAnsi="helvetica"/>
                <w:sz w:val="20"/>
              </w:rPr>
              <w:t>obtain appropriate licenses to patents or proprietary rights held by third parties if infringement would otherwise occur.</w:t>
            </w:r>
          </w:p>
        </w:tc>
      </w:tr>
    </w:tbl>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r>
        <w:rPr>
          <w:rFonts w:ascii="helvetica" w:hAnsi="helvetica"/>
          <w:sz w:val="20"/>
        </w:rPr>
        <w:t>We obtained a patent from the United States Patent and Trademark Office on our Accudel technology in 1998, which affords protection of Accudel through 2016 in the United States. We may not be successful in our efforts to extend the date of our patent protection beyond 2016.  Failure to maintain or extend the patent could adversely affect our business. We will only be able to protect our drug candidates and our technologies from unauthorized use by third parties to the extent that valid and enforceable patents cover them</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r>
        <w:rPr>
          <w:rFonts w:ascii="helvetica" w:hAnsi="helvetica"/>
          <w:sz w:val="20"/>
        </w:rPr>
        <w:t>The patent and intellectual property positions of specialty pharmaceutical companies, including ours, are uncertain and involve complex legal and factual questions. There is no guarantee that we have or will develop or obtain the rights to products or processes that are patentable, that patents will issue from any pending applications or that claims allowed will be sufficient to protect the technology we develop or have developed or that is used by us, our contract manufacturing organizations or our other service providers. In addition, we cannot be certain that patents issued to us will not be challenged, invalidated, infringed or circumvented, including by our competitors, or that the rights granted thereunder will provide competitive advantages to us.</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r>
        <w:rPr>
          <w:rFonts w:ascii="helvetica" w:hAnsi="helvetica"/>
          <w:sz w:val="20"/>
        </w:rPr>
        <w:t>Furthermore, patent applications in the U.S. are confidential for a period of time until they are published, and publication of discoveries in scientific or patent literature typically lags actual discoveries by several months. As a result, we cannot be certain that the inventors listed in any patent or patent application owned by us were the first to conceive of the inventions covered by such patents and patent applications or that such inventors were the first to file patent applications for such inventions.</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r>
        <w:rPr>
          <w:rFonts w:ascii="helvetica" w:hAnsi="helvetica"/>
          <w:sz w:val="20"/>
        </w:rPr>
        <w:t>We also may rely on unpatented trade secrets and know-how and continuing technological innovation to develop and maintain our competitive position, which we seek to protect, in part, by confidentiality agreements with current employees, consultants, collaborators and others. We also have invention or patent assignment agreements with our current employees and certain consultants. There can be no assurance, however, that binding agreements will not be breached, that we will have adequate remedies for any breach, or that trade secrets will not otherwise become known or be independently discovered by competitors. In addition, there can be no assurance that inventions relevant to us will not be developed by a person not bound by an invention assignment agreement with us.</w:t>
      </w:r>
    </w:p>
    <w:p>
      <w:pPr>
        <w:pStyle w:val="TextBody"/>
        <w:spacing w:before="0" w:after="0"/>
        <w:ind w:left="0" w:right="0" w:hanging="0"/>
        <w:jc w:val="both"/>
        <w:rPr/>
      </w:pPr>
      <w:r>
        <w:rPr/>
        <w:t> </w:t>
      </w:r>
    </w:p>
    <w:p>
      <w:pPr>
        <w:pStyle w:val="TextBody"/>
        <w:spacing w:before="0" w:after="0"/>
        <w:ind w:left="0" w:right="0" w:hanging="0"/>
        <w:jc w:val="left"/>
        <w:rPr/>
      </w:pPr>
      <w:r>
        <w:rPr>
          <w:rFonts w:ascii="helvetica" w:hAnsi="helvetica"/>
          <w:b/>
          <w:i/>
          <w:sz w:val="20"/>
        </w:rPr>
        <w:t>Our product development program may not be successful.</w:t>
      </w:r>
      <w:r>
        <w:rPr/>
        <w:t xml:space="preserve"> </w:t>
      </w:r>
    </w:p>
    <w:p>
      <w:pPr>
        <w:pStyle w:val="TextBody"/>
        <w:spacing w:before="0" w:after="0"/>
        <w:ind w:left="0" w:right="0" w:hanging="0"/>
        <w:jc w:val="left"/>
        <w:rPr/>
      </w:pPr>
      <w:r>
        <w:rPr/>
        <w:t> </w:t>
      </w:r>
    </w:p>
    <w:p>
      <w:pPr>
        <w:pStyle w:val="TextBody"/>
        <w:spacing w:before="0" w:after="0"/>
        <w:ind w:left="0" w:right="0" w:firstLine="720"/>
        <w:jc w:val="left"/>
        <w:rPr/>
      </w:pPr>
      <w:r>
        <w:rPr>
          <w:rFonts w:ascii="helvetica" w:hAnsi="helvetica"/>
          <w:sz w:val="20"/>
        </w:rPr>
        <w:t>In addition to the development of Impracor, we expect to pursue development of potential products in pain management and other therapeutic areas. In particular, we are currently considering potential new product candidates in the muscle relaxant and neuropathic pain fields. We also expect to utilize our relationship with PCCA to identify markets in which we perceive development opportunities for new products and to develop reformatted and repurposed generic drugs. In addition, our product development program has included cosmetic products, which utilizes the basis of our patented transdermal delivery system technology, Accudel. Since our primary focus will remain seeking FDA approval for Impracor, we currently expect to use limited resources on our other development programs.</w:t>
      </w:r>
      <w:r>
        <w:rPr/>
        <w:t xml:space="preserve"> </w:t>
      </w:r>
    </w:p>
    <w:p>
      <w:pPr>
        <w:pStyle w:val="TextBody"/>
        <w:spacing w:before="0" w:after="0"/>
        <w:ind w:left="0" w:right="0" w:hanging="0"/>
        <w:jc w:val="left"/>
        <w:rPr/>
      </w:pPr>
      <w:r>
        <w:rPr/>
        <w:t> </w:t>
      </w:r>
    </w:p>
    <w:p>
      <w:pPr>
        <w:pStyle w:val="TextBody"/>
        <w:spacing w:before="0" w:after="0"/>
        <w:ind w:left="0" w:right="0" w:firstLine="720"/>
        <w:jc w:val="left"/>
        <w:rPr/>
      </w:pPr>
      <w:r>
        <w:rPr>
          <w:rFonts w:ascii="helvetica" w:hAnsi="helvetica"/>
          <w:sz w:val="20"/>
        </w:rPr>
        <w:t>None of our potential pharmaceutical product candidates have commenced any clinical trials and there are a number of FDA requirements that we must satisfy in order to commence clinical trials. These requirements will require substantial time, effort and financial resources. We may never satisfy these requirements. In addition, prior to commencing any trials of a drug candidate, we must evaluate whether a market exists for the drug candidate. This is costly and time consuming, and any market studies we rely on may not be accurate. We may expend significant capital and other resources on a drug candidate and find that no commercial market exists for the drug. Further, our relationship with PCCA, on which we intend to rely to facilitate our evaluation of the potential market for future products we may develop, is terminable if we fail to commence efforts to research and develop future products within certain time periods, as set forth in the PCCA License Agreement. We may not be able to meet such requirements within the required time periods or at all, and our relationship with PCCA could be terminated. If we do commence clinical trials of our other potential product candidates, such product candidates may never be approved by the FDA. Even if we are not required to obtain FDA pre-market approval for our potential cosmeceutical product candidates, we will still be subject to a number of federal and state regulations, including regulation by the FDA and the Federal Trade Commission on any marketing claims we make, and we may be unable to satisfy these requirements. Any cosmeceutical products we develop may cause undesirable side effects that could limit their use, require their removal from the market and subject us to adverse regulatory action and product liability claims. As a result, we may never successfully develop and obtain approval to market and sell any of our potential product candidates. Even if we do develop and obtain approval to market and sell such product candidates, we may be unable to compete against the many products and treatments currently being offered or under development by other established, well known and well-financed cosmetic, health care and pharmaceutical companies.</w:t>
      </w:r>
      <w:r>
        <w:rPr/>
        <w:t xml:space="preserve"> </w:t>
      </w:r>
    </w:p>
    <w:p>
      <w:pPr>
        <w:pStyle w:val="TextBody"/>
        <w:spacing w:before="0" w:after="0"/>
        <w:ind w:left="0" w:right="0" w:firstLine="720"/>
        <w:jc w:val="left"/>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189" w:name="PGBRK13"/>
      <w:bookmarkStart w:id="190" w:name="PGBRK13"/>
      <w:bookmarkEnd w:id="19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91" w:name="FTR13"/>
      <w:bookmarkStart w:id="192" w:name="FTR13"/>
      <w:bookmarkEnd w:id="19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193" w:name="GLFTR12"/>
      <w:bookmarkEnd w:id="193"/>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helvetica" w:hAnsi="helvetica"/>
          <w:sz w:val="20"/>
        </w:rPr>
      </w:pPr>
      <w:bookmarkStart w:id="194" w:name="PN12"/>
      <w:bookmarkEnd w:id="194"/>
      <w:r>
        <w:rPr>
          <w:rFonts w:ascii="helvetica" w:hAnsi="helvetica"/>
          <w:sz w:val="20"/>
        </w:rPr>
        <w:t>11</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95" w:name="HDR12"/>
      <w:bookmarkStart w:id="196" w:name="HDR12"/>
      <w:bookmarkEnd w:id="19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197" w:name="GLHDR12"/>
      <w:bookmarkEnd w:id="197"/>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pPr>
      <w:r>
        <w:rPr/>
        <w:t> </w:t>
      </w:r>
    </w:p>
    <w:p>
      <w:pPr>
        <w:pStyle w:val="TextBody"/>
        <w:spacing w:before="0" w:after="0"/>
        <w:ind w:left="0" w:right="0" w:hanging="0"/>
        <w:jc w:val="both"/>
        <w:rPr>
          <w:rFonts w:ascii="helvetica" w:hAnsi="helvetica"/>
          <w:b/>
          <w:i/>
          <w:sz w:val="20"/>
        </w:rPr>
      </w:pPr>
      <w:r>
        <w:rPr>
          <w:rFonts w:ascii="helvetica" w:hAnsi="helvetica"/>
          <w:b/>
          <w:i/>
          <w:sz w:val="20"/>
        </w:rPr>
        <w:t>Once approved, failure to comply with continuing federal and state regulations could result in the loss of approvals to market our drugs.</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r>
        <w:rPr>
          <w:rFonts w:ascii="helvetica" w:hAnsi="helvetica"/>
          <w:sz w:val="20"/>
        </w:rPr>
        <w:t>Following initial regulatory approval of any drugs we may develop, we will be subject to continuing regulatory review, including review of adverse drug experiences and clinical results that are reported after our drug products become commercially available. This would include results from any post-marketing tests or continued actions required as a condition of approval. The manufacturer and manufacturing facilities we use to make any of our drug candidates will be subject to periodic review and inspection by the FDA. If a previously unknown problem or problems with a product or a manufacturing and laboratory facility used by us is discovered, the FDA may impose restrictions on that product or on the manufacturing facility, including requiring us to withdraw the product from the market. Any changes to an approved product, including the way it is manufactured or promoted, often requires FDA approval before the product, as modified, can be marketed. In addition, we and our contract manufacturers will be subject to ongoing FDA requirements for submission of safety and other post-market information. If we or our contract manufacturers fail to comply with applicable regulatory requirements, a regulatory agency may:</w:t>
      </w:r>
    </w:p>
    <w:p>
      <w:pPr>
        <w:pStyle w:val="TextBody"/>
        <w:spacing w:before="0" w:after="0"/>
        <w:ind w:left="0" w:right="0" w:hanging="0"/>
        <w:jc w:val="both"/>
        <w:rPr/>
      </w:pPr>
      <w:r>
        <w:rPr/>
        <w:t> </w:t>
      </w:r>
    </w:p>
    <w:p>
      <w:pPr>
        <w:pStyle w:val="Normal"/>
        <w:spacing w:before="0" w:after="0"/>
        <w:rPr>
          <w:sz w:val="4"/>
          <w:szCs w:val="4"/>
        </w:rPr>
      </w:pPr>
      <w:r>
        <w:rPr>
          <w:sz w:val="4"/>
          <w:szCs w:val="4"/>
        </w:rPr>
      </w:r>
      <w:bookmarkStart w:id="198" w:name="list34"/>
      <w:bookmarkStart w:id="199" w:name="list34"/>
      <w:bookmarkEnd w:id="199"/>
    </w:p>
    <w:tbl>
      <w:tblPr>
        <w:tblW w:w="5000" w:type="pct"/>
        <w:jc w:val="left"/>
        <w:tblInd w:w="0" w:type="dxa"/>
        <w:tblCellMar>
          <w:top w:w="0" w:type="dxa"/>
          <w:left w:w="0" w:type="dxa"/>
          <w:bottom w:w="0" w:type="dxa"/>
          <w:right w:w="0" w:type="dxa"/>
        </w:tblCellMar>
      </w:tblPr>
      <w:tblGrid>
        <w:gridCol w:w="1424"/>
        <w:gridCol w:w="8781"/>
      </w:tblGrid>
      <w:tr>
        <w:trPr/>
        <w:tc>
          <w:tcPr>
            <w:tcW w:w="1424" w:type="dxa"/>
            <w:tcBorders/>
            <w:shd w:fill="auto" w:val="clear"/>
          </w:tcPr>
          <w:p>
            <w:pPr>
              <w:pStyle w:val="TableContents"/>
              <w:spacing w:before="0" w:after="0"/>
              <w:jc w:val="right"/>
              <w:rPr/>
            </w:pPr>
            <w:r>
              <w:rPr/>
              <w:t>●  </w:t>
            </w:r>
          </w:p>
        </w:tc>
        <w:tc>
          <w:tcPr>
            <w:tcW w:w="8781" w:type="dxa"/>
            <w:tcBorders/>
            <w:shd w:fill="auto" w:val="clear"/>
          </w:tcPr>
          <w:p>
            <w:pPr>
              <w:pStyle w:val="TableContents"/>
              <w:spacing w:before="0" w:after="0"/>
              <w:ind w:left="0" w:right="0" w:hanging="0"/>
              <w:jc w:val="both"/>
              <w:rPr>
                <w:rFonts w:ascii="helvetica" w:hAnsi="helvetica"/>
                <w:sz w:val="20"/>
              </w:rPr>
            </w:pPr>
            <w:r>
              <w:rPr>
                <w:rFonts w:ascii="helvetica" w:hAnsi="helvetica"/>
                <w:sz w:val="20"/>
              </w:rPr>
              <w:t>issue warning letters;</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200" w:name="list35"/>
      <w:bookmarkStart w:id="201" w:name="list35"/>
      <w:bookmarkEnd w:id="201"/>
    </w:p>
    <w:tbl>
      <w:tblPr>
        <w:tblW w:w="5000" w:type="pct"/>
        <w:jc w:val="left"/>
        <w:tblInd w:w="0" w:type="dxa"/>
        <w:tblCellMar>
          <w:top w:w="0" w:type="dxa"/>
          <w:left w:w="0" w:type="dxa"/>
          <w:bottom w:w="0" w:type="dxa"/>
          <w:right w:w="0" w:type="dxa"/>
        </w:tblCellMar>
      </w:tblPr>
      <w:tblGrid>
        <w:gridCol w:w="962"/>
        <w:gridCol w:w="9243"/>
      </w:tblGrid>
      <w:tr>
        <w:trPr/>
        <w:tc>
          <w:tcPr>
            <w:tcW w:w="962" w:type="dxa"/>
            <w:tcBorders/>
            <w:shd w:fill="auto" w:val="clear"/>
          </w:tcPr>
          <w:p>
            <w:pPr>
              <w:pStyle w:val="TableContents"/>
              <w:spacing w:before="0" w:after="0"/>
              <w:jc w:val="right"/>
              <w:rPr/>
            </w:pPr>
            <w:r>
              <w:rPr/>
              <w:t>●  </w:t>
            </w:r>
          </w:p>
        </w:tc>
        <w:tc>
          <w:tcPr>
            <w:tcW w:w="9243" w:type="dxa"/>
            <w:tcBorders/>
            <w:shd w:fill="auto" w:val="clear"/>
          </w:tcPr>
          <w:p>
            <w:pPr>
              <w:pStyle w:val="TableContents"/>
              <w:spacing w:before="0" w:after="0"/>
              <w:ind w:left="0" w:right="0" w:hanging="0"/>
              <w:jc w:val="both"/>
              <w:rPr>
                <w:rFonts w:ascii="helvetica" w:hAnsi="helvetica"/>
                <w:sz w:val="20"/>
              </w:rPr>
            </w:pPr>
            <w:r>
              <w:rPr>
                <w:rFonts w:ascii="helvetica" w:hAnsi="helvetica"/>
                <w:sz w:val="20"/>
              </w:rPr>
              <w:t>impose civil or criminal penalties;</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202" w:name="list36"/>
      <w:bookmarkStart w:id="203" w:name="list36"/>
      <w:bookmarkEnd w:id="203"/>
    </w:p>
    <w:tbl>
      <w:tblPr>
        <w:tblW w:w="5000" w:type="pct"/>
        <w:jc w:val="left"/>
        <w:tblInd w:w="0" w:type="dxa"/>
        <w:tblCellMar>
          <w:top w:w="0" w:type="dxa"/>
          <w:left w:w="0" w:type="dxa"/>
          <w:bottom w:w="0" w:type="dxa"/>
          <w:right w:w="0" w:type="dxa"/>
        </w:tblCellMar>
      </w:tblPr>
      <w:tblGrid>
        <w:gridCol w:w="739"/>
        <w:gridCol w:w="9466"/>
      </w:tblGrid>
      <w:tr>
        <w:trPr/>
        <w:tc>
          <w:tcPr>
            <w:tcW w:w="739" w:type="dxa"/>
            <w:tcBorders/>
            <w:shd w:fill="auto" w:val="clear"/>
          </w:tcPr>
          <w:p>
            <w:pPr>
              <w:pStyle w:val="TableContents"/>
              <w:spacing w:before="0" w:after="0"/>
              <w:jc w:val="right"/>
              <w:rPr/>
            </w:pPr>
            <w:r>
              <w:rPr/>
              <w:t>●  </w:t>
            </w:r>
          </w:p>
        </w:tc>
        <w:tc>
          <w:tcPr>
            <w:tcW w:w="9466" w:type="dxa"/>
            <w:tcBorders/>
            <w:shd w:fill="auto" w:val="clear"/>
          </w:tcPr>
          <w:p>
            <w:pPr>
              <w:pStyle w:val="TableContents"/>
              <w:spacing w:before="0" w:after="0"/>
              <w:ind w:left="0" w:right="0" w:hanging="0"/>
              <w:jc w:val="both"/>
              <w:rPr>
                <w:rFonts w:ascii="helvetica" w:hAnsi="helvetica"/>
                <w:sz w:val="20"/>
              </w:rPr>
            </w:pPr>
            <w:r>
              <w:rPr>
                <w:rFonts w:ascii="helvetica" w:hAnsi="helvetica"/>
                <w:sz w:val="20"/>
              </w:rPr>
              <w:t>suspend or withdraw our regulatory approval;</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204" w:name="list37"/>
      <w:bookmarkStart w:id="205" w:name="list37"/>
      <w:bookmarkEnd w:id="205"/>
    </w:p>
    <w:tbl>
      <w:tblPr>
        <w:tblW w:w="5000" w:type="pct"/>
        <w:jc w:val="left"/>
        <w:tblInd w:w="0" w:type="dxa"/>
        <w:tblCellMar>
          <w:top w:w="0" w:type="dxa"/>
          <w:left w:w="0" w:type="dxa"/>
          <w:bottom w:w="0" w:type="dxa"/>
          <w:right w:w="0" w:type="dxa"/>
        </w:tblCellMar>
      </w:tblPr>
      <w:tblGrid>
        <w:gridCol w:w="618"/>
        <w:gridCol w:w="9587"/>
      </w:tblGrid>
      <w:tr>
        <w:trPr/>
        <w:tc>
          <w:tcPr>
            <w:tcW w:w="618" w:type="dxa"/>
            <w:tcBorders/>
            <w:shd w:fill="auto" w:val="clear"/>
          </w:tcPr>
          <w:p>
            <w:pPr>
              <w:pStyle w:val="TableContents"/>
              <w:spacing w:before="0" w:after="0"/>
              <w:jc w:val="right"/>
              <w:rPr/>
            </w:pPr>
            <w:r>
              <w:rPr/>
              <w:t>●  </w:t>
            </w:r>
          </w:p>
        </w:tc>
        <w:tc>
          <w:tcPr>
            <w:tcW w:w="9587" w:type="dxa"/>
            <w:tcBorders/>
            <w:shd w:fill="auto" w:val="clear"/>
          </w:tcPr>
          <w:p>
            <w:pPr>
              <w:pStyle w:val="TableContents"/>
              <w:spacing w:before="0" w:after="0"/>
              <w:ind w:left="0" w:right="0" w:hanging="0"/>
              <w:jc w:val="both"/>
              <w:rPr>
                <w:rFonts w:ascii="helvetica" w:hAnsi="helvetica"/>
                <w:sz w:val="20"/>
              </w:rPr>
            </w:pPr>
            <w:r>
              <w:rPr>
                <w:rFonts w:ascii="helvetica" w:hAnsi="helvetica"/>
                <w:sz w:val="20"/>
              </w:rPr>
              <w:t>suspend or terminate any of our ongoing clinical trials;</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206" w:name="list38"/>
      <w:bookmarkStart w:id="207" w:name="list38"/>
      <w:bookmarkEnd w:id="207"/>
    </w:p>
    <w:tbl>
      <w:tblPr>
        <w:tblW w:w="5000" w:type="pct"/>
        <w:jc w:val="left"/>
        <w:tblInd w:w="0" w:type="dxa"/>
        <w:tblCellMar>
          <w:top w:w="0" w:type="dxa"/>
          <w:left w:w="0" w:type="dxa"/>
          <w:bottom w:w="0" w:type="dxa"/>
          <w:right w:w="0" w:type="dxa"/>
        </w:tblCellMar>
      </w:tblPr>
      <w:tblGrid>
        <w:gridCol w:w="376"/>
        <w:gridCol w:w="9829"/>
      </w:tblGrid>
      <w:tr>
        <w:trPr/>
        <w:tc>
          <w:tcPr>
            <w:tcW w:w="376" w:type="dxa"/>
            <w:tcBorders/>
            <w:shd w:fill="auto" w:val="clear"/>
          </w:tcPr>
          <w:p>
            <w:pPr>
              <w:pStyle w:val="TableContents"/>
              <w:spacing w:before="0" w:after="0"/>
              <w:jc w:val="right"/>
              <w:rPr/>
            </w:pPr>
            <w:r>
              <w:rPr/>
              <w:t>●  </w:t>
            </w:r>
          </w:p>
        </w:tc>
        <w:tc>
          <w:tcPr>
            <w:tcW w:w="9829" w:type="dxa"/>
            <w:tcBorders/>
            <w:shd w:fill="auto" w:val="clear"/>
          </w:tcPr>
          <w:p>
            <w:pPr>
              <w:pStyle w:val="TableContents"/>
              <w:spacing w:before="0" w:after="0"/>
              <w:ind w:left="0" w:right="0" w:hanging="0"/>
              <w:jc w:val="both"/>
              <w:rPr>
                <w:rFonts w:ascii="helvetica" w:hAnsi="helvetica"/>
                <w:sz w:val="20"/>
              </w:rPr>
            </w:pPr>
            <w:r>
              <w:rPr>
                <w:rFonts w:ascii="helvetica" w:hAnsi="helvetica"/>
                <w:sz w:val="20"/>
              </w:rPr>
              <w:t>refuse to approve pending applications or supplements to approved applications filed by us;</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208" w:name="list39"/>
      <w:bookmarkStart w:id="209" w:name="list39"/>
      <w:bookmarkEnd w:id="209"/>
    </w:p>
    <w:tbl>
      <w:tblPr>
        <w:tblW w:w="5000" w:type="pct"/>
        <w:jc w:val="left"/>
        <w:tblInd w:w="0" w:type="dxa"/>
        <w:tblCellMar>
          <w:top w:w="0" w:type="dxa"/>
          <w:left w:w="0" w:type="dxa"/>
          <w:bottom w:w="0" w:type="dxa"/>
          <w:right w:w="0" w:type="dxa"/>
        </w:tblCellMar>
      </w:tblPr>
      <w:tblGrid>
        <w:gridCol w:w="862"/>
        <w:gridCol w:w="9343"/>
      </w:tblGrid>
      <w:tr>
        <w:trPr/>
        <w:tc>
          <w:tcPr>
            <w:tcW w:w="862" w:type="dxa"/>
            <w:tcBorders/>
            <w:shd w:fill="auto" w:val="clear"/>
          </w:tcPr>
          <w:p>
            <w:pPr>
              <w:pStyle w:val="TableContents"/>
              <w:spacing w:before="0" w:after="0"/>
              <w:jc w:val="right"/>
              <w:rPr/>
            </w:pPr>
            <w:r>
              <w:rPr/>
              <w:t>●  </w:t>
            </w:r>
          </w:p>
        </w:tc>
        <w:tc>
          <w:tcPr>
            <w:tcW w:w="9343" w:type="dxa"/>
            <w:tcBorders/>
            <w:shd w:fill="auto" w:val="clear"/>
          </w:tcPr>
          <w:p>
            <w:pPr>
              <w:pStyle w:val="TableContents"/>
              <w:spacing w:before="0" w:after="0"/>
              <w:ind w:left="0" w:right="0" w:hanging="0"/>
              <w:jc w:val="both"/>
              <w:rPr>
                <w:rFonts w:ascii="helvetica" w:hAnsi="helvetica"/>
                <w:sz w:val="20"/>
              </w:rPr>
            </w:pPr>
            <w:r>
              <w:rPr>
                <w:rFonts w:ascii="helvetica" w:hAnsi="helvetica"/>
                <w:sz w:val="20"/>
              </w:rPr>
              <w:t>impose restrictions on our operations;</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210" w:name="list40"/>
      <w:bookmarkStart w:id="211" w:name="list40"/>
      <w:bookmarkEnd w:id="211"/>
    </w:p>
    <w:tbl>
      <w:tblPr>
        <w:tblW w:w="5000" w:type="pct"/>
        <w:jc w:val="left"/>
        <w:tblInd w:w="0" w:type="dxa"/>
        <w:tblCellMar>
          <w:top w:w="0" w:type="dxa"/>
          <w:left w:w="0" w:type="dxa"/>
          <w:bottom w:w="0" w:type="dxa"/>
          <w:right w:w="0" w:type="dxa"/>
        </w:tblCellMar>
      </w:tblPr>
      <w:tblGrid>
        <w:gridCol w:w="644"/>
        <w:gridCol w:w="9561"/>
      </w:tblGrid>
      <w:tr>
        <w:trPr/>
        <w:tc>
          <w:tcPr>
            <w:tcW w:w="644" w:type="dxa"/>
            <w:tcBorders/>
            <w:shd w:fill="auto" w:val="clear"/>
          </w:tcPr>
          <w:p>
            <w:pPr>
              <w:pStyle w:val="TableContents"/>
              <w:spacing w:before="0" w:after="0"/>
              <w:jc w:val="right"/>
              <w:rPr/>
            </w:pPr>
            <w:r>
              <w:rPr/>
              <w:t>●  </w:t>
            </w:r>
          </w:p>
        </w:tc>
        <w:tc>
          <w:tcPr>
            <w:tcW w:w="9561" w:type="dxa"/>
            <w:tcBorders/>
            <w:shd w:fill="auto" w:val="clear"/>
          </w:tcPr>
          <w:p>
            <w:pPr>
              <w:pStyle w:val="TableContents"/>
              <w:spacing w:before="0" w:after="0"/>
              <w:ind w:left="0" w:right="0" w:hanging="0"/>
              <w:jc w:val="both"/>
              <w:rPr>
                <w:rFonts w:ascii="helvetica" w:hAnsi="helvetica"/>
                <w:sz w:val="20"/>
              </w:rPr>
            </w:pPr>
            <w:r>
              <w:rPr>
                <w:rFonts w:ascii="helvetica" w:hAnsi="helvetica"/>
                <w:sz w:val="20"/>
              </w:rPr>
              <w:t>close the facilities of our contract manufacturers; or</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212" w:name="list41"/>
      <w:bookmarkStart w:id="213" w:name="list41"/>
      <w:bookmarkEnd w:id="213"/>
    </w:p>
    <w:tbl>
      <w:tblPr>
        <w:tblW w:w="5000" w:type="pct"/>
        <w:jc w:val="left"/>
        <w:tblInd w:w="0" w:type="dxa"/>
        <w:tblCellMar>
          <w:top w:w="0" w:type="dxa"/>
          <w:left w:w="0" w:type="dxa"/>
          <w:bottom w:w="0" w:type="dxa"/>
          <w:right w:w="0" w:type="dxa"/>
        </w:tblCellMar>
      </w:tblPr>
      <w:tblGrid>
        <w:gridCol w:w="655"/>
        <w:gridCol w:w="9550"/>
      </w:tblGrid>
      <w:tr>
        <w:trPr/>
        <w:tc>
          <w:tcPr>
            <w:tcW w:w="655" w:type="dxa"/>
            <w:tcBorders/>
            <w:shd w:fill="auto" w:val="clear"/>
          </w:tcPr>
          <w:p>
            <w:pPr>
              <w:pStyle w:val="TableContents"/>
              <w:spacing w:before="0" w:after="0"/>
              <w:jc w:val="right"/>
              <w:rPr/>
            </w:pPr>
            <w:r>
              <w:rPr/>
              <w:t>●  </w:t>
            </w:r>
          </w:p>
        </w:tc>
        <w:tc>
          <w:tcPr>
            <w:tcW w:w="9550" w:type="dxa"/>
            <w:tcBorders/>
            <w:shd w:fill="auto" w:val="clear"/>
          </w:tcPr>
          <w:p>
            <w:pPr>
              <w:pStyle w:val="TableContents"/>
              <w:spacing w:before="0" w:after="0"/>
              <w:ind w:left="0" w:right="0" w:hanging="0"/>
              <w:jc w:val="both"/>
              <w:rPr>
                <w:rFonts w:ascii="helvetica" w:hAnsi="helvetica"/>
                <w:sz w:val="20"/>
              </w:rPr>
            </w:pPr>
            <w:r>
              <w:rPr>
                <w:rFonts w:ascii="helvetica" w:hAnsi="helvetica"/>
                <w:sz w:val="20"/>
              </w:rPr>
              <w:t>seize or detain products or require a product recall.</w:t>
            </w:r>
          </w:p>
        </w:tc>
      </w:tr>
    </w:tbl>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r>
        <w:rPr>
          <w:rFonts w:ascii="helvetica" w:hAnsi="helvetica"/>
          <w:sz w:val="20"/>
        </w:rPr>
        <w:t>Regulatory review also covers a company’s activities in the promotion of its drugs, with significant potential penalties and restrictions for promotion of drugs for an unapproved use. Sales and marketing programs are under scrutiny for compliance with various mandated requirements, such as illegal promotions to health care professionals. We are also required to submit information on our open and completed clinical trials to public registries and databases. Failure to comply with these requirements could expose us to negative publicity, fines and penalties that could harm our business.</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r>
        <w:rPr>
          <w:rFonts w:ascii="helvetica" w:hAnsi="helvetica"/>
          <w:sz w:val="20"/>
        </w:rPr>
        <w:t>If we violate regulatory requirements at any stage, whether before or after marketing approval is obtained, we may be fined, be forced to remove a product from the market or experience other adverse consequences, including delay, which would materially harm our financial results.  We may not be able to obtain the labeling claims necessary or desirable for product promotion.</w:t>
      </w:r>
    </w:p>
    <w:p>
      <w:pPr>
        <w:pStyle w:val="TextBody"/>
        <w:spacing w:before="0" w:after="0"/>
        <w:ind w:left="0" w:right="0" w:hanging="0"/>
        <w:jc w:val="both"/>
        <w:rPr/>
      </w:pPr>
      <w:r>
        <w:rPr/>
        <w:t> </w:t>
      </w:r>
    </w:p>
    <w:p>
      <w:pPr>
        <w:pStyle w:val="TextBody"/>
        <w:spacing w:before="0" w:after="0"/>
        <w:ind w:left="0" w:right="0" w:hanging="0"/>
        <w:rPr>
          <w:rFonts w:ascii="helvetica" w:hAnsi="helvetica"/>
          <w:b/>
          <w:i/>
          <w:sz w:val="20"/>
        </w:rPr>
      </w:pPr>
      <w:r>
        <w:rPr>
          <w:rFonts w:ascii="helvetica" w:hAnsi="helvetica"/>
          <w:b/>
          <w:i/>
          <w:sz w:val="20"/>
        </w:rPr>
        <w:t>Once approved, there is no guarantee that the market will accept our products.  If we are not successful in introducing our products or if the market does not accept our products, our business, financial position and results of operations may be materially adversely affected and the market price for our common stock would decline.</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r>
        <w:rPr>
          <w:rFonts w:ascii="helvetica" w:hAnsi="helvetica"/>
          <w:sz w:val="20"/>
        </w:rPr>
        <w:t>Even if we obtain regulatory approvals, uncertainty exists as to whether the market will accept our products or if the market for our products is as large as we anticipate. A number of factors may limit the market acceptance of our products, including the timing of regulatory approvals and market entry relative to competitive products, the availability of alternative products, the price of our products relative to alternative products, the availability of third party reimbursement and the extent of marketing efforts by third party distributors or agents that we retain. We cannot assure you that our products will receive market acceptance in a commercially viable period of time, if at all. We cannot be certain that any investment made in developing products will be recovered, even if we are successful in commercialization. To the extent that we expend significant resources on research and development efforts and are not able, ultimately, to introduce successful new products as a result of those efforts, our business, financial position and results of operations may be materially adversely affected, and the market value of our common stock could decline.</w:t>
      </w:r>
    </w:p>
    <w:p>
      <w:pPr>
        <w:pStyle w:val="TextBody"/>
        <w:spacing w:before="0" w:after="0"/>
        <w:ind w:left="0" w:right="0" w:firstLine="720"/>
        <w:jc w:val="left"/>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214" w:name="PGBRK14"/>
      <w:bookmarkStart w:id="215" w:name="PGBRK14"/>
      <w:bookmarkEnd w:id="21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16" w:name="FTR14"/>
      <w:bookmarkStart w:id="217" w:name="FTR14"/>
      <w:bookmarkEnd w:id="21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218" w:name="GLFTR13"/>
      <w:bookmarkEnd w:id="218"/>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helvetica" w:hAnsi="helvetica"/>
          <w:sz w:val="20"/>
        </w:rPr>
      </w:pPr>
      <w:bookmarkStart w:id="219" w:name="PN13"/>
      <w:bookmarkEnd w:id="219"/>
      <w:r>
        <w:rPr>
          <w:rFonts w:ascii="helvetica" w:hAnsi="helvetica"/>
          <w:sz w:val="20"/>
        </w:rPr>
        <w:t>12</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20" w:name="HDR13"/>
      <w:bookmarkStart w:id="221" w:name="HDR13"/>
      <w:bookmarkEnd w:id="22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222" w:name="GLHDR13"/>
      <w:bookmarkEnd w:id="222"/>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pPr>
      <w:r>
        <w:rPr/>
        <w:t> </w:t>
      </w:r>
    </w:p>
    <w:p>
      <w:pPr>
        <w:pStyle w:val="TextBody"/>
        <w:spacing w:before="0" w:after="0"/>
        <w:ind w:left="0" w:right="0" w:hanging="0"/>
        <w:rPr>
          <w:rFonts w:ascii="helvetica" w:hAnsi="helvetica"/>
          <w:b/>
          <w:i/>
          <w:sz w:val="20"/>
        </w:rPr>
      </w:pPr>
      <w:r>
        <w:rPr>
          <w:rFonts w:ascii="helvetica" w:hAnsi="helvetica"/>
          <w:b/>
          <w:i/>
          <w:sz w:val="20"/>
        </w:rPr>
        <w:t>We may be subject to product liability claims.</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r>
        <w:rPr>
          <w:rFonts w:ascii="helvetica" w:hAnsi="helvetica"/>
          <w:sz w:val="20"/>
        </w:rPr>
        <w:t>The development, manufacture, and sale of pharmaceutical and cosmetic products expose us to the risk of significant losses resulting from product liability claims. Although we have obtained and intend to maintain product liability insurance to offset some of this risk, we may be unable to maintain such insurance or it may not cover certain potential claims against us.</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r>
        <w:rPr>
          <w:rFonts w:ascii="helvetica" w:hAnsi="helvetica"/>
          <w:sz w:val="20"/>
        </w:rPr>
        <w:t>In the future, we may not be able to afford to obtain insurance due to rising costs in insurance premiums in recent years. Currently we have been able to secure insurance coverage; however, we may be faced with a successful claim against us in excess of our product liability coverage that could result in a material adverse impact on our business. If insurance coverage is too expensive or is unavailable to us in the future, we may be forced to self-insure against product-related claims. Without insurance coverage, a successful claim against us and any defense costs incurred in defending ourselves may have a material adverse impact on our operations.</w:t>
      </w:r>
    </w:p>
    <w:p>
      <w:pPr>
        <w:pStyle w:val="TextBody"/>
        <w:spacing w:before="0" w:after="0"/>
        <w:ind w:left="0" w:right="0" w:hanging="0"/>
        <w:jc w:val="both"/>
        <w:rPr/>
      </w:pPr>
      <w:r>
        <w:rPr/>
        <w:t> </w:t>
      </w:r>
    </w:p>
    <w:p>
      <w:pPr>
        <w:pStyle w:val="TextBody"/>
        <w:spacing w:before="0" w:after="0"/>
        <w:ind w:left="0" w:right="0" w:hanging="0"/>
        <w:rPr>
          <w:rFonts w:ascii="helvetica" w:hAnsi="helvetica"/>
          <w:b/>
          <w:i/>
          <w:sz w:val="20"/>
        </w:rPr>
      </w:pPr>
      <w:r>
        <w:rPr>
          <w:rFonts w:ascii="helvetica" w:hAnsi="helvetica"/>
          <w:b/>
          <w:i/>
          <w:sz w:val="20"/>
        </w:rPr>
        <w:t>We may not be successful in receiving additional patents based on our intellectual property strategy.</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r>
        <w:rPr>
          <w:rFonts w:ascii="helvetica" w:hAnsi="helvetica"/>
          <w:sz w:val="20"/>
        </w:rPr>
        <w:t>We have undertaken an effort to examine our intellectual property assets and have or shall file certain patents in certain jurisdictions, with the goal of attaining additional protections for our technologies and any related future products. The applications we have filed or we expect to file may never yield patents that protect our inventions and intellectual property assets. Failure to obtain additional patents may limit our protection against generic drug manufacturers and other parties who may seek to copy or otherwise produce products substantially similar to ours using technologies that may be substantially similar to those we own.</w:t>
      </w:r>
    </w:p>
    <w:p>
      <w:pPr>
        <w:pStyle w:val="TextBody"/>
        <w:spacing w:before="0" w:after="0"/>
        <w:ind w:left="0" w:right="0" w:hanging="0"/>
        <w:jc w:val="both"/>
        <w:rPr/>
      </w:pPr>
      <w:r>
        <w:rPr/>
        <w:t> </w:t>
      </w:r>
    </w:p>
    <w:p>
      <w:pPr>
        <w:pStyle w:val="TextBody"/>
        <w:spacing w:before="0" w:after="0"/>
        <w:ind w:left="0" w:right="0" w:hanging="0"/>
        <w:rPr>
          <w:rFonts w:ascii="helvetica" w:hAnsi="helvetica"/>
          <w:b/>
          <w:i/>
          <w:sz w:val="20"/>
        </w:rPr>
      </w:pPr>
      <w:r>
        <w:rPr>
          <w:rFonts w:ascii="helvetica" w:hAnsi="helvetica"/>
          <w:b/>
          <w:i/>
          <w:sz w:val="20"/>
        </w:rPr>
        <w:t>The use of our technologies could potentially conflict with the rights of others.</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r>
        <w:rPr>
          <w:rFonts w:ascii="helvetica" w:hAnsi="helvetica"/>
          <w:sz w:val="20"/>
        </w:rPr>
        <w:t>The manufacture, use or sale of our proprietary products may infringe on the patent rights of others. If we are unable to avoid infringement of the patent rights of others, we may be required to seek a license, defend an infringement action or challenge the validity of the patents in court. Patent litigation is costly and time consuming and may divert management’s attention and our resources. We may not have sufficient resources to bring these actions to a successful conclusion. In such case, we may be required to alter our products, pay licensing fees or cease activities. If our products conflict with patent rights of others, third parties could bring legal actions against us claiming damages and seeking to enjoin manufacturing and marketing of affected products. If these legal actions are successful, in addition to any potential liability for damages, we could be required to obtain a license in order to continue to manufacture or market the affected products. We may not prevail in any legal action and a required license under the patent may not available on acceptable terms, if at all.</w:t>
      </w:r>
    </w:p>
    <w:p>
      <w:pPr>
        <w:pStyle w:val="TextBody"/>
        <w:spacing w:before="0" w:after="0"/>
        <w:ind w:left="0" w:right="0" w:hanging="0"/>
        <w:jc w:val="both"/>
        <w:rPr/>
      </w:pPr>
      <w:r>
        <w:rPr/>
        <w:t> </w:t>
      </w:r>
    </w:p>
    <w:p>
      <w:pPr>
        <w:pStyle w:val="TextBody"/>
        <w:spacing w:before="0" w:after="0"/>
        <w:ind w:left="0" w:right="0" w:hanging="0"/>
        <w:rPr>
          <w:rFonts w:ascii="helvetica" w:hAnsi="helvetica"/>
          <w:b/>
          <w:i/>
          <w:sz w:val="20"/>
        </w:rPr>
      </w:pPr>
      <w:r>
        <w:rPr>
          <w:rFonts w:ascii="helvetica" w:hAnsi="helvetica"/>
          <w:b/>
          <w:i/>
          <w:sz w:val="20"/>
        </w:rPr>
        <w:t>We will be dependent on outside manufacturers in the event that we successfully develop our product candidates into commercial products; therefore, we will have limited control of the manufacturing process, access to raw materials, timing for delivery of finished products and costs. One manufacturer may constitute the sole source of one or more of our products.</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r>
        <w:rPr>
          <w:rFonts w:ascii="helvetica" w:hAnsi="helvetica"/>
          <w:sz w:val="20"/>
        </w:rPr>
        <w:t>We expect that third party manufacturers will manufacture all of our products, in the event that we successfully develop our product candidates into commercial products. Currently, certain of our contract manufacturers constitute the sole source of one or more of our products. If any of our existing or future manufacturers cease to manufacture or are otherwise unable to deliver any of our products or any of the components of our products, we may need to engage additional manufacturing partners. Because of contractual restraints and the lead-time necessary to obtain FDA approval of a new manufacturer, replacement of any of these manufacturers may be expensive and time consuming and may disrupt or delay our ability to supply our products and reduce our revenues.</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r>
        <w:rPr>
          <w:rFonts w:ascii="helvetica" w:hAnsi="helvetica"/>
          <w:sz w:val="20"/>
        </w:rPr>
        <w:t>Because all of our products, in the event that we successfully develop our product candidates into commercial products, will be manufactured by third parties, we have a limited ability to control the manufacturing process, access to raw materials, the timing for delivery of finished products or costs related to this process. There can be no assurance that our contract manufacturers will be able to produce finished products in quantities that are sufficient to meet demand or at all, in a timely manner, which could result in decreased revenues and loss of market share. There may be delays in the manufacturing process over which we will have no control, including shortages of raw materials, labor disputes, backlog or failure to meet FDA standards. Increases in the prices we pay our manufacturers, interruptions in our supply of products or lapses in quality could adversely impact our financial condition. We are reliant on our third-party manufacturers to maintain their manufacturing facilities in compliance with FDA and other federal, state and/or local regulations including health, safety and environmental standards. If they fail to maintain compliance with FDA or other critical regulations, they could be ordered to curtail operations, which would have a material adverse impact on our business, results of operations and financial condition.</w:t>
      </w:r>
    </w:p>
    <w:p>
      <w:pPr>
        <w:pStyle w:val="TextBody"/>
        <w:spacing w:before="0" w:after="0"/>
        <w:ind w:left="0" w:right="0" w:firstLine="720"/>
        <w:jc w:val="left"/>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223" w:name="PGBRK15"/>
      <w:bookmarkStart w:id="224" w:name="PGBRK15"/>
      <w:bookmarkEnd w:id="22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25" w:name="FTR15"/>
      <w:bookmarkStart w:id="226" w:name="FTR15"/>
      <w:bookmarkEnd w:id="22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227" w:name="GLFTR14"/>
      <w:bookmarkEnd w:id="227"/>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helvetica" w:hAnsi="helvetica"/>
          <w:sz w:val="20"/>
        </w:rPr>
      </w:pPr>
      <w:bookmarkStart w:id="228" w:name="PN14"/>
      <w:bookmarkEnd w:id="228"/>
      <w:r>
        <w:rPr>
          <w:rFonts w:ascii="helvetica" w:hAnsi="helvetica"/>
          <w:sz w:val="20"/>
        </w:rPr>
        <w:t>13</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29" w:name="HDR14"/>
      <w:bookmarkStart w:id="230" w:name="HDR14"/>
      <w:bookmarkEnd w:id="23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231" w:name="GLHDR14"/>
      <w:bookmarkEnd w:id="231"/>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r>
        <w:rPr>
          <w:rFonts w:ascii="helvetica" w:hAnsi="helvetica"/>
          <w:sz w:val="20"/>
        </w:rPr>
        <w:t>We also rely on our outside manufacturers to assist us in the preparation of key documents such as drug master files and other relevant documents that are required by the FDA as part of the drug approval process and post-approval oversight. Failure by our outside manufacturers to properly prepare and retain these documents could cause delays in obtaining FDA approval of our drug candidates.</w:t>
      </w:r>
    </w:p>
    <w:p>
      <w:pPr>
        <w:pStyle w:val="TextBody"/>
        <w:spacing w:before="0" w:after="0"/>
        <w:ind w:left="0" w:right="0" w:hanging="0"/>
        <w:jc w:val="both"/>
        <w:rPr/>
      </w:pPr>
      <w:r>
        <w:rPr/>
        <w:t> </w:t>
      </w:r>
    </w:p>
    <w:p>
      <w:pPr>
        <w:pStyle w:val="TextBody"/>
        <w:spacing w:before="0" w:after="0"/>
        <w:ind w:left="0" w:right="0" w:hanging="0"/>
        <w:rPr>
          <w:rFonts w:ascii="helvetica" w:hAnsi="helvetica"/>
          <w:b/>
          <w:i/>
          <w:sz w:val="20"/>
        </w:rPr>
      </w:pPr>
      <w:r>
        <w:rPr>
          <w:rFonts w:ascii="helvetica" w:hAnsi="helvetica"/>
          <w:b/>
          <w:i/>
          <w:sz w:val="20"/>
        </w:rPr>
        <w:t>We are dependent on third parties to conduct clinical trials and non-clinical studies of our drug candidates and to provide services for certain core aspects of our business. Any interruption or failure by these third parties to meet their obligations pursuant to various agreements with us could have a material adverse effect on our business, results of operations and financial condition.</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r>
        <w:rPr>
          <w:rFonts w:ascii="helvetica" w:hAnsi="helvetica"/>
          <w:sz w:val="20"/>
        </w:rPr>
        <w:t>We do not employ personnel or possess the facilities necessary to conduct many of the activities associated with our programs. We expect to engage consultants, advisors, contract research organizations (CROs) and others to design, conduct, analyze and interpret the results of studies in connection with the research and development of our product candidates. As a result, many important aspects of our product candidates’ development are outside our direct control.  Such third parties may not perform all of their obligations under arrangements with us or may not perform those obligations satisfactorily.</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r>
        <w:rPr>
          <w:rFonts w:ascii="helvetica" w:hAnsi="helvetica"/>
          <w:sz w:val="20"/>
        </w:rPr>
        <w:t>The CROs with whom we expect to contract for execution of our clinical studies will play a significant role in the conduct of our anticipated clinical studies or assist with our analysis of completed studies and to develop corresponding regulatory strategies. Individuals working at the CROs with whom we expect to contract, as well as investigators at the sites at which our studies are conducted, are not our employees, and we cannot control the amount or timing of resources that they devote to our programs. If these CROs fail to devote sufficient time and resources to our studies, or if their performance is substandard, it would delay the approval of our applications to regulatory agencies and the introduction of our products. Failure of these CROs to meet their obligations could adversely affect development of our product candidates and as a result could have a material adverse effect on our business, financial condition and results of operations. Moreover, these CROs may have relationships with other commercial entities, some of which may compete with us. If they assist our competitors at our expense, it could harm our competitive position.</w:t>
      </w:r>
    </w:p>
    <w:p>
      <w:pPr>
        <w:pStyle w:val="TextBody"/>
        <w:spacing w:before="0" w:after="0"/>
        <w:ind w:left="0" w:right="0" w:hanging="0"/>
        <w:jc w:val="both"/>
        <w:rPr/>
      </w:pPr>
      <w:r>
        <w:rPr/>
        <w:t> </w:t>
      </w:r>
    </w:p>
    <w:p>
      <w:pPr>
        <w:pStyle w:val="TextBody"/>
        <w:spacing w:before="0" w:after="0"/>
        <w:ind w:left="0" w:right="0" w:hanging="0"/>
        <w:jc w:val="both"/>
        <w:rPr>
          <w:rFonts w:ascii="helvetica" w:hAnsi="helvetica"/>
          <w:b/>
          <w:i/>
          <w:sz w:val="20"/>
        </w:rPr>
      </w:pPr>
      <w:r>
        <w:rPr>
          <w:rFonts w:ascii="helvetica" w:hAnsi="helvetica"/>
          <w:b/>
          <w:i/>
          <w:sz w:val="20"/>
        </w:rPr>
        <w:t>We currently have no internal sales and marketing resources and may have to rely on third parties in the event that we successfully commercialize our product.</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r>
        <w:rPr>
          <w:rFonts w:ascii="helvetica" w:hAnsi="helvetica"/>
          <w:sz w:val="20"/>
        </w:rPr>
        <w:t>In order to market any of our products in the United States or elsewhere, we must develop internally or obtain access to sales and marketing forces with technical expertise and with supporting distribution capability in the relevant geographic territory. We may not be able to enter into marketing and distribution arrangements or find a corporate partner to market our drug candidates, and we currently do not have the resources or expertise to market and distribute our products ourselves. If we are not able to enter into marketing or distribution arrangements or find a corporate partner who can provide support for commercialization of our products, we may not be able to successfully commercialize our products. Moreover, any new marketer or distributor or corporate partner for our specific combinations with whom we choose to contract may not establish adequate sales and distribution capabilities or gain market acceptance for our products.</w:t>
      </w:r>
    </w:p>
    <w:p>
      <w:pPr>
        <w:pStyle w:val="TextBody"/>
        <w:spacing w:before="0" w:after="0"/>
        <w:ind w:left="0" w:right="0" w:firstLine="720"/>
        <w:jc w:val="left"/>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232" w:name="PGBRK16"/>
      <w:bookmarkStart w:id="233" w:name="PGBRK16"/>
      <w:bookmarkEnd w:id="23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34" w:name="FTR16"/>
      <w:bookmarkStart w:id="235" w:name="FTR16"/>
      <w:bookmarkEnd w:id="23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236" w:name="GLFTR15"/>
      <w:bookmarkEnd w:id="236"/>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helvetica" w:hAnsi="helvetica"/>
          <w:sz w:val="20"/>
        </w:rPr>
      </w:pPr>
      <w:bookmarkStart w:id="237" w:name="PN15"/>
      <w:bookmarkEnd w:id="237"/>
      <w:r>
        <w:rPr>
          <w:rFonts w:ascii="helvetica" w:hAnsi="helvetica"/>
          <w:sz w:val="20"/>
        </w:rPr>
        <w:t>14</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38" w:name="HDR15"/>
      <w:bookmarkStart w:id="239" w:name="HDR15"/>
      <w:bookmarkEnd w:id="23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240" w:name="GLHDR15"/>
      <w:bookmarkEnd w:id="240"/>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pPr>
      <w:r>
        <w:rPr/>
        <w:t> </w:t>
      </w:r>
    </w:p>
    <w:p>
      <w:pPr>
        <w:pStyle w:val="TextBody"/>
        <w:spacing w:before="0" w:after="0"/>
        <w:ind w:left="0" w:right="0" w:hanging="0"/>
        <w:rPr>
          <w:rFonts w:ascii="helvetica" w:hAnsi="helvetica"/>
          <w:b/>
          <w:i/>
          <w:sz w:val="20"/>
        </w:rPr>
      </w:pPr>
      <w:r>
        <w:rPr>
          <w:rFonts w:ascii="helvetica" w:hAnsi="helvetica"/>
          <w:b/>
          <w:i/>
          <w:sz w:val="20"/>
        </w:rPr>
        <w:t>If we are unable to retain our key personnel or attract additional professional staff, we may be unable to maintain or expand our business.</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r>
        <w:rPr>
          <w:rFonts w:ascii="helvetica" w:hAnsi="helvetica"/>
          <w:sz w:val="20"/>
        </w:rPr>
        <w:t>As we described elsewhere in this prospectus, we terminated all of our employees following our filing of the Chapter 11 Case. Since the dismissal of the Chapter 11 Case in December 2011, we have focused on rebuilding our management team and engaging consultants in order to begin operating our business. However, because of this history, we may have significant difficulty attracting and retaining necessary employees. In addition, because of the specialized scientific nature of our business, our ability to develop products and to compete will remain highly dependent, in large part, upon our ability to attract and retain qualified scientific, technical and commercial personnel. The loss of key scientific, technical and commercial personnel or the failure to recruit key scientific, technical and commercial personnel could have a material adverse effect on our business. While we have consulting agreements with certain key individuals and institutions, we may not succeed in retaining personnel or their services under existing agreements or otherwise. There is intense competition for qualified personnel in the pharmaceutical industry, and we may be unable to continue to attract and retain the qualified personnel necessary for the development of our business.</w:t>
      </w:r>
    </w:p>
    <w:p>
      <w:pPr>
        <w:pStyle w:val="TextBody"/>
        <w:spacing w:before="0" w:after="0"/>
        <w:ind w:left="0" w:right="0" w:hanging="0"/>
        <w:jc w:val="both"/>
        <w:rPr/>
      </w:pPr>
      <w:r>
        <w:rPr/>
        <w:t> </w:t>
      </w:r>
    </w:p>
    <w:p>
      <w:pPr>
        <w:pStyle w:val="TextBody"/>
        <w:spacing w:before="0" w:after="0"/>
        <w:ind w:left="0" w:right="0" w:hanging="0"/>
        <w:jc w:val="both"/>
        <w:rPr>
          <w:rFonts w:ascii="helvetica" w:hAnsi="helvetica"/>
          <w:b/>
          <w:sz w:val="20"/>
        </w:rPr>
      </w:pPr>
      <w:r>
        <w:rPr>
          <w:rFonts w:ascii="helvetica" w:hAnsi="helvetica"/>
          <w:b/>
          <w:sz w:val="20"/>
        </w:rPr>
        <w:t>Risks Relating to Our Industry</w:t>
      </w:r>
    </w:p>
    <w:p>
      <w:pPr>
        <w:pStyle w:val="TextBody"/>
        <w:spacing w:before="0" w:after="0"/>
        <w:ind w:left="0" w:right="0" w:hanging="0"/>
        <w:jc w:val="both"/>
        <w:rPr/>
      </w:pPr>
      <w:r>
        <w:rPr/>
        <w:t> </w:t>
      </w:r>
    </w:p>
    <w:p>
      <w:pPr>
        <w:pStyle w:val="TextBody"/>
        <w:spacing w:before="0" w:after="0"/>
        <w:ind w:left="0" w:right="0" w:hanging="0"/>
        <w:rPr>
          <w:rFonts w:ascii="helvetica" w:hAnsi="helvetica"/>
          <w:b/>
          <w:i/>
          <w:sz w:val="20"/>
        </w:rPr>
      </w:pPr>
      <w:r>
        <w:rPr>
          <w:rFonts w:ascii="helvetica" w:hAnsi="helvetica"/>
          <w:b/>
          <w:i/>
          <w:sz w:val="20"/>
        </w:rPr>
        <w:t>If we are unable to compete with other companies that develop rival products to our products, then we may never gain market share or achieve profitability.</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r>
        <w:rPr>
          <w:rFonts w:ascii="helvetica" w:hAnsi="helvetica"/>
          <w:sz w:val="20"/>
        </w:rPr>
        <w:t>The pharmaceutical industry is intensely competitive, and we face competition across the full range of our activities. If we fail to compete successfully, our business, results of operations and financial condition could be adversely affected. Our competitors include brand name and generic manufacturers of pharmaceuticals specializing in transdermal drug delivery, especially those doing business in the United States. In the market for pain management products, our competitors include manufacturers of over-the-counter and prescription pain relievers. Because we are smaller than many of our national competitors, we may lack the financial and other resources needed to compete for market share in the pain management sector. Our other potential drug candidates will also face intense competition from larger and better established pharmaceutical and biotechnology companies. Many of these competitors have significantly greater financial, technical and scientific resources than we do. In addition to product safety, development and efficacy, other competitive factors in the pharmaceutical market include product quality and price, reputation, service and access to scientific and technical information. If our products are unable to compete with the products of our competitors, we may never gain market share or achieve profitability.</w:t>
      </w:r>
    </w:p>
    <w:p>
      <w:pPr>
        <w:pStyle w:val="TextBody"/>
        <w:spacing w:before="0" w:after="0"/>
        <w:ind w:left="0" w:right="0" w:hanging="0"/>
        <w:jc w:val="both"/>
        <w:rPr/>
      </w:pPr>
      <w:r>
        <w:rPr/>
        <w:t> </w:t>
      </w:r>
    </w:p>
    <w:p>
      <w:pPr>
        <w:pStyle w:val="TextBody"/>
        <w:spacing w:before="0" w:after="0"/>
        <w:ind w:left="0" w:right="0" w:hanging="0"/>
        <w:rPr>
          <w:rFonts w:ascii="helvetica" w:hAnsi="helvetica"/>
          <w:b/>
          <w:i/>
          <w:sz w:val="20"/>
        </w:rPr>
      </w:pPr>
      <w:r>
        <w:rPr>
          <w:rFonts w:ascii="helvetica" w:hAnsi="helvetica"/>
          <w:b/>
          <w:i/>
          <w:sz w:val="20"/>
        </w:rPr>
        <w:t>We may not be able to keep up with the rapid technological change in the biotechnology and pharmaceutical industries, which could make our products obsolete and reduce our potential revenues.</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r>
        <w:rPr>
          <w:rFonts w:ascii="helvetica" w:hAnsi="helvetica"/>
          <w:sz w:val="20"/>
        </w:rPr>
        <w:t>Biotechnology and related pharmaceutical technologies have undergone and continue to be subject to rapid and significant change. Our future will depend in large part on our ability to maintain a competitive position with respect to these technologies. It is possible that developments by our competitors will render our products and technologies obsolete or unable to compete. Any products that we develop may become obsolete before we recover expenses incurred in developing those products, which may require that we raise additional funds to continue our operations.</w:t>
      </w:r>
    </w:p>
    <w:p>
      <w:pPr>
        <w:pStyle w:val="TextBody"/>
        <w:spacing w:before="0" w:after="0"/>
        <w:ind w:left="0" w:right="0" w:hanging="0"/>
        <w:jc w:val="both"/>
        <w:rPr/>
      </w:pPr>
      <w:r>
        <w:rPr/>
        <w:t> </w:t>
      </w:r>
    </w:p>
    <w:p>
      <w:pPr>
        <w:pStyle w:val="TextBody"/>
        <w:spacing w:before="0" w:after="0"/>
        <w:ind w:left="0" w:right="0" w:hanging="0"/>
        <w:rPr>
          <w:rFonts w:ascii="helvetica" w:hAnsi="helvetica"/>
          <w:b/>
          <w:i/>
          <w:sz w:val="20"/>
        </w:rPr>
      </w:pPr>
      <w:r>
        <w:rPr>
          <w:rFonts w:ascii="helvetica" w:hAnsi="helvetica"/>
          <w:b/>
          <w:i/>
          <w:sz w:val="20"/>
        </w:rPr>
        <w:t>Our ability to generate revenues will be diminished if we fail to obtain acceptable prices or an adequate level of reimbursement from third-party payors.</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r>
        <w:rPr>
          <w:rFonts w:ascii="helvetica" w:hAnsi="helvetica"/>
          <w:sz w:val="20"/>
        </w:rPr>
        <w:t>If we succeed in bringing a specific product to market, we cannot be certain that the products will be considered cost effective and that reimbursement from insurance companies and other third-party payors will be available or, if available, will be sufficient to allow us to sell the products on a competitive basis.</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r>
        <w:rPr>
          <w:rFonts w:ascii="helvetica" w:hAnsi="helvetica"/>
          <w:sz w:val="20"/>
        </w:rPr>
        <w:t>Significant uncertainty exists as to the reimbursement status of newly approved health care products. Third-party payors, including Medicare, are challenging the prices charged for medical products and services. Government and other third-party payors increasingly are attempting to contain health care costs by limiting both coverage and the level of reimbursement for new drugs and by refusing, in some cases, to provide coverage for uses of approved products for disease indications for which the FDA has not granted labeling approval. Third-party insurance coverage may not be available to patients for any products we discover and develop, alone or with collaborators. If government and other third-party payors do not provide adequate coverage and reimbursement levels for our products, the market acceptance of these products may be reduced.</w:t>
      </w:r>
    </w:p>
    <w:p>
      <w:pPr>
        <w:pStyle w:val="TextBody"/>
        <w:spacing w:before="0" w:after="0"/>
        <w:ind w:left="0" w:right="0" w:firstLine="720"/>
        <w:jc w:val="left"/>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241" w:name="PGBRK17"/>
      <w:bookmarkStart w:id="242" w:name="PGBRK17"/>
      <w:bookmarkEnd w:id="24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43" w:name="FTR17"/>
      <w:bookmarkStart w:id="244" w:name="FTR17"/>
      <w:bookmarkEnd w:id="24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245" w:name="GLFTR16"/>
      <w:bookmarkEnd w:id="245"/>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helvetica" w:hAnsi="helvetica"/>
          <w:sz w:val="20"/>
        </w:rPr>
      </w:pPr>
      <w:bookmarkStart w:id="246" w:name="PN16"/>
      <w:bookmarkEnd w:id="246"/>
      <w:r>
        <w:rPr>
          <w:rFonts w:ascii="helvetica" w:hAnsi="helvetica"/>
          <w:sz w:val="20"/>
        </w:rPr>
        <w:t>15</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47" w:name="HDR16"/>
      <w:bookmarkStart w:id="248" w:name="HDR16"/>
      <w:bookmarkEnd w:id="24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249" w:name="GLHDR16"/>
      <w:bookmarkEnd w:id="249"/>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pPr>
      <w:r>
        <w:rPr/>
        <w:t> </w:t>
      </w:r>
    </w:p>
    <w:p>
      <w:pPr>
        <w:pStyle w:val="TextBody"/>
        <w:spacing w:before="0" w:after="0"/>
        <w:ind w:left="0" w:right="0" w:hanging="0"/>
        <w:rPr>
          <w:rFonts w:ascii="helvetica" w:hAnsi="helvetica"/>
          <w:b/>
          <w:i/>
          <w:sz w:val="20"/>
        </w:rPr>
      </w:pPr>
      <w:r>
        <w:rPr>
          <w:rFonts w:ascii="helvetica" w:hAnsi="helvetica"/>
          <w:b/>
          <w:i/>
          <w:sz w:val="20"/>
        </w:rPr>
        <w:t>Changes in the healthcare industry that are beyond our control may be detrimental to our business.</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r>
        <w:rPr>
          <w:rFonts w:ascii="helvetica" w:hAnsi="helvetica"/>
          <w:sz w:val="20"/>
        </w:rPr>
        <w:t>The healthcare industry is changing rapidly as consumers, governments, medical professionals and the pharmaceutical industry examine ways to broaden medical coverage while controlling the increase in healthcare costs.  In 2009 and 2010, the U.S. Congress adopted legislation regarding health insurance, which has been signed into law. As a result of this new legislation, substantial changes could be made to the current system of paying for healthcare in the United States, including changes made in order to extend medical benefits to those who currently lack insurance coverage. Extending coverage to a large population could substantially change the structure of the health insurance system and the methodology for reimbursing medical services, drugs and devices. These structural changes could entail modifications to the existing system of private payers and government programs, such as Medicare, Medicaid and State Children’s Health Insurance Program, creation of a government-sponsored healthcare insurance source, or some combination of both, as well as other changes. Restructuring the coverage of medical care in the United States could impact the reimbursement for prescribed drugs, biopharmaceuticals, medical devices, or our product candidates and could put pressure on the prices of pharmaceutical products, which could adversely affect our business or products.</w:t>
      </w:r>
    </w:p>
    <w:p>
      <w:pPr>
        <w:pStyle w:val="TextBody"/>
        <w:spacing w:before="0" w:after="0"/>
        <w:ind w:left="0" w:right="0" w:hanging="0"/>
        <w:jc w:val="both"/>
        <w:rPr/>
      </w:pPr>
      <w:r>
        <w:rPr/>
        <w:t> </w:t>
      </w:r>
    </w:p>
    <w:p>
      <w:pPr>
        <w:pStyle w:val="TextBody"/>
        <w:spacing w:before="0" w:after="0"/>
        <w:ind w:left="0" w:right="0" w:hanging="0"/>
        <w:rPr>
          <w:rFonts w:ascii="helvetica" w:hAnsi="helvetica"/>
          <w:b/>
          <w:sz w:val="20"/>
        </w:rPr>
      </w:pPr>
      <w:r>
        <w:rPr>
          <w:rFonts w:ascii="helvetica" w:hAnsi="helvetica"/>
          <w:b/>
          <w:sz w:val="20"/>
        </w:rPr>
        <w:t>Risks Relating to the Offering and Ownership of our Common Stock</w:t>
      </w:r>
    </w:p>
    <w:p>
      <w:pPr>
        <w:pStyle w:val="TextBody"/>
        <w:spacing w:before="0" w:after="0"/>
        <w:ind w:left="0" w:right="0" w:hanging="0"/>
        <w:jc w:val="both"/>
        <w:rPr/>
      </w:pPr>
      <w:r>
        <w:rPr/>
        <w:t> </w:t>
      </w:r>
    </w:p>
    <w:p>
      <w:pPr>
        <w:pStyle w:val="TextBody"/>
        <w:spacing w:before="0" w:after="0"/>
        <w:ind w:left="0" w:right="0" w:hanging="0"/>
        <w:rPr>
          <w:rFonts w:ascii="helvetica" w:hAnsi="helvetica"/>
          <w:b/>
          <w:i/>
          <w:sz w:val="20"/>
        </w:rPr>
      </w:pPr>
      <w:r>
        <w:rPr>
          <w:rFonts w:ascii="helvetica" w:hAnsi="helvetica"/>
          <w:b/>
          <w:i/>
          <w:sz w:val="20"/>
        </w:rPr>
        <w:t>You will experience immediate and substantial dilution as a result of this offering and may experience additional dilution in the future.</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r>
        <w:rPr>
          <w:rFonts w:ascii="helvetica" w:hAnsi="helvetica"/>
          <w:sz w:val="20"/>
        </w:rPr>
        <w:t>You will incur immediate and substantial dilution as a result of this offering. After giving effect to the sale by us of up to                    shares of common stock, and after deducting underwriting fees and estimated offering expenses payable by us, investors in this offering can expect an immediate dilution of $               per share, or           %, at the public offering price.</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r>
        <w:rPr>
          <w:rFonts w:ascii="helvetica" w:hAnsi="helvetica"/>
          <w:sz w:val="20"/>
        </w:rPr>
        <w:t>Since inception we have funded our operations primarily through equity and debt financings and we expect to continue to do so in the future. Any additional equity or convertible debt offerings we may effect in the future will further dilute your ownership interest in the Company.  To the extent any of the warrants and options we have issued is ultimately exercised you will sustain future dilution. In addition to the issuance of equity to PCCA in connection with the recent PCCA Tranaction, we may acquire or license other technologies or finance strategic alliances by issuing additional equity, which may result in additional dilution to our stockholders.</w:t>
      </w:r>
    </w:p>
    <w:p>
      <w:pPr>
        <w:pStyle w:val="TextBody"/>
        <w:spacing w:before="0" w:after="0"/>
        <w:ind w:left="0" w:right="0" w:hanging="0"/>
        <w:jc w:val="both"/>
        <w:rPr/>
      </w:pPr>
      <w:r>
        <w:rPr/>
        <w:t> </w:t>
      </w:r>
    </w:p>
    <w:p>
      <w:pPr>
        <w:pStyle w:val="TextBody"/>
        <w:spacing w:before="0" w:after="0"/>
        <w:ind w:left="0" w:right="0" w:hanging="0"/>
        <w:rPr>
          <w:rFonts w:ascii="helvetica" w:hAnsi="helvetica"/>
          <w:b/>
          <w:i/>
          <w:sz w:val="20"/>
        </w:rPr>
      </w:pPr>
      <w:r>
        <w:rPr>
          <w:rFonts w:ascii="helvetica" w:hAnsi="helvetica"/>
          <w:b/>
          <w:i/>
          <w:sz w:val="20"/>
        </w:rPr>
        <w:t>We may allocate the net proceeds from this offering in ways that differ from our estimates based on our current plans and assumptions discussed in the section titled “Use of Proceeds” and with which you may not agree.</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r>
        <w:rPr>
          <w:rFonts w:ascii="helvetica" w:hAnsi="helvetica"/>
          <w:sz w:val="20"/>
        </w:rPr>
        <w:t>The allocation of net proceeds of the offering set forth in the “Use of Proceeds” section below represents our estimates based upon our current plans and assumptions regarding industry and general economic conditions, our future revenues and expenditures. The amounts and timing of our actual expenditures will depend on numerous factors, including market conditions, cash generated by our operations, business developments and related rate of growth. We may find it necessary or advisable to use portions of the proceeds from this offering for other purposes. Circumstances that may give rise to a change in the use of proceeds and the alternate purposes for which the proceeds may be used are discussed in the section entitled “Use of Proceeds” below. You may not have an opportunity to evaluate the economic, financial or other information on which we base our decisions on how to use our proceeds. As a result, you and other stockholders may not agree with our decisions. See "Use of Proceeds" for additional information.</w:t>
      </w:r>
    </w:p>
    <w:p>
      <w:pPr>
        <w:pStyle w:val="TextBody"/>
        <w:spacing w:before="0" w:after="0"/>
        <w:ind w:left="0" w:right="0" w:hanging="0"/>
        <w:jc w:val="both"/>
        <w:rPr/>
      </w:pPr>
      <w:r>
        <w:rPr/>
        <w:t> </w:t>
      </w:r>
    </w:p>
    <w:p>
      <w:pPr>
        <w:pStyle w:val="TextBody"/>
        <w:spacing w:before="0" w:after="0"/>
        <w:ind w:left="0" w:right="0" w:hanging="0"/>
        <w:rPr>
          <w:rFonts w:ascii="helvetica" w:hAnsi="helvetica"/>
          <w:b/>
          <w:i/>
          <w:sz w:val="20"/>
        </w:rPr>
      </w:pPr>
      <w:r>
        <w:rPr>
          <w:rFonts w:ascii="helvetica" w:hAnsi="helvetica"/>
          <w:b/>
          <w:i/>
          <w:sz w:val="20"/>
        </w:rPr>
        <w:t>Sales of common stock by our stockholders, or the perception that such sales may occur, could depress our stock price.</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r>
        <w:rPr>
          <w:rFonts w:ascii="helvetica" w:hAnsi="helvetica"/>
          <w:sz w:val="20"/>
        </w:rPr>
        <w:t>Sales of our common stock in the public market following this offering could lower the market price of our common stock. Sales may also make it more difficult for us to sell equity securities or equity-related securities in the future at a time and price that our management deems acceptable or at all.</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r>
        <w:rPr>
          <w:rFonts w:ascii="helvetica" w:hAnsi="helvetica"/>
          <w:sz w:val="20"/>
        </w:rPr>
        <w:t>In addition, the market price of our common stock could decline as a result of sales by, or the perceived possibility of sales by, our existing stockholders. We have completed a number of private placements of our common stock and other securities over the last year. Future sales of common stock by significant stockholders, including those who acquired their shares in private placements or who are affiliates, or the perception that such sales may occur, could depress the price of our common stock.</w:t>
      </w:r>
    </w:p>
    <w:p>
      <w:pPr>
        <w:pStyle w:val="TextBody"/>
        <w:spacing w:before="0" w:after="0"/>
        <w:ind w:left="0" w:right="0" w:firstLine="720"/>
        <w:jc w:val="left"/>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250" w:name="PGBRK18"/>
      <w:bookmarkStart w:id="251" w:name="PGBRK18"/>
      <w:bookmarkEnd w:id="25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52" w:name="FTR18"/>
      <w:bookmarkStart w:id="253" w:name="FTR18"/>
      <w:bookmarkEnd w:id="25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254" w:name="GLFTR17"/>
      <w:bookmarkEnd w:id="254"/>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helvetica" w:hAnsi="helvetica"/>
          <w:sz w:val="20"/>
        </w:rPr>
      </w:pPr>
      <w:bookmarkStart w:id="255" w:name="PN17"/>
      <w:bookmarkEnd w:id="255"/>
      <w:r>
        <w:rPr>
          <w:rFonts w:ascii="helvetica" w:hAnsi="helvetica"/>
          <w:sz w:val="20"/>
        </w:rPr>
        <w:t>16</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56" w:name="HDR17"/>
      <w:bookmarkStart w:id="257" w:name="HDR17"/>
      <w:bookmarkEnd w:id="25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258" w:name="GLHDR17"/>
      <w:bookmarkEnd w:id="258"/>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pPr>
      <w:r>
        <w:rPr/>
        <w:t> </w:t>
      </w:r>
    </w:p>
    <w:p>
      <w:pPr>
        <w:pStyle w:val="TextBody"/>
        <w:spacing w:before="0" w:after="0"/>
        <w:ind w:left="0" w:right="0" w:hanging="0"/>
        <w:rPr>
          <w:rFonts w:ascii="helvetica" w:hAnsi="helvetica"/>
          <w:b/>
          <w:i/>
          <w:sz w:val="20"/>
        </w:rPr>
      </w:pPr>
      <w:r>
        <w:rPr>
          <w:rFonts w:ascii="helvetica" w:hAnsi="helvetica"/>
          <w:b/>
          <w:i/>
          <w:sz w:val="20"/>
        </w:rPr>
        <w:t>An active trading market for shares of our common stock may not develop or be sustained.</w:t>
      </w:r>
    </w:p>
    <w:p>
      <w:pPr>
        <w:pStyle w:val="TextBody"/>
        <w:spacing w:before="0" w:after="0"/>
        <w:ind w:left="0" w:right="0" w:hanging="0"/>
        <w:jc w:val="both"/>
        <w:rPr/>
      </w:pPr>
      <w:r>
        <w:rPr/>
        <w:t> </w:t>
      </w:r>
    </w:p>
    <w:p>
      <w:pPr>
        <w:pStyle w:val="TextBody"/>
        <w:spacing w:before="0" w:after="0"/>
        <w:ind w:left="0" w:right="0" w:firstLine="720"/>
        <w:rPr/>
      </w:pPr>
      <w:bookmarkStart w:id="259" w:name="TAB27"/>
      <w:bookmarkEnd w:id="259"/>
      <w:r>
        <w:rPr>
          <w:color w:val="000000"/>
          <w:spacing w:val="180"/>
        </w:rPr>
        <w:t> </w:t>
      </w:r>
      <w:r>
        <w:rPr>
          <w:rFonts w:ascii="helvetica" w:hAnsi="helvetica"/>
          <w:sz w:val="20"/>
        </w:rPr>
        <w:t>Trading in our common stock is sporadic and volatile. We cannot predict the extent to which an active public market for our common stock will develop or be sustained. It is a condition of this offering that we be listed on The NASDAQ Capital Market, but we may not be able to meet the requirements for continued listing going forward. Our common stock has historically been sporadically or “thinly-traded” in the over-the-counter market. As a consequence, there may be extended periods when trading activity in our shares is minimal, as compared to a seasoned issuer with a large and steady volume of trading activity. The market for our common shares is also characterized by significant price volatility compared to seasoned issuers, and we expect that such volatility will continue. As a result of this lack of liquidity, the trading of relatively small quantities of shares may disproportionately influence the price of those shares in either direction. It is possible that a broader or more active public trading market for our common stock will not develop or be sustained.</w:t>
      </w:r>
    </w:p>
    <w:p>
      <w:pPr>
        <w:pStyle w:val="TextBody"/>
        <w:spacing w:before="0" w:after="0"/>
        <w:ind w:left="0" w:right="0" w:hanging="0"/>
        <w:jc w:val="both"/>
        <w:rPr/>
      </w:pPr>
      <w:r>
        <w:rPr/>
        <w:t> </w:t>
      </w:r>
    </w:p>
    <w:p>
      <w:pPr>
        <w:pStyle w:val="TextBody"/>
        <w:spacing w:before="0" w:after="0"/>
        <w:ind w:left="0" w:right="0" w:firstLine="720"/>
        <w:rPr/>
      </w:pPr>
      <w:bookmarkStart w:id="260" w:name="TAB28"/>
      <w:bookmarkEnd w:id="260"/>
      <w:r>
        <w:rPr>
          <w:color w:val="000000"/>
          <w:spacing w:val="180"/>
        </w:rPr>
        <w:t> </w:t>
      </w:r>
      <w:r>
        <w:rPr>
          <w:rFonts w:ascii="helvetica" w:hAnsi="helvetica"/>
          <w:sz w:val="20"/>
        </w:rPr>
        <w:t>There may not be any broker interested in making a market for our stock. Therefore, it may be difficult to sell your shares of common stock if you desire or need to sell them. Our underwriter, MDB Capital Group LLC, is not obligated to make a market in our securities, and even if it chooses to do so it can discontinue at any time without notice. It is possible that an active and liquid trading market in our securities may never develop or, if one does develop, that the market will not continue.</w:t>
      </w:r>
    </w:p>
    <w:p>
      <w:pPr>
        <w:pStyle w:val="TextBody"/>
        <w:spacing w:before="0" w:after="0"/>
        <w:ind w:left="0" w:right="0" w:hanging="0"/>
        <w:jc w:val="both"/>
        <w:rPr/>
      </w:pPr>
      <w:r>
        <w:rPr/>
        <w:t> </w:t>
      </w:r>
    </w:p>
    <w:p>
      <w:pPr>
        <w:pStyle w:val="TextBody"/>
        <w:spacing w:before="0" w:after="0"/>
        <w:ind w:left="0" w:right="0" w:hanging="0"/>
        <w:rPr>
          <w:rFonts w:ascii="helvetica" w:hAnsi="helvetica"/>
          <w:b/>
          <w:i/>
          <w:sz w:val="20"/>
        </w:rPr>
      </w:pPr>
      <w:r>
        <w:rPr>
          <w:rFonts w:ascii="helvetica" w:hAnsi="helvetica"/>
          <w:b/>
          <w:i/>
          <w:sz w:val="20"/>
        </w:rPr>
        <w:t>Because of their significant stock ownership, some of our existing stockholders will be able to exert control over us and our significant corporate decisions, and sales by management and the Board of Directors from time to time could have an adverse effect on our stock price.</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r>
        <w:rPr>
          <w:rFonts w:ascii="helvetica" w:hAnsi="helvetica"/>
          <w:sz w:val="20"/>
        </w:rPr>
        <w:t>Our executive officers and directors own or have the right to acquire within 60 days, in the aggregate, approximately 21% of the shares of common stock outstanding following such issuance to them. In addition, four individual stockholders hold an additional approximately 40% of our common stock.  The sale of even a portion of these shares will likely have a material adverse effect on our stock price.  In addition, these persons, acting together, have the ability to exercise significant influence over the outcome of all matters submitted to our stockholders for approval, including the election and removal of directors and any significant transaction involving us, as well as control our management and affairs.  Since our stock ownership is concentrated among a limited number of holders and our Amended and Restated Certificate of Incorporation and Bylaws permit our stockholders to act by written consent, a limited number of stockholders may approve stockholder actions without holding a meeting of stockholders and could control the outcome of actions requiring stockholder approval.  This concentration of ownership may harm the market price of our common stock by, among other things:</w:t>
      </w:r>
    </w:p>
    <w:p>
      <w:pPr>
        <w:pStyle w:val="TextBody"/>
        <w:spacing w:before="0" w:after="0"/>
        <w:ind w:left="0" w:right="0" w:hanging="0"/>
        <w:jc w:val="both"/>
        <w:rPr/>
      </w:pPr>
      <w:r>
        <w:rPr/>
        <w:t> </w:t>
      </w:r>
    </w:p>
    <w:p>
      <w:pPr>
        <w:pStyle w:val="Normal"/>
        <w:spacing w:before="0" w:after="0"/>
        <w:rPr>
          <w:sz w:val="4"/>
          <w:szCs w:val="4"/>
        </w:rPr>
      </w:pPr>
      <w:r>
        <w:rPr>
          <w:sz w:val="4"/>
          <w:szCs w:val="4"/>
        </w:rPr>
      </w:r>
      <w:bookmarkStart w:id="261" w:name="list42"/>
      <w:bookmarkStart w:id="262" w:name="list42"/>
      <w:bookmarkEnd w:id="262"/>
    </w:p>
    <w:tbl>
      <w:tblPr>
        <w:tblW w:w="5000" w:type="pct"/>
        <w:jc w:val="left"/>
        <w:tblInd w:w="0" w:type="dxa"/>
        <w:tblCellMar>
          <w:top w:w="0" w:type="dxa"/>
          <w:left w:w="0" w:type="dxa"/>
          <w:bottom w:w="0" w:type="dxa"/>
          <w:right w:w="0" w:type="dxa"/>
        </w:tblCellMar>
      </w:tblPr>
      <w:tblGrid>
        <w:gridCol w:w="489"/>
        <w:gridCol w:w="9716"/>
      </w:tblGrid>
      <w:tr>
        <w:trPr/>
        <w:tc>
          <w:tcPr>
            <w:tcW w:w="489" w:type="dxa"/>
            <w:tcBorders/>
            <w:shd w:fill="auto" w:val="clear"/>
          </w:tcPr>
          <w:p>
            <w:pPr>
              <w:pStyle w:val="TableContents"/>
              <w:spacing w:before="0" w:after="0"/>
              <w:jc w:val="right"/>
              <w:rPr/>
            </w:pPr>
            <w:r>
              <w:rPr/>
              <w:t>●  </w:t>
            </w:r>
          </w:p>
        </w:tc>
        <w:tc>
          <w:tcPr>
            <w:tcW w:w="9716" w:type="dxa"/>
            <w:tcBorders/>
            <w:shd w:fill="auto" w:val="clear"/>
          </w:tcPr>
          <w:p>
            <w:pPr>
              <w:pStyle w:val="TableContents"/>
              <w:spacing w:before="0" w:after="0"/>
              <w:ind w:left="0" w:right="0" w:hanging="0"/>
              <w:jc w:val="both"/>
              <w:rPr>
                <w:rFonts w:ascii="helvetica" w:hAnsi="helvetica"/>
                <w:sz w:val="20"/>
              </w:rPr>
            </w:pPr>
            <w:r>
              <w:rPr>
                <w:rFonts w:ascii="helvetica" w:hAnsi="helvetica"/>
                <w:sz w:val="20"/>
              </w:rPr>
              <w:t>delaying, deferring, or preventing a change in control of our company;</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263" w:name="list43"/>
      <w:bookmarkStart w:id="264" w:name="list43"/>
      <w:bookmarkEnd w:id="264"/>
    </w:p>
    <w:tbl>
      <w:tblPr>
        <w:tblW w:w="5000" w:type="pct"/>
        <w:jc w:val="left"/>
        <w:tblInd w:w="0" w:type="dxa"/>
        <w:tblCellMar>
          <w:top w:w="0" w:type="dxa"/>
          <w:left w:w="0" w:type="dxa"/>
          <w:bottom w:w="0" w:type="dxa"/>
          <w:right w:w="0" w:type="dxa"/>
        </w:tblCellMar>
      </w:tblPr>
      <w:tblGrid>
        <w:gridCol w:w="350"/>
        <w:gridCol w:w="9855"/>
      </w:tblGrid>
      <w:tr>
        <w:trPr/>
        <w:tc>
          <w:tcPr>
            <w:tcW w:w="350" w:type="dxa"/>
            <w:tcBorders/>
            <w:shd w:fill="auto" w:val="clear"/>
          </w:tcPr>
          <w:p>
            <w:pPr>
              <w:pStyle w:val="TableContents"/>
              <w:spacing w:before="0" w:after="0"/>
              <w:jc w:val="right"/>
              <w:rPr/>
            </w:pPr>
            <w:r>
              <w:rPr/>
              <w:t>●  </w:t>
            </w:r>
          </w:p>
        </w:tc>
        <w:tc>
          <w:tcPr>
            <w:tcW w:w="9855" w:type="dxa"/>
            <w:tcBorders/>
            <w:shd w:fill="auto" w:val="clear"/>
          </w:tcPr>
          <w:p>
            <w:pPr>
              <w:pStyle w:val="TableContents"/>
              <w:spacing w:before="0" w:after="0"/>
              <w:ind w:left="0" w:right="0" w:hanging="0"/>
              <w:jc w:val="both"/>
              <w:rPr>
                <w:rFonts w:ascii="helvetica" w:hAnsi="helvetica"/>
                <w:sz w:val="20"/>
              </w:rPr>
            </w:pPr>
            <w:r>
              <w:rPr>
                <w:rFonts w:ascii="helvetica" w:hAnsi="helvetica"/>
                <w:sz w:val="20"/>
              </w:rPr>
              <w:t>impeding a merger, consolidation, takeover, or other business combination involving our company;</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265" w:name="list44"/>
      <w:bookmarkStart w:id="266" w:name="list44"/>
      <w:bookmarkEnd w:id="266"/>
    </w:p>
    <w:tbl>
      <w:tblPr>
        <w:tblW w:w="5000" w:type="pct"/>
        <w:jc w:val="left"/>
        <w:tblInd w:w="0" w:type="dxa"/>
        <w:tblCellMar>
          <w:top w:w="0" w:type="dxa"/>
          <w:left w:w="0" w:type="dxa"/>
          <w:bottom w:w="0" w:type="dxa"/>
          <w:right w:w="0" w:type="dxa"/>
        </w:tblCellMar>
      </w:tblPr>
      <w:tblGrid>
        <w:gridCol w:w="324"/>
        <w:gridCol w:w="9881"/>
      </w:tblGrid>
      <w:tr>
        <w:trPr/>
        <w:tc>
          <w:tcPr>
            <w:tcW w:w="324" w:type="dxa"/>
            <w:tcBorders/>
            <w:shd w:fill="auto" w:val="clear"/>
          </w:tcPr>
          <w:p>
            <w:pPr>
              <w:pStyle w:val="TableContents"/>
              <w:spacing w:before="0" w:after="0"/>
              <w:jc w:val="right"/>
              <w:rPr/>
            </w:pPr>
            <w:r>
              <w:rPr/>
              <w:t>●  </w:t>
            </w:r>
          </w:p>
        </w:tc>
        <w:tc>
          <w:tcPr>
            <w:tcW w:w="9881" w:type="dxa"/>
            <w:tcBorders/>
            <w:shd w:fill="auto" w:val="clear"/>
          </w:tcPr>
          <w:p>
            <w:pPr>
              <w:pStyle w:val="TableContents"/>
              <w:spacing w:before="0" w:after="0"/>
              <w:ind w:left="0" w:right="0" w:hanging="0"/>
              <w:jc w:val="both"/>
              <w:rPr>
                <w:rFonts w:ascii="helvetica" w:hAnsi="helvetica"/>
                <w:sz w:val="20"/>
              </w:rPr>
            </w:pPr>
            <w:r>
              <w:rPr>
                <w:rFonts w:ascii="helvetica" w:hAnsi="helvetica"/>
                <w:sz w:val="20"/>
              </w:rPr>
              <w:t>causing us to enter into transactions or agreements that are not in the best interests of all stockholders; or</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267" w:name="list45"/>
      <w:bookmarkStart w:id="268" w:name="list45"/>
      <w:bookmarkEnd w:id="268"/>
    </w:p>
    <w:tbl>
      <w:tblPr>
        <w:tblW w:w="5000" w:type="pct"/>
        <w:jc w:val="left"/>
        <w:tblInd w:w="0" w:type="dxa"/>
        <w:tblCellMar>
          <w:top w:w="0" w:type="dxa"/>
          <w:left w:w="0" w:type="dxa"/>
          <w:bottom w:w="0" w:type="dxa"/>
          <w:right w:w="0" w:type="dxa"/>
        </w:tblCellMar>
      </w:tblPr>
      <w:tblGrid>
        <w:gridCol w:w="304"/>
        <w:gridCol w:w="9901"/>
      </w:tblGrid>
      <w:tr>
        <w:trPr/>
        <w:tc>
          <w:tcPr>
            <w:tcW w:w="304" w:type="dxa"/>
            <w:tcBorders/>
            <w:shd w:fill="auto" w:val="clear"/>
          </w:tcPr>
          <w:p>
            <w:pPr>
              <w:pStyle w:val="TableContents"/>
              <w:spacing w:before="0" w:after="0"/>
              <w:jc w:val="right"/>
              <w:rPr/>
            </w:pPr>
            <w:r>
              <w:rPr/>
              <w:t>●  </w:t>
            </w:r>
          </w:p>
        </w:tc>
        <w:tc>
          <w:tcPr>
            <w:tcW w:w="9901" w:type="dxa"/>
            <w:tcBorders/>
            <w:shd w:fill="auto" w:val="clear"/>
          </w:tcPr>
          <w:p>
            <w:pPr>
              <w:pStyle w:val="TableContents"/>
              <w:spacing w:before="0" w:after="0"/>
              <w:ind w:left="0" w:right="0" w:hanging="0"/>
              <w:jc w:val="both"/>
              <w:rPr>
                <w:rFonts w:ascii="helvetica" w:hAnsi="helvetica"/>
                <w:sz w:val="20"/>
              </w:rPr>
            </w:pPr>
            <w:r>
              <w:rPr>
                <w:rFonts w:ascii="helvetica" w:hAnsi="helvetica"/>
                <w:sz w:val="20"/>
              </w:rPr>
              <w:t>discouraging a potential acquirer from making a tender offer or otherwise attempting to obtain control of our company.</w:t>
            </w:r>
          </w:p>
        </w:tc>
      </w:tr>
    </w:tbl>
    <w:p>
      <w:pPr>
        <w:pStyle w:val="TextBody"/>
        <w:spacing w:before="0" w:after="0"/>
        <w:ind w:left="0" w:right="0" w:hanging="0"/>
        <w:jc w:val="both"/>
        <w:rPr/>
      </w:pPr>
      <w:r>
        <w:rPr/>
        <w:t> </w:t>
      </w:r>
    </w:p>
    <w:p>
      <w:pPr>
        <w:pStyle w:val="TextBody"/>
        <w:spacing w:before="0" w:after="0"/>
        <w:ind w:left="0" w:right="0" w:hanging="0"/>
        <w:jc w:val="both"/>
        <w:rPr>
          <w:rFonts w:ascii="helvetica" w:hAnsi="helvetica"/>
          <w:b/>
          <w:i/>
          <w:sz w:val="20"/>
        </w:rPr>
      </w:pPr>
      <w:r>
        <w:rPr>
          <w:rFonts w:ascii="helvetica" w:hAnsi="helvetica"/>
          <w:b/>
          <w:i/>
          <w:sz w:val="20"/>
        </w:rPr>
        <w:t>We have identified material weaknesses in our internal control over financial reporting. If we fail to maintain an effective system of internal controls, we may not be able to accurately report our financial results or prevent fraud.</w:t>
      </w:r>
    </w:p>
    <w:p>
      <w:pPr>
        <w:pStyle w:val="TextBody"/>
        <w:spacing w:before="0" w:after="0"/>
        <w:ind w:left="0" w:right="0" w:hanging="0"/>
        <w:jc w:val="both"/>
        <w:rPr/>
      </w:pPr>
      <w:r>
        <w:rPr/>
        <w:t> </w:t>
      </w:r>
    </w:p>
    <w:p>
      <w:pPr>
        <w:pStyle w:val="TextBody"/>
        <w:spacing w:before="0" w:after="0"/>
        <w:ind w:left="0" w:right="0" w:firstLine="720"/>
        <w:rPr/>
      </w:pPr>
      <w:bookmarkStart w:id="269" w:name="TAB29"/>
      <w:bookmarkEnd w:id="269"/>
      <w:r>
        <w:rPr>
          <w:color w:val="000000"/>
          <w:spacing w:val="180"/>
        </w:rPr>
        <w:t> </w:t>
      </w:r>
      <w:r>
        <w:rPr>
          <w:rFonts w:ascii="helvetica" w:hAnsi="helvetica"/>
          <w:sz w:val="20"/>
        </w:rPr>
        <w:t>As described in our periodic reports filed with the SEC, including Item 4 of Part I of our Quarterly Report on Form 10-Q for the period ended June 30, 2012 and our Annual Report on Form 10-K for the fiscal year ended December 31, 2011, we have identified material weaknesses in our internal controls and procedures. As a result, we have concluded that our disclosure controls and procedures were not effective as of the end of the period covered by these reports. We have implemented, and continue to implement, actions to address these weaknesses and to enhance the reliability and effectiveness of our internal controls and operations; however, the measures we have taken to date and any future measures may not remediate the material weaknesses discussed in our periodic reports.  In addition, we may not be able to maintain adequate controls over our financial processes and reporting in the future. We may discover additional material weaknesses, which we may not successfully remediate on a timely basis or at all. Any failure to remediate any material weaknesses identified by us or to implement required new or improved controls, or difficulties encountered in their implementation, could cause us to fail to meet our reporting obligations or result in material misstatements in our consolidated financial statements. Inadequate internal controls could also cause investors to lose confidence in our reported financial information, which could have a negative impact on the trading price of our stock. Moreover, we will be required to expend significant resources to design, implement and maintain a system of internal controls that is adequate to satisfy our reporting obligations as a public company. The costs associated with external consultants, as well as internal resources are significant and difficult to predict. As a result, our business, results of operations, financial condition and cash flows could be adversely affected.</w:t>
      </w:r>
    </w:p>
    <w:p>
      <w:pPr>
        <w:pStyle w:val="TextBody"/>
        <w:spacing w:before="0" w:after="0"/>
        <w:ind w:left="0" w:right="0" w:firstLine="720"/>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270" w:name="PGBRK19"/>
      <w:bookmarkStart w:id="271" w:name="PGBRK19"/>
      <w:bookmarkEnd w:id="27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72" w:name="FTR19"/>
      <w:bookmarkStart w:id="273" w:name="FTR19"/>
      <w:bookmarkEnd w:id="27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274" w:name="GLFTR18"/>
      <w:bookmarkEnd w:id="274"/>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helvetica" w:hAnsi="helvetica"/>
          <w:sz w:val="20"/>
        </w:rPr>
      </w:pPr>
      <w:bookmarkStart w:id="275" w:name="PN18"/>
      <w:bookmarkEnd w:id="275"/>
      <w:r>
        <w:rPr>
          <w:rFonts w:ascii="helvetica" w:hAnsi="helvetica"/>
          <w:sz w:val="20"/>
        </w:rPr>
        <w:t>17</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76" w:name="HDR18"/>
      <w:bookmarkStart w:id="277" w:name="HDR18"/>
      <w:bookmarkEnd w:id="27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278" w:name="GLHDR18"/>
      <w:bookmarkEnd w:id="278"/>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pPr>
      <w:r>
        <w:rPr/>
        <w:t> </w:t>
      </w:r>
    </w:p>
    <w:p>
      <w:pPr>
        <w:pStyle w:val="TextBody"/>
        <w:spacing w:before="0" w:after="0"/>
        <w:ind w:left="0" w:right="0" w:hanging="0"/>
        <w:rPr>
          <w:rFonts w:ascii="helvetica" w:hAnsi="helvetica"/>
          <w:b/>
          <w:i/>
          <w:sz w:val="20"/>
        </w:rPr>
      </w:pPr>
      <w:r>
        <w:rPr>
          <w:rFonts w:ascii="helvetica" w:hAnsi="helvetica"/>
          <w:b/>
          <w:i/>
          <w:sz w:val="20"/>
        </w:rPr>
        <w:t>Our stock price may be volatile.</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r>
        <w:rPr>
          <w:rFonts w:ascii="helvetica" w:hAnsi="helvetica"/>
          <w:sz w:val="20"/>
        </w:rPr>
        <w:t>The market price of our common stock is likely to be highly volatile and could fluctuate widely in response to various factors, many of which are beyond our control, including the following:</w:t>
      </w:r>
    </w:p>
    <w:p>
      <w:pPr>
        <w:pStyle w:val="TextBody"/>
        <w:spacing w:before="0" w:after="0"/>
        <w:ind w:left="0" w:right="0" w:hanging="0"/>
        <w:jc w:val="both"/>
        <w:rPr/>
      </w:pPr>
      <w:r>
        <w:rPr/>
        <w:t> </w:t>
      </w:r>
    </w:p>
    <w:p>
      <w:pPr>
        <w:pStyle w:val="Normal"/>
        <w:spacing w:before="0" w:after="0"/>
        <w:rPr>
          <w:sz w:val="4"/>
          <w:szCs w:val="4"/>
        </w:rPr>
      </w:pPr>
      <w:r>
        <w:rPr>
          <w:sz w:val="4"/>
          <w:szCs w:val="4"/>
        </w:rPr>
      </w:r>
      <w:bookmarkStart w:id="279" w:name="list46"/>
      <w:bookmarkStart w:id="280" w:name="list46"/>
      <w:bookmarkEnd w:id="280"/>
    </w:p>
    <w:tbl>
      <w:tblPr>
        <w:tblW w:w="5000" w:type="pct"/>
        <w:jc w:val="left"/>
        <w:tblInd w:w="0" w:type="dxa"/>
        <w:tblCellMar>
          <w:top w:w="0" w:type="dxa"/>
          <w:left w:w="0" w:type="dxa"/>
          <w:bottom w:w="0" w:type="dxa"/>
          <w:right w:w="0" w:type="dxa"/>
        </w:tblCellMar>
      </w:tblPr>
      <w:tblGrid>
        <w:gridCol w:w="629"/>
        <w:gridCol w:w="9576"/>
      </w:tblGrid>
      <w:tr>
        <w:trPr/>
        <w:tc>
          <w:tcPr>
            <w:tcW w:w="629" w:type="dxa"/>
            <w:tcBorders/>
            <w:shd w:fill="auto" w:val="clear"/>
          </w:tcPr>
          <w:p>
            <w:pPr>
              <w:pStyle w:val="TableContents"/>
              <w:spacing w:before="0" w:after="0"/>
              <w:jc w:val="right"/>
              <w:rPr/>
            </w:pPr>
            <w:r>
              <w:rPr/>
              <w:t>●  </w:t>
            </w:r>
          </w:p>
        </w:tc>
        <w:tc>
          <w:tcPr>
            <w:tcW w:w="9576" w:type="dxa"/>
            <w:tcBorders/>
            <w:shd w:fill="auto" w:val="clear"/>
          </w:tcPr>
          <w:p>
            <w:pPr>
              <w:pStyle w:val="TableContents"/>
              <w:spacing w:before="0" w:after="0"/>
              <w:ind w:left="0" w:right="0" w:hanging="0"/>
              <w:jc w:val="both"/>
              <w:rPr>
                <w:rFonts w:ascii="helvetica" w:hAnsi="helvetica"/>
                <w:sz w:val="20"/>
              </w:rPr>
            </w:pPr>
            <w:r>
              <w:rPr>
                <w:rFonts w:ascii="helvetica" w:hAnsi="helvetica"/>
                <w:sz w:val="20"/>
              </w:rPr>
              <w:t>changes in the pharmaceutical industry and markets;</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281" w:name="list47"/>
      <w:bookmarkStart w:id="282" w:name="list47"/>
      <w:bookmarkEnd w:id="282"/>
    </w:p>
    <w:tbl>
      <w:tblPr>
        <w:tblW w:w="5000" w:type="pct"/>
        <w:jc w:val="left"/>
        <w:tblInd w:w="0" w:type="dxa"/>
        <w:tblCellMar>
          <w:top w:w="0" w:type="dxa"/>
          <w:left w:w="0" w:type="dxa"/>
          <w:bottom w:w="0" w:type="dxa"/>
          <w:right w:w="0" w:type="dxa"/>
        </w:tblCellMar>
      </w:tblPr>
      <w:tblGrid>
        <w:gridCol w:w="1055"/>
        <w:gridCol w:w="9150"/>
      </w:tblGrid>
      <w:tr>
        <w:trPr/>
        <w:tc>
          <w:tcPr>
            <w:tcW w:w="1055" w:type="dxa"/>
            <w:tcBorders/>
            <w:shd w:fill="auto" w:val="clear"/>
          </w:tcPr>
          <w:p>
            <w:pPr>
              <w:pStyle w:val="TableContents"/>
              <w:spacing w:before="0" w:after="0"/>
              <w:jc w:val="right"/>
              <w:rPr/>
            </w:pPr>
            <w:r>
              <w:rPr/>
              <w:t>●  </w:t>
            </w:r>
          </w:p>
        </w:tc>
        <w:tc>
          <w:tcPr>
            <w:tcW w:w="9150" w:type="dxa"/>
            <w:tcBorders/>
            <w:shd w:fill="auto" w:val="clear"/>
          </w:tcPr>
          <w:p>
            <w:pPr>
              <w:pStyle w:val="TableContents"/>
              <w:spacing w:before="0" w:after="0"/>
              <w:ind w:left="0" w:right="0" w:hanging="0"/>
              <w:jc w:val="both"/>
              <w:rPr>
                <w:rFonts w:ascii="helvetica" w:hAnsi="helvetica"/>
                <w:sz w:val="20"/>
              </w:rPr>
            </w:pPr>
            <w:r>
              <w:rPr>
                <w:rFonts w:ascii="helvetica" w:hAnsi="helvetica"/>
                <w:sz w:val="20"/>
              </w:rPr>
              <w:t>competitive pricing pressures;</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283" w:name="list48"/>
      <w:bookmarkStart w:id="284" w:name="list48"/>
      <w:bookmarkEnd w:id="284"/>
    </w:p>
    <w:tbl>
      <w:tblPr>
        <w:tblW w:w="5000" w:type="pct"/>
        <w:jc w:val="left"/>
        <w:tblInd w:w="0" w:type="dxa"/>
        <w:tblCellMar>
          <w:top w:w="0" w:type="dxa"/>
          <w:left w:w="0" w:type="dxa"/>
          <w:bottom w:w="0" w:type="dxa"/>
          <w:right w:w="0" w:type="dxa"/>
        </w:tblCellMar>
      </w:tblPr>
      <w:tblGrid>
        <w:gridCol w:w="734"/>
        <w:gridCol w:w="9471"/>
      </w:tblGrid>
      <w:tr>
        <w:trPr/>
        <w:tc>
          <w:tcPr>
            <w:tcW w:w="734" w:type="dxa"/>
            <w:tcBorders/>
            <w:shd w:fill="auto" w:val="clear"/>
          </w:tcPr>
          <w:p>
            <w:pPr>
              <w:pStyle w:val="TableContents"/>
              <w:spacing w:before="0" w:after="0"/>
              <w:jc w:val="right"/>
              <w:rPr/>
            </w:pPr>
            <w:r>
              <w:rPr/>
              <w:t>●  </w:t>
            </w:r>
          </w:p>
        </w:tc>
        <w:tc>
          <w:tcPr>
            <w:tcW w:w="9471" w:type="dxa"/>
            <w:tcBorders/>
            <w:shd w:fill="auto" w:val="clear"/>
          </w:tcPr>
          <w:p>
            <w:pPr>
              <w:pStyle w:val="TableContents"/>
              <w:spacing w:before="0" w:after="0"/>
              <w:ind w:left="0" w:right="0" w:hanging="0"/>
              <w:jc w:val="both"/>
              <w:rPr>
                <w:rFonts w:ascii="helvetica" w:hAnsi="helvetica"/>
                <w:sz w:val="20"/>
              </w:rPr>
            </w:pPr>
            <w:r>
              <w:rPr>
                <w:rFonts w:ascii="helvetica" w:hAnsi="helvetica"/>
                <w:sz w:val="20"/>
              </w:rPr>
              <w:t>our ability to obtain working capital financing;</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285" w:name="list49"/>
      <w:bookmarkStart w:id="286" w:name="list49"/>
      <w:bookmarkEnd w:id="286"/>
    </w:p>
    <w:tbl>
      <w:tblPr>
        <w:tblW w:w="5000" w:type="pct"/>
        <w:jc w:val="left"/>
        <w:tblInd w:w="0" w:type="dxa"/>
        <w:tblCellMar>
          <w:top w:w="0" w:type="dxa"/>
          <w:left w:w="0" w:type="dxa"/>
          <w:bottom w:w="0" w:type="dxa"/>
          <w:right w:w="0" w:type="dxa"/>
        </w:tblCellMar>
      </w:tblPr>
      <w:tblGrid>
        <w:gridCol w:w="1028"/>
        <w:gridCol w:w="9177"/>
      </w:tblGrid>
      <w:tr>
        <w:trPr/>
        <w:tc>
          <w:tcPr>
            <w:tcW w:w="1028" w:type="dxa"/>
            <w:tcBorders/>
            <w:shd w:fill="auto" w:val="clear"/>
          </w:tcPr>
          <w:p>
            <w:pPr>
              <w:pStyle w:val="TableContents"/>
              <w:spacing w:before="0" w:after="0"/>
              <w:jc w:val="right"/>
              <w:rPr/>
            </w:pPr>
            <w:r>
              <w:rPr/>
              <w:t>●  </w:t>
            </w:r>
          </w:p>
        </w:tc>
        <w:tc>
          <w:tcPr>
            <w:tcW w:w="9177" w:type="dxa"/>
            <w:tcBorders/>
            <w:shd w:fill="auto" w:val="clear"/>
          </w:tcPr>
          <w:p>
            <w:pPr>
              <w:pStyle w:val="TableContents"/>
              <w:spacing w:before="0" w:after="0"/>
              <w:ind w:left="0" w:right="0" w:hanging="0"/>
              <w:jc w:val="both"/>
              <w:rPr>
                <w:rFonts w:ascii="helvetica" w:hAnsi="helvetica"/>
                <w:sz w:val="20"/>
              </w:rPr>
            </w:pPr>
            <w:r>
              <w:rPr>
                <w:rFonts w:ascii="helvetica" w:hAnsi="helvetica"/>
                <w:sz w:val="20"/>
              </w:rPr>
              <w:t>new competitors in our market;</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287" w:name="list50"/>
      <w:bookmarkStart w:id="288" w:name="list50"/>
      <w:bookmarkEnd w:id="288"/>
    </w:p>
    <w:tbl>
      <w:tblPr>
        <w:tblW w:w="5000" w:type="pct"/>
        <w:jc w:val="left"/>
        <w:tblInd w:w="0" w:type="dxa"/>
        <w:tblCellMar>
          <w:top w:w="0" w:type="dxa"/>
          <w:left w:w="0" w:type="dxa"/>
          <w:bottom w:w="0" w:type="dxa"/>
          <w:right w:w="0" w:type="dxa"/>
        </w:tblCellMar>
      </w:tblPr>
      <w:tblGrid>
        <w:gridCol w:w="802"/>
        <w:gridCol w:w="9403"/>
      </w:tblGrid>
      <w:tr>
        <w:trPr/>
        <w:tc>
          <w:tcPr>
            <w:tcW w:w="802" w:type="dxa"/>
            <w:tcBorders/>
            <w:shd w:fill="auto" w:val="clear"/>
          </w:tcPr>
          <w:p>
            <w:pPr>
              <w:pStyle w:val="TableContents"/>
              <w:spacing w:before="0" w:after="0"/>
              <w:jc w:val="right"/>
              <w:rPr/>
            </w:pPr>
            <w:r>
              <w:rPr/>
              <w:t>●  </w:t>
            </w:r>
          </w:p>
        </w:tc>
        <w:tc>
          <w:tcPr>
            <w:tcW w:w="9403" w:type="dxa"/>
            <w:tcBorders/>
            <w:shd w:fill="auto" w:val="clear"/>
          </w:tcPr>
          <w:p>
            <w:pPr>
              <w:pStyle w:val="TableContents"/>
              <w:spacing w:before="0" w:after="0"/>
              <w:ind w:left="0" w:right="0" w:hanging="0"/>
              <w:jc w:val="both"/>
              <w:rPr>
                <w:rFonts w:ascii="helvetica" w:hAnsi="helvetica"/>
                <w:sz w:val="20"/>
              </w:rPr>
            </w:pPr>
            <w:r>
              <w:rPr>
                <w:rFonts w:ascii="helvetica" w:hAnsi="helvetica"/>
                <w:sz w:val="20"/>
              </w:rPr>
              <w:t>additions or departures of key personnel;</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289" w:name="list51"/>
      <w:bookmarkStart w:id="290" w:name="list51"/>
      <w:bookmarkEnd w:id="290"/>
    </w:p>
    <w:tbl>
      <w:tblPr>
        <w:tblW w:w="5000" w:type="pct"/>
        <w:jc w:val="left"/>
        <w:tblInd w:w="0" w:type="dxa"/>
        <w:tblCellMar>
          <w:top w:w="0" w:type="dxa"/>
          <w:left w:w="0" w:type="dxa"/>
          <w:bottom w:w="0" w:type="dxa"/>
          <w:right w:w="0" w:type="dxa"/>
        </w:tblCellMar>
      </w:tblPr>
      <w:tblGrid>
        <w:gridCol w:w="304"/>
        <w:gridCol w:w="9901"/>
      </w:tblGrid>
      <w:tr>
        <w:trPr/>
        <w:tc>
          <w:tcPr>
            <w:tcW w:w="304" w:type="dxa"/>
            <w:tcBorders/>
            <w:shd w:fill="auto" w:val="clear"/>
          </w:tcPr>
          <w:p>
            <w:pPr>
              <w:pStyle w:val="TableContents"/>
              <w:spacing w:before="0" w:after="0"/>
              <w:jc w:val="right"/>
              <w:rPr/>
            </w:pPr>
            <w:r>
              <w:rPr/>
              <w:t>●  </w:t>
            </w:r>
          </w:p>
        </w:tc>
        <w:tc>
          <w:tcPr>
            <w:tcW w:w="9901" w:type="dxa"/>
            <w:tcBorders/>
            <w:shd w:fill="auto" w:val="clear"/>
          </w:tcPr>
          <w:p>
            <w:pPr>
              <w:pStyle w:val="TableContents"/>
              <w:spacing w:before="0" w:after="0"/>
              <w:ind w:left="0" w:right="0" w:hanging="0"/>
              <w:jc w:val="both"/>
              <w:rPr>
                <w:rFonts w:ascii="helvetica" w:hAnsi="helvetica"/>
                <w:sz w:val="20"/>
              </w:rPr>
            </w:pPr>
            <w:r>
              <w:rPr>
                <w:rFonts w:ascii="helvetica" w:hAnsi="helvetica"/>
                <w:sz w:val="20"/>
              </w:rPr>
              <w:t>limited “public float” in the hands of a small number of persons whose sales or lack of sales could result in positive or negative pricing pressure on the market price for our common stock;</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291" w:name="list52"/>
      <w:bookmarkStart w:id="292" w:name="list52"/>
      <w:bookmarkEnd w:id="292"/>
    </w:p>
    <w:tbl>
      <w:tblPr>
        <w:tblW w:w="5000" w:type="pct"/>
        <w:jc w:val="left"/>
        <w:tblInd w:w="0" w:type="dxa"/>
        <w:tblCellMar>
          <w:top w:w="0" w:type="dxa"/>
          <w:left w:w="0" w:type="dxa"/>
          <w:bottom w:w="0" w:type="dxa"/>
          <w:right w:w="0" w:type="dxa"/>
        </w:tblCellMar>
      </w:tblPr>
      <w:tblGrid>
        <w:gridCol w:w="1123"/>
        <w:gridCol w:w="9082"/>
      </w:tblGrid>
      <w:tr>
        <w:trPr/>
        <w:tc>
          <w:tcPr>
            <w:tcW w:w="1123" w:type="dxa"/>
            <w:tcBorders/>
            <w:shd w:fill="auto" w:val="clear"/>
          </w:tcPr>
          <w:p>
            <w:pPr>
              <w:pStyle w:val="TableContents"/>
              <w:spacing w:before="0" w:after="0"/>
              <w:jc w:val="right"/>
              <w:rPr/>
            </w:pPr>
            <w:r>
              <w:rPr/>
              <w:t>●  </w:t>
            </w:r>
          </w:p>
        </w:tc>
        <w:tc>
          <w:tcPr>
            <w:tcW w:w="9082" w:type="dxa"/>
            <w:tcBorders/>
            <w:shd w:fill="auto" w:val="clear"/>
          </w:tcPr>
          <w:p>
            <w:pPr>
              <w:pStyle w:val="TableContents"/>
              <w:spacing w:before="0" w:after="0"/>
              <w:ind w:left="0" w:right="0" w:hanging="0"/>
              <w:jc w:val="both"/>
              <w:rPr>
                <w:rFonts w:ascii="helvetica" w:hAnsi="helvetica"/>
                <w:sz w:val="20"/>
              </w:rPr>
            </w:pPr>
            <w:r>
              <w:rPr>
                <w:rFonts w:ascii="helvetica" w:hAnsi="helvetica"/>
                <w:sz w:val="20"/>
              </w:rPr>
              <w:t>sales of our common stock;</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293" w:name="list53"/>
      <w:bookmarkStart w:id="294" w:name="list53"/>
      <w:bookmarkEnd w:id="294"/>
    </w:p>
    <w:tbl>
      <w:tblPr>
        <w:tblW w:w="5000" w:type="pct"/>
        <w:jc w:val="left"/>
        <w:tblInd w:w="0" w:type="dxa"/>
        <w:tblCellMar>
          <w:top w:w="0" w:type="dxa"/>
          <w:left w:w="0" w:type="dxa"/>
          <w:bottom w:w="0" w:type="dxa"/>
          <w:right w:w="0" w:type="dxa"/>
        </w:tblCellMar>
      </w:tblPr>
      <w:tblGrid>
        <w:gridCol w:w="818"/>
        <w:gridCol w:w="9387"/>
      </w:tblGrid>
      <w:tr>
        <w:trPr/>
        <w:tc>
          <w:tcPr>
            <w:tcW w:w="818" w:type="dxa"/>
            <w:tcBorders/>
            <w:shd w:fill="auto" w:val="clear"/>
          </w:tcPr>
          <w:p>
            <w:pPr>
              <w:pStyle w:val="TableContents"/>
              <w:spacing w:before="0" w:after="0"/>
              <w:jc w:val="right"/>
              <w:rPr/>
            </w:pPr>
            <w:r>
              <w:rPr/>
              <w:t>●  </w:t>
            </w:r>
          </w:p>
        </w:tc>
        <w:tc>
          <w:tcPr>
            <w:tcW w:w="9387" w:type="dxa"/>
            <w:tcBorders/>
            <w:shd w:fill="auto" w:val="clear"/>
          </w:tcPr>
          <w:p>
            <w:pPr>
              <w:pStyle w:val="TableContents"/>
              <w:spacing w:before="0" w:after="0"/>
              <w:ind w:left="0" w:right="0" w:hanging="0"/>
              <w:jc w:val="both"/>
              <w:rPr>
                <w:rFonts w:ascii="helvetica" w:hAnsi="helvetica"/>
                <w:sz w:val="20"/>
              </w:rPr>
            </w:pPr>
            <w:r>
              <w:rPr>
                <w:rFonts w:ascii="helvetica" w:hAnsi="helvetica"/>
                <w:sz w:val="20"/>
              </w:rPr>
              <w:t>our ability to execute our business plan;</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295" w:name="list54"/>
      <w:bookmarkStart w:id="296" w:name="list54"/>
      <w:bookmarkEnd w:id="296"/>
    </w:p>
    <w:tbl>
      <w:tblPr>
        <w:tblW w:w="5000" w:type="pct"/>
        <w:jc w:val="left"/>
        <w:tblInd w:w="0" w:type="dxa"/>
        <w:tblCellMar>
          <w:top w:w="0" w:type="dxa"/>
          <w:left w:w="0" w:type="dxa"/>
          <w:bottom w:w="0" w:type="dxa"/>
          <w:right w:w="0" w:type="dxa"/>
        </w:tblCellMar>
      </w:tblPr>
      <w:tblGrid>
        <w:gridCol w:w="728"/>
        <w:gridCol w:w="9477"/>
      </w:tblGrid>
      <w:tr>
        <w:trPr/>
        <w:tc>
          <w:tcPr>
            <w:tcW w:w="728" w:type="dxa"/>
            <w:tcBorders/>
            <w:shd w:fill="auto" w:val="clear"/>
          </w:tcPr>
          <w:p>
            <w:pPr>
              <w:pStyle w:val="TableContents"/>
              <w:spacing w:before="0" w:after="0"/>
              <w:jc w:val="right"/>
              <w:rPr/>
            </w:pPr>
            <w:r>
              <w:rPr/>
              <w:t>●  </w:t>
            </w:r>
          </w:p>
        </w:tc>
        <w:tc>
          <w:tcPr>
            <w:tcW w:w="9477" w:type="dxa"/>
            <w:tcBorders/>
            <w:shd w:fill="auto" w:val="clear"/>
          </w:tcPr>
          <w:p>
            <w:pPr>
              <w:pStyle w:val="TableContents"/>
              <w:spacing w:before="0" w:after="0"/>
              <w:ind w:left="0" w:right="0" w:hanging="0"/>
              <w:jc w:val="both"/>
              <w:rPr>
                <w:rFonts w:ascii="helvetica" w:hAnsi="helvetica"/>
                <w:sz w:val="20"/>
              </w:rPr>
            </w:pPr>
            <w:r>
              <w:rPr>
                <w:rFonts w:ascii="helvetica" w:hAnsi="helvetica"/>
                <w:sz w:val="20"/>
              </w:rPr>
              <w:t>operating results that fall below expectations;</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297" w:name="list55"/>
      <w:bookmarkStart w:id="298" w:name="list55"/>
      <w:bookmarkEnd w:id="298"/>
    </w:p>
    <w:tbl>
      <w:tblPr>
        <w:tblW w:w="5000" w:type="pct"/>
        <w:jc w:val="left"/>
        <w:tblInd w:w="0" w:type="dxa"/>
        <w:tblCellMar>
          <w:top w:w="0" w:type="dxa"/>
          <w:left w:w="0" w:type="dxa"/>
          <w:bottom w:w="0" w:type="dxa"/>
          <w:right w:w="0" w:type="dxa"/>
        </w:tblCellMar>
      </w:tblPr>
      <w:tblGrid>
        <w:gridCol w:w="304"/>
        <w:gridCol w:w="9901"/>
      </w:tblGrid>
      <w:tr>
        <w:trPr/>
        <w:tc>
          <w:tcPr>
            <w:tcW w:w="304" w:type="dxa"/>
            <w:tcBorders/>
            <w:shd w:fill="auto" w:val="clear"/>
          </w:tcPr>
          <w:p>
            <w:pPr>
              <w:pStyle w:val="TableContents"/>
              <w:spacing w:before="0" w:after="0"/>
              <w:jc w:val="right"/>
              <w:rPr/>
            </w:pPr>
            <w:r>
              <w:rPr/>
              <w:t>●  </w:t>
            </w:r>
          </w:p>
        </w:tc>
        <w:tc>
          <w:tcPr>
            <w:tcW w:w="9901" w:type="dxa"/>
            <w:tcBorders/>
            <w:shd w:fill="auto" w:val="clear"/>
          </w:tcPr>
          <w:p>
            <w:pPr>
              <w:pStyle w:val="TableContents"/>
              <w:spacing w:before="0" w:after="0"/>
              <w:ind w:left="0" w:right="0" w:hanging="0"/>
              <w:jc w:val="both"/>
              <w:rPr>
                <w:rFonts w:ascii="helvetica" w:hAnsi="helvetica"/>
                <w:sz w:val="20"/>
              </w:rPr>
            </w:pPr>
            <w:r>
              <w:rPr>
                <w:rFonts w:ascii="helvetica" w:hAnsi="helvetica"/>
                <w:sz w:val="20"/>
              </w:rPr>
              <w:t>loss of any strategic relationship with our contract manufacturers or with other third parties (including PCCA) and clinical and non-clinical research organizations;</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299" w:name="list56"/>
      <w:bookmarkStart w:id="300" w:name="list56"/>
      <w:bookmarkEnd w:id="300"/>
    </w:p>
    <w:tbl>
      <w:tblPr>
        <w:tblW w:w="5000" w:type="pct"/>
        <w:jc w:val="left"/>
        <w:tblInd w:w="0" w:type="dxa"/>
        <w:tblCellMar>
          <w:top w:w="0" w:type="dxa"/>
          <w:left w:w="0" w:type="dxa"/>
          <w:bottom w:w="0" w:type="dxa"/>
          <w:right w:w="0" w:type="dxa"/>
        </w:tblCellMar>
      </w:tblPr>
      <w:tblGrid>
        <w:gridCol w:w="834"/>
        <w:gridCol w:w="9371"/>
      </w:tblGrid>
      <w:tr>
        <w:trPr/>
        <w:tc>
          <w:tcPr>
            <w:tcW w:w="834" w:type="dxa"/>
            <w:tcBorders/>
            <w:shd w:fill="auto" w:val="clear"/>
          </w:tcPr>
          <w:p>
            <w:pPr>
              <w:pStyle w:val="TableContents"/>
              <w:spacing w:before="0" w:after="0"/>
              <w:jc w:val="right"/>
              <w:rPr/>
            </w:pPr>
            <w:r>
              <w:rPr/>
              <w:t>●  </w:t>
            </w:r>
          </w:p>
        </w:tc>
        <w:tc>
          <w:tcPr>
            <w:tcW w:w="9371" w:type="dxa"/>
            <w:tcBorders/>
            <w:shd w:fill="auto" w:val="clear"/>
          </w:tcPr>
          <w:p>
            <w:pPr>
              <w:pStyle w:val="TableContents"/>
              <w:spacing w:before="0" w:after="0"/>
              <w:ind w:left="0" w:right="0" w:hanging="0"/>
              <w:jc w:val="both"/>
              <w:rPr>
                <w:rFonts w:ascii="helvetica" w:hAnsi="helvetica"/>
                <w:sz w:val="20"/>
              </w:rPr>
            </w:pPr>
            <w:r>
              <w:rPr>
                <w:rFonts w:ascii="helvetica" w:hAnsi="helvetica"/>
                <w:sz w:val="20"/>
              </w:rPr>
              <w:t>industry or regulatory developments; or</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301" w:name="list57"/>
      <w:bookmarkStart w:id="302" w:name="list57"/>
      <w:bookmarkEnd w:id="302"/>
    </w:p>
    <w:tbl>
      <w:tblPr>
        <w:tblW w:w="5000" w:type="pct"/>
        <w:jc w:val="left"/>
        <w:tblInd w:w="0" w:type="dxa"/>
        <w:tblCellMar>
          <w:top w:w="0" w:type="dxa"/>
          <w:left w:w="0" w:type="dxa"/>
          <w:bottom w:w="0" w:type="dxa"/>
          <w:right w:w="0" w:type="dxa"/>
        </w:tblCellMar>
      </w:tblPr>
      <w:tblGrid>
        <w:gridCol w:w="884"/>
        <w:gridCol w:w="9321"/>
      </w:tblGrid>
      <w:tr>
        <w:trPr/>
        <w:tc>
          <w:tcPr>
            <w:tcW w:w="884" w:type="dxa"/>
            <w:tcBorders/>
            <w:shd w:fill="auto" w:val="clear"/>
          </w:tcPr>
          <w:p>
            <w:pPr>
              <w:pStyle w:val="TableContents"/>
              <w:spacing w:before="0" w:after="0"/>
              <w:jc w:val="right"/>
              <w:rPr/>
            </w:pPr>
            <w:r>
              <w:rPr/>
              <w:t>●  </w:t>
            </w:r>
          </w:p>
        </w:tc>
        <w:tc>
          <w:tcPr>
            <w:tcW w:w="9321" w:type="dxa"/>
            <w:tcBorders/>
            <w:shd w:fill="auto" w:val="clear"/>
          </w:tcPr>
          <w:p>
            <w:pPr>
              <w:pStyle w:val="TableContents"/>
              <w:spacing w:before="0" w:after="0"/>
              <w:ind w:left="0" w:right="0" w:hanging="0"/>
              <w:jc w:val="both"/>
              <w:rPr>
                <w:rFonts w:ascii="helvetica" w:hAnsi="helvetica"/>
                <w:sz w:val="20"/>
              </w:rPr>
            </w:pPr>
            <w:r>
              <w:rPr>
                <w:rFonts w:ascii="helvetica" w:hAnsi="helvetica"/>
                <w:sz w:val="20"/>
              </w:rPr>
              <w:t>economic and other external factors.</w:t>
            </w:r>
          </w:p>
        </w:tc>
      </w:tr>
    </w:tbl>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r>
        <w:rPr>
          <w:rFonts w:ascii="helvetica" w:hAnsi="helvetica"/>
          <w:sz w:val="20"/>
        </w:rPr>
        <w:t>In addition, the securities markets have from time to time experienced significant price and volume fluctuations that are unrelated to the operating performance of particular companies. These market fluctuations may also materially and adversely affect the market price of our common stock.</w:t>
      </w:r>
    </w:p>
    <w:p>
      <w:pPr>
        <w:pStyle w:val="TextBody"/>
        <w:spacing w:before="0" w:after="0"/>
        <w:ind w:left="0" w:right="0" w:hanging="0"/>
        <w:jc w:val="both"/>
        <w:rPr/>
      </w:pPr>
      <w:r>
        <w:rPr/>
        <w:t> </w:t>
      </w:r>
    </w:p>
    <w:p>
      <w:pPr>
        <w:pStyle w:val="TextBody"/>
        <w:spacing w:before="0" w:after="0"/>
        <w:ind w:left="0" w:right="0" w:hanging="0"/>
        <w:rPr>
          <w:rFonts w:ascii="helvetica" w:hAnsi="helvetica"/>
          <w:b/>
          <w:i/>
          <w:sz w:val="20"/>
        </w:rPr>
      </w:pPr>
      <w:r>
        <w:rPr>
          <w:rFonts w:ascii="helvetica" w:hAnsi="helvetica"/>
          <w:b/>
          <w:i/>
          <w:sz w:val="20"/>
        </w:rPr>
        <w:t>We have the right to issue shares of preferred stock. If we were to issue preferred stock, it is likely to have rights, preferences and privileges superior to those of our common stock.</w:t>
      </w:r>
    </w:p>
    <w:p>
      <w:pPr>
        <w:pStyle w:val="TextBody"/>
        <w:spacing w:before="0" w:after="0"/>
        <w:ind w:left="0" w:right="0" w:hanging="0"/>
        <w:jc w:val="both"/>
        <w:rPr/>
      </w:pPr>
      <w:r>
        <w:rPr/>
        <w:t> </w:t>
      </w:r>
    </w:p>
    <w:p>
      <w:pPr>
        <w:pStyle w:val="TextBody"/>
        <w:spacing w:before="0" w:after="0"/>
        <w:ind w:left="0" w:right="0" w:firstLine="720"/>
        <w:rPr/>
      </w:pPr>
      <w:bookmarkStart w:id="303" w:name="TAB210"/>
      <w:bookmarkEnd w:id="303"/>
      <w:r>
        <w:rPr>
          <w:color w:val="000000"/>
          <w:spacing w:val="180"/>
        </w:rPr>
        <w:t> </w:t>
      </w:r>
      <w:r>
        <w:rPr/>
        <w:t> </w:t>
      </w:r>
      <w:r>
        <w:rPr>
          <w:rFonts w:ascii="helvetica" w:hAnsi="helvetica"/>
          <w:sz w:val="20"/>
        </w:rPr>
        <w:t>We are authorized to issue 5,000,000 shares of “blank check” preferred stock, with such rights, preferences and privileges as may be determined from time-to-time by our board of directors.  Following the conversion of our Series A Preferred Stock on June 29, 2012, we have no shares of preferred stock issued and outstanding. Our board of directors is empowered, without stockholder approval, to issue preferred stock in one or more series, and to fix for any series the dividend rights, dissolution or liquidation preferences, redemption prices, conversion rights, voting rights, and other rights, preferences and privileges for the preferred stock.  We have no immediate plans to issue shares of preferred stock. The issuance of shares of preferred stock, depending on the rights, preferences and privileges attributable to the preferred stock, could adversely reduce the voting rights and powers of the common stock and the portion of our assets allocated for distribution to common stock holders in a liquidation event, and could also result in dilution in the book value per share of the common stock we are offering. The preferred stock could also be utilized, under certain circumstances, as a method for raising additional capital or discouraging, delaying or preventing a change in control of the company.</w:t>
      </w:r>
    </w:p>
    <w:p>
      <w:pPr>
        <w:pStyle w:val="TextBody"/>
        <w:spacing w:before="0" w:after="0"/>
        <w:ind w:left="0" w:right="0" w:firstLine="720"/>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304" w:name="PGBRK20"/>
      <w:bookmarkStart w:id="305" w:name="PGBRK20"/>
      <w:bookmarkEnd w:id="30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306" w:name="FTR20"/>
      <w:bookmarkStart w:id="307" w:name="FTR20"/>
      <w:bookmarkEnd w:id="30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308" w:name="GLFTR19"/>
      <w:bookmarkEnd w:id="308"/>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helvetica" w:hAnsi="helvetica"/>
          <w:sz w:val="20"/>
        </w:rPr>
      </w:pPr>
      <w:bookmarkStart w:id="309" w:name="PN19"/>
      <w:bookmarkEnd w:id="309"/>
      <w:r>
        <w:rPr>
          <w:rFonts w:ascii="helvetica" w:hAnsi="helvetica"/>
          <w:sz w:val="20"/>
        </w:rPr>
        <w:t>18</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310" w:name="HDR19"/>
      <w:bookmarkStart w:id="311" w:name="HDR19"/>
      <w:bookmarkEnd w:id="31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312" w:name="GLHDR19"/>
      <w:bookmarkEnd w:id="312"/>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pPr>
      <w:r>
        <w:rPr/>
        <w:t> </w:t>
      </w:r>
    </w:p>
    <w:p>
      <w:pPr>
        <w:pStyle w:val="TextBody"/>
        <w:spacing w:before="0" w:after="0"/>
        <w:ind w:left="0" w:right="0" w:hanging="0"/>
        <w:rPr>
          <w:rFonts w:ascii="helvetica" w:hAnsi="helvetica"/>
          <w:b/>
          <w:i/>
          <w:sz w:val="20"/>
        </w:rPr>
      </w:pPr>
      <w:r>
        <w:rPr>
          <w:rFonts w:ascii="helvetica" w:hAnsi="helvetica"/>
          <w:b/>
          <w:i/>
          <w:sz w:val="20"/>
        </w:rPr>
        <w:t>We have not paid dividends in the past and do not expect to pay dividends in the future. Any return on investment may be limited to the value of our common stock.</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r>
        <w:rPr>
          <w:rFonts w:ascii="helvetica" w:hAnsi="helvetica"/>
          <w:sz w:val="20"/>
        </w:rPr>
        <w:t>We have never paid cash dividends on our common stock and do not anticipate doing so in the foreseeable future. The payment of dividends on our common stock will depend on earnings, financial condition and other business and economic factors affecting us at such time as our board of directors may consider relevant. If we do not pay dividends, our common stock may be less valuable because a return on your investment will only occur if our stock price appreciates.</w:t>
      </w:r>
    </w:p>
    <w:p>
      <w:pPr>
        <w:pStyle w:val="TextBody"/>
        <w:spacing w:before="0" w:after="0"/>
        <w:ind w:left="0" w:right="0" w:hanging="0"/>
        <w:jc w:val="both"/>
        <w:rPr/>
      </w:pPr>
      <w:r>
        <w:rPr/>
        <w:t> </w:t>
      </w:r>
    </w:p>
    <w:p>
      <w:pPr>
        <w:pStyle w:val="TextBody"/>
        <w:spacing w:before="0" w:after="0"/>
        <w:ind w:left="0" w:right="0" w:hanging="0"/>
        <w:rPr>
          <w:rFonts w:ascii="helvetica" w:hAnsi="helvetica"/>
          <w:b/>
          <w:i/>
          <w:sz w:val="20"/>
        </w:rPr>
      </w:pPr>
      <w:r>
        <w:rPr>
          <w:rFonts w:ascii="helvetica" w:hAnsi="helvetica"/>
          <w:b/>
          <w:i/>
          <w:sz w:val="20"/>
        </w:rPr>
        <w:t>Offers or availability for sale of a substantial number of shares of our common stock may cause the price of our common stock to decline.</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r>
        <w:rPr>
          <w:rFonts w:ascii="helvetica" w:hAnsi="helvetica"/>
          <w:sz w:val="20"/>
        </w:rPr>
        <w:t>The sale by our stockholders of substantial amounts of our common stock in the public market or upon the expiration of any statutory holding period, under Rule 144, or upon expiration of lock-up periods applicable to outstanding shares, or issued upon the exercise of outstanding options or warrants, could create a circumstance commonly referred to as an “overhang” and in anticipation of which the market price of our common stock could fall. The existence of an overhang, whether or not sales have occurred or are occurring, also could make more difficult our ability to raise additional financing through the sale of equity or equity-related securities in the future at a time and price that we deem reasonable or appropriate.</w:t>
      </w:r>
    </w:p>
    <w:p>
      <w:pPr>
        <w:pStyle w:val="TextBody"/>
        <w:spacing w:before="0" w:after="0"/>
        <w:ind w:left="0" w:right="0" w:firstLine="720"/>
        <w:jc w:val="left"/>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313" w:name="PGBRK21"/>
      <w:bookmarkStart w:id="314" w:name="PGBRK21"/>
      <w:bookmarkEnd w:id="31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315" w:name="FTR21"/>
      <w:bookmarkStart w:id="316" w:name="FTR21"/>
      <w:bookmarkEnd w:id="31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317" w:name="GLFTR20"/>
      <w:bookmarkEnd w:id="317"/>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helvetica" w:hAnsi="helvetica"/>
          <w:sz w:val="20"/>
        </w:rPr>
      </w:pPr>
      <w:bookmarkStart w:id="318" w:name="PN20"/>
      <w:bookmarkEnd w:id="318"/>
      <w:r>
        <w:rPr>
          <w:rFonts w:ascii="helvetica" w:hAnsi="helvetica"/>
          <w:sz w:val="20"/>
        </w:rPr>
        <w:t>19</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319" w:name="HDR20"/>
      <w:bookmarkStart w:id="320" w:name="HDR20"/>
      <w:bookmarkEnd w:id="32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321" w:name="GLHDR20"/>
      <w:bookmarkEnd w:id="321"/>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pPr>
      <w:r>
        <w:rPr/>
        <w:t> </w:t>
      </w:r>
    </w:p>
    <w:p>
      <w:pPr>
        <w:pStyle w:val="TextBody"/>
        <w:spacing w:before="0" w:after="0"/>
        <w:ind w:left="0" w:right="0" w:hanging="0"/>
        <w:jc w:val="center"/>
        <w:rPr>
          <w:rFonts w:ascii="helvetica" w:hAnsi="helvetica"/>
          <w:b/>
          <w:sz w:val="20"/>
        </w:rPr>
      </w:pPr>
      <w:r>
        <w:rPr>
          <w:rFonts w:ascii="helvetica" w:hAnsi="helvetica"/>
          <w:b/>
          <w:sz w:val="20"/>
        </w:rPr>
        <w:t>SPECIAL NOTE REGARDING FORWARD-LOOKING STATEMENTS</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r>
        <w:rPr>
          <w:rFonts w:ascii="helvetica" w:hAnsi="helvetica"/>
          <w:sz w:val="20"/>
        </w:rPr>
        <w:t>Information contained in this prospectus contains forward-looking statements.  This information may involve known and unknown risks, uncertainties and other factors which may cause our actual results, performance or achievements to be materially different from future results, performance or achievements expressed or implied by any forward-looking statements. Forward-looking statements, which involve assumptions and describe our future plans, strategies and expectations, are generally identifiable by use of the words “may,” “will,” “should,” “expect,” “anticipate,” “estimate,” “believe,” “intend” or “project” or the negative of these words or other variations on these words or comparable terminology. In addition to the risks and uncertainties described in “Risk Factors” above and elsewhere in this prospectus, these risks and uncertainties may include risks related to:</w:t>
      </w:r>
    </w:p>
    <w:p>
      <w:pPr>
        <w:pStyle w:val="TextBody"/>
        <w:spacing w:before="0" w:after="0"/>
        <w:ind w:left="0" w:right="0" w:hanging="0"/>
        <w:jc w:val="both"/>
        <w:rPr/>
      </w:pPr>
      <w:r>
        <w:rPr/>
        <w:t> </w:t>
      </w:r>
    </w:p>
    <w:p>
      <w:pPr>
        <w:pStyle w:val="Normal"/>
        <w:spacing w:before="0" w:after="0"/>
        <w:rPr>
          <w:sz w:val="4"/>
          <w:szCs w:val="4"/>
        </w:rPr>
      </w:pPr>
      <w:r>
        <w:rPr>
          <w:sz w:val="4"/>
          <w:szCs w:val="4"/>
        </w:rPr>
      </w:r>
      <w:bookmarkStart w:id="322" w:name="list58"/>
      <w:bookmarkStart w:id="323" w:name="list58"/>
      <w:bookmarkEnd w:id="323"/>
    </w:p>
    <w:tbl>
      <w:tblPr>
        <w:tblW w:w="5000" w:type="pct"/>
        <w:jc w:val="left"/>
        <w:tblInd w:w="0" w:type="dxa"/>
        <w:tblCellMar>
          <w:top w:w="0" w:type="dxa"/>
          <w:left w:w="0" w:type="dxa"/>
          <w:bottom w:w="0" w:type="dxa"/>
          <w:right w:w="0" w:type="dxa"/>
        </w:tblCellMar>
      </w:tblPr>
      <w:tblGrid>
        <w:gridCol w:w="304"/>
        <w:gridCol w:w="9901"/>
      </w:tblGrid>
      <w:tr>
        <w:trPr/>
        <w:tc>
          <w:tcPr>
            <w:tcW w:w="304" w:type="dxa"/>
            <w:tcBorders/>
            <w:shd w:fill="auto" w:val="clear"/>
          </w:tcPr>
          <w:p>
            <w:pPr>
              <w:pStyle w:val="TableContents"/>
              <w:spacing w:before="0" w:after="0"/>
              <w:jc w:val="right"/>
              <w:rPr/>
            </w:pPr>
            <w:r>
              <w:rPr/>
              <w:t>●  </w:t>
            </w:r>
          </w:p>
        </w:tc>
        <w:tc>
          <w:tcPr>
            <w:tcW w:w="9901" w:type="dxa"/>
            <w:tcBorders/>
            <w:shd w:fill="auto" w:val="clear"/>
          </w:tcPr>
          <w:p>
            <w:pPr>
              <w:pStyle w:val="TableContents"/>
              <w:spacing w:before="0" w:after="0"/>
              <w:ind w:left="0" w:right="0" w:hanging="0"/>
              <w:jc w:val="both"/>
              <w:rPr>
                <w:rFonts w:ascii="helvetica" w:hAnsi="helvetica"/>
                <w:sz w:val="20"/>
              </w:rPr>
            </w:pPr>
            <w:r>
              <w:rPr>
                <w:rFonts w:ascii="helvetica" w:hAnsi="helvetica"/>
                <w:sz w:val="20"/>
              </w:rPr>
              <w:t>our ability to successfully resume operations and implement our business plan following dismissal of the Chapter 11 Case;</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324" w:name="list59"/>
      <w:bookmarkStart w:id="325" w:name="list59"/>
      <w:bookmarkEnd w:id="325"/>
    </w:p>
    <w:tbl>
      <w:tblPr>
        <w:tblW w:w="5000" w:type="pct"/>
        <w:jc w:val="left"/>
        <w:tblInd w:w="0" w:type="dxa"/>
        <w:tblCellMar>
          <w:top w:w="0" w:type="dxa"/>
          <w:left w:w="0" w:type="dxa"/>
          <w:bottom w:w="0" w:type="dxa"/>
          <w:right w:w="0" w:type="dxa"/>
        </w:tblCellMar>
      </w:tblPr>
      <w:tblGrid>
        <w:gridCol w:w="775"/>
        <w:gridCol w:w="9430"/>
      </w:tblGrid>
      <w:tr>
        <w:trPr/>
        <w:tc>
          <w:tcPr>
            <w:tcW w:w="775" w:type="dxa"/>
            <w:tcBorders/>
            <w:shd w:fill="auto" w:val="clear"/>
          </w:tcPr>
          <w:p>
            <w:pPr>
              <w:pStyle w:val="TableContents"/>
              <w:spacing w:before="0" w:after="0"/>
              <w:jc w:val="right"/>
              <w:rPr/>
            </w:pPr>
            <w:r>
              <w:rPr/>
              <w:t>●  </w:t>
            </w:r>
          </w:p>
        </w:tc>
        <w:tc>
          <w:tcPr>
            <w:tcW w:w="9430" w:type="dxa"/>
            <w:tcBorders/>
            <w:shd w:fill="auto" w:val="clear"/>
          </w:tcPr>
          <w:p>
            <w:pPr>
              <w:pStyle w:val="TableContents"/>
              <w:spacing w:before="0" w:after="0"/>
              <w:ind w:left="0" w:right="0" w:hanging="0"/>
              <w:jc w:val="both"/>
              <w:rPr>
                <w:rFonts w:ascii="helvetica" w:hAnsi="helvetica"/>
                <w:sz w:val="20"/>
              </w:rPr>
            </w:pPr>
            <w:r>
              <w:rPr>
                <w:rFonts w:ascii="helvetica" w:hAnsi="helvetica"/>
                <w:sz w:val="20"/>
              </w:rPr>
              <w:t>the success of our proposed clinical trials;</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326" w:name="list60"/>
      <w:bookmarkStart w:id="327" w:name="list60"/>
      <w:bookmarkEnd w:id="327"/>
    </w:p>
    <w:tbl>
      <w:tblPr>
        <w:tblW w:w="5000" w:type="pct"/>
        <w:jc w:val="left"/>
        <w:tblInd w:w="0" w:type="dxa"/>
        <w:tblCellMar>
          <w:top w:w="0" w:type="dxa"/>
          <w:left w:w="0" w:type="dxa"/>
          <w:bottom w:w="0" w:type="dxa"/>
          <w:right w:w="0" w:type="dxa"/>
        </w:tblCellMar>
      </w:tblPr>
      <w:tblGrid>
        <w:gridCol w:w="472"/>
        <w:gridCol w:w="9733"/>
      </w:tblGrid>
      <w:tr>
        <w:trPr/>
        <w:tc>
          <w:tcPr>
            <w:tcW w:w="472" w:type="dxa"/>
            <w:tcBorders/>
            <w:shd w:fill="auto" w:val="clear"/>
          </w:tcPr>
          <w:p>
            <w:pPr>
              <w:pStyle w:val="TableContents"/>
              <w:spacing w:before="0" w:after="0"/>
              <w:jc w:val="right"/>
              <w:rPr/>
            </w:pPr>
            <w:r>
              <w:rPr/>
              <w:t>●  </w:t>
            </w:r>
          </w:p>
        </w:tc>
        <w:tc>
          <w:tcPr>
            <w:tcW w:w="9733" w:type="dxa"/>
            <w:tcBorders/>
            <w:shd w:fill="auto" w:val="clear"/>
          </w:tcPr>
          <w:p>
            <w:pPr>
              <w:pStyle w:val="TableContents"/>
              <w:spacing w:before="0" w:after="0"/>
              <w:ind w:left="0" w:right="0" w:hanging="0"/>
              <w:jc w:val="both"/>
              <w:rPr>
                <w:rFonts w:ascii="helvetica" w:hAnsi="helvetica"/>
                <w:sz w:val="20"/>
              </w:rPr>
            </w:pPr>
            <w:r>
              <w:rPr>
                <w:rFonts w:ascii="helvetica" w:hAnsi="helvetica"/>
                <w:sz w:val="20"/>
              </w:rPr>
              <w:t>our ability to research and successfully develop our product candidates;</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328" w:name="list61"/>
      <w:bookmarkStart w:id="329" w:name="list61"/>
      <w:bookmarkEnd w:id="329"/>
    </w:p>
    <w:tbl>
      <w:tblPr>
        <w:tblW w:w="5000" w:type="pct"/>
        <w:jc w:val="left"/>
        <w:tblInd w:w="0" w:type="dxa"/>
        <w:tblCellMar>
          <w:top w:w="0" w:type="dxa"/>
          <w:left w:w="0" w:type="dxa"/>
          <w:bottom w:w="0" w:type="dxa"/>
          <w:right w:w="0" w:type="dxa"/>
        </w:tblCellMar>
      </w:tblPr>
      <w:tblGrid>
        <w:gridCol w:w="761"/>
        <w:gridCol w:w="9444"/>
      </w:tblGrid>
      <w:tr>
        <w:trPr/>
        <w:tc>
          <w:tcPr>
            <w:tcW w:w="761" w:type="dxa"/>
            <w:tcBorders/>
            <w:shd w:fill="auto" w:val="clear"/>
          </w:tcPr>
          <w:p>
            <w:pPr>
              <w:pStyle w:val="TableContents"/>
              <w:spacing w:before="0" w:after="0"/>
              <w:jc w:val="right"/>
              <w:rPr/>
            </w:pPr>
            <w:r>
              <w:rPr/>
              <w:t>●  </w:t>
            </w:r>
          </w:p>
        </w:tc>
        <w:tc>
          <w:tcPr>
            <w:tcW w:w="9444" w:type="dxa"/>
            <w:tcBorders/>
            <w:shd w:fill="auto" w:val="clear"/>
          </w:tcPr>
          <w:p>
            <w:pPr>
              <w:pStyle w:val="TableContents"/>
              <w:spacing w:before="0" w:after="0"/>
              <w:ind w:left="0" w:right="0" w:hanging="0"/>
              <w:jc w:val="both"/>
              <w:rPr>
                <w:rFonts w:ascii="helvetica" w:hAnsi="helvetica"/>
                <w:sz w:val="20"/>
              </w:rPr>
            </w:pPr>
            <w:r>
              <w:rPr>
                <w:rFonts w:ascii="helvetica" w:hAnsi="helvetica"/>
                <w:sz w:val="20"/>
              </w:rPr>
              <w:t>general economic and business conditions;</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330" w:name="list62"/>
      <w:bookmarkStart w:id="331" w:name="list62"/>
      <w:bookmarkEnd w:id="331"/>
    </w:p>
    <w:tbl>
      <w:tblPr>
        <w:tblW w:w="5000" w:type="pct"/>
        <w:jc w:val="left"/>
        <w:tblInd w:w="0" w:type="dxa"/>
        <w:tblCellMar>
          <w:top w:w="0" w:type="dxa"/>
          <w:left w:w="0" w:type="dxa"/>
          <w:bottom w:w="0" w:type="dxa"/>
          <w:right w:w="0" w:type="dxa"/>
        </w:tblCellMar>
      </w:tblPr>
      <w:tblGrid>
        <w:gridCol w:w="783"/>
        <w:gridCol w:w="9422"/>
      </w:tblGrid>
      <w:tr>
        <w:trPr/>
        <w:tc>
          <w:tcPr>
            <w:tcW w:w="783" w:type="dxa"/>
            <w:tcBorders/>
            <w:shd w:fill="auto" w:val="clear"/>
          </w:tcPr>
          <w:p>
            <w:pPr>
              <w:pStyle w:val="TableContents"/>
              <w:spacing w:before="0" w:after="0"/>
              <w:jc w:val="right"/>
              <w:rPr/>
            </w:pPr>
            <w:r>
              <w:rPr/>
              <w:t>●  </w:t>
            </w:r>
          </w:p>
        </w:tc>
        <w:tc>
          <w:tcPr>
            <w:tcW w:w="9422" w:type="dxa"/>
            <w:tcBorders/>
            <w:shd w:fill="auto" w:val="clear"/>
          </w:tcPr>
          <w:p>
            <w:pPr>
              <w:pStyle w:val="TableContents"/>
              <w:spacing w:before="0" w:after="0"/>
              <w:ind w:left="0" w:right="0" w:hanging="0"/>
              <w:jc w:val="both"/>
              <w:rPr>
                <w:rFonts w:ascii="helvetica" w:hAnsi="helvetica"/>
                <w:sz w:val="20"/>
              </w:rPr>
            </w:pPr>
            <w:r>
              <w:rPr>
                <w:rFonts w:ascii="helvetica" w:hAnsi="helvetica"/>
                <w:sz w:val="20"/>
              </w:rPr>
              <w:t>our ability to continue as a going concern;</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332" w:name="list63"/>
      <w:bookmarkStart w:id="333" w:name="list63"/>
      <w:bookmarkEnd w:id="333"/>
    </w:p>
    <w:tbl>
      <w:tblPr>
        <w:tblW w:w="5000" w:type="pct"/>
        <w:jc w:val="left"/>
        <w:tblInd w:w="0" w:type="dxa"/>
        <w:tblCellMar>
          <w:top w:w="0" w:type="dxa"/>
          <w:left w:w="0" w:type="dxa"/>
          <w:bottom w:w="0" w:type="dxa"/>
          <w:right w:w="0" w:type="dxa"/>
        </w:tblCellMar>
      </w:tblPr>
      <w:tblGrid>
        <w:gridCol w:w="523"/>
        <w:gridCol w:w="9682"/>
      </w:tblGrid>
      <w:tr>
        <w:trPr/>
        <w:tc>
          <w:tcPr>
            <w:tcW w:w="523" w:type="dxa"/>
            <w:tcBorders/>
            <w:shd w:fill="auto" w:val="clear"/>
          </w:tcPr>
          <w:p>
            <w:pPr>
              <w:pStyle w:val="TableContents"/>
              <w:spacing w:before="0" w:after="0"/>
              <w:jc w:val="right"/>
              <w:rPr/>
            </w:pPr>
            <w:r>
              <w:rPr/>
              <w:t>●  </w:t>
            </w:r>
          </w:p>
        </w:tc>
        <w:tc>
          <w:tcPr>
            <w:tcW w:w="9682" w:type="dxa"/>
            <w:tcBorders/>
            <w:shd w:fill="auto" w:val="clear"/>
          </w:tcPr>
          <w:p>
            <w:pPr>
              <w:pStyle w:val="TableContents"/>
              <w:spacing w:before="0" w:after="0"/>
              <w:ind w:left="0" w:right="0" w:hanging="0"/>
              <w:jc w:val="both"/>
              <w:rPr>
                <w:rFonts w:ascii="helvetica" w:hAnsi="helvetica"/>
                <w:sz w:val="20"/>
              </w:rPr>
            </w:pPr>
            <w:r>
              <w:rPr>
                <w:rFonts w:ascii="helvetica" w:hAnsi="helvetica"/>
                <w:sz w:val="20"/>
              </w:rPr>
              <w:t>our ability to obtain financing necessary to operate our business;</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334" w:name="list64"/>
      <w:bookmarkStart w:id="335" w:name="list64"/>
      <w:bookmarkEnd w:id="335"/>
    </w:p>
    <w:tbl>
      <w:tblPr>
        <w:tblW w:w="5000" w:type="pct"/>
        <w:jc w:val="left"/>
        <w:tblInd w:w="0" w:type="dxa"/>
        <w:tblCellMar>
          <w:top w:w="0" w:type="dxa"/>
          <w:left w:w="0" w:type="dxa"/>
          <w:bottom w:w="0" w:type="dxa"/>
          <w:right w:w="0" w:type="dxa"/>
        </w:tblCellMar>
      </w:tblPr>
      <w:tblGrid>
        <w:gridCol w:w="1111"/>
        <w:gridCol w:w="9094"/>
      </w:tblGrid>
      <w:tr>
        <w:trPr/>
        <w:tc>
          <w:tcPr>
            <w:tcW w:w="1111" w:type="dxa"/>
            <w:tcBorders/>
            <w:shd w:fill="auto" w:val="clear"/>
          </w:tcPr>
          <w:p>
            <w:pPr>
              <w:pStyle w:val="TableContents"/>
              <w:spacing w:before="0" w:after="0"/>
              <w:jc w:val="right"/>
              <w:rPr/>
            </w:pPr>
            <w:r>
              <w:rPr/>
              <w:t>●  </w:t>
            </w:r>
          </w:p>
        </w:tc>
        <w:tc>
          <w:tcPr>
            <w:tcW w:w="9094" w:type="dxa"/>
            <w:tcBorders/>
            <w:shd w:fill="auto" w:val="clear"/>
          </w:tcPr>
          <w:p>
            <w:pPr>
              <w:pStyle w:val="TableContents"/>
              <w:spacing w:before="0" w:after="0"/>
              <w:ind w:left="0" w:right="0" w:hanging="0"/>
              <w:jc w:val="both"/>
              <w:rPr>
                <w:rFonts w:ascii="helvetica" w:hAnsi="helvetica"/>
                <w:sz w:val="20"/>
              </w:rPr>
            </w:pPr>
            <w:r>
              <w:rPr>
                <w:rFonts w:ascii="helvetica" w:hAnsi="helvetica"/>
                <w:sz w:val="20"/>
              </w:rPr>
              <w:t>our limited operating history;</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336" w:name="list65"/>
      <w:bookmarkStart w:id="337" w:name="list65"/>
      <w:bookmarkEnd w:id="337"/>
    </w:p>
    <w:tbl>
      <w:tblPr>
        <w:tblW w:w="5000" w:type="pct"/>
        <w:jc w:val="left"/>
        <w:tblInd w:w="0" w:type="dxa"/>
        <w:tblCellMar>
          <w:top w:w="0" w:type="dxa"/>
          <w:left w:w="0" w:type="dxa"/>
          <w:bottom w:w="0" w:type="dxa"/>
          <w:right w:w="0" w:type="dxa"/>
        </w:tblCellMar>
      </w:tblPr>
      <w:tblGrid>
        <w:gridCol w:w="667"/>
        <w:gridCol w:w="9538"/>
      </w:tblGrid>
      <w:tr>
        <w:trPr/>
        <w:tc>
          <w:tcPr>
            <w:tcW w:w="667" w:type="dxa"/>
            <w:tcBorders/>
            <w:shd w:fill="auto" w:val="clear"/>
          </w:tcPr>
          <w:p>
            <w:pPr>
              <w:pStyle w:val="TableContents"/>
              <w:spacing w:before="0" w:after="0"/>
              <w:jc w:val="right"/>
              <w:rPr/>
            </w:pPr>
            <w:r>
              <w:rPr/>
              <w:t>●  </w:t>
            </w:r>
          </w:p>
        </w:tc>
        <w:tc>
          <w:tcPr>
            <w:tcW w:w="9538" w:type="dxa"/>
            <w:tcBorders/>
            <w:shd w:fill="auto" w:val="clear"/>
          </w:tcPr>
          <w:p>
            <w:pPr>
              <w:pStyle w:val="TableContents"/>
              <w:spacing w:before="0" w:after="0"/>
              <w:ind w:left="0" w:right="0" w:hanging="0"/>
              <w:jc w:val="both"/>
              <w:rPr>
                <w:rFonts w:ascii="helvetica" w:hAnsi="helvetica"/>
                <w:sz w:val="20"/>
              </w:rPr>
            </w:pPr>
            <w:r>
              <w:rPr>
                <w:rFonts w:ascii="helvetica" w:hAnsi="helvetica"/>
                <w:sz w:val="20"/>
              </w:rPr>
              <w:t>our ability to recruit and retain qualified personnel;</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338" w:name="list66"/>
      <w:bookmarkStart w:id="339" w:name="list66"/>
      <w:bookmarkEnd w:id="339"/>
    </w:p>
    <w:tbl>
      <w:tblPr>
        <w:tblW w:w="5000" w:type="pct"/>
        <w:jc w:val="left"/>
        <w:tblInd w:w="0" w:type="dxa"/>
        <w:tblCellMar>
          <w:top w:w="0" w:type="dxa"/>
          <w:left w:w="0" w:type="dxa"/>
          <w:bottom w:w="0" w:type="dxa"/>
          <w:right w:w="0" w:type="dxa"/>
        </w:tblCellMar>
      </w:tblPr>
      <w:tblGrid>
        <w:gridCol w:w="915"/>
        <w:gridCol w:w="9290"/>
      </w:tblGrid>
      <w:tr>
        <w:trPr/>
        <w:tc>
          <w:tcPr>
            <w:tcW w:w="915" w:type="dxa"/>
            <w:tcBorders/>
            <w:shd w:fill="auto" w:val="clear"/>
          </w:tcPr>
          <w:p>
            <w:pPr>
              <w:pStyle w:val="TableContents"/>
              <w:spacing w:before="0" w:after="0"/>
              <w:jc w:val="right"/>
              <w:rPr/>
            </w:pPr>
            <w:r>
              <w:rPr/>
              <w:t>●  </w:t>
            </w:r>
          </w:p>
        </w:tc>
        <w:tc>
          <w:tcPr>
            <w:tcW w:w="9290" w:type="dxa"/>
            <w:tcBorders/>
            <w:shd w:fill="auto" w:val="clear"/>
          </w:tcPr>
          <w:p>
            <w:pPr>
              <w:pStyle w:val="TableContents"/>
              <w:spacing w:before="0" w:after="0"/>
              <w:ind w:left="0" w:right="0" w:hanging="0"/>
              <w:jc w:val="both"/>
              <w:rPr>
                <w:rFonts w:ascii="helvetica" w:hAnsi="helvetica"/>
                <w:sz w:val="20"/>
              </w:rPr>
            </w:pPr>
            <w:r>
              <w:rPr>
                <w:rFonts w:ascii="helvetica" w:hAnsi="helvetica"/>
                <w:sz w:val="20"/>
              </w:rPr>
              <w:t>our ability to manage future growth;</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340" w:name="list67"/>
      <w:bookmarkStart w:id="341" w:name="list67"/>
      <w:bookmarkEnd w:id="341"/>
    </w:p>
    <w:tbl>
      <w:tblPr>
        <w:tblW w:w="5000" w:type="pct"/>
        <w:jc w:val="left"/>
        <w:tblInd w:w="0" w:type="dxa"/>
        <w:tblCellMar>
          <w:top w:w="0" w:type="dxa"/>
          <w:left w:w="0" w:type="dxa"/>
          <w:bottom w:w="0" w:type="dxa"/>
          <w:right w:w="0" w:type="dxa"/>
        </w:tblCellMar>
      </w:tblPr>
      <w:tblGrid>
        <w:gridCol w:w="365"/>
        <w:gridCol w:w="9840"/>
      </w:tblGrid>
      <w:tr>
        <w:trPr/>
        <w:tc>
          <w:tcPr>
            <w:tcW w:w="365" w:type="dxa"/>
            <w:tcBorders/>
            <w:shd w:fill="auto" w:val="clear"/>
          </w:tcPr>
          <w:p>
            <w:pPr>
              <w:pStyle w:val="TableContents"/>
              <w:spacing w:before="0" w:after="0"/>
              <w:jc w:val="right"/>
              <w:rPr/>
            </w:pPr>
            <w:r>
              <w:rPr/>
              <w:t>●  </w:t>
            </w:r>
          </w:p>
        </w:tc>
        <w:tc>
          <w:tcPr>
            <w:tcW w:w="9840" w:type="dxa"/>
            <w:tcBorders/>
            <w:shd w:fill="auto" w:val="clear"/>
          </w:tcPr>
          <w:p>
            <w:pPr>
              <w:pStyle w:val="TableContents"/>
              <w:spacing w:before="0" w:after="0"/>
              <w:ind w:left="0" w:right="0" w:hanging="0"/>
              <w:jc w:val="both"/>
              <w:rPr>
                <w:rFonts w:ascii="helvetica" w:hAnsi="helvetica"/>
                <w:sz w:val="20"/>
              </w:rPr>
            </w:pPr>
            <w:r>
              <w:rPr>
                <w:rFonts w:ascii="helvetica" w:hAnsi="helvetica"/>
                <w:sz w:val="20"/>
              </w:rPr>
              <w:t>our ability to successfully complete potential acquisitions and collaborative arrangements; and</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342" w:name="list68"/>
      <w:bookmarkStart w:id="343" w:name="list68"/>
      <w:bookmarkEnd w:id="343"/>
    </w:p>
    <w:tbl>
      <w:tblPr>
        <w:tblW w:w="5000" w:type="pct"/>
        <w:jc w:val="left"/>
        <w:tblInd w:w="0" w:type="dxa"/>
        <w:tblCellMar>
          <w:top w:w="0" w:type="dxa"/>
          <w:left w:w="0" w:type="dxa"/>
          <w:bottom w:w="0" w:type="dxa"/>
          <w:right w:w="0" w:type="dxa"/>
        </w:tblCellMar>
      </w:tblPr>
      <w:tblGrid>
        <w:gridCol w:w="520"/>
        <w:gridCol w:w="9685"/>
      </w:tblGrid>
      <w:tr>
        <w:trPr/>
        <w:tc>
          <w:tcPr>
            <w:tcW w:w="520" w:type="dxa"/>
            <w:tcBorders/>
            <w:shd w:fill="auto" w:val="clear"/>
          </w:tcPr>
          <w:p>
            <w:pPr>
              <w:pStyle w:val="TableContents"/>
              <w:spacing w:before="0" w:after="0"/>
              <w:jc w:val="right"/>
              <w:rPr/>
            </w:pPr>
            <w:r>
              <w:rPr/>
              <w:t>●  </w:t>
            </w:r>
          </w:p>
        </w:tc>
        <w:tc>
          <w:tcPr>
            <w:tcW w:w="9685" w:type="dxa"/>
            <w:tcBorders/>
            <w:shd w:fill="auto" w:val="clear"/>
          </w:tcPr>
          <w:p>
            <w:pPr>
              <w:pStyle w:val="TableContents"/>
              <w:spacing w:before="0" w:after="0"/>
              <w:ind w:left="0" w:right="0" w:hanging="0"/>
              <w:jc w:val="both"/>
              <w:rPr>
                <w:rFonts w:ascii="helvetica" w:hAnsi="helvetica"/>
                <w:sz w:val="20"/>
              </w:rPr>
            </w:pPr>
            <w:r>
              <w:rPr>
                <w:rFonts w:ascii="helvetica" w:hAnsi="helvetica"/>
                <w:sz w:val="20"/>
              </w:rPr>
              <w:t>other factors discussed under the section entitled “Risk Factors”.</w:t>
            </w:r>
          </w:p>
        </w:tc>
      </w:tr>
    </w:tbl>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r>
        <w:rPr>
          <w:rFonts w:ascii="helvetica" w:hAnsi="helvetica"/>
          <w:sz w:val="20"/>
        </w:rPr>
        <w:t>Forward-looking statements are based on assumptions that may be incorrect, and there can be no assurance that any projections or other expectations included in any forward-looking statements will come to pass.  Moreover, we operate in a competitive and rapidly changing environment in which new risks emerge from time to time.  Our actual results could differ materially from those expressed or implied by the forward-looking statements as a result of various factors. Except as required by applicable laws, we undertake no obligation to update publicly any forward-looking statements for any reason, even if new information becomes available or other events occur in the future.</w:t>
      </w:r>
    </w:p>
    <w:p>
      <w:pPr>
        <w:pStyle w:val="TextBody"/>
        <w:spacing w:before="0" w:after="0"/>
        <w:ind w:left="0" w:right="0" w:firstLine="720"/>
        <w:jc w:val="left"/>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344" w:name="PGBRK22"/>
      <w:bookmarkStart w:id="345" w:name="PGBRK22"/>
      <w:bookmarkEnd w:id="34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346" w:name="FTR22"/>
      <w:bookmarkStart w:id="347" w:name="FTR22"/>
      <w:bookmarkEnd w:id="34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348" w:name="GLFTR21"/>
      <w:bookmarkEnd w:id="348"/>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helvetica" w:hAnsi="helvetica"/>
          <w:sz w:val="20"/>
        </w:rPr>
      </w:pPr>
      <w:bookmarkStart w:id="349" w:name="PN21"/>
      <w:bookmarkEnd w:id="349"/>
      <w:r>
        <w:rPr>
          <w:rFonts w:ascii="helvetica" w:hAnsi="helvetica"/>
          <w:sz w:val="20"/>
        </w:rPr>
        <w:t>20</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350" w:name="HDR21"/>
      <w:bookmarkStart w:id="351" w:name="HDR21"/>
      <w:bookmarkEnd w:id="35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352" w:name="GLHDR21"/>
      <w:bookmarkEnd w:id="352"/>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pPr>
      <w:r>
        <w:rPr/>
        <w:t> </w:t>
      </w:r>
    </w:p>
    <w:p>
      <w:pPr>
        <w:pStyle w:val="TextBody"/>
        <w:spacing w:before="0" w:after="0"/>
        <w:ind w:left="0" w:right="0" w:hanging="0"/>
        <w:jc w:val="center"/>
        <w:rPr>
          <w:rFonts w:ascii="helvetica" w:hAnsi="helvetica"/>
          <w:b/>
          <w:sz w:val="20"/>
        </w:rPr>
      </w:pPr>
      <w:r>
        <w:rPr>
          <w:rFonts w:ascii="helvetica" w:hAnsi="helvetica"/>
          <w:b/>
          <w:sz w:val="20"/>
        </w:rPr>
        <w:t>USE OF PROCEEDS</w:t>
      </w:r>
    </w:p>
    <w:p>
      <w:pPr>
        <w:pStyle w:val="TextBody"/>
        <w:spacing w:before="0" w:after="0"/>
        <w:ind w:left="0" w:right="0" w:hanging="0"/>
        <w:jc w:val="both"/>
        <w:rPr/>
      </w:pPr>
      <w:r>
        <w:rPr/>
        <w:t> </w:t>
      </w:r>
    </w:p>
    <w:p>
      <w:pPr>
        <w:pStyle w:val="TextBody"/>
        <w:spacing w:before="0" w:after="0"/>
        <w:ind w:left="0" w:right="0" w:firstLine="720"/>
        <w:rPr/>
      </w:pPr>
      <w:bookmarkStart w:id="353" w:name="TAB211"/>
      <w:bookmarkEnd w:id="353"/>
      <w:r>
        <w:rPr>
          <w:color w:val="000000"/>
          <w:spacing w:val="180"/>
        </w:rPr>
        <w:t> </w:t>
      </w:r>
      <w:r>
        <w:rPr>
          <w:rFonts w:ascii="helvetica" w:hAnsi="helvetica"/>
          <w:sz w:val="20"/>
        </w:rPr>
        <w:t>Based on an assumed offering price of $                 per share, we estimate the gross proceeds from the sale of              shares of common stock, prior to deducting underwriting discounts and commissions and the estimated offering expenses payable by us, will be approximately $              million (approximately $              million if the over-allotment option granted to the underwriter is exercised in full).</w:t>
      </w:r>
    </w:p>
    <w:p>
      <w:pPr>
        <w:pStyle w:val="TextBody"/>
        <w:spacing w:before="0" w:after="0"/>
        <w:ind w:left="0" w:right="0" w:firstLine="720"/>
        <w:rPr/>
      </w:pPr>
      <w:r>
        <w:rPr/>
        <w:t> </w:t>
      </w:r>
    </w:p>
    <w:p>
      <w:pPr>
        <w:pStyle w:val="TextBody"/>
        <w:spacing w:before="0" w:after="0"/>
        <w:ind w:left="0" w:right="0" w:firstLine="720"/>
        <w:rPr/>
      </w:pPr>
      <w:bookmarkStart w:id="354" w:name="TAB212"/>
      <w:bookmarkEnd w:id="354"/>
      <w:r>
        <w:rPr>
          <w:color w:val="000000"/>
          <w:spacing w:val="180"/>
        </w:rPr>
        <w:t> </w:t>
      </w:r>
      <w:r>
        <w:rPr>
          <w:rFonts w:ascii="helvetica" w:hAnsi="helvetica"/>
          <w:sz w:val="20"/>
        </w:rPr>
        <w:t>We estimate that we will receive net proceeds of $             million, after deducting underwriting discounts and commissions and our underwriter’s expense allowance and estimated expenses of approximately $          million, which includes legal, accounting, printing costs and various fees associated with the registration and listing of our shares. If the underwriter exercises its right to purchase an additional                shares of common stock to cover over-allotments, we will receive an additional $             million, after deducting $              for underwriting discounts and commissions.</w:t>
      </w:r>
    </w:p>
    <w:p>
      <w:pPr>
        <w:pStyle w:val="TextBody"/>
        <w:spacing w:before="0" w:after="0"/>
        <w:ind w:left="0" w:right="0" w:firstLine="720"/>
        <w:rPr/>
      </w:pPr>
      <w:r>
        <w:rPr/>
        <w:t> </w:t>
      </w:r>
    </w:p>
    <w:p>
      <w:pPr>
        <w:pStyle w:val="TextBody"/>
        <w:spacing w:before="0" w:after="0"/>
        <w:ind w:left="0" w:right="0" w:firstLine="720"/>
        <w:jc w:val="left"/>
        <w:rPr/>
      </w:pPr>
      <w:r>
        <w:rPr>
          <w:rFonts w:ascii="helvetica" w:hAnsi="helvetica"/>
          <w:sz w:val="20"/>
        </w:rPr>
        <w:t>We currently expect to use approximately $8.5 million of the funds received in this offering to fund our Phase 3 clinical trials for Impracor.  We also expect to use any funds we receive from the underwriter in connection with its exercise of the over-allotment option, along with the $7.95 million raised in our April Private Placement and the $4 million raised in connection with the PCCA Transaction, to further fund these efforts, and fund additional IP protection and other Accudel related research and development expenses. We may also use a portion of these proceeds for the potential acquisition of, or investment in, product candidates, technologies, formulations or companies that complement our business, although other than as provided in the PCCA License Agreement, we have no current understandings, commitments, or agreements to do so. The following table summarizes our intent regarding use of such proceeds:</w:t>
      </w:r>
      <w:r>
        <w:rPr/>
        <w:t xml:space="preserve"> </w:t>
      </w:r>
    </w:p>
    <w:p>
      <w:pPr>
        <w:pStyle w:val="TextBody"/>
        <w:spacing w:before="0" w:after="0"/>
        <w:ind w:left="0" w:right="0" w:firstLine="720"/>
        <w:jc w:val="left"/>
        <w:rPr/>
      </w:pPr>
      <w:r>
        <w:rPr/>
        <w:t> </w:t>
      </w:r>
    </w:p>
    <w:tbl>
      <w:tblPr>
        <w:tblW w:w="5000" w:type="pct"/>
        <w:jc w:val="left"/>
        <w:tblInd w:w="0" w:type="dxa"/>
        <w:tblCellMar>
          <w:top w:w="0" w:type="dxa"/>
          <w:left w:w="0" w:type="dxa"/>
          <w:bottom w:w="0" w:type="dxa"/>
          <w:right w:w="0" w:type="dxa"/>
        </w:tblCellMar>
      </w:tblPr>
      <w:tblGrid>
        <w:gridCol w:w="4954"/>
        <w:gridCol w:w="109"/>
        <w:gridCol w:w="1106"/>
        <w:gridCol w:w="131"/>
        <w:gridCol w:w="109"/>
        <w:gridCol w:w="109"/>
        <w:gridCol w:w="906"/>
        <w:gridCol w:w="131"/>
        <w:gridCol w:w="109"/>
        <w:gridCol w:w="1145"/>
        <w:gridCol w:w="131"/>
        <w:gridCol w:w="108"/>
        <w:gridCol w:w="109"/>
        <w:gridCol w:w="906"/>
        <w:gridCol w:w="142"/>
      </w:tblGrid>
      <w:tr>
        <w:trPr/>
        <w:tc>
          <w:tcPr>
            <w:tcW w:w="4954" w:type="dxa"/>
            <w:tcBorders/>
            <w:shd w:fill="auto" w:val="clear"/>
            <w:vAlign w:val="bottom"/>
          </w:tcPr>
          <w:p>
            <w:pPr>
              <w:pStyle w:val="TableContents"/>
              <w:spacing w:before="0" w:after="283"/>
              <w:rPr/>
            </w:pPr>
            <w:r>
              <w:rPr/>
              <w:t xml:space="preserve">  </w:t>
            </w:r>
          </w:p>
        </w:tc>
        <w:tc>
          <w:tcPr>
            <w:tcW w:w="109" w:type="dxa"/>
            <w:tcBorders/>
            <w:shd w:fill="auto" w:val="clear"/>
            <w:vAlign w:val="bottom"/>
          </w:tcPr>
          <w:p>
            <w:pPr>
              <w:pStyle w:val="TableContents"/>
              <w:spacing w:before="0" w:after="283"/>
              <w:rPr/>
            </w:pPr>
            <w:r>
              <w:rPr/>
              <w:t xml:space="preserve">  </w:t>
            </w:r>
          </w:p>
        </w:tc>
        <w:tc>
          <w:tcPr>
            <w:tcW w:w="2361" w:type="dxa"/>
            <w:gridSpan w:val="5"/>
            <w:tcBorders/>
            <w:shd w:fill="auto" w:val="clear"/>
            <w:vAlign w:val="bottom"/>
          </w:tcPr>
          <w:p>
            <w:pPr>
              <w:pStyle w:val="TableContents"/>
              <w:spacing w:before="0" w:after="283"/>
              <w:rPr/>
            </w:pPr>
            <w:r>
              <w:rPr/>
              <w:t xml:space="preserve">  </w:t>
            </w:r>
          </w:p>
        </w:tc>
        <w:tc>
          <w:tcPr>
            <w:tcW w:w="131" w:type="dxa"/>
            <w:tcBorders/>
            <w:shd w:fill="auto" w:val="clear"/>
            <w:vAlign w:val="bottom"/>
          </w:tcPr>
          <w:p>
            <w:pPr>
              <w:pStyle w:val="TableContents"/>
              <w:spacing w:before="0" w:after="283"/>
              <w:jc w:val="left"/>
              <w:rPr/>
            </w:pPr>
            <w:r>
              <w:rPr/>
              <w:t xml:space="preserve">  </w:t>
            </w:r>
          </w:p>
        </w:tc>
        <w:tc>
          <w:tcPr>
            <w:tcW w:w="109" w:type="dxa"/>
            <w:tcBorders/>
            <w:shd w:fill="auto" w:val="clear"/>
            <w:vAlign w:val="bottom"/>
          </w:tcPr>
          <w:p>
            <w:pPr>
              <w:pStyle w:val="TableContents"/>
              <w:spacing w:before="0" w:after="283"/>
              <w:rPr/>
            </w:pPr>
            <w:r>
              <w:rPr/>
              <w:t xml:space="preserve">  </w:t>
            </w:r>
          </w:p>
        </w:tc>
        <w:tc>
          <w:tcPr>
            <w:tcW w:w="2399" w:type="dxa"/>
            <w:gridSpan w:val="5"/>
            <w:tcBorders/>
            <w:shd w:fill="auto" w:val="clear"/>
            <w:vAlign w:val="bottom"/>
          </w:tcPr>
          <w:p>
            <w:pPr>
              <w:pStyle w:val="TableContents"/>
              <w:spacing w:before="0" w:after="0"/>
              <w:ind w:left="0" w:right="0" w:hanging="0"/>
              <w:jc w:val="center"/>
              <w:rPr/>
            </w:pPr>
            <w:r>
              <w:rPr>
                <w:rFonts w:ascii="helvetica" w:hAnsi="helvetica"/>
                <w:sz w:val="20"/>
              </w:rPr>
              <w:t>Proposed Offering with</w:t>
            </w:r>
            <w:r>
              <w:rPr/>
              <w:t xml:space="preserve"> </w:t>
            </w:r>
          </w:p>
        </w:tc>
        <w:tc>
          <w:tcPr>
            <w:tcW w:w="142" w:type="dxa"/>
            <w:tcBorders/>
            <w:shd w:fill="auto" w:val="clear"/>
            <w:vAlign w:val="bottom"/>
          </w:tcPr>
          <w:p>
            <w:pPr>
              <w:pStyle w:val="TableContents"/>
              <w:spacing w:before="0" w:after="283"/>
              <w:jc w:val="left"/>
              <w:rPr/>
            </w:pPr>
            <w:r>
              <w:rPr/>
              <w:t xml:space="preserve">  </w:t>
            </w:r>
          </w:p>
        </w:tc>
      </w:tr>
      <w:tr>
        <w:trPr/>
        <w:tc>
          <w:tcPr>
            <w:tcW w:w="4954" w:type="dxa"/>
            <w:tcBorders/>
            <w:shd w:fill="auto" w:val="clear"/>
            <w:vAlign w:val="bottom"/>
          </w:tcPr>
          <w:p>
            <w:pPr>
              <w:pStyle w:val="TableContents"/>
              <w:spacing w:before="0" w:after="0"/>
              <w:ind w:left="0" w:right="0" w:hanging="0"/>
              <w:jc w:val="left"/>
              <w:rPr/>
            </w:pPr>
            <w:r>
              <w:rPr>
                <w:rFonts w:ascii="helvetica" w:hAnsi="helvetica"/>
                <w:sz w:val="20"/>
              </w:rPr>
              <w:t>Clinical:</w:t>
            </w:r>
            <w:r>
              <w:rPr/>
              <w:t xml:space="preserve"> </w:t>
            </w:r>
          </w:p>
        </w:tc>
        <w:tc>
          <w:tcPr>
            <w:tcW w:w="109" w:type="dxa"/>
            <w:tcBorders/>
            <w:shd w:fill="auto" w:val="clear"/>
            <w:vAlign w:val="bottom"/>
          </w:tcPr>
          <w:p>
            <w:pPr>
              <w:pStyle w:val="TableContents"/>
              <w:spacing w:before="0" w:after="283"/>
              <w:rPr/>
            </w:pPr>
            <w:r>
              <w:rPr/>
              <w:t xml:space="preserve">  </w:t>
            </w:r>
          </w:p>
        </w:tc>
        <w:tc>
          <w:tcPr>
            <w:tcW w:w="2361" w:type="dxa"/>
            <w:gridSpan w:val="5"/>
            <w:tcBorders>
              <w:bottom w:val="single" w:sz="12" w:space="0" w:color="000000"/>
            </w:tcBorders>
            <w:shd w:fill="auto" w:val="clear"/>
            <w:tcMar>
              <w:bottom w:w="28" w:type="dxa"/>
            </w:tcMar>
            <w:vAlign w:val="bottom"/>
          </w:tcPr>
          <w:p>
            <w:pPr>
              <w:pStyle w:val="TableContents"/>
              <w:spacing w:before="0" w:after="0"/>
              <w:ind w:left="0" w:right="0" w:hanging="0"/>
              <w:jc w:val="center"/>
              <w:rPr/>
            </w:pPr>
            <w:r>
              <w:rPr>
                <w:rFonts w:ascii="helvetica" w:hAnsi="helvetica"/>
                <w:sz w:val="20"/>
              </w:rPr>
              <w:t>Proposed Offering</w:t>
            </w:r>
            <w:r>
              <w:rPr/>
              <w:t xml:space="preserve"> </w:t>
            </w:r>
          </w:p>
        </w:tc>
        <w:tc>
          <w:tcPr>
            <w:tcW w:w="131" w:type="dxa"/>
            <w:tcBorders/>
            <w:shd w:fill="auto" w:val="clear"/>
            <w:vAlign w:val="bottom"/>
          </w:tcPr>
          <w:p>
            <w:pPr>
              <w:pStyle w:val="TableContents"/>
              <w:spacing w:before="0" w:after="283"/>
              <w:jc w:val="left"/>
              <w:rPr/>
            </w:pPr>
            <w:r>
              <w:rPr/>
              <w:t xml:space="preserve">  </w:t>
            </w:r>
          </w:p>
        </w:tc>
        <w:tc>
          <w:tcPr>
            <w:tcW w:w="109" w:type="dxa"/>
            <w:tcBorders/>
            <w:shd w:fill="auto" w:val="clear"/>
            <w:vAlign w:val="bottom"/>
          </w:tcPr>
          <w:p>
            <w:pPr>
              <w:pStyle w:val="TableContents"/>
              <w:spacing w:before="0" w:after="283"/>
              <w:rPr/>
            </w:pPr>
            <w:r>
              <w:rPr/>
              <w:t xml:space="preserve">  </w:t>
            </w:r>
          </w:p>
        </w:tc>
        <w:tc>
          <w:tcPr>
            <w:tcW w:w="2399" w:type="dxa"/>
            <w:gridSpan w:val="5"/>
            <w:tcBorders>
              <w:bottom w:val="single" w:sz="12" w:space="0" w:color="000000"/>
            </w:tcBorders>
            <w:shd w:fill="auto" w:val="clear"/>
            <w:tcMar>
              <w:bottom w:w="28" w:type="dxa"/>
            </w:tcMar>
            <w:vAlign w:val="bottom"/>
          </w:tcPr>
          <w:p>
            <w:pPr>
              <w:pStyle w:val="TableContents"/>
              <w:spacing w:before="0" w:after="0"/>
              <w:ind w:left="0" w:right="0" w:hanging="0"/>
              <w:jc w:val="center"/>
              <w:rPr/>
            </w:pPr>
            <w:r>
              <w:rPr>
                <w:rFonts w:ascii="helvetica" w:hAnsi="helvetica"/>
                <w:sz w:val="20"/>
              </w:rPr>
              <w:t>Over Allotment Option</w:t>
            </w:r>
            <w:r>
              <w:rPr/>
              <w:t xml:space="preserve"> </w:t>
            </w:r>
          </w:p>
        </w:tc>
        <w:tc>
          <w:tcPr>
            <w:tcW w:w="142" w:type="dxa"/>
            <w:tcBorders/>
            <w:shd w:fill="auto" w:val="clear"/>
            <w:vAlign w:val="bottom"/>
          </w:tcPr>
          <w:p>
            <w:pPr>
              <w:pStyle w:val="TableContents"/>
              <w:spacing w:before="0" w:after="283"/>
              <w:jc w:val="left"/>
              <w:rPr/>
            </w:pPr>
            <w:r>
              <w:rPr/>
              <w:t xml:space="preserve">  </w:t>
            </w:r>
          </w:p>
        </w:tc>
      </w:tr>
      <w:tr>
        <w:trPr/>
        <w:tc>
          <w:tcPr>
            <w:tcW w:w="4954" w:type="dxa"/>
            <w:tcBorders/>
            <w:shd w:fill="CCEEFF" w:val="clear"/>
            <w:vAlign w:val="bottom"/>
          </w:tcPr>
          <w:p>
            <w:pPr>
              <w:pStyle w:val="TableContents"/>
              <w:spacing w:before="0" w:after="0"/>
              <w:ind w:left="0" w:right="0" w:hanging="0"/>
              <w:jc w:val="left"/>
              <w:rPr/>
            </w:pPr>
            <w:r>
              <w:rPr>
                <w:rFonts w:ascii="helvetica" w:hAnsi="helvetica"/>
                <w:sz w:val="20"/>
              </w:rPr>
              <w:t>Phase 3 Acute OA Flare Trial No. 1</w:t>
            </w:r>
            <w:r>
              <w:rPr/>
              <w:t xml:space="preserve"> </w:t>
            </w:r>
          </w:p>
        </w:tc>
        <w:tc>
          <w:tcPr>
            <w:tcW w:w="109" w:type="dxa"/>
            <w:tcBorders/>
            <w:shd w:fill="CCEEFF" w:val="clear"/>
            <w:vAlign w:val="bottom"/>
          </w:tcPr>
          <w:p>
            <w:pPr>
              <w:pStyle w:val="TableContents"/>
              <w:spacing w:before="0" w:after="283"/>
              <w:jc w:val="left"/>
              <w:rPr/>
            </w:pPr>
            <w:r>
              <w:rPr/>
              <w:t xml:space="preserve">  </w:t>
            </w:r>
          </w:p>
        </w:tc>
        <w:tc>
          <w:tcPr>
            <w:tcW w:w="1106" w:type="dxa"/>
            <w:tcBorders/>
            <w:shd w:fill="CCEEFF" w:val="clear"/>
            <w:vAlign w:val="bottom"/>
          </w:tcPr>
          <w:p>
            <w:pPr>
              <w:pStyle w:val="TableContents"/>
              <w:spacing w:before="0" w:after="283"/>
              <w:jc w:val="center"/>
              <w:rPr/>
            </w:pPr>
            <w:r>
              <w:rPr/>
              <w:t> </w:t>
            </w:r>
            <w:r>
              <w:rPr>
                <w:rFonts w:ascii="helvetica" w:hAnsi="helvetica"/>
                <w:sz w:val="20"/>
              </w:rPr>
              <w:t>$</w:t>
            </w:r>
            <w:r>
              <w:rPr/>
              <w:t xml:space="preserve"> </w:t>
            </w:r>
            <w:r>
              <w:rPr>
                <w:rFonts w:ascii="helvetica" w:hAnsi="helvetica"/>
                <w:sz w:val="20"/>
              </w:rPr>
              <w:t>5,000,000</w:t>
            </w:r>
            <w:r>
              <w:rPr/>
              <w:t xml:space="preserve"> </w:t>
            </w:r>
          </w:p>
        </w:tc>
        <w:tc>
          <w:tcPr>
            <w:tcW w:w="131" w:type="dxa"/>
            <w:tcBorders/>
            <w:shd w:fill="CCEEFF" w:val="clear"/>
            <w:vAlign w:val="bottom"/>
          </w:tcPr>
          <w:p>
            <w:pPr>
              <w:pStyle w:val="TableContents"/>
              <w:spacing w:before="0" w:after="283"/>
              <w:jc w:val="left"/>
              <w:rPr/>
            </w:pPr>
            <w:r>
              <w:rPr/>
              <w:t xml:space="preserve">  </w:t>
            </w:r>
          </w:p>
        </w:tc>
        <w:tc>
          <w:tcPr>
            <w:tcW w:w="109" w:type="dxa"/>
            <w:tcBorders/>
            <w:shd w:fill="CCEEFF" w:val="clear"/>
            <w:vAlign w:val="bottom"/>
          </w:tcPr>
          <w:p>
            <w:pPr>
              <w:pStyle w:val="TableContents"/>
              <w:spacing w:before="0" w:after="283"/>
              <w:jc w:val="right"/>
              <w:rPr/>
            </w:pPr>
            <w:r>
              <w:rPr/>
              <w:t xml:space="preserve">  </w:t>
            </w:r>
          </w:p>
        </w:tc>
        <w:tc>
          <w:tcPr>
            <w:tcW w:w="109" w:type="dxa"/>
            <w:tcBorders/>
            <w:shd w:fill="CCEEFF" w:val="clear"/>
            <w:vAlign w:val="bottom"/>
          </w:tcPr>
          <w:p>
            <w:pPr>
              <w:pStyle w:val="TableContents"/>
              <w:spacing w:before="0" w:after="283"/>
              <w:jc w:val="left"/>
              <w:rPr/>
            </w:pPr>
            <w:r>
              <w:rPr/>
              <w:t xml:space="preserve">  </w:t>
            </w:r>
          </w:p>
        </w:tc>
        <w:tc>
          <w:tcPr>
            <w:tcW w:w="906" w:type="dxa"/>
            <w:tcBorders/>
            <w:shd w:fill="CCEEFF" w:val="clear"/>
            <w:vAlign w:val="bottom"/>
          </w:tcPr>
          <w:p>
            <w:pPr>
              <w:pStyle w:val="TableContents"/>
              <w:spacing w:before="0" w:after="283"/>
              <w:jc w:val="center"/>
              <w:rPr/>
            </w:pPr>
            <w:r>
              <w:rPr/>
              <w:t> </w:t>
            </w:r>
            <w:r>
              <w:rPr>
                <w:rFonts w:ascii="helvetica" w:hAnsi="helvetica"/>
                <w:sz w:val="20"/>
              </w:rPr>
              <w:t>59%</w:t>
            </w:r>
            <w:r>
              <w:rPr/>
              <w:t xml:space="preserve"> </w:t>
            </w:r>
          </w:p>
        </w:tc>
        <w:tc>
          <w:tcPr>
            <w:tcW w:w="131" w:type="dxa"/>
            <w:tcBorders/>
            <w:shd w:fill="CCEEFF" w:val="clear"/>
            <w:vAlign w:val="bottom"/>
          </w:tcPr>
          <w:p>
            <w:pPr>
              <w:pStyle w:val="TableContents"/>
              <w:spacing w:before="0" w:after="283"/>
              <w:jc w:val="left"/>
              <w:rPr/>
            </w:pPr>
            <w:r>
              <w:rPr/>
              <w:t> </w:t>
            </w:r>
          </w:p>
        </w:tc>
        <w:tc>
          <w:tcPr>
            <w:tcW w:w="109" w:type="dxa"/>
            <w:tcBorders/>
            <w:shd w:fill="CCEEFF" w:val="clear"/>
            <w:vAlign w:val="bottom"/>
          </w:tcPr>
          <w:p>
            <w:pPr>
              <w:pStyle w:val="TableContents"/>
              <w:spacing w:before="0" w:after="283"/>
              <w:jc w:val="left"/>
              <w:rPr/>
            </w:pPr>
            <w:r>
              <w:rPr/>
              <w:t xml:space="preserve">  </w:t>
            </w:r>
          </w:p>
        </w:tc>
        <w:tc>
          <w:tcPr>
            <w:tcW w:w="1145" w:type="dxa"/>
            <w:tcBorders/>
            <w:shd w:fill="CCEEFF" w:val="clear"/>
            <w:vAlign w:val="bottom"/>
          </w:tcPr>
          <w:p>
            <w:pPr>
              <w:pStyle w:val="TableContents"/>
              <w:spacing w:before="0" w:after="283"/>
              <w:jc w:val="center"/>
              <w:rPr/>
            </w:pPr>
            <w:r>
              <w:rPr>
                <w:rFonts w:ascii="helvetica" w:hAnsi="helvetica"/>
                <w:sz w:val="20"/>
              </w:rPr>
              <w:t>$5,000,000</w:t>
            </w:r>
            <w:r>
              <w:rPr/>
              <w:t xml:space="preserve"> </w:t>
            </w:r>
          </w:p>
        </w:tc>
        <w:tc>
          <w:tcPr>
            <w:tcW w:w="131" w:type="dxa"/>
            <w:tcBorders/>
            <w:shd w:fill="CCEEFF" w:val="clear"/>
            <w:vAlign w:val="bottom"/>
          </w:tcPr>
          <w:p>
            <w:pPr>
              <w:pStyle w:val="TableContents"/>
              <w:spacing w:before="0" w:after="283"/>
              <w:jc w:val="left"/>
              <w:rPr/>
            </w:pPr>
            <w:r>
              <w:rPr/>
              <w:t xml:space="preserve">  </w:t>
            </w:r>
          </w:p>
        </w:tc>
        <w:tc>
          <w:tcPr>
            <w:tcW w:w="108" w:type="dxa"/>
            <w:tcBorders/>
            <w:shd w:fill="CCEEFF" w:val="clear"/>
            <w:vAlign w:val="bottom"/>
          </w:tcPr>
          <w:p>
            <w:pPr>
              <w:pStyle w:val="TableContents"/>
              <w:spacing w:before="0" w:after="283"/>
              <w:jc w:val="right"/>
              <w:rPr/>
            </w:pPr>
            <w:r>
              <w:rPr/>
              <w:t xml:space="preserve">  </w:t>
            </w:r>
          </w:p>
        </w:tc>
        <w:tc>
          <w:tcPr>
            <w:tcW w:w="109" w:type="dxa"/>
            <w:tcBorders/>
            <w:shd w:fill="CCEEFF" w:val="clear"/>
            <w:vAlign w:val="bottom"/>
          </w:tcPr>
          <w:p>
            <w:pPr>
              <w:pStyle w:val="TableContents"/>
              <w:spacing w:before="0" w:after="283"/>
              <w:jc w:val="left"/>
              <w:rPr/>
            </w:pPr>
            <w:r>
              <w:rPr/>
              <w:t xml:space="preserve">  </w:t>
            </w:r>
          </w:p>
        </w:tc>
        <w:tc>
          <w:tcPr>
            <w:tcW w:w="906" w:type="dxa"/>
            <w:tcBorders/>
            <w:shd w:fill="CCEEFF" w:val="clear"/>
            <w:vAlign w:val="bottom"/>
          </w:tcPr>
          <w:p>
            <w:pPr>
              <w:pStyle w:val="TableContents"/>
              <w:spacing w:before="0" w:after="283"/>
              <w:jc w:val="center"/>
              <w:rPr/>
            </w:pPr>
            <w:r>
              <w:rPr/>
              <w:t> </w:t>
            </w:r>
            <w:r>
              <w:rPr>
                <w:rFonts w:ascii="helvetica" w:hAnsi="helvetica"/>
                <w:sz w:val="20"/>
              </w:rPr>
              <w:t>51%</w:t>
            </w:r>
            <w:r>
              <w:rPr/>
              <w:t xml:space="preserve"> </w:t>
            </w:r>
          </w:p>
        </w:tc>
        <w:tc>
          <w:tcPr>
            <w:tcW w:w="142" w:type="dxa"/>
            <w:tcBorders/>
            <w:shd w:fill="CCEEFF" w:val="clear"/>
            <w:vAlign w:val="bottom"/>
          </w:tcPr>
          <w:p>
            <w:pPr>
              <w:pStyle w:val="TableContents"/>
              <w:spacing w:before="0" w:after="283"/>
              <w:jc w:val="left"/>
              <w:rPr/>
            </w:pPr>
            <w:r>
              <w:rPr/>
              <w:t> </w:t>
            </w:r>
          </w:p>
        </w:tc>
      </w:tr>
      <w:tr>
        <w:trPr/>
        <w:tc>
          <w:tcPr>
            <w:tcW w:w="4954" w:type="dxa"/>
            <w:tcBorders/>
            <w:shd w:fill="FFFFFF" w:val="clear"/>
            <w:vAlign w:val="bottom"/>
          </w:tcPr>
          <w:p>
            <w:pPr>
              <w:pStyle w:val="TableContents"/>
              <w:spacing w:before="0" w:after="0"/>
              <w:ind w:left="0" w:right="0" w:hanging="0"/>
              <w:jc w:val="left"/>
              <w:rPr/>
            </w:pPr>
            <w:r>
              <w:rPr>
                <w:rFonts w:ascii="helvetica" w:hAnsi="helvetica"/>
                <w:sz w:val="20"/>
              </w:rPr>
              <w:t>Phase 3 Acute OA Flare Trial No. 2</w:t>
            </w:r>
            <w:r>
              <w:rPr/>
              <w:t xml:space="preserve"> </w:t>
            </w:r>
          </w:p>
        </w:tc>
        <w:tc>
          <w:tcPr>
            <w:tcW w:w="109" w:type="dxa"/>
            <w:tcBorders/>
            <w:shd w:fill="FFFFFF" w:val="clear"/>
            <w:vAlign w:val="bottom"/>
          </w:tcPr>
          <w:p>
            <w:pPr>
              <w:pStyle w:val="TableContents"/>
              <w:spacing w:before="0" w:after="283"/>
              <w:jc w:val="left"/>
              <w:rPr/>
            </w:pPr>
            <w:r>
              <w:rPr/>
              <w:t xml:space="preserve">  </w:t>
            </w:r>
          </w:p>
        </w:tc>
        <w:tc>
          <w:tcPr>
            <w:tcW w:w="1106" w:type="dxa"/>
            <w:tcBorders/>
            <w:shd w:fill="FFFFFF" w:val="clear"/>
            <w:vAlign w:val="bottom"/>
          </w:tcPr>
          <w:p>
            <w:pPr>
              <w:pStyle w:val="TableContents"/>
              <w:spacing w:before="0" w:after="283"/>
              <w:jc w:val="center"/>
              <w:rPr/>
            </w:pPr>
            <w:r>
              <w:rPr/>
              <w:t xml:space="preserve">   </w:t>
            </w:r>
            <w:r>
              <w:rPr>
                <w:rFonts w:ascii="helvetica" w:hAnsi="helvetica"/>
                <w:sz w:val="20"/>
              </w:rPr>
              <w:t>3,500,000</w:t>
            </w:r>
            <w:r>
              <w:rPr/>
              <w:t xml:space="preserve"> </w:t>
            </w:r>
          </w:p>
        </w:tc>
        <w:tc>
          <w:tcPr>
            <w:tcW w:w="131" w:type="dxa"/>
            <w:tcBorders/>
            <w:shd w:fill="FFFFFF" w:val="clear"/>
            <w:vAlign w:val="bottom"/>
          </w:tcPr>
          <w:p>
            <w:pPr>
              <w:pStyle w:val="TableContents"/>
              <w:spacing w:before="0" w:after="283"/>
              <w:jc w:val="left"/>
              <w:rPr/>
            </w:pPr>
            <w:r>
              <w:rPr/>
              <w:t xml:space="preserve">  </w:t>
            </w:r>
          </w:p>
        </w:tc>
        <w:tc>
          <w:tcPr>
            <w:tcW w:w="109" w:type="dxa"/>
            <w:tcBorders/>
            <w:shd w:fill="FFFFFF" w:val="clear"/>
            <w:vAlign w:val="bottom"/>
          </w:tcPr>
          <w:p>
            <w:pPr>
              <w:pStyle w:val="TableContents"/>
              <w:spacing w:before="0" w:after="283"/>
              <w:jc w:val="right"/>
              <w:rPr/>
            </w:pPr>
            <w:r>
              <w:rPr/>
              <w:t xml:space="preserve">  </w:t>
            </w:r>
          </w:p>
        </w:tc>
        <w:tc>
          <w:tcPr>
            <w:tcW w:w="109" w:type="dxa"/>
            <w:tcBorders/>
            <w:shd w:fill="FFFFFF" w:val="clear"/>
            <w:vAlign w:val="bottom"/>
          </w:tcPr>
          <w:p>
            <w:pPr>
              <w:pStyle w:val="TableContents"/>
              <w:spacing w:before="0" w:after="283"/>
              <w:jc w:val="left"/>
              <w:rPr/>
            </w:pPr>
            <w:r>
              <w:rPr/>
              <w:t xml:space="preserve">  </w:t>
            </w:r>
          </w:p>
        </w:tc>
        <w:tc>
          <w:tcPr>
            <w:tcW w:w="906" w:type="dxa"/>
            <w:tcBorders/>
            <w:shd w:fill="FFFFFF" w:val="clear"/>
            <w:vAlign w:val="bottom"/>
          </w:tcPr>
          <w:p>
            <w:pPr>
              <w:pStyle w:val="TableContents"/>
              <w:spacing w:before="0" w:after="283"/>
              <w:jc w:val="center"/>
              <w:rPr/>
            </w:pPr>
            <w:r>
              <w:rPr/>
              <w:t> </w:t>
            </w:r>
            <w:r>
              <w:rPr>
                <w:rFonts w:ascii="helvetica" w:hAnsi="helvetica"/>
                <w:sz w:val="20"/>
              </w:rPr>
              <w:t>41%</w:t>
            </w:r>
            <w:r>
              <w:rPr/>
              <w:t xml:space="preserve"> </w:t>
            </w:r>
          </w:p>
        </w:tc>
        <w:tc>
          <w:tcPr>
            <w:tcW w:w="131" w:type="dxa"/>
            <w:tcBorders/>
            <w:shd w:fill="FFFFFF" w:val="clear"/>
            <w:vAlign w:val="bottom"/>
          </w:tcPr>
          <w:p>
            <w:pPr>
              <w:pStyle w:val="TableContents"/>
              <w:spacing w:before="0" w:after="283"/>
              <w:jc w:val="left"/>
              <w:rPr/>
            </w:pPr>
            <w:r>
              <w:rPr/>
              <w:t> </w:t>
            </w:r>
          </w:p>
        </w:tc>
        <w:tc>
          <w:tcPr>
            <w:tcW w:w="109" w:type="dxa"/>
            <w:tcBorders/>
            <w:shd w:fill="FFFFFF" w:val="clear"/>
            <w:vAlign w:val="bottom"/>
          </w:tcPr>
          <w:p>
            <w:pPr>
              <w:pStyle w:val="TableContents"/>
              <w:spacing w:before="0" w:after="283"/>
              <w:jc w:val="left"/>
              <w:rPr/>
            </w:pPr>
            <w:r>
              <w:rPr/>
              <w:t xml:space="preserve">  </w:t>
            </w:r>
          </w:p>
        </w:tc>
        <w:tc>
          <w:tcPr>
            <w:tcW w:w="1145" w:type="dxa"/>
            <w:tcBorders/>
            <w:shd w:fill="FFFFFF" w:val="clear"/>
            <w:vAlign w:val="bottom"/>
          </w:tcPr>
          <w:p>
            <w:pPr>
              <w:pStyle w:val="TableContents"/>
              <w:spacing w:before="0" w:after="283"/>
              <w:jc w:val="center"/>
              <w:rPr/>
            </w:pPr>
            <w:r>
              <w:rPr/>
              <w:t xml:space="preserve">   </w:t>
            </w:r>
            <w:r>
              <w:rPr>
                <w:rFonts w:ascii="helvetica" w:hAnsi="helvetica"/>
                <w:sz w:val="20"/>
              </w:rPr>
              <w:t>4,500,000</w:t>
            </w:r>
            <w:r>
              <w:rPr/>
              <w:t xml:space="preserve"> </w:t>
            </w:r>
          </w:p>
        </w:tc>
        <w:tc>
          <w:tcPr>
            <w:tcW w:w="131" w:type="dxa"/>
            <w:tcBorders/>
            <w:shd w:fill="FFFFFF" w:val="clear"/>
            <w:vAlign w:val="bottom"/>
          </w:tcPr>
          <w:p>
            <w:pPr>
              <w:pStyle w:val="TableContents"/>
              <w:spacing w:before="0" w:after="283"/>
              <w:jc w:val="left"/>
              <w:rPr/>
            </w:pPr>
            <w:r>
              <w:rPr/>
              <w:t xml:space="preserve">  </w:t>
            </w:r>
          </w:p>
        </w:tc>
        <w:tc>
          <w:tcPr>
            <w:tcW w:w="108" w:type="dxa"/>
            <w:tcBorders/>
            <w:shd w:fill="FFFFFF" w:val="clear"/>
            <w:vAlign w:val="bottom"/>
          </w:tcPr>
          <w:p>
            <w:pPr>
              <w:pStyle w:val="TableContents"/>
              <w:spacing w:before="0" w:after="283"/>
              <w:jc w:val="right"/>
              <w:rPr/>
            </w:pPr>
            <w:r>
              <w:rPr/>
              <w:t xml:space="preserve">  </w:t>
            </w:r>
          </w:p>
        </w:tc>
        <w:tc>
          <w:tcPr>
            <w:tcW w:w="109" w:type="dxa"/>
            <w:tcBorders/>
            <w:shd w:fill="FFFFFF" w:val="clear"/>
            <w:vAlign w:val="bottom"/>
          </w:tcPr>
          <w:p>
            <w:pPr>
              <w:pStyle w:val="TableContents"/>
              <w:spacing w:before="0" w:after="283"/>
              <w:jc w:val="left"/>
              <w:rPr/>
            </w:pPr>
            <w:r>
              <w:rPr/>
              <w:t xml:space="preserve">  </w:t>
            </w:r>
          </w:p>
        </w:tc>
        <w:tc>
          <w:tcPr>
            <w:tcW w:w="906" w:type="dxa"/>
            <w:tcBorders/>
            <w:shd w:fill="FFFFFF" w:val="clear"/>
            <w:vAlign w:val="bottom"/>
          </w:tcPr>
          <w:p>
            <w:pPr>
              <w:pStyle w:val="TableContents"/>
              <w:spacing w:before="0" w:after="283"/>
              <w:jc w:val="center"/>
              <w:rPr/>
            </w:pPr>
            <w:r>
              <w:rPr/>
              <w:t> </w:t>
            </w:r>
            <w:r>
              <w:rPr>
                <w:rFonts w:ascii="helvetica" w:hAnsi="helvetica"/>
                <w:sz w:val="20"/>
              </w:rPr>
              <w:t>46%</w:t>
            </w:r>
            <w:r>
              <w:rPr/>
              <w:t xml:space="preserve"> </w:t>
            </w:r>
          </w:p>
        </w:tc>
        <w:tc>
          <w:tcPr>
            <w:tcW w:w="142" w:type="dxa"/>
            <w:tcBorders/>
            <w:shd w:fill="FFFFFF" w:val="clear"/>
            <w:vAlign w:val="bottom"/>
          </w:tcPr>
          <w:p>
            <w:pPr>
              <w:pStyle w:val="TableContents"/>
              <w:spacing w:before="0" w:after="283"/>
              <w:jc w:val="left"/>
              <w:rPr/>
            </w:pPr>
            <w:r>
              <w:rPr/>
              <w:t> </w:t>
            </w:r>
          </w:p>
        </w:tc>
      </w:tr>
      <w:tr>
        <w:trPr/>
        <w:tc>
          <w:tcPr>
            <w:tcW w:w="4954" w:type="dxa"/>
            <w:tcBorders/>
            <w:shd w:fill="CCEEFF" w:val="clear"/>
            <w:vAlign w:val="bottom"/>
          </w:tcPr>
          <w:p>
            <w:pPr>
              <w:pStyle w:val="TableContents"/>
              <w:spacing w:before="0" w:after="0"/>
              <w:ind w:left="0" w:right="0" w:hanging="0"/>
              <w:jc w:val="left"/>
              <w:rPr/>
            </w:pPr>
            <w:r>
              <w:rPr>
                <w:rFonts w:ascii="helvetica" w:hAnsi="helvetica"/>
                <w:sz w:val="20"/>
              </w:rPr>
              <w:t>IP Protection, Research and Development</w:t>
            </w:r>
            <w:r>
              <w:rPr/>
              <w:t xml:space="preserve"> </w:t>
            </w:r>
          </w:p>
        </w:tc>
        <w:tc>
          <w:tcPr>
            <w:tcW w:w="109" w:type="dxa"/>
            <w:tcBorders/>
            <w:shd w:fill="CCEEFF" w:val="clear"/>
            <w:vAlign w:val="bottom"/>
          </w:tcPr>
          <w:p>
            <w:pPr>
              <w:pStyle w:val="TableContents"/>
              <w:spacing w:before="0" w:after="283"/>
              <w:jc w:val="left"/>
              <w:rPr/>
            </w:pPr>
            <w:r>
              <w:rPr/>
              <w:t xml:space="preserve">  </w:t>
            </w:r>
          </w:p>
        </w:tc>
        <w:tc>
          <w:tcPr>
            <w:tcW w:w="1106" w:type="dxa"/>
            <w:tcBorders>
              <w:bottom w:val="single" w:sz="12" w:space="0" w:color="000000"/>
            </w:tcBorders>
            <w:shd w:fill="CCEEFF" w:val="clear"/>
            <w:tcMar>
              <w:bottom w:w="28" w:type="dxa"/>
            </w:tcMar>
            <w:vAlign w:val="bottom"/>
          </w:tcPr>
          <w:p>
            <w:pPr>
              <w:pStyle w:val="TableContents"/>
              <w:spacing w:before="0" w:after="283"/>
              <w:jc w:val="center"/>
              <w:rPr/>
            </w:pPr>
            <w:r>
              <w:rPr/>
              <w:t xml:space="preserve">  </w:t>
            </w:r>
            <w:r>
              <w:rPr>
                <w:rFonts w:ascii="helvetica" w:hAnsi="helvetica"/>
                <w:sz w:val="20"/>
              </w:rPr>
              <w:t>-</w:t>
            </w:r>
            <w:r>
              <w:rPr/>
              <w:t xml:space="preserve"> </w:t>
            </w:r>
          </w:p>
        </w:tc>
        <w:tc>
          <w:tcPr>
            <w:tcW w:w="131" w:type="dxa"/>
            <w:tcBorders/>
            <w:shd w:fill="CCEEFF" w:val="clear"/>
            <w:vAlign w:val="bottom"/>
          </w:tcPr>
          <w:p>
            <w:pPr>
              <w:pStyle w:val="TableContents"/>
              <w:spacing w:before="0" w:after="283"/>
              <w:jc w:val="left"/>
              <w:rPr/>
            </w:pPr>
            <w:r>
              <w:rPr/>
              <w:t xml:space="preserve">  </w:t>
            </w:r>
          </w:p>
        </w:tc>
        <w:tc>
          <w:tcPr>
            <w:tcW w:w="109" w:type="dxa"/>
            <w:tcBorders/>
            <w:shd w:fill="CCEEFF" w:val="clear"/>
            <w:vAlign w:val="bottom"/>
          </w:tcPr>
          <w:p>
            <w:pPr>
              <w:pStyle w:val="TableContents"/>
              <w:spacing w:before="0" w:after="283"/>
              <w:jc w:val="right"/>
              <w:rPr/>
            </w:pPr>
            <w:r>
              <w:rPr/>
              <w:t xml:space="preserve">  </w:t>
            </w:r>
          </w:p>
        </w:tc>
        <w:tc>
          <w:tcPr>
            <w:tcW w:w="109" w:type="dxa"/>
            <w:tcBorders>
              <w:bottom w:val="single" w:sz="12" w:space="0" w:color="000000"/>
            </w:tcBorders>
            <w:shd w:fill="CCEEFF" w:val="clear"/>
            <w:tcMar>
              <w:bottom w:w="28" w:type="dxa"/>
            </w:tcMar>
            <w:vAlign w:val="bottom"/>
          </w:tcPr>
          <w:p>
            <w:pPr>
              <w:pStyle w:val="TableContents"/>
              <w:spacing w:before="0" w:after="283"/>
              <w:jc w:val="left"/>
              <w:rPr/>
            </w:pPr>
            <w:r>
              <w:rPr/>
              <w:t xml:space="preserve">  </w:t>
            </w:r>
          </w:p>
        </w:tc>
        <w:tc>
          <w:tcPr>
            <w:tcW w:w="906" w:type="dxa"/>
            <w:tcBorders>
              <w:bottom w:val="single" w:sz="12" w:space="0" w:color="000000"/>
            </w:tcBorders>
            <w:shd w:fill="CCEEFF" w:val="clear"/>
            <w:tcMar>
              <w:bottom w:w="28" w:type="dxa"/>
            </w:tcMar>
            <w:vAlign w:val="bottom"/>
          </w:tcPr>
          <w:p>
            <w:pPr>
              <w:pStyle w:val="TableContents"/>
              <w:spacing w:before="0" w:after="283"/>
              <w:jc w:val="center"/>
              <w:rPr/>
            </w:pPr>
            <w:r>
              <w:rPr/>
              <w:t>   </w:t>
            </w:r>
            <w:r>
              <w:rPr>
                <w:rFonts w:ascii="helvetica" w:hAnsi="helvetica"/>
                <w:sz w:val="20"/>
              </w:rPr>
              <w:t>0%</w:t>
            </w:r>
            <w:r>
              <w:rPr/>
              <w:t xml:space="preserve"> </w:t>
            </w:r>
          </w:p>
        </w:tc>
        <w:tc>
          <w:tcPr>
            <w:tcW w:w="131" w:type="dxa"/>
            <w:tcBorders/>
            <w:shd w:fill="CCEEFF" w:val="clear"/>
            <w:vAlign w:val="bottom"/>
          </w:tcPr>
          <w:p>
            <w:pPr>
              <w:pStyle w:val="TableContents"/>
              <w:spacing w:before="0" w:after="283"/>
              <w:jc w:val="left"/>
              <w:rPr/>
            </w:pPr>
            <w:r>
              <w:rPr/>
              <w:t> </w:t>
            </w:r>
          </w:p>
        </w:tc>
        <w:tc>
          <w:tcPr>
            <w:tcW w:w="109" w:type="dxa"/>
            <w:tcBorders/>
            <w:shd w:fill="CCEEFF" w:val="clear"/>
            <w:vAlign w:val="bottom"/>
          </w:tcPr>
          <w:p>
            <w:pPr>
              <w:pStyle w:val="TableContents"/>
              <w:spacing w:before="0" w:after="283"/>
              <w:jc w:val="left"/>
              <w:rPr/>
            </w:pPr>
            <w:r>
              <w:rPr/>
              <w:t xml:space="preserve">  </w:t>
            </w:r>
          </w:p>
        </w:tc>
        <w:tc>
          <w:tcPr>
            <w:tcW w:w="1145" w:type="dxa"/>
            <w:tcBorders>
              <w:bottom w:val="single" w:sz="12" w:space="0" w:color="000000"/>
            </w:tcBorders>
            <w:shd w:fill="CCEEFF" w:val="clear"/>
            <w:tcMar>
              <w:bottom w:w="28" w:type="dxa"/>
            </w:tcMar>
            <w:vAlign w:val="bottom"/>
          </w:tcPr>
          <w:p>
            <w:pPr>
              <w:pStyle w:val="TableContents"/>
              <w:spacing w:before="0" w:after="283"/>
              <w:jc w:val="center"/>
              <w:rPr/>
            </w:pPr>
            <w:r>
              <w:rPr/>
              <w:t xml:space="preserve">      </w:t>
            </w:r>
            <w:r>
              <w:rPr>
                <w:rFonts w:ascii="helvetica" w:hAnsi="helvetica"/>
                <w:sz w:val="20"/>
              </w:rPr>
              <w:t>275,000</w:t>
            </w:r>
            <w:r>
              <w:rPr/>
              <w:t xml:space="preserve"> </w:t>
            </w:r>
          </w:p>
        </w:tc>
        <w:tc>
          <w:tcPr>
            <w:tcW w:w="131" w:type="dxa"/>
            <w:tcBorders/>
            <w:shd w:fill="CCEEFF" w:val="clear"/>
            <w:vAlign w:val="bottom"/>
          </w:tcPr>
          <w:p>
            <w:pPr>
              <w:pStyle w:val="TableContents"/>
              <w:spacing w:before="0" w:after="283"/>
              <w:jc w:val="left"/>
              <w:rPr/>
            </w:pPr>
            <w:r>
              <w:rPr/>
              <w:t xml:space="preserve">  </w:t>
            </w:r>
          </w:p>
        </w:tc>
        <w:tc>
          <w:tcPr>
            <w:tcW w:w="108" w:type="dxa"/>
            <w:tcBorders/>
            <w:shd w:fill="CCEEFF" w:val="clear"/>
            <w:vAlign w:val="bottom"/>
          </w:tcPr>
          <w:p>
            <w:pPr>
              <w:pStyle w:val="TableContents"/>
              <w:spacing w:before="0" w:after="283"/>
              <w:jc w:val="right"/>
              <w:rPr/>
            </w:pPr>
            <w:r>
              <w:rPr/>
              <w:t xml:space="preserve">  </w:t>
            </w:r>
          </w:p>
        </w:tc>
        <w:tc>
          <w:tcPr>
            <w:tcW w:w="109" w:type="dxa"/>
            <w:tcBorders>
              <w:bottom w:val="single" w:sz="12" w:space="0" w:color="000000"/>
            </w:tcBorders>
            <w:shd w:fill="CCEEFF" w:val="clear"/>
            <w:tcMar>
              <w:bottom w:w="28" w:type="dxa"/>
            </w:tcMar>
            <w:vAlign w:val="bottom"/>
          </w:tcPr>
          <w:p>
            <w:pPr>
              <w:pStyle w:val="TableContents"/>
              <w:spacing w:before="0" w:after="283"/>
              <w:jc w:val="left"/>
              <w:rPr/>
            </w:pPr>
            <w:r>
              <w:rPr/>
              <w:t xml:space="preserve">  </w:t>
            </w:r>
          </w:p>
        </w:tc>
        <w:tc>
          <w:tcPr>
            <w:tcW w:w="906" w:type="dxa"/>
            <w:tcBorders>
              <w:bottom w:val="single" w:sz="12" w:space="0" w:color="000000"/>
            </w:tcBorders>
            <w:shd w:fill="CCEEFF" w:val="clear"/>
            <w:tcMar>
              <w:bottom w:w="28" w:type="dxa"/>
            </w:tcMar>
            <w:vAlign w:val="bottom"/>
          </w:tcPr>
          <w:p>
            <w:pPr>
              <w:pStyle w:val="TableContents"/>
              <w:spacing w:before="0" w:after="283"/>
              <w:jc w:val="center"/>
              <w:rPr/>
            </w:pPr>
            <w:r>
              <w:rPr/>
              <w:t>   </w:t>
            </w:r>
            <w:r>
              <w:rPr>
                <w:rFonts w:ascii="helvetica" w:hAnsi="helvetica"/>
                <w:sz w:val="20"/>
              </w:rPr>
              <w:t>3%</w:t>
            </w:r>
            <w:r>
              <w:rPr/>
              <w:t xml:space="preserve"> </w:t>
            </w:r>
          </w:p>
        </w:tc>
        <w:tc>
          <w:tcPr>
            <w:tcW w:w="142" w:type="dxa"/>
            <w:tcBorders/>
            <w:shd w:fill="CCEEFF" w:val="clear"/>
            <w:vAlign w:val="bottom"/>
          </w:tcPr>
          <w:p>
            <w:pPr>
              <w:pStyle w:val="TableContents"/>
              <w:spacing w:before="0" w:after="283"/>
              <w:jc w:val="left"/>
              <w:rPr/>
            </w:pPr>
            <w:r>
              <w:rPr/>
              <w:t> </w:t>
            </w:r>
          </w:p>
        </w:tc>
      </w:tr>
      <w:tr>
        <w:trPr/>
        <w:tc>
          <w:tcPr>
            <w:tcW w:w="4954" w:type="dxa"/>
            <w:tcBorders/>
            <w:shd w:fill="FFFFFF" w:val="clear"/>
            <w:vAlign w:val="bottom"/>
          </w:tcPr>
          <w:p>
            <w:pPr>
              <w:pStyle w:val="TableContents"/>
              <w:spacing w:before="0" w:after="0"/>
              <w:ind w:left="0" w:right="0" w:hanging="0"/>
              <w:jc w:val="left"/>
              <w:rPr/>
            </w:pPr>
            <w:r>
              <w:rPr>
                <w:rFonts w:ascii="helvetica" w:hAnsi="helvetica"/>
                <w:sz w:val="20"/>
              </w:rPr>
              <w:t>Total</w:t>
            </w:r>
            <w:r>
              <w:rPr/>
              <w:t xml:space="preserve"> </w:t>
            </w:r>
          </w:p>
        </w:tc>
        <w:tc>
          <w:tcPr>
            <w:tcW w:w="109" w:type="dxa"/>
            <w:tcBorders/>
            <w:shd w:fill="FFFFFF" w:val="clear"/>
            <w:vAlign w:val="bottom"/>
          </w:tcPr>
          <w:p>
            <w:pPr>
              <w:pStyle w:val="TableContents"/>
              <w:spacing w:before="0" w:after="283"/>
              <w:jc w:val="left"/>
              <w:rPr/>
            </w:pPr>
            <w:r>
              <w:rPr/>
              <w:t xml:space="preserve">  </w:t>
            </w:r>
          </w:p>
        </w:tc>
        <w:tc>
          <w:tcPr>
            <w:tcW w:w="1106" w:type="dxa"/>
            <w:tcBorders>
              <w:bottom w:val="double" w:sz="8" w:space="0" w:color="000000"/>
            </w:tcBorders>
            <w:shd w:fill="FFFFFF" w:val="clear"/>
            <w:tcMar>
              <w:bottom w:w="28" w:type="dxa"/>
            </w:tcMar>
            <w:vAlign w:val="bottom"/>
          </w:tcPr>
          <w:p>
            <w:pPr>
              <w:pStyle w:val="TableContents"/>
              <w:spacing w:before="0" w:after="283"/>
              <w:jc w:val="center"/>
              <w:rPr/>
            </w:pPr>
            <w:r>
              <w:rPr/>
              <w:t> </w:t>
            </w:r>
            <w:r>
              <w:rPr>
                <w:rFonts w:ascii="helvetica" w:hAnsi="helvetica"/>
                <w:sz w:val="20"/>
              </w:rPr>
              <w:t>$</w:t>
            </w:r>
            <w:r>
              <w:rPr/>
              <w:t xml:space="preserve"> </w:t>
            </w:r>
            <w:r>
              <w:rPr>
                <w:rFonts w:ascii="helvetica" w:hAnsi="helvetica"/>
                <w:sz w:val="20"/>
              </w:rPr>
              <w:t>8,500,000</w:t>
            </w:r>
            <w:r>
              <w:rPr/>
              <w:t xml:space="preserve"> </w:t>
            </w:r>
          </w:p>
        </w:tc>
        <w:tc>
          <w:tcPr>
            <w:tcW w:w="131" w:type="dxa"/>
            <w:tcBorders/>
            <w:shd w:fill="FFFFFF" w:val="clear"/>
            <w:vAlign w:val="bottom"/>
          </w:tcPr>
          <w:p>
            <w:pPr>
              <w:pStyle w:val="TableContents"/>
              <w:spacing w:before="0" w:after="283"/>
              <w:jc w:val="left"/>
              <w:rPr/>
            </w:pPr>
            <w:r>
              <w:rPr/>
              <w:t xml:space="preserve">  </w:t>
            </w:r>
          </w:p>
        </w:tc>
        <w:tc>
          <w:tcPr>
            <w:tcW w:w="109" w:type="dxa"/>
            <w:tcBorders/>
            <w:shd w:fill="FFFFFF" w:val="clear"/>
            <w:vAlign w:val="bottom"/>
          </w:tcPr>
          <w:p>
            <w:pPr>
              <w:pStyle w:val="TableContents"/>
              <w:spacing w:before="0" w:after="283"/>
              <w:jc w:val="right"/>
              <w:rPr/>
            </w:pPr>
            <w:r>
              <w:rPr/>
              <w:t xml:space="preserve">  </w:t>
            </w:r>
          </w:p>
        </w:tc>
        <w:tc>
          <w:tcPr>
            <w:tcW w:w="109" w:type="dxa"/>
            <w:tcBorders>
              <w:bottom w:val="double" w:sz="8" w:space="0" w:color="000000"/>
            </w:tcBorders>
            <w:shd w:fill="FFFFFF" w:val="clear"/>
            <w:tcMar>
              <w:bottom w:w="28" w:type="dxa"/>
            </w:tcMar>
            <w:vAlign w:val="bottom"/>
          </w:tcPr>
          <w:p>
            <w:pPr>
              <w:pStyle w:val="TableContents"/>
              <w:spacing w:before="0" w:after="283"/>
              <w:jc w:val="left"/>
              <w:rPr/>
            </w:pPr>
            <w:r>
              <w:rPr/>
              <w:t xml:space="preserve">  </w:t>
            </w:r>
          </w:p>
        </w:tc>
        <w:tc>
          <w:tcPr>
            <w:tcW w:w="906" w:type="dxa"/>
            <w:tcBorders>
              <w:bottom w:val="double" w:sz="8" w:space="0" w:color="000000"/>
            </w:tcBorders>
            <w:shd w:fill="FFFFFF" w:val="clear"/>
            <w:tcMar>
              <w:bottom w:w="28" w:type="dxa"/>
            </w:tcMar>
            <w:vAlign w:val="bottom"/>
          </w:tcPr>
          <w:p>
            <w:pPr>
              <w:pStyle w:val="TableContents"/>
              <w:spacing w:before="0" w:after="283"/>
              <w:jc w:val="center"/>
              <w:rPr/>
            </w:pPr>
            <w:r>
              <w:rPr>
                <w:rFonts w:ascii="helvetica" w:hAnsi="helvetica"/>
                <w:sz w:val="20"/>
              </w:rPr>
              <w:t>100%</w:t>
            </w:r>
            <w:r>
              <w:rPr/>
              <w:t xml:space="preserve"> </w:t>
            </w:r>
          </w:p>
        </w:tc>
        <w:tc>
          <w:tcPr>
            <w:tcW w:w="131" w:type="dxa"/>
            <w:tcBorders/>
            <w:shd w:fill="FFFFFF" w:val="clear"/>
            <w:vAlign w:val="bottom"/>
          </w:tcPr>
          <w:p>
            <w:pPr>
              <w:pStyle w:val="TableContents"/>
              <w:spacing w:before="0" w:after="283"/>
              <w:jc w:val="left"/>
              <w:rPr/>
            </w:pPr>
            <w:r>
              <w:rPr/>
              <w:t> </w:t>
            </w:r>
          </w:p>
        </w:tc>
        <w:tc>
          <w:tcPr>
            <w:tcW w:w="109" w:type="dxa"/>
            <w:tcBorders/>
            <w:shd w:fill="FFFFFF" w:val="clear"/>
            <w:vAlign w:val="bottom"/>
          </w:tcPr>
          <w:p>
            <w:pPr>
              <w:pStyle w:val="TableContents"/>
              <w:spacing w:before="0" w:after="283"/>
              <w:jc w:val="left"/>
              <w:rPr/>
            </w:pPr>
            <w:r>
              <w:rPr/>
              <w:t xml:space="preserve">  </w:t>
            </w:r>
          </w:p>
        </w:tc>
        <w:tc>
          <w:tcPr>
            <w:tcW w:w="1145" w:type="dxa"/>
            <w:tcBorders>
              <w:bottom w:val="double" w:sz="8" w:space="0" w:color="000000"/>
            </w:tcBorders>
            <w:shd w:fill="FFFFFF" w:val="clear"/>
            <w:tcMar>
              <w:bottom w:w="28" w:type="dxa"/>
            </w:tcMar>
            <w:vAlign w:val="bottom"/>
          </w:tcPr>
          <w:p>
            <w:pPr>
              <w:pStyle w:val="TableContents"/>
              <w:spacing w:before="0" w:after="283"/>
              <w:jc w:val="center"/>
              <w:rPr/>
            </w:pPr>
            <w:r>
              <w:rPr>
                <w:rFonts w:ascii="helvetica" w:hAnsi="helvetica"/>
                <w:sz w:val="20"/>
              </w:rPr>
              <w:t>$9,775,000</w:t>
            </w:r>
            <w:r>
              <w:rPr/>
              <w:t xml:space="preserve"> </w:t>
            </w:r>
          </w:p>
        </w:tc>
        <w:tc>
          <w:tcPr>
            <w:tcW w:w="131" w:type="dxa"/>
            <w:tcBorders/>
            <w:shd w:fill="FFFFFF" w:val="clear"/>
            <w:vAlign w:val="bottom"/>
          </w:tcPr>
          <w:p>
            <w:pPr>
              <w:pStyle w:val="TableContents"/>
              <w:spacing w:before="0" w:after="283"/>
              <w:jc w:val="left"/>
              <w:rPr/>
            </w:pPr>
            <w:r>
              <w:rPr/>
              <w:t xml:space="preserve">  </w:t>
            </w:r>
          </w:p>
        </w:tc>
        <w:tc>
          <w:tcPr>
            <w:tcW w:w="108" w:type="dxa"/>
            <w:tcBorders/>
            <w:shd w:fill="FFFFFF" w:val="clear"/>
            <w:vAlign w:val="bottom"/>
          </w:tcPr>
          <w:p>
            <w:pPr>
              <w:pStyle w:val="TableContents"/>
              <w:spacing w:before="0" w:after="283"/>
              <w:jc w:val="right"/>
              <w:rPr/>
            </w:pPr>
            <w:r>
              <w:rPr/>
              <w:t xml:space="preserve">  </w:t>
            </w:r>
          </w:p>
        </w:tc>
        <w:tc>
          <w:tcPr>
            <w:tcW w:w="109" w:type="dxa"/>
            <w:tcBorders>
              <w:bottom w:val="double" w:sz="8" w:space="0" w:color="000000"/>
            </w:tcBorders>
            <w:shd w:fill="FFFFFF" w:val="clear"/>
            <w:tcMar>
              <w:bottom w:w="28" w:type="dxa"/>
            </w:tcMar>
            <w:vAlign w:val="bottom"/>
          </w:tcPr>
          <w:p>
            <w:pPr>
              <w:pStyle w:val="TableContents"/>
              <w:spacing w:before="0" w:after="283"/>
              <w:jc w:val="left"/>
              <w:rPr/>
            </w:pPr>
            <w:r>
              <w:rPr/>
              <w:t xml:space="preserve">  </w:t>
            </w:r>
          </w:p>
        </w:tc>
        <w:tc>
          <w:tcPr>
            <w:tcW w:w="906" w:type="dxa"/>
            <w:tcBorders>
              <w:bottom w:val="double" w:sz="8" w:space="0" w:color="000000"/>
            </w:tcBorders>
            <w:shd w:fill="FFFFFF" w:val="clear"/>
            <w:tcMar>
              <w:bottom w:w="28" w:type="dxa"/>
            </w:tcMar>
            <w:vAlign w:val="bottom"/>
          </w:tcPr>
          <w:p>
            <w:pPr>
              <w:pStyle w:val="TableContents"/>
              <w:spacing w:before="0" w:after="283"/>
              <w:jc w:val="center"/>
              <w:rPr/>
            </w:pPr>
            <w:r>
              <w:rPr>
                <w:rFonts w:ascii="helvetica" w:hAnsi="helvetica"/>
                <w:sz w:val="20"/>
              </w:rPr>
              <w:t>100%</w:t>
            </w:r>
            <w:r>
              <w:rPr/>
              <w:t xml:space="preserve"> </w:t>
            </w:r>
          </w:p>
        </w:tc>
        <w:tc>
          <w:tcPr>
            <w:tcW w:w="142" w:type="dxa"/>
            <w:tcBorders/>
            <w:shd w:fill="FFFFFF" w:val="clear"/>
            <w:vAlign w:val="bottom"/>
          </w:tcPr>
          <w:p>
            <w:pPr>
              <w:pStyle w:val="TableContents"/>
              <w:spacing w:before="0" w:after="283"/>
              <w:jc w:val="left"/>
              <w:rPr/>
            </w:pPr>
            <w:r>
              <w:rPr/>
              <w:t> </w:t>
            </w:r>
          </w:p>
        </w:tc>
      </w:tr>
    </w:tbl>
    <w:p>
      <w:pPr>
        <w:pStyle w:val="TextBody"/>
        <w:spacing w:before="0" w:after="0"/>
        <w:ind w:left="0" w:right="0" w:firstLine="720"/>
        <w:jc w:val="left"/>
        <w:rPr/>
      </w:pPr>
      <w:r>
        <w:rPr/>
        <w:t> </w:t>
      </w:r>
    </w:p>
    <w:p>
      <w:pPr>
        <w:pStyle w:val="TextBody"/>
        <w:spacing w:before="0" w:after="0"/>
        <w:ind w:left="0" w:right="0" w:firstLine="720"/>
        <w:jc w:val="both"/>
        <w:rPr>
          <w:rFonts w:ascii="helvetica" w:hAnsi="helvetica"/>
          <w:sz w:val="20"/>
        </w:rPr>
      </w:pPr>
      <w:r>
        <w:rPr>
          <w:rFonts w:ascii="helvetica" w:hAnsi="helvetica"/>
          <w:sz w:val="20"/>
        </w:rPr>
        <w:t>The amounts that will actually be spent by us for any specific purpose may vary significantly, and will depend on a number of factors including the pace of progress of our Phase 3 Trials, development and actual needs with respect to product testing, development and research, market conditions, and changes in or revisions to our marketing and/or licensing strategies.  In addition, we may allocate capital from the above referenced net proceeds to uses other than those described above in the event one or more opportunities become available to invest in near term drug development projects that are as advanced as our Impracor program is or that we believe have a greater chance for positive clinical results with at least as large of a market opportunity as Impracor has; however, we do not have any commitments for any opportunities of this nature at this time.</w:t>
      </w:r>
    </w:p>
    <w:p>
      <w:pPr>
        <w:pStyle w:val="TextBody"/>
        <w:spacing w:before="0" w:after="0"/>
        <w:ind w:left="0" w:right="0" w:hanging="0"/>
        <w:rPr/>
      </w:pPr>
      <w:r>
        <w:rPr/>
        <w:t> </w:t>
      </w:r>
    </w:p>
    <w:p>
      <w:pPr>
        <w:pStyle w:val="TextBody"/>
        <w:spacing w:before="0" w:after="0"/>
        <w:ind w:left="0" w:right="0" w:firstLine="720"/>
        <w:jc w:val="left"/>
        <w:rPr>
          <w:rFonts w:ascii="helvetica" w:hAnsi="helvetica"/>
          <w:sz w:val="20"/>
        </w:rPr>
      </w:pPr>
      <w:r>
        <w:rPr>
          <w:rFonts w:ascii="helvetica" w:hAnsi="helvetica"/>
          <w:sz w:val="20"/>
        </w:rPr>
        <w:t>The amounts and timing of our actual expenditures will depend upon numerous factors, including market conditions, cash generated by our operations, business developments and related rate of growth, sales and marketing activities and competition.  Accordingly, our management will have broad discretion in the application of the net proceeds, and investors will be relying on the judgment of our management regarding the application of the proceeds from this offering.  We may find it necessary or advisable to use portions of the proceeds from this offering for other purposes.</w:t>
      </w:r>
    </w:p>
    <w:p>
      <w:pPr>
        <w:pStyle w:val="TextBody"/>
        <w:spacing w:before="0" w:after="0"/>
        <w:ind w:left="0" w:right="0" w:firstLine="720"/>
        <w:jc w:val="left"/>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355" w:name="PGBRK23"/>
      <w:bookmarkStart w:id="356" w:name="PGBRK23"/>
      <w:bookmarkEnd w:id="35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357" w:name="FTR23"/>
      <w:bookmarkStart w:id="358" w:name="FTR23"/>
      <w:bookmarkEnd w:id="35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359" w:name="GLFTR22"/>
      <w:bookmarkEnd w:id="359"/>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helvetica" w:hAnsi="helvetica"/>
          <w:sz w:val="20"/>
        </w:rPr>
      </w:pPr>
      <w:bookmarkStart w:id="360" w:name="PN22"/>
      <w:bookmarkEnd w:id="360"/>
      <w:r>
        <w:rPr>
          <w:rFonts w:ascii="helvetica" w:hAnsi="helvetica"/>
          <w:sz w:val="20"/>
        </w:rPr>
        <w:t>21</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361" w:name="HDR22"/>
      <w:bookmarkStart w:id="362" w:name="HDR22"/>
      <w:bookmarkEnd w:id="36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363" w:name="GLHDR22"/>
      <w:bookmarkEnd w:id="363"/>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t> </w:t>
      </w:r>
    </w:p>
    <w:p>
      <w:pPr>
        <w:pStyle w:val="TextBody"/>
        <w:spacing w:before="0" w:after="0"/>
        <w:ind w:left="0" w:right="0" w:firstLine="720"/>
        <w:jc w:val="left"/>
        <w:rPr>
          <w:rFonts w:ascii="helvetica" w:hAnsi="helvetica"/>
          <w:sz w:val="20"/>
        </w:rPr>
      </w:pPr>
      <w:r>
        <w:rPr>
          <w:rFonts w:ascii="helvetica" w:hAnsi="helvetica"/>
          <w:sz w:val="20"/>
        </w:rPr>
        <w:t>Circumstances that may give rise to a change in the use of proceeds and the alternate purposes for which the proceeds may be used include:</w:t>
      </w:r>
    </w:p>
    <w:p>
      <w:pPr>
        <w:pStyle w:val="TextBody"/>
        <w:spacing w:before="0" w:after="0"/>
        <w:ind w:left="0" w:right="0" w:firstLine="720"/>
        <w:jc w:val="left"/>
        <w:rPr/>
      </w:pPr>
      <w:r>
        <w:rPr/>
        <w:t> </w:t>
      </w:r>
    </w:p>
    <w:p>
      <w:pPr>
        <w:pStyle w:val="Normal"/>
        <w:spacing w:before="0" w:after="0"/>
        <w:rPr>
          <w:sz w:val="4"/>
          <w:szCs w:val="4"/>
        </w:rPr>
      </w:pPr>
      <w:r>
        <w:rPr>
          <w:sz w:val="4"/>
          <w:szCs w:val="4"/>
        </w:rPr>
      </w:r>
      <w:bookmarkStart w:id="364" w:name="list69"/>
      <w:bookmarkStart w:id="365" w:name="list69"/>
      <w:bookmarkEnd w:id="365"/>
    </w:p>
    <w:tbl>
      <w:tblPr>
        <w:tblW w:w="5000" w:type="pct"/>
        <w:jc w:val="left"/>
        <w:tblInd w:w="0" w:type="dxa"/>
        <w:tblCellMar>
          <w:top w:w="0" w:type="dxa"/>
          <w:left w:w="0" w:type="dxa"/>
          <w:bottom w:w="0" w:type="dxa"/>
          <w:right w:w="0" w:type="dxa"/>
        </w:tblCellMar>
      </w:tblPr>
      <w:tblGrid>
        <w:gridCol w:w="309"/>
        <w:gridCol w:w="9896"/>
      </w:tblGrid>
      <w:tr>
        <w:trPr/>
        <w:tc>
          <w:tcPr>
            <w:tcW w:w="309" w:type="dxa"/>
            <w:tcBorders/>
            <w:shd w:fill="auto" w:val="clear"/>
          </w:tcPr>
          <w:p>
            <w:pPr>
              <w:pStyle w:val="TableContents"/>
              <w:spacing w:before="0" w:after="0"/>
              <w:jc w:val="right"/>
              <w:rPr/>
            </w:pPr>
            <w:r>
              <w:rPr/>
              <w:t>●  </w:t>
            </w:r>
          </w:p>
        </w:tc>
        <w:tc>
          <w:tcPr>
            <w:tcW w:w="9896" w:type="dxa"/>
            <w:tcBorders/>
            <w:shd w:fill="auto" w:val="clear"/>
          </w:tcPr>
          <w:p>
            <w:pPr>
              <w:pStyle w:val="TableContents"/>
              <w:spacing w:before="0" w:after="0"/>
              <w:ind w:left="0" w:right="0" w:hanging="0"/>
              <w:jc w:val="both"/>
              <w:rPr>
                <w:rFonts w:ascii="helvetica" w:hAnsi="helvetica"/>
                <w:sz w:val="20"/>
              </w:rPr>
            </w:pPr>
            <w:r>
              <w:rPr>
                <w:rFonts w:ascii="helvetica" w:hAnsi="helvetica"/>
                <w:sz w:val="20"/>
              </w:rPr>
              <w:t>the existence of other opportunities or the need to take advantage of changes in timing of our existing activities;</w:t>
            </w:r>
          </w:p>
        </w:tc>
      </w:tr>
    </w:tbl>
    <w:p>
      <w:pPr>
        <w:pStyle w:val="Normal"/>
        <w:spacing w:before="0" w:after="0"/>
        <w:rPr>
          <w:sz w:val="4"/>
          <w:szCs w:val="4"/>
        </w:rPr>
      </w:pPr>
      <w:r>
        <w:rPr>
          <w:sz w:val="4"/>
          <w:szCs w:val="4"/>
        </w:rPr>
      </w:r>
      <w:bookmarkStart w:id="366" w:name="list70"/>
      <w:bookmarkStart w:id="367" w:name="list70"/>
      <w:bookmarkEnd w:id="367"/>
    </w:p>
    <w:tbl>
      <w:tblPr>
        <w:tblW w:w="5000" w:type="pct"/>
        <w:jc w:val="left"/>
        <w:tblInd w:w="0" w:type="dxa"/>
        <w:tblCellMar>
          <w:top w:w="0" w:type="dxa"/>
          <w:left w:w="0" w:type="dxa"/>
          <w:bottom w:w="0" w:type="dxa"/>
          <w:right w:w="0" w:type="dxa"/>
        </w:tblCellMar>
      </w:tblPr>
      <w:tblGrid>
        <w:gridCol w:w="304"/>
        <w:gridCol w:w="9901"/>
      </w:tblGrid>
      <w:tr>
        <w:trPr/>
        <w:tc>
          <w:tcPr>
            <w:tcW w:w="304" w:type="dxa"/>
            <w:tcBorders/>
            <w:shd w:fill="auto" w:val="clear"/>
          </w:tcPr>
          <w:p>
            <w:pPr>
              <w:pStyle w:val="TableContents"/>
              <w:spacing w:before="0" w:after="0"/>
              <w:jc w:val="right"/>
              <w:rPr/>
            </w:pPr>
            <w:r>
              <w:rPr/>
              <w:t>●  </w:t>
            </w:r>
          </w:p>
        </w:tc>
        <w:tc>
          <w:tcPr>
            <w:tcW w:w="9901" w:type="dxa"/>
            <w:tcBorders/>
            <w:shd w:fill="auto" w:val="clear"/>
          </w:tcPr>
          <w:p>
            <w:pPr>
              <w:pStyle w:val="TableContents"/>
              <w:spacing w:before="0" w:after="0"/>
              <w:ind w:left="0" w:right="0" w:hanging="0"/>
              <w:jc w:val="both"/>
              <w:rPr>
                <w:rFonts w:ascii="helvetica" w:hAnsi="helvetica"/>
                <w:sz w:val="20"/>
              </w:rPr>
            </w:pPr>
            <w:r>
              <w:rPr>
                <w:rFonts w:ascii="helvetica" w:hAnsi="helvetica"/>
                <w:sz w:val="20"/>
              </w:rPr>
              <w:t>the need or desire on our part to accelerate, increase or eliminate existing initiatives due to, among other things, changing market conditions and competitive developments; and/or</w:t>
            </w:r>
          </w:p>
        </w:tc>
      </w:tr>
    </w:tbl>
    <w:p>
      <w:pPr>
        <w:pStyle w:val="Normal"/>
        <w:spacing w:before="0" w:after="0"/>
        <w:rPr>
          <w:sz w:val="4"/>
          <w:szCs w:val="4"/>
        </w:rPr>
      </w:pPr>
      <w:r>
        <w:rPr>
          <w:sz w:val="4"/>
          <w:szCs w:val="4"/>
        </w:rPr>
      </w:r>
      <w:bookmarkStart w:id="368" w:name="list71"/>
      <w:bookmarkStart w:id="369" w:name="list71"/>
      <w:bookmarkEnd w:id="369"/>
    </w:p>
    <w:tbl>
      <w:tblPr>
        <w:tblW w:w="5000" w:type="pct"/>
        <w:jc w:val="left"/>
        <w:tblInd w:w="0" w:type="dxa"/>
        <w:tblCellMar>
          <w:top w:w="0" w:type="dxa"/>
          <w:left w:w="0" w:type="dxa"/>
          <w:bottom w:w="0" w:type="dxa"/>
          <w:right w:w="0" w:type="dxa"/>
        </w:tblCellMar>
      </w:tblPr>
      <w:tblGrid>
        <w:gridCol w:w="304"/>
        <w:gridCol w:w="9901"/>
      </w:tblGrid>
      <w:tr>
        <w:trPr/>
        <w:tc>
          <w:tcPr>
            <w:tcW w:w="304" w:type="dxa"/>
            <w:tcBorders/>
            <w:shd w:fill="auto" w:val="clear"/>
          </w:tcPr>
          <w:p>
            <w:pPr>
              <w:pStyle w:val="TableContents"/>
              <w:spacing w:before="0" w:after="0"/>
              <w:jc w:val="right"/>
              <w:rPr/>
            </w:pPr>
            <w:r>
              <w:rPr/>
              <w:t>●  </w:t>
            </w:r>
          </w:p>
        </w:tc>
        <w:tc>
          <w:tcPr>
            <w:tcW w:w="9901" w:type="dxa"/>
            <w:tcBorders/>
            <w:shd w:fill="auto" w:val="clear"/>
          </w:tcPr>
          <w:p>
            <w:pPr>
              <w:pStyle w:val="TableContents"/>
              <w:spacing w:before="0" w:after="0"/>
              <w:ind w:left="0" w:right="0" w:hanging="0"/>
              <w:jc w:val="both"/>
              <w:rPr>
                <w:rFonts w:ascii="helvetica" w:hAnsi="helvetica"/>
                <w:sz w:val="20"/>
              </w:rPr>
            </w:pPr>
            <w:r>
              <w:rPr>
                <w:rFonts w:ascii="helvetica" w:hAnsi="helvetica"/>
                <w:sz w:val="20"/>
              </w:rPr>
              <w:t>if strategic opportunities of which we are not currently aware present themselves (including acquisitions, joint ventures, licensing and other similar transactions).</w:t>
            </w:r>
          </w:p>
        </w:tc>
      </w:tr>
    </w:tbl>
    <w:p>
      <w:pPr>
        <w:pStyle w:val="TextBody"/>
        <w:spacing w:before="0" w:after="0"/>
        <w:ind w:left="0" w:right="0" w:hanging="0"/>
        <w:jc w:val="left"/>
        <w:rPr/>
      </w:pPr>
      <w:r>
        <w:rPr/>
        <w:t> </w:t>
      </w:r>
    </w:p>
    <w:p>
      <w:pPr>
        <w:pStyle w:val="TextBody"/>
        <w:spacing w:before="0" w:after="0"/>
        <w:ind w:left="0" w:right="0" w:firstLine="720"/>
        <w:jc w:val="left"/>
        <w:rPr>
          <w:rFonts w:ascii="helvetica" w:hAnsi="helvetica"/>
          <w:sz w:val="20"/>
        </w:rPr>
      </w:pPr>
      <w:r>
        <w:rPr>
          <w:rFonts w:ascii="helvetica" w:hAnsi="helvetica"/>
          <w:sz w:val="20"/>
        </w:rPr>
        <w:t>From time to time, we evaluate these and other factors and we anticipate continuing to make such evaluations to determine if the existing allocation of resources, including the proceeds of this offering, is being optimized.</w:t>
      </w:r>
    </w:p>
    <w:p>
      <w:pPr>
        <w:pStyle w:val="TextBody"/>
        <w:spacing w:before="0" w:after="0"/>
        <w:ind w:left="0" w:right="0" w:hanging="0"/>
        <w:rPr/>
      </w:pPr>
      <w:r>
        <w:rPr/>
        <w:t> </w:t>
      </w:r>
    </w:p>
    <w:p>
      <w:pPr>
        <w:pStyle w:val="TextBody"/>
        <w:spacing w:before="0" w:after="0"/>
        <w:ind w:left="0" w:right="0" w:firstLine="720"/>
        <w:jc w:val="left"/>
        <w:rPr>
          <w:rFonts w:ascii="helvetica" w:hAnsi="helvetica"/>
          <w:sz w:val="20"/>
        </w:rPr>
      </w:pPr>
      <w:r>
        <w:rPr>
          <w:rFonts w:ascii="helvetica" w:hAnsi="helvetica"/>
          <w:sz w:val="20"/>
        </w:rPr>
        <w:t>Pending its use, we intend to invest the net proceeds of this offering in direct and guaranteed obligations of the United States, interest-bearing, investment-grade instruments or certificates of deposit.</w:t>
      </w:r>
    </w:p>
    <w:p>
      <w:pPr>
        <w:pStyle w:val="TextBody"/>
        <w:spacing w:before="0" w:after="0"/>
        <w:ind w:left="0" w:right="0" w:hanging="0"/>
        <w:rPr/>
      </w:pPr>
      <w:r>
        <w:rPr/>
        <w:t> </w:t>
      </w:r>
    </w:p>
    <w:p>
      <w:pPr>
        <w:pStyle w:val="TextBody"/>
        <w:spacing w:before="0" w:after="0"/>
        <w:ind w:left="720" w:right="0" w:hanging="0"/>
        <w:jc w:val="center"/>
        <w:rPr>
          <w:rFonts w:ascii="helvetica" w:hAnsi="helvetica"/>
          <w:b/>
          <w:sz w:val="20"/>
        </w:rPr>
      </w:pPr>
      <w:bookmarkStart w:id="370" w:name="TAB1"/>
      <w:bookmarkEnd w:id="370"/>
      <w:r>
        <w:rPr>
          <w:rFonts w:ascii="helvetica" w:hAnsi="helvetica"/>
          <w:b/>
          <w:sz w:val="20"/>
        </w:rPr>
        <w:t>DESCRIPTION OF CAPITAL STOCK</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r>
        <w:rPr>
          <w:rFonts w:ascii="helvetica" w:hAnsi="helvetica"/>
          <w:sz w:val="20"/>
        </w:rPr>
        <w:t>The following is a summary of the rights of our common and preferred stock and of certain provisions of our Amended and Restated Certificate of Incorporation and Bylaws.  For more detailed information, please see our Amended and Restated Certificate of Incorporation and Bylaws, which are filed as exhibits to the registration statement of which this prospectus forms a part.</w:t>
      </w:r>
    </w:p>
    <w:p>
      <w:pPr>
        <w:pStyle w:val="TextBody"/>
        <w:spacing w:before="0" w:after="0"/>
        <w:ind w:left="0" w:right="0" w:hanging="0"/>
        <w:jc w:val="both"/>
        <w:rPr/>
      </w:pPr>
      <w:r>
        <w:rPr/>
        <w:t> </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r>
        <w:rPr>
          <w:rFonts w:ascii="helvetica" w:hAnsi="helvetica"/>
          <w:sz w:val="20"/>
        </w:rPr>
        <w:t>Our Amended and Restated Certificate of Incorporation provides for one class of common stock and authorizes the issuance of undesignated preferred stock, the rights, preferences and privileges of which may be designated from time to time by our Board of Directors.  Our Board has designated 10 shares of preferred stock as Series A Preferred Stock.</w:t>
      </w:r>
    </w:p>
    <w:p>
      <w:pPr>
        <w:pStyle w:val="TextBody"/>
        <w:spacing w:before="0" w:after="0"/>
        <w:ind w:left="0" w:right="0" w:hanging="0"/>
        <w:jc w:val="both"/>
        <w:rPr/>
      </w:pPr>
      <w:r>
        <w:rPr/>
        <w:t> </w:t>
      </w:r>
    </w:p>
    <w:p>
      <w:pPr>
        <w:pStyle w:val="TextBody"/>
        <w:spacing w:before="0" w:after="0"/>
        <w:ind w:left="0" w:right="0" w:hanging="0"/>
        <w:jc w:val="left"/>
        <w:rPr>
          <w:rFonts w:ascii="helvetica" w:hAnsi="helvetica"/>
          <w:b/>
          <w:sz w:val="20"/>
        </w:rPr>
      </w:pPr>
      <w:r>
        <w:rPr>
          <w:rFonts w:ascii="helvetica" w:hAnsi="helvetica"/>
          <w:b/>
          <w:sz w:val="20"/>
        </w:rPr>
        <w:t>Reverse Stock Split</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r>
        <w:rPr>
          <w:rFonts w:ascii="helvetica" w:hAnsi="helvetica"/>
          <w:sz w:val="20"/>
        </w:rPr>
        <w:t>On April 25, 2012, our Board of Directors and stockholders holding a majority of our outstanding voting power approved a resolution authorizing our Board of Directors to effect a reverse split of our common stock at an exchange ratio of (i) one-for-three, (ii) one-for-four, (iii) one-for-five, or (iv) one-for-six, with our Board of Directors retaining the discretion as to whether to implement the reverse split and which exchange ratio to implement.  The action by written consent of the stockholders became effective on May 31, 2012, following our compliance with certain notice requirements under the Exchange Act.  We anticipate that immediately following the effectiveness of the registration statement of which this prospectus forms a part and prior to the closing of this offering, our Board of Directors will effect a reverse stock split at a ratio of one-for-five.  The anticipated reverse split of our common stock will not affect the number of shares of authorized common stock or the par value of our shares of common stock.</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r>
        <w:rPr>
          <w:rFonts w:ascii="helvetica" w:hAnsi="helvetica"/>
          <w:sz w:val="20"/>
        </w:rPr>
        <w:t>Unless otherwise stated below, all information regarding share amounts of common stock and prices per share of common stock described below assume the consummation of the one-for-five reverse stock split to be effected following the effectiveness of the registration statement of which this prospectus forms a part and prior to the closing of this offering.</w:t>
      </w:r>
    </w:p>
    <w:p>
      <w:pPr>
        <w:pStyle w:val="TextBody"/>
        <w:spacing w:before="0" w:after="0"/>
        <w:ind w:left="0" w:right="0" w:hanging="0"/>
        <w:jc w:val="both"/>
        <w:rPr/>
      </w:pPr>
      <w:r>
        <w:rPr/>
        <w:t> </w:t>
      </w:r>
    </w:p>
    <w:p>
      <w:pPr>
        <w:pStyle w:val="TextBody"/>
        <w:spacing w:before="0" w:after="0"/>
        <w:ind w:left="0" w:right="0" w:hanging="0"/>
        <w:rPr>
          <w:rFonts w:ascii="helvetica" w:hAnsi="helvetica"/>
          <w:b/>
          <w:sz w:val="20"/>
        </w:rPr>
      </w:pPr>
      <w:r>
        <w:rPr>
          <w:rFonts w:ascii="helvetica" w:hAnsi="helvetica"/>
          <w:b/>
          <w:sz w:val="20"/>
        </w:rPr>
        <w:t>Authorized Capital Stock</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r>
        <w:rPr>
          <w:rFonts w:ascii="helvetica" w:hAnsi="helvetica"/>
          <w:sz w:val="20"/>
        </w:rPr>
        <w:t>On February 28, 2012, we amended our Amended and Restated Certificate of Incorporation to, among other things, (i) increase the number of authorized shares of our capital stock to 400,000,000 and the number of authorized shares of common stock to 395,000,000 and (ii) effect a one for eight reverse stock split of our authorized, issued and outstanding common stock.  Our authorized capital stock now consists of 400,000,000 shares, 395,000,000 of which are designated as common stock, par value $0.001 per share, and 5,000,000 of which are designated as preferred stock, par value $0.001 per share.</w:t>
      </w:r>
    </w:p>
    <w:p>
      <w:pPr>
        <w:pStyle w:val="TextBody"/>
        <w:spacing w:before="0" w:after="0"/>
        <w:ind w:left="0" w:right="0" w:hanging="0"/>
        <w:rPr/>
      </w:pPr>
      <w:r>
        <w:rPr/>
        <w:t> </w:t>
      </w:r>
    </w:p>
    <w:p>
      <w:pPr>
        <w:pStyle w:val="TextBody"/>
        <w:spacing w:before="0" w:after="0"/>
        <w:ind w:left="0" w:right="0" w:hanging="0"/>
        <w:rPr>
          <w:rFonts w:ascii="helvetica" w:hAnsi="helvetica"/>
          <w:b/>
          <w:sz w:val="20"/>
        </w:rPr>
      </w:pPr>
      <w:r>
        <w:rPr>
          <w:rFonts w:ascii="helvetica" w:hAnsi="helvetica"/>
          <w:b/>
          <w:sz w:val="20"/>
        </w:rPr>
        <w:t>Capital Stock Issued and Outstanding</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r>
        <w:rPr>
          <w:rFonts w:ascii="helvetica" w:hAnsi="helvetica"/>
          <w:sz w:val="20"/>
        </w:rPr>
        <w:t>As of August 31, 2012, we had outstanding  6,771,926 shares of common stock held by 176 stockholders of record.  In addition, as of August 31, 2012, we had outstanding (i) options to acquire 917,154 shares of our common stock with a weighted average exercise price of $5.15 per share, all of which are held by current or former employees, directors and consultants, (ii) warrants to purchase 570,290 shares of common stock with exercise prices ranging from $5.925 to $176.00 per share, and (iii) 200,000 shares of common stock underlying restricted stock units granted outside the 2007 Plan.</w:t>
      </w:r>
    </w:p>
    <w:p>
      <w:pPr>
        <w:pStyle w:val="TextBody"/>
        <w:spacing w:before="0" w:after="0"/>
        <w:ind w:left="0" w:right="0" w:firstLine="720"/>
        <w:jc w:val="left"/>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371" w:name="PGBRK24"/>
      <w:bookmarkStart w:id="372" w:name="PGBRK24"/>
      <w:bookmarkEnd w:id="37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373" w:name="FTR24"/>
      <w:bookmarkStart w:id="374" w:name="FTR24"/>
      <w:bookmarkEnd w:id="37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375" w:name="GLFTR23"/>
      <w:bookmarkEnd w:id="375"/>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helvetica" w:hAnsi="helvetica"/>
          <w:sz w:val="20"/>
        </w:rPr>
      </w:pPr>
      <w:bookmarkStart w:id="376" w:name="PN23"/>
      <w:bookmarkEnd w:id="376"/>
      <w:r>
        <w:rPr>
          <w:rFonts w:ascii="helvetica" w:hAnsi="helvetica"/>
          <w:sz w:val="20"/>
        </w:rPr>
        <w:t>22</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377" w:name="HDR23"/>
      <w:bookmarkStart w:id="378" w:name="HDR23"/>
      <w:bookmarkEnd w:id="37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379" w:name="GLHDR23"/>
      <w:bookmarkEnd w:id="379"/>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t> </w:t>
      </w:r>
    </w:p>
    <w:p>
      <w:pPr>
        <w:pStyle w:val="TextBody"/>
        <w:spacing w:before="0" w:after="0"/>
        <w:ind w:left="0" w:right="0" w:hanging="0"/>
        <w:rPr>
          <w:rFonts w:ascii="helvetica" w:hAnsi="helvetica"/>
          <w:b/>
          <w:sz w:val="20"/>
        </w:rPr>
      </w:pPr>
      <w:r>
        <w:rPr>
          <w:rFonts w:ascii="helvetica" w:hAnsi="helvetica"/>
          <w:b/>
          <w:sz w:val="20"/>
        </w:rPr>
        <w:t>Description of Common Stock</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r>
        <w:rPr>
          <w:rFonts w:ascii="helvetica" w:hAnsi="helvetica"/>
          <w:sz w:val="20"/>
        </w:rPr>
        <w:t>We are authorized to issue 395,000,000 shares of common stock, par value $0.001 per share. The holders of our common stock are entitled to one vote per share on all matters submitted to a vote of the stockholders, including the election of directors. Our Amended and Restated Certificate of Incorporation does not provide for cumulative voting in the election of directors. Subject to any preferential rights of any outstanding series of preferred stock created by our Board of Directors from time to time the holders of our common stock will be entitled to cash dividends as may be declared, if any, by our Board of Directors from funds available. Subject to any preferential rights of any outstanding series of preferred stock that we may issue, upon liquidation, dissolution or winding up of our company, the holders of our common stock will be entitled to receive pro rata all assets available for distribution to the holders.  There are no outstanding shares of our common stock that we have agreed to register under the Securities Act for sale by stockholders.</w:t>
      </w:r>
    </w:p>
    <w:p>
      <w:pPr>
        <w:pStyle w:val="TextBody"/>
        <w:spacing w:before="0" w:after="0"/>
        <w:ind w:left="0" w:right="0" w:hanging="0"/>
        <w:jc w:val="both"/>
        <w:rPr/>
      </w:pPr>
      <w:r>
        <w:rPr/>
        <w:t> </w:t>
      </w:r>
    </w:p>
    <w:p>
      <w:pPr>
        <w:pStyle w:val="TextBody"/>
        <w:spacing w:before="0" w:after="0"/>
        <w:ind w:left="0" w:right="0" w:hanging="0"/>
        <w:rPr>
          <w:rFonts w:ascii="helvetica" w:hAnsi="helvetica"/>
          <w:b/>
          <w:sz w:val="20"/>
        </w:rPr>
      </w:pPr>
      <w:r>
        <w:rPr>
          <w:rFonts w:ascii="helvetica" w:hAnsi="helvetica"/>
          <w:b/>
          <w:sz w:val="20"/>
        </w:rPr>
        <w:t>Description of Preferred Stock</w:t>
      </w:r>
    </w:p>
    <w:p>
      <w:pPr>
        <w:pStyle w:val="TextBody"/>
        <w:spacing w:before="0" w:after="0"/>
        <w:ind w:left="0" w:right="0" w:hanging="0"/>
        <w:jc w:val="both"/>
        <w:rPr/>
      </w:pPr>
      <w:r>
        <w:rPr/>
        <w:t> </w:t>
      </w:r>
    </w:p>
    <w:p>
      <w:pPr>
        <w:pStyle w:val="TextBody"/>
        <w:spacing w:before="0" w:after="0"/>
        <w:ind w:left="0" w:right="0" w:hanging="0"/>
        <w:rPr>
          <w:rFonts w:ascii="helvetica" w:hAnsi="helvetica"/>
          <w:b/>
          <w:i/>
          <w:sz w:val="20"/>
        </w:rPr>
      </w:pPr>
      <w:r>
        <w:rPr>
          <w:rFonts w:ascii="helvetica" w:hAnsi="helvetica"/>
          <w:b/>
          <w:i/>
          <w:sz w:val="20"/>
        </w:rPr>
        <w:t>Undesignated Preferred Stock</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r>
        <w:rPr>
          <w:rFonts w:ascii="helvetica" w:hAnsi="helvetica"/>
          <w:sz w:val="20"/>
        </w:rPr>
        <w:t>Our Board of Directors has the authority, without further action by our stockholders, to issue up to 5,000,000 shares of preferred stock, par value $0.001 per share, in one or more series. Our Board of Directors may designate the rights, preferences, privileges and restrictions of the preferred stock, including dividend rights, conversion rights, voting rights, terms of redemption, liquidation preference, sinking fund terms, and number of shares constituting any series and the designation of any series. The issuance of preferred stock could have the effect of restricting dividends on our common stock, diluting the voting power of our common stock, impairing the liquidation rights of our common stock, or delaying or preventing a change in control. The ability to issue preferred stock could delay or impede a change in control.  As of the date of this prospectus and following the completion of this offering, no shares of preferred stock are outstanding and we currently have no plan to issue any shares of preferred stock.</w:t>
      </w:r>
    </w:p>
    <w:p>
      <w:pPr>
        <w:pStyle w:val="TextBody"/>
        <w:spacing w:before="0" w:after="0"/>
        <w:ind w:left="0" w:right="0" w:hanging="0"/>
        <w:jc w:val="both"/>
        <w:rPr/>
      </w:pPr>
      <w:r>
        <w:rPr/>
        <w:t> </w:t>
      </w:r>
    </w:p>
    <w:p>
      <w:pPr>
        <w:pStyle w:val="TextBody"/>
        <w:spacing w:before="0" w:after="0"/>
        <w:ind w:left="0" w:right="0" w:hanging="0"/>
        <w:rPr>
          <w:rFonts w:ascii="helvetica" w:hAnsi="helvetica"/>
          <w:b/>
          <w:i/>
          <w:sz w:val="20"/>
        </w:rPr>
      </w:pPr>
      <w:r>
        <w:rPr>
          <w:rFonts w:ascii="helvetica" w:hAnsi="helvetica"/>
          <w:b/>
          <w:i/>
          <w:sz w:val="20"/>
        </w:rPr>
        <w:t>Series A Preferred Stock</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r>
        <w:rPr>
          <w:rFonts w:ascii="helvetica" w:hAnsi="helvetica"/>
          <w:sz w:val="20"/>
        </w:rPr>
        <w:t>On December 12, 2011, we issued 10 shares of Series A Preferred Stock to DermaStar in a private placement.  The Series A Preferred Stock has the rights and preferences identified in the Certificate of Designation to our Amended and Restated Certificate of Incorporation filed with the Delaware Secretary of State on December 9, 2011.  Among other things, the Certificate of Designation (i) authorizes 10 shares of the Company’s preferred stock to be designated as “Series A Convertible Preferred Stock”, (ii) grants the holders of the Series A Preferred Stock the right to convert into our common stock at a conversion price of approximately $0.06668, as adjusted, (iii) grants a liquidation preference of $10,000 per share of Series A Preferred Stock, (iv) provides that the holders of Series A Preferred Stock shall vote with the holders of our common stock on an “as converted basis”, and (v) provides that the affirmative vote of a majority of the outstanding shares of the Series A Preferred Stock is required to approve certain other corporate matters including, among other things, changes to the rights of the holders of the Series A Preferred Stock, amendments to our Amended and Restated Certificate of Incorporation or Bylaws, issuance of priority or parity securities, issuance of debt securities, entry into certain fundamental transactions and increase or decrease in the size of our Board of Directors.  On June 29, 2012, DermaStar converted the 10 shares of Series A Preferred Stock held by it into 1,499,700 shares of common stock.  Immediately following the conversion of the Series A Preferred Stock, all 10 shares were retired to our treasury and cancelled.</w:t>
      </w:r>
    </w:p>
    <w:p>
      <w:pPr>
        <w:pStyle w:val="TextBody"/>
        <w:spacing w:before="0" w:after="0"/>
        <w:ind w:left="0" w:right="0" w:hanging="0"/>
        <w:jc w:val="both"/>
        <w:rPr/>
      </w:pPr>
      <w:r>
        <w:rPr/>
        <w:t> </w:t>
      </w:r>
    </w:p>
    <w:p>
      <w:pPr>
        <w:pStyle w:val="TextBody"/>
        <w:spacing w:before="0" w:after="0"/>
        <w:ind w:left="0" w:right="0" w:hanging="0"/>
        <w:rPr>
          <w:rFonts w:ascii="helvetica" w:hAnsi="helvetica"/>
          <w:b/>
          <w:sz w:val="20"/>
        </w:rPr>
      </w:pPr>
      <w:r>
        <w:rPr>
          <w:rFonts w:ascii="helvetica" w:hAnsi="helvetica"/>
          <w:b/>
          <w:sz w:val="20"/>
        </w:rPr>
        <w:t>Anti-Takeover Provisions</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r>
        <w:rPr>
          <w:rFonts w:ascii="helvetica" w:hAnsi="helvetica"/>
          <w:sz w:val="20"/>
        </w:rPr>
        <w:t>We are subject to the provisions of Section 203 of the Delaware General Corporation Law, or DGCL, an anti-takeover law. In general, Section 203 prohibits a publicly held Delaware corporation from engaging in a ‘‘business combination’’ with an ‘‘interested stockholder’’ for a period of three years after the date of the transaction in which such stockholder became an interested stockholder, unless the business combination is approved in a prescribed manner. For purposes of Section 203, a ‘‘business combination’’ includes a merger, asset sale or other transaction resulting in a financial benefit to the interested stockholder, and an ‘‘interested stockholder’’ is a stockholder who, together with affiliates and associates, owns, or within three years prior, did own, 15% or more of the voting stock.</w:t>
      </w:r>
    </w:p>
    <w:p>
      <w:pPr>
        <w:pStyle w:val="TextBody"/>
        <w:spacing w:before="0" w:after="0"/>
        <w:ind w:left="0" w:right="0" w:firstLine="720"/>
        <w:jc w:val="left"/>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380" w:name="PGBRK25"/>
      <w:bookmarkStart w:id="381" w:name="PGBRK25"/>
      <w:bookmarkEnd w:id="38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382" w:name="FTR25"/>
      <w:bookmarkStart w:id="383" w:name="FTR25"/>
      <w:bookmarkEnd w:id="38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384" w:name="GLFTR24"/>
      <w:bookmarkEnd w:id="384"/>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helvetica" w:hAnsi="helvetica"/>
          <w:sz w:val="20"/>
        </w:rPr>
      </w:pPr>
      <w:bookmarkStart w:id="385" w:name="PN24"/>
      <w:bookmarkEnd w:id="385"/>
      <w:r>
        <w:rPr>
          <w:rFonts w:ascii="helvetica" w:hAnsi="helvetica"/>
          <w:sz w:val="20"/>
        </w:rPr>
        <w:t>23</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386" w:name="HDR24"/>
      <w:bookmarkStart w:id="387" w:name="HDR24"/>
      <w:bookmarkEnd w:id="38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388" w:name="GLHDR24"/>
      <w:bookmarkEnd w:id="388"/>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pPr>
      <w:r>
        <w:rPr/>
        <w:t> </w:t>
      </w:r>
    </w:p>
    <w:p>
      <w:pPr>
        <w:pStyle w:val="TextBody"/>
        <w:spacing w:before="0" w:after="0"/>
        <w:ind w:left="0" w:right="0" w:hanging="0"/>
        <w:rPr>
          <w:rFonts w:ascii="helvetica" w:hAnsi="helvetica"/>
          <w:b/>
          <w:sz w:val="20"/>
        </w:rPr>
      </w:pPr>
      <w:r>
        <w:rPr>
          <w:rFonts w:ascii="helvetica" w:hAnsi="helvetica"/>
          <w:b/>
          <w:sz w:val="20"/>
        </w:rPr>
        <w:t>Liability and Indemnification of Directors and Officers</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r>
        <w:rPr>
          <w:rFonts w:ascii="helvetica" w:hAnsi="helvetica"/>
          <w:sz w:val="20"/>
        </w:rPr>
        <w:t>Section 145 of the DGCL provides, in general, that a corporation incorporated under the laws of the State of Delaware, such as us, may indemnify any person who was or is a party or is threatened to be made a party to any threatened, pending or completed action, suit or proceeding (other than a derivative action by or in the right of the corporation) by reason of the fact that such person is or was a director, officer, employee or agent of the corporation, or is or was serving at the request of the corporation as a director, officer, employee or agent of another enterprise, against expenses (including attorneys’ fees), judgments, fines and amounts paid in settlement actually and reasonably incurred by such person in connection with such action, suit or proceeding if such person acted in good faith and in a manner such person reasonably believed to be in or not opposed to the best interests of the corporation, and, with respect to any criminal action or proceeding, had no reasonable cause to believe such person’s conduct was unlawful. In the case of a derivative action, a Delaware corporation may indemnify any such person against expenses (including attorneys’ fees) actually and reasonably incurred by such person in connection with the defense or settlement of such action or suit if such person acted in good faith and in a manner such person reasonably believed to be in or not opposed to the best interests of the corporation, except that no indemnification will be made in respect of any claim, issue or matter as to which such person will have been adjudged to be liable to the corporation unless and only to the extent that the Court of Chancery of the State of Delaware or any other court in which such action was brought determines such person is fairly and reasonably entitled to indemnity for such expenses.</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r>
        <w:rPr>
          <w:rFonts w:ascii="helvetica" w:hAnsi="helvetica"/>
          <w:sz w:val="20"/>
        </w:rPr>
        <w:t>Our Amended and Restated Certificate of Incorporation and Amended and Restated Bylaws provide that we will indemnify our directors, officers, employees and agents to the extent and in the manner permitted by the provisions of the DGCL, as amended from time to time, subject to any permissible expansion or limitation of such indemnification, as may be set forth in any stockholders’ or directors’ resolution or by contract.</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r>
        <w:rPr>
          <w:rFonts w:ascii="helvetica" w:hAnsi="helvetica"/>
          <w:sz w:val="20"/>
        </w:rPr>
        <w:t>We also have director and officer indemnification agreements with each of our executive officers and directors that provide, among other things, for the indemnification to the fullest extent permitted or required by Delaware law, provided that such indemnitee shall not be entitled to indemnification in connection with any proceedings or claims initiated or brought voluntarily by the indemnitee and not by way of defense, unless (i) such indemnification is expressly required to be made by law, (ii) the proceeding was authorized by our Board of Directors, (iii) indemnification is provided by us, in our sole discretion, pursuant to powers vested in us under the DGCL, or (iv) the proceeding is brought to establish or enforce a right to indemnification under the indemnification agreement or any other statute or law or otherwise as required under Section 145 of the DGCL.  We are not required to indemnify the indemnitee for any amounts paid in settlement of a proceeding unless we consent to such settlement.</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r>
        <w:rPr>
          <w:rFonts w:ascii="helvetica" w:hAnsi="helvetica"/>
          <w:sz w:val="20"/>
        </w:rPr>
        <w:t>Any repeal or modification of these provisions approved by our stockholders shall be prospective only, and shall not adversely affect any limitation on the liability of a director or officer existing as of the time of such repeal or modification.</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r>
        <w:rPr>
          <w:rFonts w:ascii="helvetica" w:hAnsi="helvetica"/>
          <w:sz w:val="20"/>
        </w:rPr>
        <w:t>We have purchased and intend to maintain insurance on our behalf and on behalf of any person who is or was a director or officer against any loss arising from any claim asserted against him or her and incurred by him or her in that capacity, subject to certain exclusions and limits of the amount of coverage.</w:t>
      </w:r>
    </w:p>
    <w:p>
      <w:pPr>
        <w:pStyle w:val="TextBody"/>
        <w:spacing w:before="0" w:after="0"/>
        <w:ind w:left="0" w:right="0" w:hanging="0"/>
        <w:jc w:val="both"/>
        <w:rPr/>
      </w:pPr>
      <w:r>
        <w:rPr/>
        <w:t> </w:t>
      </w:r>
    </w:p>
    <w:p>
      <w:pPr>
        <w:pStyle w:val="TextBody"/>
        <w:spacing w:before="0" w:after="0"/>
        <w:ind w:left="0" w:right="0" w:hanging="0"/>
        <w:rPr>
          <w:rFonts w:ascii="helvetica" w:hAnsi="helvetica"/>
          <w:b/>
          <w:sz w:val="20"/>
        </w:rPr>
      </w:pPr>
      <w:r>
        <w:rPr>
          <w:rFonts w:ascii="helvetica" w:hAnsi="helvetica"/>
          <w:b/>
          <w:sz w:val="20"/>
        </w:rPr>
        <w:t>Transfer Agent</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r>
        <w:rPr>
          <w:rFonts w:ascii="helvetica" w:hAnsi="helvetica"/>
          <w:sz w:val="20"/>
        </w:rPr>
        <w:t>The transfer agent and registrar for our common stock is Action Stock Transfer Corporation, 2469 E. Fort Union Blvd., Suite 214, Salt Lake City, UT 84121.</w:t>
      </w:r>
    </w:p>
    <w:p>
      <w:pPr>
        <w:pStyle w:val="TextBody"/>
        <w:spacing w:before="0" w:after="0"/>
        <w:ind w:left="0" w:right="0" w:firstLine="720"/>
        <w:jc w:val="left"/>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389" w:name="PGBRK26"/>
      <w:bookmarkStart w:id="390" w:name="PGBRK26"/>
      <w:bookmarkEnd w:id="39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391" w:name="FTR26"/>
      <w:bookmarkStart w:id="392" w:name="FTR26"/>
      <w:bookmarkEnd w:id="39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393" w:name="GLFTR25"/>
      <w:bookmarkEnd w:id="393"/>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helvetica" w:hAnsi="helvetica"/>
          <w:sz w:val="20"/>
        </w:rPr>
      </w:pPr>
      <w:bookmarkStart w:id="394" w:name="PN25"/>
      <w:bookmarkEnd w:id="394"/>
      <w:r>
        <w:rPr>
          <w:rFonts w:ascii="helvetica" w:hAnsi="helvetica"/>
          <w:sz w:val="20"/>
        </w:rPr>
        <w:t>24</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395" w:name="HDR25"/>
      <w:bookmarkStart w:id="396" w:name="HDR25"/>
      <w:bookmarkEnd w:id="39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397" w:name="GLHDR25"/>
      <w:bookmarkEnd w:id="397"/>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pPr>
      <w:r>
        <w:rPr/>
        <w:t> </w:t>
      </w:r>
    </w:p>
    <w:p>
      <w:pPr>
        <w:pStyle w:val="TextBody"/>
        <w:spacing w:before="0" w:after="0"/>
        <w:ind w:left="0" w:right="0" w:hanging="0"/>
        <w:jc w:val="center"/>
        <w:rPr>
          <w:rFonts w:ascii="helvetica" w:hAnsi="helvetica"/>
          <w:b/>
          <w:sz w:val="20"/>
        </w:rPr>
      </w:pPr>
      <w:r>
        <w:rPr>
          <w:rFonts w:ascii="helvetica" w:hAnsi="helvetica"/>
          <w:b/>
          <w:sz w:val="20"/>
        </w:rPr>
        <w:t>CAPITALIZATION</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r>
        <w:rPr>
          <w:rFonts w:ascii="helvetica" w:hAnsi="helvetica"/>
          <w:sz w:val="20"/>
        </w:rPr>
        <w:t xml:space="preserve">The following table sets forth our cash and cash equivalents and our capitalization as of June 30, 2012, in each case after giving effect to the one-for-five reverse stock split of our common stock to be effected following the effectiveness of the registration statement of which this prospectus forms a part and prior to the closing of the offering: </w:t>
      </w:r>
    </w:p>
    <w:p>
      <w:pPr>
        <w:pStyle w:val="TextBody"/>
        <w:spacing w:before="0" w:after="0"/>
        <w:ind w:left="0" w:right="0" w:hanging="0"/>
        <w:jc w:val="both"/>
        <w:rPr/>
      </w:pPr>
      <w:r>
        <w:rPr/>
        <w:t> </w:t>
      </w:r>
    </w:p>
    <w:p>
      <w:pPr>
        <w:pStyle w:val="Normal"/>
        <w:spacing w:before="0" w:after="0"/>
        <w:rPr>
          <w:sz w:val="4"/>
          <w:szCs w:val="4"/>
        </w:rPr>
      </w:pPr>
      <w:r>
        <w:rPr>
          <w:sz w:val="4"/>
          <w:szCs w:val="4"/>
        </w:rPr>
      </w:r>
      <w:bookmarkStart w:id="398" w:name="list72"/>
      <w:bookmarkStart w:id="399" w:name="list72"/>
      <w:bookmarkEnd w:id="399"/>
    </w:p>
    <w:tbl>
      <w:tblPr>
        <w:tblW w:w="5000" w:type="pct"/>
        <w:jc w:val="left"/>
        <w:tblInd w:w="0" w:type="dxa"/>
        <w:tblCellMar>
          <w:top w:w="0" w:type="dxa"/>
          <w:left w:w="0" w:type="dxa"/>
          <w:bottom w:w="0" w:type="dxa"/>
          <w:right w:w="0" w:type="dxa"/>
        </w:tblCellMar>
      </w:tblPr>
      <w:tblGrid>
        <w:gridCol w:w="1765"/>
        <w:gridCol w:w="8440"/>
      </w:tblGrid>
      <w:tr>
        <w:trPr/>
        <w:tc>
          <w:tcPr>
            <w:tcW w:w="1765" w:type="dxa"/>
            <w:tcBorders/>
            <w:shd w:fill="auto" w:val="clear"/>
          </w:tcPr>
          <w:p>
            <w:pPr>
              <w:pStyle w:val="TableContents"/>
              <w:spacing w:before="0" w:after="0"/>
              <w:jc w:val="right"/>
              <w:rPr/>
            </w:pPr>
            <w:r>
              <w:rPr/>
              <w:t xml:space="preserve">●   </w:t>
            </w:r>
          </w:p>
        </w:tc>
        <w:tc>
          <w:tcPr>
            <w:tcW w:w="8440" w:type="dxa"/>
            <w:tcBorders/>
            <w:shd w:fill="auto" w:val="clear"/>
          </w:tcPr>
          <w:p>
            <w:pPr>
              <w:pStyle w:val="TableContents"/>
              <w:spacing w:before="0" w:after="0"/>
              <w:ind w:left="0" w:right="0" w:hanging="0"/>
              <w:jc w:val="both"/>
              <w:rPr/>
            </w:pPr>
            <w:r>
              <w:rPr>
                <w:rFonts w:ascii="helvetica" w:hAnsi="helvetica"/>
                <w:sz w:val="20"/>
              </w:rPr>
              <w:t>on an actual basis;</w:t>
            </w:r>
            <w:r>
              <w:rPr/>
              <w:t xml:space="preserve"> </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400" w:name="list73"/>
      <w:bookmarkStart w:id="401" w:name="list73"/>
      <w:bookmarkEnd w:id="401"/>
    </w:p>
    <w:tbl>
      <w:tblPr>
        <w:tblW w:w="5000" w:type="pct"/>
        <w:jc w:val="left"/>
        <w:tblInd w:w="0" w:type="dxa"/>
        <w:tblCellMar>
          <w:top w:w="0" w:type="dxa"/>
          <w:left w:w="0" w:type="dxa"/>
          <w:bottom w:w="0" w:type="dxa"/>
          <w:right w:w="0" w:type="dxa"/>
        </w:tblCellMar>
      </w:tblPr>
      <w:tblGrid>
        <w:gridCol w:w="330"/>
        <w:gridCol w:w="9875"/>
      </w:tblGrid>
      <w:tr>
        <w:trPr/>
        <w:tc>
          <w:tcPr>
            <w:tcW w:w="330" w:type="dxa"/>
            <w:tcBorders/>
            <w:shd w:fill="auto" w:val="clear"/>
          </w:tcPr>
          <w:p>
            <w:pPr>
              <w:pStyle w:val="TableContents"/>
              <w:spacing w:before="0" w:after="0"/>
              <w:jc w:val="right"/>
              <w:rPr/>
            </w:pPr>
            <w:r>
              <w:rPr/>
              <w:t xml:space="preserve">●   </w:t>
            </w:r>
          </w:p>
        </w:tc>
        <w:tc>
          <w:tcPr>
            <w:tcW w:w="9875" w:type="dxa"/>
            <w:tcBorders/>
            <w:shd w:fill="auto" w:val="clear"/>
          </w:tcPr>
          <w:p>
            <w:pPr>
              <w:pStyle w:val="TableContents"/>
              <w:spacing w:before="0" w:after="0"/>
              <w:ind w:left="0" w:right="0" w:hanging="0"/>
              <w:jc w:val="both"/>
              <w:rPr/>
            </w:pPr>
            <w:r>
              <w:rPr>
                <w:rFonts w:ascii="helvetica" w:hAnsi="helvetica"/>
                <w:sz w:val="20"/>
              </w:rPr>
              <w:t>on a pro forma basis giving effect to the issuance of 832,683 shares of common stock issued to PCCA in connection with the PCCA Transaction (resulting in gross proceeds to the Company of $4 million), as if it had occurred on June 30, 2012;</w:t>
            </w:r>
            <w:r>
              <w:rPr/>
              <w:t xml:space="preserve"> </w:t>
            </w:r>
          </w:p>
        </w:tc>
      </w:tr>
    </w:tbl>
    <w:p>
      <w:pPr>
        <w:pStyle w:val="TextBody"/>
        <w:spacing w:before="0" w:after="0"/>
        <w:ind w:left="0" w:right="0" w:hanging="0"/>
        <w:jc w:val="both"/>
        <w:rPr/>
      </w:pPr>
      <w:r>
        <w:rPr/>
        <w:t> </w:t>
      </w:r>
    </w:p>
    <w:p>
      <w:pPr>
        <w:pStyle w:val="Normal"/>
        <w:spacing w:before="0" w:after="0"/>
        <w:jc w:val="both"/>
        <w:rPr>
          <w:sz w:val="4"/>
          <w:szCs w:val="4"/>
        </w:rPr>
      </w:pPr>
      <w:r>
        <w:rPr>
          <w:sz w:val="4"/>
          <w:szCs w:val="4"/>
        </w:rPr>
      </w:r>
      <w:bookmarkStart w:id="402" w:name="list74"/>
      <w:bookmarkStart w:id="403" w:name="list74"/>
      <w:bookmarkEnd w:id="403"/>
    </w:p>
    <w:tbl>
      <w:tblPr>
        <w:tblW w:w="5000" w:type="pct"/>
        <w:jc w:val="left"/>
        <w:tblInd w:w="0" w:type="dxa"/>
        <w:tblCellMar>
          <w:top w:w="0" w:type="dxa"/>
          <w:left w:w="0" w:type="dxa"/>
          <w:bottom w:w="0" w:type="dxa"/>
          <w:right w:w="0" w:type="dxa"/>
        </w:tblCellMar>
      </w:tblPr>
      <w:tblGrid>
        <w:gridCol w:w="324"/>
        <w:gridCol w:w="9881"/>
      </w:tblGrid>
      <w:tr>
        <w:trPr/>
        <w:tc>
          <w:tcPr>
            <w:tcW w:w="324" w:type="dxa"/>
            <w:tcBorders/>
            <w:shd w:fill="auto" w:val="clear"/>
          </w:tcPr>
          <w:p>
            <w:pPr>
              <w:pStyle w:val="TableContents"/>
              <w:spacing w:before="0" w:after="0"/>
              <w:jc w:val="right"/>
              <w:rPr/>
            </w:pPr>
            <w:r>
              <w:rPr/>
              <w:t xml:space="preserve">●   </w:t>
            </w:r>
          </w:p>
        </w:tc>
        <w:tc>
          <w:tcPr>
            <w:tcW w:w="9881" w:type="dxa"/>
            <w:tcBorders/>
            <w:shd w:fill="auto" w:val="clear"/>
          </w:tcPr>
          <w:p>
            <w:pPr>
              <w:pStyle w:val="TableContents"/>
              <w:spacing w:before="0" w:after="0"/>
              <w:ind w:left="0" w:right="0" w:hanging="0"/>
              <w:jc w:val="both"/>
              <w:rPr/>
            </w:pPr>
            <w:r>
              <w:rPr>
                <w:rFonts w:ascii="helvetica" w:hAnsi="helvetica"/>
                <w:sz w:val="20"/>
              </w:rPr>
              <w:t>on a pro forma as adjusted basis, giving effect to the sale by us of                 shares of common stock in this offering at an assumed public offering price of $            per share, after deducting the estimated underwriting discounts and commissions and estimated offering expenses payable by us.</w:t>
            </w:r>
            <w:r>
              <w:rPr/>
              <w:t xml:space="preserve"> </w:t>
            </w:r>
          </w:p>
        </w:tc>
      </w:tr>
    </w:tbl>
    <w:p>
      <w:pPr>
        <w:pStyle w:val="TextBody"/>
        <w:spacing w:before="0" w:after="0"/>
        <w:ind w:left="0" w:right="0" w:hanging="0"/>
        <w:jc w:val="both"/>
        <w:rPr/>
      </w:pPr>
      <w:r>
        <w:rPr/>
        <w:t> </w:t>
      </w:r>
    </w:p>
    <w:p>
      <w:pPr>
        <w:pStyle w:val="TextBody"/>
        <w:spacing w:before="0" w:after="0"/>
        <w:ind w:left="0" w:right="0" w:firstLine="720"/>
        <w:jc w:val="left"/>
        <w:rPr/>
      </w:pPr>
      <w:r>
        <w:rPr>
          <w:rFonts w:ascii="helvetica" w:hAnsi="helvetica"/>
          <w:sz w:val="20"/>
        </w:rPr>
        <w:t>You should read this table together with “Management’s Discussion and Analysis of Financial Condition and Results of Operations” and our consolidated financial statements and the related notes appearing elsewhere in this prospectus.</w:t>
      </w:r>
      <w:r>
        <w:rPr/>
        <w:t xml:space="preserve"> </w:t>
      </w:r>
    </w:p>
    <w:p>
      <w:pPr>
        <w:pStyle w:val="TextBody"/>
        <w:spacing w:before="0" w:after="0"/>
        <w:ind w:left="0" w:right="0" w:firstLine="720"/>
        <w:jc w:val="left"/>
        <w:rPr/>
      </w:pPr>
      <w:r>
        <w:rPr/>
        <w:t> </w:t>
      </w:r>
    </w:p>
    <w:tbl>
      <w:tblPr>
        <w:tblW w:w="5000" w:type="pct"/>
        <w:jc w:val="left"/>
        <w:tblInd w:w="0" w:type="dxa"/>
        <w:tblCellMar>
          <w:top w:w="0" w:type="dxa"/>
          <w:left w:w="0" w:type="dxa"/>
          <w:bottom w:w="0" w:type="dxa"/>
          <w:right w:w="0" w:type="dxa"/>
        </w:tblCellMar>
      </w:tblPr>
      <w:tblGrid>
        <w:gridCol w:w="4977"/>
        <w:gridCol w:w="104"/>
        <w:gridCol w:w="161"/>
        <w:gridCol w:w="1382"/>
        <w:gridCol w:w="175"/>
        <w:gridCol w:w="104"/>
        <w:gridCol w:w="161"/>
        <w:gridCol w:w="1381"/>
        <w:gridCol w:w="175"/>
        <w:gridCol w:w="104"/>
        <w:gridCol w:w="438"/>
        <w:gridCol w:w="863"/>
        <w:gridCol w:w="180"/>
      </w:tblGrid>
      <w:tr>
        <w:trPr/>
        <w:tc>
          <w:tcPr>
            <w:tcW w:w="4977" w:type="dxa"/>
            <w:tcBorders/>
            <w:shd w:fill="auto" w:val="clear"/>
            <w:vAlign w:val="bottom"/>
          </w:tcPr>
          <w:p>
            <w:pPr>
              <w:pStyle w:val="TableContents"/>
              <w:spacing w:before="0" w:after="283"/>
              <w:rPr/>
            </w:pPr>
            <w:r>
              <w:rPr/>
              <w:t xml:space="preserve">  </w:t>
            </w:r>
          </w:p>
        </w:tc>
        <w:tc>
          <w:tcPr>
            <w:tcW w:w="104" w:type="dxa"/>
            <w:tcBorders/>
            <w:shd w:fill="auto" w:val="clear"/>
            <w:vAlign w:val="bottom"/>
          </w:tcPr>
          <w:p>
            <w:pPr>
              <w:pStyle w:val="TableContents"/>
              <w:spacing w:before="0" w:after="283"/>
              <w:rPr/>
            </w:pPr>
            <w:r>
              <w:rPr/>
              <w:t xml:space="preserve">  </w:t>
            </w:r>
          </w:p>
        </w:tc>
        <w:tc>
          <w:tcPr>
            <w:tcW w:w="4944" w:type="dxa"/>
            <w:gridSpan w:val="10"/>
            <w:tcBorders>
              <w:bottom w:val="single" w:sz="12" w:space="0" w:color="000000"/>
            </w:tcBorders>
            <w:shd w:fill="auto" w:val="clear"/>
            <w:tcMar>
              <w:bottom w:w="28" w:type="dxa"/>
            </w:tcMar>
            <w:vAlign w:val="bottom"/>
          </w:tcPr>
          <w:p>
            <w:pPr>
              <w:pStyle w:val="TableContents"/>
              <w:spacing w:before="0" w:after="0"/>
              <w:ind w:left="0" w:right="0" w:hanging="0"/>
              <w:jc w:val="center"/>
              <w:rPr/>
            </w:pPr>
            <w:r>
              <w:rPr>
                <w:rFonts w:ascii="helvetica" w:hAnsi="helvetica"/>
                <w:b/>
                <w:sz w:val="16"/>
              </w:rPr>
              <w:t>June 30, 2012</w:t>
            </w:r>
            <w:r>
              <w:rPr/>
              <w:t xml:space="preserve"> </w:t>
            </w:r>
          </w:p>
        </w:tc>
        <w:tc>
          <w:tcPr>
            <w:tcW w:w="180" w:type="dxa"/>
            <w:tcBorders/>
            <w:shd w:fill="auto" w:val="clear"/>
            <w:vAlign w:val="bottom"/>
          </w:tcPr>
          <w:p>
            <w:pPr>
              <w:pStyle w:val="TableContents"/>
              <w:spacing w:before="0" w:after="283"/>
              <w:jc w:val="left"/>
              <w:rPr/>
            </w:pPr>
            <w:r>
              <w:rPr/>
              <w:t xml:space="preserve">  </w:t>
            </w:r>
          </w:p>
        </w:tc>
      </w:tr>
      <w:tr>
        <w:trPr/>
        <w:tc>
          <w:tcPr>
            <w:tcW w:w="4977" w:type="dxa"/>
            <w:tcBorders/>
            <w:shd w:fill="auto" w:val="clear"/>
            <w:vAlign w:val="bottom"/>
          </w:tcPr>
          <w:p>
            <w:pPr>
              <w:pStyle w:val="TableContents"/>
              <w:spacing w:before="0" w:after="283"/>
              <w:rPr/>
            </w:pPr>
            <w:r>
              <w:rPr/>
              <w:t xml:space="preserve">  </w:t>
            </w:r>
          </w:p>
        </w:tc>
        <w:tc>
          <w:tcPr>
            <w:tcW w:w="104" w:type="dxa"/>
            <w:tcBorders/>
            <w:shd w:fill="auto" w:val="clear"/>
            <w:vAlign w:val="bottom"/>
          </w:tcPr>
          <w:p>
            <w:pPr>
              <w:pStyle w:val="TableContents"/>
              <w:spacing w:before="0" w:after="283"/>
              <w:rPr/>
            </w:pPr>
            <w:r>
              <w:rPr/>
              <w:t xml:space="preserve">  </w:t>
            </w:r>
          </w:p>
        </w:tc>
        <w:tc>
          <w:tcPr>
            <w:tcW w:w="1543" w:type="dxa"/>
            <w:gridSpan w:val="2"/>
            <w:tcBorders/>
            <w:shd w:fill="auto" w:val="clear"/>
            <w:vAlign w:val="bottom"/>
          </w:tcPr>
          <w:p>
            <w:pPr>
              <w:pStyle w:val="TableContents"/>
              <w:spacing w:before="0" w:after="283"/>
              <w:rPr/>
            </w:pPr>
            <w:r>
              <w:rPr/>
              <w:t xml:space="preserve">  </w:t>
            </w:r>
          </w:p>
        </w:tc>
        <w:tc>
          <w:tcPr>
            <w:tcW w:w="175" w:type="dxa"/>
            <w:tcBorders/>
            <w:shd w:fill="auto" w:val="clear"/>
            <w:vAlign w:val="bottom"/>
          </w:tcPr>
          <w:p>
            <w:pPr>
              <w:pStyle w:val="TableContents"/>
              <w:spacing w:before="0" w:after="283"/>
              <w:jc w:val="left"/>
              <w:rPr/>
            </w:pPr>
            <w:r>
              <w:rPr/>
              <w:t xml:space="preserve">  </w:t>
            </w:r>
          </w:p>
        </w:tc>
        <w:tc>
          <w:tcPr>
            <w:tcW w:w="104" w:type="dxa"/>
            <w:tcBorders/>
            <w:shd w:fill="auto" w:val="clear"/>
            <w:vAlign w:val="bottom"/>
          </w:tcPr>
          <w:p>
            <w:pPr>
              <w:pStyle w:val="TableContents"/>
              <w:spacing w:before="0" w:after="283"/>
              <w:rPr/>
            </w:pPr>
            <w:r>
              <w:rPr/>
              <w:t xml:space="preserve">  </w:t>
            </w:r>
          </w:p>
        </w:tc>
        <w:tc>
          <w:tcPr>
            <w:tcW w:w="1542" w:type="dxa"/>
            <w:gridSpan w:val="2"/>
            <w:tcBorders/>
            <w:shd w:fill="auto" w:val="clear"/>
            <w:vAlign w:val="bottom"/>
          </w:tcPr>
          <w:p>
            <w:pPr>
              <w:pStyle w:val="TableContents"/>
              <w:spacing w:before="0" w:after="283"/>
              <w:rPr/>
            </w:pPr>
            <w:r>
              <w:rPr/>
              <w:t xml:space="preserve">  </w:t>
            </w:r>
          </w:p>
        </w:tc>
        <w:tc>
          <w:tcPr>
            <w:tcW w:w="175" w:type="dxa"/>
            <w:tcBorders/>
            <w:shd w:fill="auto" w:val="clear"/>
            <w:vAlign w:val="bottom"/>
          </w:tcPr>
          <w:p>
            <w:pPr>
              <w:pStyle w:val="TableContents"/>
              <w:spacing w:before="0" w:after="283"/>
              <w:jc w:val="left"/>
              <w:rPr/>
            </w:pPr>
            <w:r>
              <w:rPr/>
              <w:t xml:space="preserve">  </w:t>
            </w:r>
          </w:p>
        </w:tc>
        <w:tc>
          <w:tcPr>
            <w:tcW w:w="104" w:type="dxa"/>
            <w:tcBorders/>
            <w:shd w:fill="auto" w:val="clear"/>
            <w:vAlign w:val="bottom"/>
          </w:tcPr>
          <w:p>
            <w:pPr>
              <w:pStyle w:val="TableContents"/>
              <w:spacing w:before="0" w:after="283"/>
              <w:rPr/>
            </w:pPr>
            <w:r>
              <w:rPr/>
              <w:t xml:space="preserve">  </w:t>
            </w:r>
          </w:p>
        </w:tc>
        <w:tc>
          <w:tcPr>
            <w:tcW w:w="1301" w:type="dxa"/>
            <w:gridSpan w:val="2"/>
            <w:tcBorders/>
            <w:shd w:fill="auto" w:val="clear"/>
            <w:vAlign w:val="bottom"/>
          </w:tcPr>
          <w:p>
            <w:pPr>
              <w:pStyle w:val="TableContents"/>
              <w:spacing w:before="0" w:after="0"/>
              <w:ind w:left="0" w:right="0" w:hanging="0"/>
              <w:jc w:val="center"/>
              <w:rPr/>
            </w:pPr>
            <w:r>
              <w:rPr>
                <w:rFonts w:ascii="helvetica" w:hAnsi="helvetica"/>
                <w:b/>
                <w:sz w:val="16"/>
              </w:rPr>
              <w:t>Pro Forma</w:t>
            </w:r>
            <w:r>
              <w:rPr/>
              <w:t xml:space="preserve"> </w:t>
            </w:r>
          </w:p>
        </w:tc>
        <w:tc>
          <w:tcPr>
            <w:tcW w:w="180" w:type="dxa"/>
            <w:tcBorders/>
            <w:shd w:fill="auto" w:val="clear"/>
            <w:vAlign w:val="bottom"/>
          </w:tcPr>
          <w:p>
            <w:pPr>
              <w:pStyle w:val="TableContents"/>
              <w:spacing w:before="0" w:after="283"/>
              <w:jc w:val="left"/>
              <w:rPr/>
            </w:pPr>
            <w:r>
              <w:rPr/>
              <w:t xml:space="preserve">  </w:t>
            </w:r>
          </w:p>
        </w:tc>
      </w:tr>
      <w:tr>
        <w:trPr/>
        <w:tc>
          <w:tcPr>
            <w:tcW w:w="4977" w:type="dxa"/>
            <w:tcBorders/>
            <w:shd w:fill="auto" w:val="clear"/>
            <w:vAlign w:val="bottom"/>
          </w:tcPr>
          <w:p>
            <w:pPr>
              <w:pStyle w:val="TableContents"/>
              <w:spacing w:before="0" w:after="283"/>
              <w:rPr/>
            </w:pPr>
            <w:r>
              <w:rPr/>
              <w:t xml:space="preserve">  </w:t>
            </w:r>
          </w:p>
        </w:tc>
        <w:tc>
          <w:tcPr>
            <w:tcW w:w="104" w:type="dxa"/>
            <w:tcBorders/>
            <w:shd w:fill="auto" w:val="clear"/>
            <w:vAlign w:val="bottom"/>
          </w:tcPr>
          <w:p>
            <w:pPr>
              <w:pStyle w:val="TableContents"/>
              <w:spacing w:before="0" w:after="283"/>
              <w:rPr/>
            </w:pPr>
            <w:r>
              <w:rPr/>
              <w:t xml:space="preserve">  </w:t>
            </w:r>
          </w:p>
        </w:tc>
        <w:tc>
          <w:tcPr>
            <w:tcW w:w="1543"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pPr>
            <w:r>
              <w:rPr>
                <w:rFonts w:ascii="helvetica" w:hAnsi="helvetica"/>
                <w:b/>
                <w:sz w:val="16"/>
              </w:rPr>
              <w:t>Actual</w:t>
            </w:r>
            <w:r>
              <w:rPr/>
              <w:t xml:space="preserve"> </w:t>
            </w:r>
          </w:p>
        </w:tc>
        <w:tc>
          <w:tcPr>
            <w:tcW w:w="175" w:type="dxa"/>
            <w:tcBorders/>
            <w:shd w:fill="auto" w:val="clear"/>
            <w:vAlign w:val="bottom"/>
          </w:tcPr>
          <w:p>
            <w:pPr>
              <w:pStyle w:val="TableContents"/>
              <w:spacing w:before="0" w:after="283"/>
              <w:jc w:val="left"/>
              <w:rPr/>
            </w:pPr>
            <w:r>
              <w:rPr/>
              <w:t xml:space="preserve">  </w:t>
            </w:r>
          </w:p>
        </w:tc>
        <w:tc>
          <w:tcPr>
            <w:tcW w:w="104" w:type="dxa"/>
            <w:tcBorders/>
            <w:shd w:fill="auto" w:val="clear"/>
            <w:vAlign w:val="bottom"/>
          </w:tcPr>
          <w:p>
            <w:pPr>
              <w:pStyle w:val="TableContents"/>
              <w:spacing w:before="0" w:after="283"/>
              <w:rPr/>
            </w:pPr>
            <w:r>
              <w:rPr/>
              <w:t xml:space="preserve">  </w:t>
            </w:r>
          </w:p>
        </w:tc>
        <w:tc>
          <w:tcPr>
            <w:tcW w:w="1542"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pPr>
            <w:r>
              <w:rPr>
                <w:rFonts w:ascii="helvetica" w:hAnsi="helvetica"/>
                <w:b/>
                <w:sz w:val="16"/>
              </w:rPr>
              <w:t>Pro Forma</w:t>
            </w:r>
            <w:r>
              <w:rPr/>
              <w:t xml:space="preserve"> </w:t>
            </w:r>
          </w:p>
        </w:tc>
        <w:tc>
          <w:tcPr>
            <w:tcW w:w="175" w:type="dxa"/>
            <w:tcBorders/>
            <w:shd w:fill="auto" w:val="clear"/>
            <w:vAlign w:val="bottom"/>
          </w:tcPr>
          <w:p>
            <w:pPr>
              <w:pStyle w:val="TableContents"/>
              <w:spacing w:before="0" w:after="283"/>
              <w:jc w:val="left"/>
              <w:rPr/>
            </w:pPr>
            <w:r>
              <w:rPr/>
              <w:t xml:space="preserve">  </w:t>
            </w:r>
          </w:p>
        </w:tc>
        <w:tc>
          <w:tcPr>
            <w:tcW w:w="104" w:type="dxa"/>
            <w:tcBorders/>
            <w:shd w:fill="auto" w:val="clear"/>
            <w:vAlign w:val="bottom"/>
          </w:tcPr>
          <w:p>
            <w:pPr>
              <w:pStyle w:val="TableContents"/>
              <w:spacing w:before="0" w:after="283"/>
              <w:rPr/>
            </w:pPr>
            <w:r>
              <w:rPr/>
              <w:t xml:space="preserve">  </w:t>
            </w:r>
          </w:p>
        </w:tc>
        <w:tc>
          <w:tcPr>
            <w:tcW w:w="1301"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pPr>
            <w:r>
              <w:rPr>
                <w:rFonts w:ascii="helvetica" w:hAnsi="helvetica"/>
                <w:b/>
                <w:sz w:val="16"/>
              </w:rPr>
              <w:t>as Adjusted</w:t>
            </w:r>
            <w:r>
              <w:rPr/>
              <w:t xml:space="preserve"> </w:t>
            </w:r>
          </w:p>
        </w:tc>
        <w:tc>
          <w:tcPr>
            <w:tcW w:w="180" w:type="dxa"/>
            <w:tcBorders/>
            <w:shd w:fill="auto" w:val="clear"/>
            <w:vAlign w:val="bottom"/>
          </w:tcPr>
          <w:p>
            <w:pPr>
              <w:pStyle w:val="TableContents"/>
              <w:spacing w:before="0" w:after="283"/>
              <w:jc w:val="left"/>
              <w:rPr/>
            </w:pPr>
            <w:r>
              <w:rPr/>
              <w:t xml:space="preserve">  </w:t>
            </w:r>
          </w:p>
        </w:tc>
      </w:tr>
      <w:tr>
        <w:trPr/>
        <w:tc>
          <w:tcPr>
            <w:tcW w:w="4977" w:type="dxa"/>
            <w:tcBorders/>
            <w:shd w:fill="auto" w:val="clear"/>
            <w:vAlign w:val="bottom"/>
          </w:tcPr>
          <w:p>
            <w:pPr>
              <w:pStyle w:val="TableContents"/>
              <w:spacing w:before="0" w:after="283"/>
              <w:rPr/>
            </w:pPr>
            <w:r>
              <w:rPr/>
              <w:t xml:space="preserve">  </w:t>
            </w:r>
          </w:p>
        </w:tc>
        <w:tc>
          <w:tcPr>
            <w:tcW w:w="104" w:type="dxa"/>
            <w:tcBorders/>
            <w:shd w:fill="auto" w:val="clear"/>
            <w:vAlign w:val="bottom"/>
          </w:tcPr>
          <w:p>
            <w:pPr>
              <w:pStyle w:val="TableContents"/>
              <w:spacing w:before="0" w:after="283"/>
              <w:rPr/>
            </w:pPr>
            <w:r>
              <w:rPr/>
              <w:t xml:space="preserve">  </w:t>
            </w:r>
          </w:p>
        </w:tc>
        <w:tc>
          <w:tcPr>
            <w:tcW w:w="1543" w:type="dxa"/>
            <w:gridSpan w:val="2"/>
            <w:tcBorders/>
            <w:shd w:fill="auto" w:val="clear"/>
            <w:vAlign w:val="bottom"/>
          </w:tcPr>
          <w:p>
            <w:pPr>
              <w:pStyle w:val="TableContents"/>
              <w:spacing w:before="0" w:after="0"/>
              <w:ind w:left="0" w:right="0" w:hanging="0"/>
              <w:jc w:val="center"/>
              <w:rPr/>
            </w:pPr>
            <w:r>
              <w:rPr>
                <w:rFonts w:ascii="helvetica" w:hAnsi="helvetica"/>
                <w:b/>
                <w:sz w:val="16"/>
              </w:rPr>
              <w:t>(unaudited)</w:t>
            </w:r>
            <w:r>
              <w:rPr/>
              <w:t xml:space="preserve"> </w:t>
            </w:r>
          </w:p>
        </w:tc>
        <w:tc>
          <w:tcPr>
            <w:tcW w:w="175" w:type="dxa"/>
            <w:tcBorders/>
            <w:shd w:fill="auto" w:val="clear"/>
            <w:vAlign w:val="bottom"/>
          </w:tcPr>
          <w:p>
            <w:pPr>
              <w:pStyle w:val="TableContents"/>
              <w:spacing w:before="0" w:after="283"/>
              <w:jc w:val="left"/>
              <w:rPr/>
            </w:pPr>
            <w:r>
              <w:rPr/>
              <w:t xml:space="preserve">  </w:t>
            </w:r>
          </w:p>
        </w:tc>
        <w:tc>
          <w:tcPr>
            <w:tcW w:w="104" w:type="dxa"/>
            <w:tcBorders/>
            <w:shd w:fill="auto" w:val="clear"/>
            <w:vAlign w:val="bottom"/>
          </w:tcPr>
          <w:p>
            <w:pPr>
              <w:pStyle w:val="TableContents"/>
              <w:spacing w:before="0" w:after="283"/>
              <w:rPr/>
            </w:pPr>
            <w:r>
              <w:rPr/>
              <w:t xml:space="preserve">  </w:t>
            </w:r>
          </w:p>
        </w:tc>
        <w:tc>
          <w:tcPr>
            <w:tcW w:w="1542" w:type="dxa"/>
            <w:gridSpan w:val="2"/>
            <w:tcBorders/>
            <w:shd w:fill="auto" w:val="clear"/>
            <w:vAlign w:val="bottom"/>
          </w:tcPr>
          <w:p>
            <w:pPr>
              <w:pStyle w:val="TableContents"/>
              <w:spacing w:before="0" w:after="0"/>
              <w:ind w:left="0" w:right="0" w:hanging="0"/>
              <w:jc w:val="center"/>
              <w:rPr/>
            </w:pPr>
            <w:r>
              <w:rPr>
                <w:rFonts w:ascii="helvetica" w:hAnsi="helvetica"/>
                <w:b/>
                <w:sz w:val="16"/>
              </w:rPr>
              <w:t>(unaudited)</w:t>
            </w:r>
            <w:r>
              <w:rPr/>
              <w:t xml:space="preserve"> </w:t>
            </w:r>
          </w:p>
        </w:tc>
        <w:tc>
          <w:tcPr>
            <w:tcW w:w="175" w:type="dxa"/>
            <w:tcBorders/>
            <w:shd w:fill="auto" w:val="clear"/>
            <w:vAlign w:val="bottom"/>
          </w:tcPr>
          <w:p>
            <w:pPr>
              <w:pStyle w:val="TableContents"/>
              <w:spacing w:before="0" w:after="283"/>
              <w:jc w:val="left"/>
              <w:rPr/>
            </w:pPr>
            <w:r>
              <w:rPr/>
              <w:t xml:space="preserve">  </w:t>
            </w:r>
          </w:p>
        </w:tc>
        <w:tc>
          <w:tcPr>
            <w:tcW w:w="104" w:type="dxa"/>
            <w:tcBorders/>
            <w:shd w:fill="auto" w:val="clear"/>
            <w:vAlign w:val="bottom"/>
          </w:tcPr>
          <w:p>
            <w:pPr>
              <w:pStyle w:val="TableContents"/>
              <w:spacing w:before="0" w:after="283"/>
              <w:rPr/>
            </w:pPr>
            <w:r>
              <w:rPr/>
              <w:t xml:space="preserve">  </w:t>
            </w:r>
          </w:p>
        </w:tc>
        <w:tc>
          <w:tcPr>
            <w:tcW w:w="1301" w:type="dxa"/>
            <w:gridSpan w:val="2"/>
            <w:tcBorders/>
            <w:shd w:fill="auto" w:val="clear"/>
            <w:vAlign w:val="bottom"/>
          </w:tcPr>
          <w:p>
            <w:pPr>
              <w:pStyle w:val="TableContents"/>
              <w:spacing w:before="0" w:after="0"/>
              <w:ind w:left="0" w:right="0" w:hanging="0"/>
              <w:jc w:val="center"/>
              <w:rPr/>
            </w:pPr>
            <w:r>
              <w:rPr>
                <w:rFonts w:ascii="helvetica" w:hAnsi="helvetica"/>
                <w:b/>
                <w:sz w:val="16"/>
              </w:rPr>
              <w:t>(unaudited)</w:t>
            </w:r>
            <w:r>
              <w:rPr/>
              <w:t xml:space="preserve"> </w:t>
            </w:r>
          </w:p>
        </w:tc>
        <w:tc>
          <w:tcPr>
            <w:tcW w:w="180" w:type="dxa"/>
            <w:tcBorders/>
            <w:shd w:fill="auto" w:val="clear"/>
            <w:vAlign w:val="bottom"/>
          </w:tcPr>
          <w:p>
            <w:pPr>
              <w:pStyle w:val="TableContents"/>
              <w:spacing w:before="0" w:after="283"/>
              <w:jc w:val="left"/>
              <w:rPr/>
            </w:pPr>
            <w:r>
              <w:rPr/>
              <w:t xml:space="preserve">  </w:t>
            </w:r>
          </w:p>
        </w:tc>
      </w:tr>
      <w:tr>
        <w:trPr/>
        <w:tc>
          <w:tcPr>
            <w:tcW w:w="4977" w:type="dxa"/>
            <w:tcBorders/>
            <w:shd w:fill="CCEEFF" w:val="clear"/>
            <w:vAlign w:val="bottom"/>
          </w:tcPr>
          <w:p>
            <w:pPr>
              <w:pStyle w:val="TableContents"/>
              <w:spacing w:before="0" w:after="0"/>
              <w:ind w:left="0" w:right="0" w:hanging="0"/>
              <w:jc w:val="left"/>
              <w:rPr/>
            </w:pPr>
            <w:r>
              <w:rPr>
                <w:rFonts w:ascii="helvetica" w:hAnsi="helvetica"/>
                <w:sz w:val="20"/>
              </w:rPr>
              <w:t>Cash and cash equivalents</w:t>
            </w:r>
            <w:r>
              <w:rPr/>
              <w:t xml:space="preserve"> </w:t>
            </w:r>
          </w:p>
        </w:tc>
        <w:tc>
          <w:tcPr>
            <w:tcW w:w="104" w:type="dxa"/>
            <w:tcBorders/>
            <w:shd w:fill="CCEEFF" w:val="clear"/>
            <w:vAlign w:val="bottom"/>
          </w:tcPr>
          <w:p>
            <w:pPr>
              <w:pStyle w:val="TableContents"/>
              <w:spacing w:before="0" w:after="283"/>
              <w:jc w:val="right"/>
              <w:rPr/>
            </w:pPr>
            <w:r>
              <w:rPr/>
              <w:t xml:space="preserve">  </w:t>
            </w:r>
          </w:p>
        </w:tc>
        <w:tc>
          <w:tcPr>
            <w:tcW w:w="161" w:type="dxa"/>
            <w:tcBorders>
              <w:bottom w:val="double" w:sz="8" w:space="0" w:color="000000"/>
            </w:tcBorders>
            <w:shd w:fill="CCEEFF" w:val="clear"/>
            <w:tcMar>
              <w:bottom w:w="28" w:type="dxa"/>
            </w:tcMar>
            <w:vAlign w:val="bottom"/>
          </w:tcPr>
          <w:p>
            <w:pPr>
              <w:pStyle w:val="TableContents"/>
              <w:spacing w:before="0" w:after="283"/>
              <w:jc w:val="left"/>
              <w:rPr/>
            </w:pPr>
            <w:r>
              <w:rPr>
                <w:rFonts w:ascii="helvetica" w:hAnsi="helvetica"/>
                <w:sz w:val="20"/>
              </w:rPr>
              <w:t>$</w:t>
            </w:r>
            <w:r>
              <w:rPr/>
              <w:t xml:space="preserve"> </w:t>
            </w:r>
          </w:p>
        </w:tc>
        <w:tc>
          <w:tcPr>
            <w:tcW w:w="1382" w:type="dxa"/>
            <w:tcBorders>
              <w:bottom w:val="double" w:sz="8" w:space="0" w:color="000000"/>
            </w:tcBorders>
            <w:shd w:fill="CCEEFF" w:val="clear"/>
            <w:tcMar>
              <w:bottom w:w="28" w:type="dxa"/>
            </w:tcMar>
            <w:vAlign w:val="bottom"/>
          </w:tcPr>
          <w:p>
            <w:pPr>
              <w:pStyle w:val="TableContents"/>
              <w:spacing w:before="0" w:after="283"/>
              <w:jc w:val="right"/>
              <w:rPr/>
            </w:pPr>
            <w:r>
              <w:rPr>
                <w:rFonts w:ascii="helvetica" w:hAnsi="helvetica"/>
                <w:sz w:val="20"/>
              </w:rPr>
              <w:t>7,717,292</w:t>
            </w:r>
            <w:r>
              <w:rPr/>
              <w:t xml:space="preserve"> </w:t>
            </w:r>
          </w:p>
        </w:tc>
        <w:tc>
          <w:tcPr>
            <w:tcW w:w="175" w:type="dxa"/>
            <w:tcBorders/>
            <w:shd w:fill="CCEEFF" w:val="clear"/>
            <w:vAlign w:val="bottom"/>
          </w:tcPr>
          <w:p>
            <w:pPr>
              <w:pStyle w:val="TableContents"/>
              <w:spacing w:before="0" w:after="283"/>
              <w:jc w:val="left"/>
              <w:rPr/>
            </w:pPr>
            <w:r>
              <w:rPr/>
              <w:t xml:space="preserve">  </w:t>
            </w:r>
          </w:p>
        </w:tc>
        <w:tc>
          <w:tcPr>
            <w:tcW w:w="104" w:type="dxa"/>
            <w:tcBorders/>
            <w:shd w:fill="CCEEFF" w:val="clear"/>
            <w:vAlign w:val="bottom"/>
          </w:tcPr>
          <w:p>
            <w:pPr>
              <w:pStyle w:val="TableContents"/>
              <w:spacing w:before="0" w:after="283"/>
              <w:jc w:val="right"/>
              <w:rPr/>
            </w:pPr>
            <w:r>
              <w:rPr/>
              <w:t xml:space="preserve">  </w:t>
            </w:r>
          </w:p>
        </w:tc>
        <w:tc>
          <w:tcPr>
            <w:tcW w:w="161" w:type="dxa"/>
            <w:tcBorders>
              <w:bottom w:val="double" w:sz="8" w:space="0" w:color="000000"/>
            </w:tcBorders>
            <w:shd w:fill="CCEEFF" w:val="clear"/>
            <w:tcMar>
              <w:bottom w:w="28" w:type="dxa"/>
            </w:tcMar>
            <w:vAlign w:val="bottom"/>
          </w:tcPr>
          <w:p>
            <w:pPr>
              <w:pStyle w:val="TableContents"/>
              <w:spacing w:before="0" w:after="283"/>
              <w:jc w:val="left"/>
              <w:rPr/>
            </w:pPr>
            <w:r>
              <w:rPr>
                <w:rFonts w:ascii="helvetica" w:hAnsi="helvetica"/>
                <w:sz w:val="20"/>
              </w:rPr>
              <w:t>$</w:t>
            </w:r>
            <w:r>
              <w:rPr/>
              <w:t xml:space="preserve"> </w:t>
            </w:r>
          </w:p>
        </w:tc>
        <w:tc>
          <w:tcPr>
            <w:tcW w:w="1381" w:type="dxa"/>
            <w:tcBorders>
              <w:bottom w:val="double" w:sz="8" w:space="0" w:color="000000"/>
            </w:tcBorders>
            <w:shd w:fill="CCEEFF" w:val="clear"/>
            <w:tcMar>
              <w:bottom w:w="28" w:type="dxa"/>
            </w:tcMar>
            <w:vAlign w:val="bottom"/>
          </w:tcPr>
          <w:p>
            <w:pPr>
              <w:pStyle w:val="TableContents"/>
              <w:spacing w:before="0" w:after="283"/>
              <w:jc w:val="right"/>
              <w:rPr/>
            </w:pPr>
            <w:r>
              <w:rPr>
                <w:rFonts w:ascii="helvetica" w:hAnsi="helvetica"/>
                <w:sz w:val="20"/>
              </w:rPr>
              <w:t>11,717,292</w:t>
            </w:r>
            <w:r>
              <w:rPr/>
              <w:t xml:space="preserve"> </w:t>
            </w:r>
          </w:p>
        </w:tc>
        <w:tc>
          <w:tcPr>
            <w:tcW w:w="175" w:type="dxa"/>
            <w:tcBorders/>
            <w:shd w:fill="CCEEFF" w:val="clear"/>
            <w:vAlign w:val="bottom"/>
          </w:tcPr>
          <w:p>
            <w:pPr>
              <w:pStyle w:val="TableContents"/>
              <w:spacing w:before="0" w:after="283"/>
              <w:jc w:val="left"/>
              <w:rPr/>
            </w:pPr>
            <w:r>
              <w:rPr/>
              <w:t xml:space="preserve">  </w:t>
            </w:r>
          </w:p>
        </w:tc>
        <w:tc>
          <w:tcPr>
            <w:tcW w:w="104" w:type="dxa"/>
            <w:tcBorders/>
            <w:shd w:fill="CCEEFF" w:val="clear"/>
            <w:vAlign w:val="bottom"/>
          </w:tcPr>
          <w:p>
            <w:pPr>
              <w:pStyle w:val="TableContents"/>
              <w:spacing w:before="0" w:after="283"/>
              <w:rPr/>
            </w:pPr>
            <w:r>
              <w:rPr/>
              <w:t xml:space="preserve">  </w:t>
            </w:r>
          </w:p>
        </w:tc>
        <w:tc>
          <w:tcPr>
            <w:tcW w:w="1301" w:type="dxa"/>
            <w:gridSpan w:val="2"/>
            <w:tcBorders>
              <w:bottom w:val="double" w:sz="8" w:space="0" w:color="000000"/>
            </w:tcBorders>
            <w:shd w:fill="CCEEFF" w:val="clear"/>
            <w:tcMar>
              <w:bottom w:w="28" w:type="dxa"/>
            </w:tcMar>
            <w:vAlign w:val="bottom"/>
          </w:tcPr>
          <w:p>
            <w:pPr>
              <w:pStyle w:val="TableContents"/>
              <w:spacing w:before="0" w:after="283"/>
              <w:rPr/>
            </w:pPr>
            <w:r>
              <w:rPr/>
              <w:t xml:space="preserve">  </w:t>
            </w:r>
          </w:p>
        </w:tc>
        <w:tc>
          <w:tcPr>
            <w:tcW w:w="180" w:type="dxa"/>
            <w:tcBorders/>
            <w:shd w:fill="CCEEFF" w:val="clear"/>
            <w:vAlign w:val="bottom"/>
          </w:tcPr>
          <w:p>
            <w:pPr>
              <w:pStyle w:val="TableContents"/>
              <w:spacing w:before="0" w:after="283"/>
              <w:jc w:val="left"/>
              <w:rPr/>
            </w:pPr>
            <w:r>
              <w:rPr/>
              <w:t xml:space="preserve">  </w:t>
            </w:r>
          </w:p>
        </w:tc>
      </w:tr>
      <w:tr>
        <w:trPr/>
        <w:tc>
          <w:tcPr>
            <w:tcW w:w="4977" w:type="dxa"/>
            <w:tcBorders/>
            <w:shd w:fill="FFFFFF" w:val="clear"/>
            <w:vAlign w:val="bottom"/>
          </w:tcPr>
          <w:p>
            <w:pPr>
              <w:pStyle w:val="TableContents"/>
              <w:spacing w:before="0" w:after="0"/>
              <w:ind w:left="0" w:right="0" w:hanging="0"/>
              <w:jc w:val="left"/>
              <w:rPr/>
            </w:pPr>
            <w:r>
              <w:rPr>
                <w:rFonts w:ascii="helvetica" w:hAnsi="helvetica"/>
                <w:sz w:val="20"/>
              </w:rPr>
              <w:t>Total debt</w:t>
            </w:r>
            <w:r>
              <w:rPr/>
              <w:t xml:space="preserve"> </w:t>
            </w:r>
          </w:p>
        </w:tc>
        <w:tc>
          <w:tcPr>
            <w:tcW w:w="104" w:type="dxa"/>
            <w:tcBorders/>
            <w:shd w:fill="FFFFFF" w:val="clear"/>
            <w:vAlign w:val="bottom"/>
          </w:tcPr>
          <w:p>
            <w:pPr>
              <w:pStyle w:val="TableContents"/>
              <w:spacing w:before="0" w:after="283"/>
              <w:jc w:val="right"/>
              <w:rPr/>
            </w:pPr>
            <w:r>
              <w:rPr/>
              <w:t xml:space="preserve">  </w:t>
            </w:r>
          </w:p>
        </w:tc>
        <w:tc>
          <w:tcPr>
            <w:tcW w:w="161" w:type="dxa"/>
            <w:tcBorders>
              <w:bottom w:val="single" w:sz="12" w:space="0" w:color="000000"/>
            </w:tcBorders>
            <w:shd w:fill="FFFFFF" w:val="clear"/>
            <w:tcMar>
              <w:bottom w:w="28" w:type="dxa"/>
            </w:tcMar>
            <w:vAlign w:val="bottom"/>
          </w:tcPr>
          <w:p>
            <w:pPr>
              <w:pStyle w:val="TableContents"/>
              <w:spacing w:before="0" w:after="283"/>
              <w:jc w:val="left"/>
              <w:rPr/>
            </w:pPr>
            <w:r>
              <w:rPr>
                <w:rFonts w:ascii="helvetica" w:hAnsi="helvetica"/>
                <w:sz w:val="20"/>
              </w:rPr>
              <w:t>$</w:t>
            </w:r>
            <w:r>
              <w:rPr/>
              <w:t xml:space="preserve"> </w:t>
            </w:r>
          </w:p>
        </w:tc>
        <w:tc>
          <w:tcPr>
            <w:tcW w:w="1382" w:type="dxa"/>
            <w:tcBorders>
              <w:bottom w:val="single" w:sz="12" w:space="0" w:color="000000"/>
            </w:tcBorders>
            <w:shd w:fill="FFFFFF" w:val="clear"/>
            <w:tcMar>
              <w:bottom w:w="28" w:type="dxa"/>
            </w:tcMar>
            <w:vAlign w:val="bottom"/>
          </w:tcPr>
          <w:p>
            <w:pPr>
              <w:pStyle w:val="TableContents"/>
              <w:spacing w:before="0" w:after="283"/>
              <w:jc w:val="right"/>
              <w:rPr/>
            </w:pPr>
            <w:r>
              <w:rPr>
                <w:rFonts w:ascii="helvetica" w:hAnsi="helvetica"/>
                <w:sz w:val="20"/>
              </w:rPr>
              <w:t>-</w:t>
            </w:r>
            <w:r>
              <w:rPr/>
              <w:t xml:space="preserve"> </w:t>
            </w:r>
          </w:p>
        </w:tc>
        <w:tc>
          <w:tcPr>
            <w:tcW w:w="175" w:type="dxa"/>
            <w:tcBorders/>
            <w:shd w:fill="FFFFFF" w:val="clear"/>
            <w:vAlign w:val="bottom"/>
          </w:tcPr>
          <w:p>
            <w:pPr>
              <w:pStyle w:val="TableContents"/>
              <w:spacing w:before="0" w:after="283"/>
              <w:jc w:val="left"/>
              <w:rPr/>
            </w:pPr>
            <w:r>
              <w:rPr/>
              <w:t xml:space="preserve">  </w:t>
            </w:r>
          </w:p>
        </w:tc>
        <w:tc>
          <w:tcPr>
            <w:tcW w:w="104" w:type="dxa"/>
            <w:tcBorders/>
            <w:shd w:fill="FFFFFF" w:val="clear"/>
            <w:vAlign w:val="bottom"/>
          </w:tcPr>
          <w:p>
            <w:pPr>
              <w:pStyle w:val="TableContents"/>
              <w:spacing w:before="0" w:after="283"/>
              <w:jc w:val="right"/>
              <w:rPr/>
            </w:pPr>
            <w:r>
              <w:rPr/>
              <w:t xml:space="preserve">  </w:t>
            </w:r>
          </w:p>
        </w:tc>
        <w:tc>
          <w:tcPr>
            <w:tcW w:w="161" w:type="dxa"/>
            <w:tcBorders>
              <w:bottom w:val="single" w:sz="12" w:space="0" w:color="000000"/>
            </w:tcBorders>
            <w:shd w:fill="FFFFFF" w:val="clear"/>
            <w:tcMar>
              <w:bottom w:w="28" w:type="dxa"/>
            </w:tcMar>
            <w:vAlign w:val="bottom"/>
          </w:tcPr>
          <w:p>
            <w:pPr>
              <w:pStyle w:val="TableContents"/>
              <w:spacing w:before="0" w:after="283"/>
              <w:jc w:val="left"/>
              <w:rPr/>
            </w:pPr>
            <w:r>
              <w:rPr>
                <w:rFonts w:ascii="helvetica" w:hAnsi="helvetica"/>
                <w:sz w:val="20"/>
              </w:rPr>
              <w:t>$</w:t>
            </w:r>
            <w:r>
              <w:rPr/>
              <w:t xml:space="preserve"> </w:t>
            </w:r>
          </w:p>
        </w:tc>
        <w:tc>
          <w:tcPr>
            <w:tcW w:w="1381" w:type="dxa"/>
            <w:tcBorders>
              <w:bottom w:val="single" w:sz="12" w:space="0" w:color="000000"/>
            </w:tcBorders>
            <w:shd w:fill="FFFFFF" w:val="clear"/>
            <w:tcMar>
              <w:bottom w:w="28" w:type="dxa"/>
            </w:tcMar>
            <w:vAlign w:val="bottom"/>
          </w:tcPr>
          <w:p>
            <w:pPr>
              <w:pStyle w:val="TableContents"/>
              <w:spacing w:before="0" w:after="283"/>
              <w:jc w:val="right"/>
              <w:rPr/>
            </w:pPr>
            <w:r>
              <w:rPr>
                <w:rFonts w:ascii="helvetica" w:hAnsi="helvetica"/>
                <w:sz w:val="20"/>
              </w:rPr>
              <w:t>-</w:t>
            </w:r>
            <w:r>
              <w:rPr/>
              <w:t xml:space="preserve"> </w:t>
            </w:r>
          </w:p>
        </w:tc>
        <w:tc>
          <w:tcPr>
            <w:tcW w:w="175" w:type="dxa"/>
            <w:tcBorders/>
            <w:shd w:fill="FFFFFF" w:val="clear"/>
            <w:vAlign w:val="bottom"/>
          </w:tcPr>
          <w:p>
            <w:pPr>
              <w:pStyle w:val="TableContents"/>
              <w:spacing w:before="0" w:after="283"/>
              <w:jc w:val="left"/>
              <w:rPr/>
            </w:pPr>
            <w:r>
              <w:rPr/>
              <w:t xml:space="preserve">  </w:t>
            </w:r>
          </w:p>
        </w:tc>
        <w:tc>
          <w:tcPr>
            <w:tcW w:w="104" w:type="dxa"/>
            <w:tcBorders/>
            <w:shd w:fill="FFFFFF" w:val="clear"/>
            <w:vAlign w:val="bottom"/>
          </w:tcPr>
          <w:p>
            <w:pPr>
              <w:pStyle w:val="TableContents"/>
              <w:spacing w:before="0" w:after="283"/>
              <w:rPr/>
            </w:pPr>
            <w:r>
              <w:rPr/>
              <w:t xml:space="preserve">  </w:t>
            </w:r>
          </w:p>
        </w:tc>
        <w:tc>
          <w:tcPr>
            <w:tcW w:w="1301" w:type="dxa"/>
            <w:gridSpan w:val="2"/>
            <w:tcBorders>
              <w:bottom w:val="single" w:sz="12" w:space="0" w:color="000000"/>
            </w:tcBorders>
            <w:shd w:fill="FFFFFF" w:val="clear"/>
            <w:tcMar>
              <w:bottom w:w="28" w:type="dxa"/>
            </w:tcMar>
            <w:vAlign w:val="bottom"/>
          </w:tcPr>
          <w:p>
            <w:pPr>
              <w:pStyle w:val="TableContents"/>
              <w:spacing w:before="0" w:after="283"/>
              <w:rPr/>
            </w:pPr>
            <w:r>
              <w:rPr/>
              <w:t xml:space="preserve">  </w:t>
            </w:r>
          </w:p>
        </w:tc>
        <w:tc>
          <w:tcPr>
            <w:tcW w:w="180" w:type="dxa"/>
            <w:tcBorders/>
            <w:shd w:fill="FFFFFF" w:val="clear"/>
            <w:vAlign w:val="bottom"/>
          </w:tcPr>
          <w:p>
            <w:pPr>
              <w:pStyle w:val="TableContents"/>
              <w:spacing w:before="0" w:after="283"/>
              <w:jc w:val="left"/>
              <w:rPr/>
            </w:pPr>
            <w:r>
              <w:rPr/>
              <w:t xml:space="preserve">  </w:t>
            </w:r>
          </w:p>
        </w:tc>
      </w:tr>
      <w:tr>
        <w:trPr/>
        <w:tc>
          <w:tcPr>
            <w:tcW w:w="4977" w:type="dxa"/>
            <w:tcBorders/>
            <w:shd w:fill="CCEEFF" w:val="clear"/>
            <w:vAlign w:val="bottom"/>
          </w:tcPr>
          <w:p>
            <w:pPr>
              <w:pStyle w:val="TableContents"/>
              <w:spacing w:before="0" w:after="0"/>
              <w:ind w:left="0" w:right="0" w:hanging="0"/>
              <w:jc w:val="left"/>
              <w:rPr/>
            </w:pPr>
            <w:r>
              <w:rPr>
                <w:rFonts w:ascii="helvetica" w:hAnsi="helvetica"/>
                <w:sz w:val="20"/>
              </w:rPr>
              <w:t>Stockholders' equity:</w:t>
            </w:r>
            <w:r>
              <w:rPr/>
              <w:t xml:space="preserve"> </w:t>
            </w:r>
          </w:p>
        </w:tc>
        <w:tc>
          <w:tcPr>
            <w:tcW w:w="104" w:type="dxa"/>
            <w:tcBorders/>
            <w:shd w:fill="CCEEFF" w:val="clear"/>
            <w:vAlign w:val="bottom"/>
          </w:tcPr>
          <w:p>
            <w:pPr>
              <w:pStyle w:val="TableContents"/>
              <w:spacing w:before="0" w:after="283"/>
              <w:rPr/>
            </w:pPr>
            <w:r>
              <w:rPr/>
              <w:t xml:space="preserve">  </w:t>
            </w:r>
          </w:p>
        </w:tc>
        <w:tc>
          <w:tcPr>
            <w:tcW w:w="161" w:type="dxa"/>
            <w:tcBorders/>
            <w:shd w:fill="CCEEFF" w:val="clear"/>
            <w:vAlign w:val="bottom"/>
          </w:tcPr>
          <w:p>
            <w:pPr>
              <w:pStyle w:val="TableContents"/>
              <w:spacing w:before="0" w:after="283"/>
              <w:jc w:val="left"/>
              <w:rPr/>
            </w:pPr>
            <w:r>
              <w:rPr/>
              <w:t xml:space="preserve">  </w:t>
            </w:r>
          </w:p>
        </w:tc>
        <w:tc>
          <w:tcPr>
            <w:tcW w:w="1382" w:type="dxa"/>
            <w:tcBorders/>
            <w:shd w:fill="CCEEFF" w:val="clear"/>
            <w:vAlign w:val="bottom"/>
          </w:tcPr>
          <w:p>
            <w:pPr>
              <w:pStyle w:val="TableContents"/>
              <w:spacing w:before="0" w:after="283"/>
              <w:jc w:val="right"/>
              <w:rPr/>
            </w:pPr>
            <w:r>
              <w:rPr/>
              <w:t xml:space="preserve">  </w:t>
            </w:r>
          </w:p>
        </w:tc>
        <w:tc>
          <w:tcPr>
            <w:tcW w:w="175" w:type="dxa"/>
            <w:tcBorders/>
            <w:shd w:fill="CCEEFF" w:val="clear"/>
            <w:vAlign w:val="bottom"/>
          </w:tcPr>
          <w:p>
            <w:pPr>
              <w:pStyle w:val="TableContents"/>
              <w:spacing w:before="0" w:after="283"/>
              <w:jc w:val="left"/>
              <w:rPr/>
            </w:pPr>
            <w:r>
              <w:rPr/>
              <w:t xml:space="preserve">  </w:t>
            </w:r>
          </w:p>
        </w:tc>
        <w:tc>
          <w:tcPr>
            <w:tcW w:w="104" w:type="dxa"/>
            <w:tcBorders/>
            <w:shd w:fill="CCEEFF" w:val="clear"/>
            <w:vAlign w:val="bottom"/>
          </w:tcPr>
          <w:p>
            <w:pPr>
              <w:pStyle w:val="TableContents"/>
              <w:spacing w:before="0" w:after="283"/>
              <w:rPr/>
            </w:pPr>
            <w:r>
              <w:rPr/>
              <w:t xml:space="preserve">  </w:t>
            </w:r>
          </w:p>
        </w:tc>
        <w:tc>
          <w:tcPr>
            <w:tcW w:w="161" w:type="dxa"/>
            <w:tcBorders/>
            <w:shd w:fill="CCEEFF" w:val="clear"/>
            <w:vAlign w:val="bottom"/>
          </w:tcPr>
          <w:p>
            <w:pPr>
              <w:pStyle w:val="TableContents"/>
              <w:spacing w:before="0" w:after="283"/>
              <w:jc w:val="left"/>
              <w:rPr/>
            </w:pPr>
            <w:r>
              <w:rPr/>
              <w:t xml:space="preserve">  </w:t>
            </w:r>
          </w:p>
        </w:tc>
        <w:tc>
          <w:tcPr>
            <w:tcW w:w="1381" w:type="dxa"/>
            <w:tcBorders/>
            <w:shd w:fill="CCEEFF" w:val="clear"/>
            <w:vAlign w:val="bottom"/>
          </w:tcPr>
          <w:p>
            <w:pPr>
              <w:pStyle w:val="TableContents"/>
              <w:spacing w:before="0" w:after="283"/>
              <w:jc w:val="right"/>
              <w:rPr/>
            </w:pPr>
            <w:r>
              <w:rPr/>
              <w:t xml:space="preserve">  </w:t>
            </w:r>
          </w:p>
        </w:tc>
        <w:tc>
          <w:tcPr>
            <w:tcW w:w="175" w:type="dxa"/>
            <w:tcBorders/>
            <w:shd w:fill="CCEEFF" w:val="clear"/>
            <w:vAlign w:val="bottom"/>
          </w:tcPr>
          <w:p>
            <w:pPr>
              <w:pStyle w:val="TableContents"/>
              <w:spacing w:before="0" w:after="283"/>
              <w:jc w:val="left"/>
              <w:rPr/>
            </w:pPr>
            <w:r>
              <w:rPr/>
              <w:t xml:space="preserve">  </w:t>
            </w:r>
          </w:p>
        </w:tc>
        <w:tc>
          <w:tcPr>
            <w:tcW w:w="104" w:type="dxa"/>
            <w:tcBorders/>
            <w:shd w:fill="CCEEFF" w:val="clear"/>
            <w:vAlign w:val="bottom"/>
          </w:tcPr>
          <w:p>
            <w:pPr>
              <w:pStyle w:val="TableContents"/>
              <w:spacing w:before="0" w:after="283"/>
              <w:rPr/>
            </w:pPr>
            <w:r>
              <w:rPr/>
              <w:t xml:space="preserve">  </w:t>
            </w:r>
          </w:p>
        </w:tc>
        <w:tc>
          <w:tcPr>
            <w:tcW w:w="1301" w:type="dxa"/>
            <w:gridSpan w:val="2"/>
            <w:tcBorders/>
            <w:shd w:fill="CCEEFF" w:val="clear"/>
            <w:vAlign w:val="bottom"/>
          </w:tcPr>
          <w:p>
            <w:pPr>
              <w:pStyle w:val="TableContents"/>
              <w:spacing w:before="0" w:after="283"/>
              <w:rPr/>
            </w:pPr>
            <w:r>
              <w:rPr/>
              <w:t xml:space="preserve">  </w:t>
            </w:r>
          </w:p>
        </w:tc>
        <w:tc>
          <w:tcPr>
            <w:tcW w:w="180" w:type="dxa"/>
            <w:tcBorders/>
            <w:shd w:fill="CCEEFF" w:val="clear"/>
            <w:vAlign w:val="bottom"/>
          </w:tcPr>
          <w:p>
            <w:pPr>
              <w:pStyle w:val="TableContents"/>
              <w:spacing w:before="0" w:after="283"/>
              <w:jc w:val="left"/>
              <w:rPr/>
            </w:pPr>
            <w:r>
              <w:rPr/>
              <w:t xml:space="preserve">  </w:t>
            </w:r>
          </w:p>
        </w:tc>
      </w:tr>
      <w:tr>
        <w:trPr/>
        <w:tc>
          <w:tcPr>
            <w:tcW w:w="4977" w:type="dxa"/>
            <w:tcBorders/>
            <w:shd w:fill="FFFFFF" w:val="clear"/>
            <w:vAlign w:val="bottom"/>
          </w:tcPr>
          <w:p>
            <w:pPr>
              <w:pStyle w:val="TableContents"/>
              <w:spacing w:before="0" w:after="0"/>
              <w:ind w:left="0" w:right="0" w:hanging="0"/>
              <w:jc w:val="left"/>
              <w:rPr/>
            </w:pPr>
            <w:r>
              <w:rPr>
                <w:rFonts w:ascii="helvetica" w:hAnsi="helvetica"/>
                <w:sz w:val="20"/>
              </w:rPr>
              <w:t>Preferred stock, $0.001 par value; 5,000,000 shares authorized,</w:t>
            </w:r>
            <w:r>
              <w:rPr/>
              <w:t xml:space="preserve"> </w:t>
            </w:r>
          </w:p>
        </w:tc>
        <w:tc>
          <w:tcPr>
            <w:tcW w:w="104" w:type="dxa"/>
            <w:tcBorders/>
            <w:shd w:fill="FFFFFF" w:val="clear"/>
            <w:vAlign w:val="bottom"/>
          </w:tcPr>
          <w:p>
            <w:pPr>
              <w:pStyle w:val="TableContents"/>
              <w:spacing w:before="0" w:after="283"/>
              <w:rPr/>
            </w:pPr>
            <w:r>
              <w:rPr/>
              <w:t xml:space="preserve">  </w:t>
            </w:r>
          </w:p>
        </w:tc>
        <w:tc>
          <w:tcPr>
            <w:tcW w:w="161" w:type="dxa"/>
            <w:tcBorders/>
            <w:shd w:fill="FFFFFF" w:val="clear"/>
            <w:vAlign w:val="bottom"/>
          </w:tcPr>
          <w:p>
            <w:pPr>
              <w:pStyle w:val="TableContents"/>
              <w:spacing w:before="0" w:after="283"/>
              <w:jc w:val="left"/>
              <w:rPr/>
            </w:pPr>
            <w:r>
              <w:rPr/>
              <w:t xml:space="preserve">  </w:t>
            </w:r>
          </w:p>
        </w:tc>
        <w:tc>
          <w:tcPr>
            <w:tcW w:w="1382" w:type="dxa"/>
            <w:tcBorders/>
            <w:shd w:fill="FFFFFF" w:val="clear"/>
            <w:vAlign w:val="bottom"/>
          </w:tcPr>
          <w:p>
            <w:pPr>
              <w:pStyle w:val="TableContents"/>
              <w:spacing w:before="0" w:after="283"/>
              <w:jc w:val="right"/>
              <w:rPr/>
            </w:pPr>
            <w:r>
              <w:rPr/>
              <w:t xml:space="preserve">  </w:t>
            </w:r>
          </w:p>
        </w:tc>
        <w:tc>
          <w:tcPr>
            <w:tcW w:w="175" w:type="dxa"/>
            <w:tcBorders/>
            <w:shd w:fill="FFFFFF" w:val="clear"/>
            <w:vAlign w:val="bottom"/>
          </w:tcPr>
          <w:p>
            <w:pPr>
              <w:pStyle w:val="TableContents"/>
              <w:spacing w:before="0" w:after="283"/>
              <w:jc w:val="left"/>
              <w:rPr/>
            </w:pPr>
            <w:r>
              <w:rPr/>
              <w:t xml:space="preserve">  </w:t>
            </w:r>
          </w:p>
        </w:tc>
        <w:tc>
          <w:tcPr>
            <w:tcW w:w="104" w:type="dxa"/>
            <w:tcBorders/>
            <w:shd w:fill="FFFFFF" w:val="clear"/>
            <w:vAlign w:val="bottom"/>
          </w:tcPr>
          <w:p>
            <w:pPr>
              <w:pStyle w:val="TableContents"/>
              <w:spacing w:before="0" w:after="283"/>
              <w:rPr/>
            </w:pPr>
            <w:r>
              <w:rPr/>
              <w:t xml:space="preserve">  </w:t>
            </w:r>
          </w:p>
        </w:tc>
        <w:tc>
          <w:tcPr>
            <w:tcW w:w="161" w:type="dxa"/>
            <w:tcBorders/>
            <w:shd w:fill="FFFFFF" w:val="clear"/>
            <w:vAlign w:val="bottom"/>
          </w:tcPr>
          <w:p>
            <w:pPr>
              <w:pStyle w:val="TableContents"/>
              <w:spacing w:before="0" w:after="283"/>
              <w:jc w:val="left"/>
              <w:rPr/>
            </w:pPr>
            <w:r>
              <w:rPr/>
              <w:t xml:space="preserve">  </w:t>
            </w:r>
          </w:p>
        </w:tc>
        <w:tc>
          <w:tcPr>
            <w:tcW w:w="1381" w:type="dxa"/>
            <w:tcBorders/>
            <w:shd w:fill="FFFFFF" w:val="clear"/>
            <w:vAlign w:val="bottom"/>
          </w:tcPr>
          <w:p>
            <w:pPr>
              <w:pStyle w:val="TableContents"/>
              <w:spacing w:before="0" w:after="283"/>
              <w:jc w:val="right"/>
              <w:rPr/>
            </w:pPr>
            <w:r>
              <w:rPr/>
              <w:t xml:space="preserve">  </w:t>
            </w:r>
          </w:p>
        </w:tc>
        <w:tc>
          <w:tcPr>
            <w:tcW w:w="175" w:type="dxa"/>
            <w:tcBorders/>
            <w:shd w:fill="FFFFFF" w:val="clear"/>
            <w:vAlign w:val="bottom"/>
          </w:tcPr>
          <w:p>
            <w:pPr>
              <w:pStyle w:val="TableContents"/>
              <w:spacing w:before="0" w:after="283"/>
              <w:jc w:val="left"/>
              <w:rPr/>
            </w:pPr>
            <w:r>
              <w:rPr/>
              <w:t xml:space="preserve">  </w:t>
            </w:r>
          </w:p>
        </w:tc>
        <w:tc>
          <w:tcPr>
            <w:tcW w:w="104" w:type="dxa"/>
            <w:tcBorders/>
            <w:shd w:fill="FFFFFF" w:val="clear"/>
            <w:vAlign w:val="bottom"/>
          </w:tcPr>
          <w:p>
            <w:pPr>
              <w:pStyle w:val="TableContents"/>
              <w:spacing w:before="0" w:after="283"/>
              <w:rPr/>
            </w:pPr>
            <w:r>
              <w:rPr/>
              <w:t xml:space="preserve">  </w:t>
            </w:r>
          </w:p>
        </w:tc>
        <w:tc>
          <w:tcPr>
            <w:tcW w:w="1301" w:type="dxa"/>
            <w:gridSpan w:val="2"/>
            <w:tcBorders/>
            <w:shd w:fill="FFFFFF" w:val="clear"/>
            <w:vAlign w:val="bottom"/>
          </w:tcPr>
          <w:p>
            <w:pPr>
              <w:pStyle w:val="TableContents"/>
              <w:spacing w:before="0" w:after="283"/>
              <w:rPr/>
            </w:pPr>
            <w:r>
              <w:rPr/>
              <w:t xml:space="preserve">  </w:t>
            </w:r>
          </w:p>
        </w:tc>
        <w:tc>
          <w:tcPr>
            <w:tcW w:w="180" w:type="dxa"/>
            <w:tcBorders/>
            <w:shd w:fill="FFFFFF" w:val="clear"/>
            <w:vAlign w:val="bottom"/>
          </w:tcPr>
          <w:p>
            <w:pPr>
              <w:pStyle w:val="TableContents"/>
              <w:spacing w:before="0" w:after="283"/>
              <w:jc w:val="left"/>
              <w:rPr/>
            </w:pPr>
            <w:r>
              <w:rPr/>
              <w:t xml:space="preserve">  </w:t>
            </w:r>
          </w:p>
        </w:tc>
      </w:tr>
      <w:tr>
        <w:trPr/>
        <w:tc>
          <w:tcPr>
            <w:tcW w:w="4977" w:type="dxa"/>
            <w:tcBorders/>
            <w:shd w:fill="CCEEFF" w:val="clear"/>
            <w:vAlign w:val="bottom"/>
          </w:tcPr>
          <w:p>
            <w:pPr>
              <w:pStyle w:val="TableContents"/>
              <w:spacing w:before="0" w:after="0"/>
              <w:ind w:left="0" w:right="0" w:hanging="0"/>
              <w:jc w:val="left"/>
              <w:rPr/>
            </w:pPr>
            <w:r>
              <w:rPr>
                <w:rFonts w:ascii="helvetica" w:hAnsi="helvetica"/>
                <w:sz w:val="20"/>
              </w:rPr>
              <w:t>no shares issued and outstanding, actual, pro forma and</w:t>
            </w:r>
            <w:r>
              <w:rPr/>
              <w:t xml:space="preserve"> </w:t>
            </w:r>
          </w:p>
        </w:tc>
        <w:tc>
          <w:tcPr>
            <w:tcW w:w="104" w:type="dxa"/>
            <w:tcBorders/>
            <w:shd w:fill="CCEEFF" w:val="clear"/>
            <w:vAlign w:val="bottom"/>
          </w:tcPr>
          <w:p>
            <w:pPr>
              <w:pStyle w:val="TableContents"/>
              <w:spacing w:before="0" w:after="283"/>
              <w:rPr/>
            </w:pPr>
            <w:r>
              <w:rPr/>
              <w:t xml:space="preserve">  </w:t>
            </w:r>
          </w:p>
        </w:tc>
        <w:tc>
          <w:tcPr>
            <w:tcW w:w="161" w:type="dxa"/>
            <w:tcBorders/>
            <w:shd w:fill="CCEEFF" w:val="clear"/>
            <w:vAlign w:val="bottom"/>
          </w:tcPr>
          <w:p>
            <w:pPr>
              <w:pStyle w:val="TableContents"/>
              <w:spacing w:before="0" w:after="283"/>
              <w:jc w:val="left"/>
              <w:rPr/>
            </w:pPr>
            <w:r>
              <w:rPr/>
              <w:t xml:space="preserve">  </w:t>
            </w:r>
          </w:p>
        </w:tc>
        <w:tc>
          <w:tcPr>
            <w:tcW w:w="1382" w:type="dxa"/>
            <w:tcBorders/>
            <w:shd w:fill="CCEEFF" w:val="clear"/>
            <w:vAlign w:val="bottom"/>
          </w:tcPr>
          <w:p>
            <w:pPr>
              <w:pStyle w:val="TableContents"/>
              <w:spacing w:before="0" w:after="283"/>
              <w:jc w:val="right"/>
              <w:rPr/>
            </w:pPr>
            <w:r>
              <w:rPr/>
              <w:t xml:space="preserve">  </w:t>
            </w:r>
          </w:p>
        </w:tc>
        <w:tc>
          <w:tcPr>
            <w:tcW w:w="175" w:type="dxa"/>
            <w:tcBorders/>
            <w:shd w:fill="CCEEFF" w:val="clear"/>
            <w:vAlign w:val="bottom"/>
          </w:tcPr>
          <w:p>
            <w:pPr>
              <w:pStyle w:val="TableContents"/>
              <w:spacing w:before="0" w:after="283"/>
              <w:jc w:val="left"/>
              <w:rPr/>
            </w:pPr>
            <w:r>
              <w:rPr/>
              <w:t xml:space="preserve">  </w:t>
            </w:r>
          </w:p>
        </w:tc>
        <w:tc>
          <w:tcPr>
            <w:tcW w:w="104" w:type="dxa"/>
            <w:tcBorders/>
            <w:shd w:fill="CCEEFF" w:val="clear"/>
            <w:vAlign w:val="bottom"/>
          </w:tcPr>
          <w:p>
            <w:pPr>
              <w:pStyle w:val="TableContents"/>
              <w:spacing w:before="0" w:after="283"/>
              <w:rPr/>
            </w:pPr>
            <w:r>
              <w:rPr/>
              <w:t xml:space="preserve">  </w:t>
            </w:r>
          </w:p>
        </w:tc>
        <w:tc>
          <w:tcPr>
            <w:tcW w:w="161" w:type="dxa"/>
            <w:tcBorders/>
            <w:shd w:fill="CCEEFF" w:val="clear"/>
            <w:vAlign w:val="bottom"/>
          </w:tcPr>
          <w:p>
            <w:pPr>
              <w:pStyle w:val="TableContents"/>
              <w:spacing w:before="0" w:after="283"/>
              <w:jc w:val="left"/>
              <w:rPr/>
            </w:pPr>
            <w:r>
              <w:rPr/>
              <w:t xml:space="preserve">  </w:t>
            </w:r>
          </w:p>
        </w:tc>
        <w:tc>
          <w:tcPr>
            <w:tcW w:w="1381" w:type="dxa"/>
            <w:tcBorders/>
            <w:shd w:fill="CCEEFF" w:val="clear"/>
            <w:vAlign w:val="bottom"/>
          </w:tcPr>
          <w:p>
            <w:pPr>
              <w:pStyle w:val="TableContents"/>
              <w:spacing w:before="0" w:after="283"/>
              <w:jc w:val="right"/>
              <w:rPr/>
            </w:pPr>
            <w:r>
              <w:rPr/>
              <w:t xml:space="preserve">  </w:t>
            </w:r>
          </w:p>
        </w:tc>
        <w:tc>
          <w:tcPr>
            <w:tcW w:w="175" w:type="dxa"/>
            <w:tcBorders/>
            <w:shd w:fill="CCEEFF" w:val="clear"/>
            <w:vAlign w:val="bottom"/>
          </w:tcPr>
          <w:p>
            <w:pPr>
              <w:pStyle w:val="TableContents"/>
              <w:spacing w:before="0" w:after="283"/>
              <w:jc w:val="left"/>
              <w:rPr/>
            </w:pPr>
            <w:r>
              <w:rPr/>
              <w:t xml:space="preserve">  </w:t>
            </w:r>
          </w:p>
        </w:tc>
        <w:tc>
          <w:tcPr>
            <w:tcW w:w="104" w:type="dxa"/>
            <w:tcBorders/>
            <w:shd w:fill="CCEEFF" w:val="clear"/>
            <w:vAlign w:val="bottom"/>
          </w:tcPr>
          <w:p>
            <w:pPr>
              <w:pStyle w:val="TableContents"/>
              <w:spacing w:before="0" w:after="283"/>
              <w:rPr/>
            </w:pPr>
            <w:r>
              <w:rPr/>
              <w:t xml:space="preserve">  </w:t>
            </w:r>
          </w:p>
        </w:tc>
        <w:tc>
          <w:tcPr>
            <w:tcW w:w="1301" w:type="dxa"/>
            <w:gridSpan w:val="2"/>
            <w:tcBorders/>
            <w:shd w:fill="CCEEFF" w:val="clear"/>
            <w:vAlign w:val="bottom"/>
          </w:tcPr>
          <w:p>
            <w:pPr>
              <w:pStyle w:val="TableContents"/>
              <w:spacing w:before="0" w:after="283"/>
              <w:rPr/>
            </w:pPr>
            <w:r>
              <w:rPr/>
              <w:t xml:space="preserve">  </w:t>
            </w:r>
          </w:p>
        </w:tc>
        <w:tc>
          <w:tcPr>
            <w:tcW w:w="180" w:type="dxa"/>
            <w:tcBorders/>
            <w:shd w:fill="CCEEFF" w:val="clear"/>
            <w:vAlign w:val="bottom"/>
          </w:tcPr>
          <w:p>
            <w:pPr>
              <w:pStyle w:val="TableContents"/>
              <w:spacing w:before="0" w:after="283"/>
              <w:jc w:val="left"/>
              <w:rPr/>
            </w:pPr>
            <w:r>
              <w:rPr/>
              <w:t xml:space="preserve">  </w:t>
            </w:r>
          </w:p>
        </w:tc>
      </w:tr>
      <w:tr>
        <w:trPr/>
        <w:tc>
          <w:tcPr>
            <w:tcW w:w="4977" w:type="dxa"/>
            <w:tcBorders/>
            <w:shd w:fill="FFFFFF" w:val="clear"/>
            <w:vAlign w:val="bottom"/>
          </w:tcPr>
          <w:p>
            <w:pPr>
              <w:pStyle w:val="TableContents"/>
              <w:spacing w:before="0" w:after="0"/>
              <w:ind w:left="0" w:right="0" w:hanging="0"/>
              <w:jc w:val="left"/>
              <w:rPr/>
            </w:pPr>
            <w:r>
              <w:rPr>
                <w:rFonts w:ascii="helvetica" w:hAnsi="helvetica"/>
                <w:sz w:val="20"/>
              </w:rPr>
              <w:t>pro forma as adjusted</w:t>
            </w:r>
            <w:r>
              <w:rPr/>
              <w:t xml:space="preserve"> </w:t>
            </w:r>
          </w:p>
        </w:tc>
        <w:tc>
          <w:tcPr>
            <w:tcW w:w="104" w:type="dxa"/>
            <w:tcBorders/>
            <w:shd w:fill="FFFFFF" w:val="clear"/>
            <w:vAlign w:val="bottom"/>
          </w:tcPr>
          <w:p>
            <w:pPr>
              <w:pStyle w:val="TableContents"/>
              <w:spacing w:before="0" w:after="283"/>
              <w:jc w:val="right"/>
              <w:rPr/>
            </w:pPr>
            <w:r>
              <w:rPr/>
              <w:t xml:space="preserve">  </w:t>
            </w:r>
          </w:p>
        </w:tc>
        <w:tc>
          <w:tcPr>
            <w:tcW w:w="161" w:type="dxa"/>
            <w:tcBorders/>
            <w:shd w:fill="FFFFFF" w:val="clear"/>
            <w:vAlign w:val="bottom"/>
          </w:tcPr>
          <w:p>
            <w:pPr>
              <w:pStyle w:val="TableContents"/>
              <w:spacing w:before="0" w:after="283"/>
              <w:jc w:val="left"/>
              <w:rPr/>
            </w:pPr>
            <w:r>
              <w:rPr/>
              <w:t xml:space="preserve">  </w:t>
            </w:r>
          </w:p>
        </w:tc>
        <w:tc>
          <w:tcPr>
            <w:tcW w:w="1382" w:type="dxa"/>
            <w:tcBorders/>
            <w:shd w:fill="FFFFFF" w:val="clear"/>
            <w:vAlign w:val="bottom"/>
          </w:tcPr>
          <w:p>
            <w:pPr>
              <w:pStyle w:val="TableContents"/>
              <w:spacing w:before="0" w:after="283"/>
              <w:jc w:val="right"/>
              <w:rPr/>
            </w:pPr>
            <w:r>
              <w:rPr>
                <w:rFonts w:ascii="helvetica" w:hAnsi="helvetica"/>
                <w:sz w:val="20"/>
              </w:rPr>
              <w:t>-</w:t>
            </w:r>
            <w:r>
              <w:rPr/>
              <w:t xml:space="preserve"> </w:t>
            </w:r>
          </w:p>
        </w:tc>
        <w:tc>
          <w:tcPr>
            <w:tcW w:w="175" w:type="dxa"/>
            <w:tcBorders/>
            <w:shd w:fill="FFFFFF" w:val="clear"/>
            <w:vAlign w:val="bottom"/>
          </w:tcPr>
          <w:p>
            <w:pPr>
              <w:pStyle w:val="TableContents"/>
              <w:spacing w:before="0" w:after="283"/>
              <w:jc w:val="left"/>
              <w:rPr/>
            </w:pPr>
            <w:r>
              <w:rPr/>
              <w:t xml:space="preserve">  </w:t>
            </w:r>
          </w:p>
        </w:tc>
        <w:tc>
          <w:tcPr>
            <w:tcW w:w="104" w:type="dxa"/>
            <w:tcBorders/>
            <w:shd w:fill="FFFFFF" w:val="clear"/>
            <w:vAlign w:val="bottom"/>
          </w:tcPr>
          <w:p>
            <w:pPr>
              <w:pStyle w:val="TableContents"/>
              <w:spacing w:before="0" w:after="283"/>
              <w:jc w:val="right"/>
              <w:rPr/>
            </w:pPr>
            <w:r>
              <w:rPr/>
              <w:t xml:space="preserve">  </w:t>
            </w:r>
          </w:p>
        </w:tc>
        <w:tc>
          <w:tcPr>
            <w:tcW w:w="161" w:type="dxa"/>
            <w:tcBorders/>
            <w:shd w:fill="FFFFFF" w:val="clear"/>
            <w:vAlign w:val="bottom"/>
          </w:tcPr>
          <w:p>
            <w:pPr>
              <w:pStyle w:val="TableContents"/>
              <w:spacing w:before="0" w:after="283"/>
              <w:jc w:val="left"/>
              <w:rPr/>
            </w:pPr>
            <w:r>
              <w:rPr/>
              <w:t xml:space="preserve">  </w:t>
            </w:r>
          </w:p>
        </w:tc>
        <w:tc>
          <w:tcPr>
            <w:tcW w:w="1381" w:type="dxa"/>
            <w:tcBorders/>
            <w:shd w:fill="FFFFFF" w:val="clear"/>
            <w:vAlign w:val="bottom"/>
          </w:tcPr>
          <w:p>
            <w:pPr>
              <w:pStyle w:val="TableContents"/>
              <w:spacing w:before="0" w:after="283"/>
              <w:jc w:val="right"/>
              <w:rPr/>
            </w:pPr>
            <w:r>
              <w:rPr>
                <w:rFonts w:ascii="helvetica" w:hAnsi="helvetica"/>
                <w:sz w:val="20"/>
              </w:rPr>
              <w:t>-</w:t>
            </w:r>
            <w:r>
              <w:rPr/>
              <w:t xml:space="preserve"> </w:t>
            </w:r>
          </w:p>
        </w:tc>
        <w:tc>
          <w:tcPr>
            <w:tcW w:w="175" w:type="dxa"/>
            <w:tcBorders/>
            <w:shd w:fill="FFFFFF" w:val="clear"/>
            <w:vAlign w:val="bottom"/>
          </w:tcPr>
          <w:p>
            <w:pPr>
              <w:pStyle w:val="TableContents"/>
              <w:spacing w:before="0" w:after="283"/>
              <w:jc w:val="left"/>
              <w:rPr/>
            </w:pPr>
            <w:r>
              <w:rPr/>
              <w:t xml:space="preserve">  </w:t>
            </w:r>
          </w:p>
        </w:tc>
        <w:tc>
          <w:tcPr>
            <w:tcW w:w="104" w:type="dxa"/>
            <w:tcBorders/>
            <w:shd w:fill="FFFFFF" w:val="clear"/>
            <w:vAlign w:val="bottom"/>
          </w:tcPr>
          <w:p>
            <w:pPr>
              <w:pStyle w:val="TableContents"/>
              <w:spacing w:before="0" w:after="283"/>
              <w:rPr/>
            </w:pPr>
            <w:r>
              <w:rPr/>
              <w:t xml:space="preserve">  </w:t>
            </w:r>
          </w:p>
        </w:tc>
        <w:tc>
          <w:tcPr>
            <w:tcW w:w="438" w:type="dxa"/>
            <w:tcBorders/>
            <w:shd w:fill="FFFFFF" w:val="clear"/>
            <w:vAlign w:val="bottom"/>
          </w:tcPr>
          <w:p>
            <w:pPr>
              <w:pStyle w:val="TableContents"/>
              <w:spacing w:before="0" w:after="283"/>
              <w:jc w:val="left"/>
              <w:rPr/>
            </w:pPr>
            <w:r>
              <w:rPr/>
              <w:t xml:space="preserve">  </w:t>
            </w:r>
          </w:p>
        </w:tc>
        <w:tc>
          <w:tcPr>
            <w:tcW w:w="863" w:type="dxa"/>
            <w:tcBorders/>
            <w:shd w:fill="FFFFFF" w:val="clear"/>
            <w:vAlign w:val="bottom"/>
          </w:tcPr>
          <w:p>
            <w:pPr>
              <w:pStyle w:val="TableContents"/>
              <w:spacing w:before="0" w:after="283"/>
              <w:jc w:val="right"/>
              <w:rPr/>
            </w:pPr>
            <w:r>
              <w:rPr>
                <w:rFonts w:ascii="helvetica" w:hAnsi="helvetica"/>
                <w:sz w:val="20"/>
              </w:rPr>
              <w:t>-</w:t>
            </w:r>
            <w:r>
              <w:rPr/>
              <w:t xml:space="preserve"> </w:t>
            </w:r>
          </w:p>
        </w:tc>
        <w:tc>
          <w:tcPr>
            <w:tcW w:w="180" w:type="dxa"/>
            <w:tcBorders/>
            <w:shd w:fill="FFFFFF" w:val="clear"/>
            <w:vAlign w:val="bottom"/>
          </w:tcPr>
          <w:p>
            <w:pPr>
              <w:pStyle w:val="TableContents"/>
              <w:spacing w:before="0" w:after="283"/>
              <w:jc w:val="left"/>
              <w:rPr/>
            </w:pPr>
            <w:r>
              <w:rPr/>
              <w:t xml:space="preserve">  </w:t>
            </w:r>
          </w:p>
        </w:tc>
      </w:tr>
      <w:tr>
        <w:trPr/>
        <w:tc>
          <w:tcPr>
            <w:tcW w:w="4977" w:type="dxa"/>
            <w:tcBorders/>
            <w:shd w:fill="CCEEFF" w:val="clear"/>
            <w:vAlign w:val="bottom"/>
          </w:tcPr>
          <w:p>
            <w:pPr>
              <w:pStyle w:val="TableContents"/>
              <w:spacing w:before="0" w:after="0"/>
              <w:ind w:left="0" w:right="0" w:hanging="0"/>
              <w:jc w:val="left"/>
              <w:rPr/>
            </w:pPr>
            <w:r>
              <w:rPr>
                <w:rFonts w:ascii="helvetica" w:hAnsi="helvetica"/>
                <w:sz w:val="20"/>
              </w:rPr>
              <w:t>Common stock, $0.001 par value; 395,000,000 shares authorized,</w:t>
            </w:r>
            <w:r>
              <w:rPr/>
              <w:t xml:space="preserve"> </w:t>
            </w:r>
          </w:p>
        </w:tc>
        <w:tc>
          <w:tcPr>
            <w:tcW w:w="104" w:type="dxa"/>
            <w:tcBorders/>
            <w:shd w:fill="CCEEFF" w:val="clear"/>
            <w:vAlign w:val="bottom"/>
          </w:tcPr>
          <w:p>
            <w:pPr>
              <w:pStyle w:val="TableContents"/>
              <w:spacing w:before="0" w:after="283"/>
              <w:rPr/>
            </w:pPr>
            <w:r>
              <w:rPr/>
              <w:t xml:space="preserve">  </w:t>
            </w:r>
          </w:p>
        </w:tc>
        <w:tc>
          <w:tcPr>
            <w:tcW w:w="161" w:type="dxa"/>
            <w:tcBorders/>
            <w:shd w:fill="CCEEFF" w:val="clear"/>
            <w:vAlign w:val="bottom"/>
          </w:tcPr>
          <w:p>
            <w:pPr>
              <w:pStyle w:val="TableContents"/>
              <w:spacing w:before="0" w:after="283"/>
              <w:jc w:val="left"/>
              <w:rPr/>
            </w:pPr>
            <w:r>
              <w:rPr/>
              <w:t xml:space="preserve">  </w:t>
            </w:r>
          </w:p>
        </w:tc>
        <w:tc>
          <w:tcPr>
            <w:tcW w:w="1382" w:type="dxa"/>
            <w:tcBorders/>
            <w:shd w:fill="CCEEFF" w:val="clear"/>
            <w:vAlign w:val="bottom"/>
          </w:tcPr>
          <w:p>
            <w:pPr>
              <w:pStyle w:val="TableContents"/>
              <w:spacing w:before="0" w:after="283"/>
              <w:jc w:val="right"/>
              <w:rPr/>
            </w:pPr>
            <w:r>
              <w:rPr/>
              <w:t xml:space="preserve">  </w:t>
            </w:r>
          </w:p>
        </w:tc>
        <w:tc>
          <w:tcPr>
            <w:tcW w:w="175" w:type="dxa"/>
            <w:tcBorders/>
            <w:shd w:fill="CCEEFF" w:val="clear"/>
            <w:vAlign w:val="bottom"/>
          </w:tcPr>
          <w:p>
            <w:pPr>
              <w:pStyle w:val="TableContents"/>
              <w:spacing w:before="0" w:after="283"/>
              <w:jc w:val="left"/>
              <w:rPr/>
            </w:pPr>
            <w:r>
              <w:rPr/>
              <w:t xml:space="preserve">  </w:t>
            </w:r>
          </w:p>
        </w:tc>
        <w:tc>
          <w:tcPr>
            <w:tcW w:w="104" w:type="dxa"/>
            <w:tcBorders/>
            <w:shd w:fill="CCEEFF" w:val="clear"/>
            <w:vAlign w:val="bottom"/>
          </w:tcPr>
          <w:p>
            <w:pPr>
              <w:pStyle w:val="TableContents"/>
              <w:spacing w:before="0" w:after="283"/>
              <w:rPr/>
            </w:pPr>
            <w:r>
              <w:rPr/>
              <w:t xml:space="preserve">  </w:t>
            </w:r>
          </w:p>
        </w:tc>
        <w:tc>
          <w:tcPr>
            <w:tcW w:w="161" w:type="dxa"/>
            <w:tcBorders/>
            <w:shd w:fill="CCEEFF" w:val="clear"/>
            <w:vAlign w:val="bottom"/>
          </w:tcPr>
          <w:p>
            <w:pPr>
              <w:pStyle w:val="TableContents"/>
              <w:spacing w:before="0" w:after="283"/>
              <w:jc w:val="left"/>
              <w:rPr/>
            </w:pPr>
            <w:r>
              <w:rPr/>
              <w:t xml:space="preserve">  </w:t>
            </w:r>
          </w:p>
        </w:tc>
        <w:tc>
          <w:tcPr>
            <w:tcW w:w="1381" w:type="dxa"/>
            <w:tcBorders/>
            <w:shd w:fill="CCEEFF" w:val="clear"/>
            <w:vAlign w:val="bottom"/>
          </w:tcPr>
          <w:p>
            <w:pPr>
              <w:pStyle w:val="TableContents"/>
              <w:spacing w:before="0" w:after="283"/>
              <w:jc w:val="right"/>
              <w:rPr/>
            </w:pPr>
            <w:r>
              <w:rPr/>
              <w:t xml:space="preserve">  </w:t>
            </w:r>
          </w:p>
        </w:tc>
        <w:tc>
          <w:tcPr>
            <w:tcW w:w="175" w:type="dxa"/>
            <w:tcBorders/>
            <w:shd w:fill="CCEEFF" w:val="clear"/>
            <w:vAlign w:val="bottom"/>
          </w:tcPr>
          <w:p>
            <w:pPr>
              <w:pStyle w:val="TableContents"/>
              <w:spacing w:before="0" w:after="283"/>
              <w:jc w:val="left"/>
              <w:rPr/>
            </w:pPr>
            <w:r>
              <w:rPr/>
              <w:t xml:space="preserve">  </w:t>
            </w:r>
          </w:p>
        </w:tc>
        <w:tc>
          <w:tcPr>
            <w:tcW w:w="104" w:type="dxa"/>
            <w:tcBorders/>
            <w:shd w:fill="CCEEFF" w:val="clear"/>
            <w:vAlign w:val="bottom"/>
          </w:tcPr>
          <w:p>
            <w:pPr>
              <w:pStyle w:val="TableContents"/>
              <w:spacing w:before="0" w:after="283"/>
              <w:rPr/>
            </w:pPr>
            <w:r>
              <w:rPr/>
              <w:t xml:space="preserve">  </w:t>
            </w:r>
          </w:p>
        </w:tc>
        <w:tc>
          <w:tcPr>
            <w:tcW w:w="438" w:type="dxa"/>
            <w:tcBorders/>
            <w:shd w:fill="CCEEFF" w:val="clear"/>
            <w:vAlign w:val="bottom"/>
          </w:tcPr>
          <w:p>
            <w:pPr>
              <w:pStyle w:val="TableContents"/>
              <w:spacing w:before="0" w:after="283"/>
              <w:jc w:val="left"/>
              <w:rPr/>
            </w:pPr>
            <w:r>
              <w:rPr/>
              <w:t xml:space="preserve">  </w:t>
            </w:r>
          </w:p>
        </w:tc>
        <w:tc>
          <w:tcPr>
            <w:tcW w:w="863" w:type="dxa"/>
            <w:tcBorders/>
            <w:shd w:fill="CCEEFF" w:val="clear"/>
            <w:vAlign w:val="bottom"/>
          </w:tcPr>
          <w:p>
            <w:pPr>
              <w:pStyle w:val="TableContents"/>
              <w:spacing w:before="0" w:after="283"/>
              <w:jc w:val="right"/>
              <w:rPr/>
            </w:pPr>
            <w:r>
              <w:rPr/>
              <w:t xml:space="preserve">  </w:t>
            </w:r>
          </w:p>
        </w:tc>
        <w:tc>
          <w:tcPr>
            <w:tcW w:w="180" w:type="dxa"/>
            <w:tcBorders/>
            <w:shd w:fill="CCEEFF" w:val="clear"/>
            <w:vAlign w:val="bottom"/>
          </w:tcPr>
          <w:p>
            <w:pPr>
              <w:pStyle w:val="TableContents"/>
              <w:spacing w:before="0" w:after="283"/>
              <w:jc w:val="left"/>
              <w:rPr/>
            </w:pPr>
            <w:r>
              <w:rPr/>
              <w:t xml:space="preserve">  </w:t>
            </w:r>
          </w:p>
        </w:tc>
      </w:tr>
      <w:tr>
        <w:trPr/>
        <w:tc>
          <w:tcPr>
            <w:tcW w:w="4977" w:type="dxa"/>
            <w:tcBorders/>
            <w:shd w:fill="FFFFFF" w:val="clear"/>
            <w:vAlign w:val="bottom"/>
          </w:tcPr>
          <w:p>
            <w:pPr>
              <w:pStyle w:val="TableContents"/>
              <w:spacing w:before="0" w:after="0"/>
              <w:ind w:left="0" w:right="0" w:hanging="0"/>
              <w:jc w:val="left"/>
              <w:rPr/>
            </w:pPr>
            <w:r>
              <w:rPr>
                <w:rFonts w:ascii="helvetica" w:hAnsi="helvetica"/>
                <w:sz w:val="20"/>
              </w:rPr>
              <w:t>5,939,243 shares issued and outstanding, actual; 6,771,926 shares</w:t>
            </w:r>
            <w:r>
              <w:rPr/>
              <w:t xml:space="preserve"> </w:t>
            </w:r>
          </w:p>
        </w:tc>
        <w:tc>
          <w:tcPr>
            <w:tcW w:w="104" w:type="dxa"/>
            <w:tcBorders/>
            <w:shd w:fill="FFFFFF" w:val="clear"/>
            <w:vAlign w:val="bottom"/>
          </w:tcPr>
          <w:p>
            <w:pPr>
              <w:pStyle w:val="TableContents"/>
              <w:spacing w:before="0" w:after="283"/>
              <w:rPr/>
            </w:pPr>
            <w:r>
              <w:rPr/>
              <w:t xml:space="preserve">  </w:t>
            </w:r>
          </w:p>
        </w:tc>
        <w:tc>
          <w:tcPr>
            <w:tcW w:w="161" w:type="dxa"/>
            <w:tcBorders/>
            <w:shd w:fill="FFFFFF" w:val="clear"/>
            <w:vAlign w:val="bottom"/>
          </w:tcPr>
          <w:p>
            <w:pPr>
              <w:pStyle w:val="TableContents"/>
              <w:spacing w:before="0" w:after="283"/>
              <w:jc w:val="left"/>
              <w:rPr/>
            </w:pPr>
            <w:r>
              <w:rPr/>
              <w:t xml:space="preserve">  </w:t>
            </w:r>
          </w:p>
        </w:tc>
        <w:tc>
          <w:tcPr>
            <w:tcW w:w="1382" w:type="dxa"/>
            <w:tcBorders/>
            <w:shd w:fill="FFFFFF" w:val="clear"/>
            <w:vAlign w:val="bottom"/>
          </w:tcPr>
          <w:p>
            <w:pPr>
              <w:pStyle w:val="TableContents"/>
              <w:spacing w:before="0" w:after="283"/>
              <w:jc w:val="right"/>
              <w:rPr/>
            </w:pPr>
            <w:r>
              <w:rPr/>
              <w:t xml:space="preserve">  </w:t>
            </w:r>
          </w:p>
        </w:tc>
        <w:tc>
          <w:tcPr>
            <w:tcW w:w="175" w:type="dxa"/>
            <w:tcBorders/>
            <w:shd w:fill="FFFFFF" w:val="clear"/>
            <w:vAlign w:val="bottom"/>
          </w:tcPr>
          <w:p>
            <w:pPr>
              <w:pStyle w:val="TableContents"/>
              <w:spacing w:before="0" w:after="283"/>
              <w:jc w:val="left"/>
              <w:rPr/>
            </w:pPr>
            <w:r>
              <w:rPr/>
              <w:t xml:space="preserve">  </w:t>
            </w:r>
          </w:p>
        </w:tc>
        <w:tc>
          <w:tcPr>
            <w:tcW w:w="104" w:type="dxa"/>
            <w:tcBorders/>
            <w:shd w:fill="FFFFFF" w:val="clear"/>
            <w:vAlign w:val="bottom"/>
          </w:tcPr>
          <w:p>
            <w:pPr>
              <w:pStyle w:val="TableContents"/>
              <w:spacing w:before="0" w:after="283"/>
              <w:rPr/>
            </w:pPr>
            <w:r>
              <w:rPr/>
              <w:t xml:space="preserve">  </w:t>
            </w:r>
          </w:p>
        </w:tc>
        <w:tc>
          <w:tcPr>
            <w:tcW w:w="161" w:type="dxa"/>
            <w:tcBorders/>
            <w:shd w:fill="FFFFFF" w:val="clear"/>
            <w:vAlign w:val="bottom"/>
          </w:tcPr>
          <w:p>
            <w:pPr>
              <w:pStyle w:val="TableContents"/>
              <w:spacing w:before="0" w:after="283"/>
              <w:jc w:val="left"/>
              <w:rPr/>
            </w:pPr>
            <w:r>
              <w:rPr/>
              <w:t xml:space="preserve">  </w:t>
            </w:r>
          </w:p>
        </w:tc>
        <w:tc>
          <w:tcPr>
            <w:tcW w:w="1381" w:type="dxa"/>
            <w:tcBorders/>
            <w:shd w:fill="FFFFFF" w:val="clear"/>
            <w:vAlign w:val="bottom"/>
          </w:tcPr>
          <w:p>
            <w:pPr>
              <w:pStyle w:val="TableContents"/>
              <w:spacing w:before="0" w:after="283"/>
              <w:jc w:val="right"/>
              <w:rPr/>
            </w:pPr>
            <w:r>
              <w:rPr/>
              <w:t xml:space="preserve">  </w:t>
            </w:r>
          </w:p>
        </w:tc>
        <w:tc>
          <w:tcPr>
            <w:tcW w:w="175" w:type="dxa"/>
            <w:tcBorders/>
            <w:shd w:fill="FFFFFF" w:val="clear"/>
            <w:vAlign w:val="bottom"/>
          </w:tcPr>
          <w:p>
            <w:pPr>
              <w:pStyle w:val="TableContents"/>
              <w:spacing w:before="0" w:after="283"/>
              <w:jc w:val="left"/>
              <w:rPr/>
            </w:pPr>
            <w:r>
              <w:rPr/>
              <w:t xml:space="preserve">  </w:t>
            </w:r>
          </w:p>
        </w:tc>
        <w:tc>
          <w:tcPr>
            <w:tcW w:w="104" w:type="dxa"/>
            <w:tcBorders/>
            <w:shd w:fill="FFFFFF" w:val="clear"/>
            <w:vAlign w:val="bottom"/>
          </w:tcPr>
          <w:p>
            <w:pPr>
              <w:pStyle w:val="TableContents"/>
              <w:spacing w:before="0" w:after="283"/>
              <w:rPr/>
            </w:pPr>
            <w:r>
              <w:rPr/>
              <w:t xml:space="preserve">  </w:t>
            </w:r>
          </w:p>
        </w:tc>
        <w:tc>
          <w:tcPr>
            <w:tcW w:w="438" w:type="dxa"/>
            <w:tcBorders/>
            <w:shd w:fill="FFFFFF" w:val="clear"/>
            <w:vAlign w:val="bottom"/>
          </w:tcPr>
          <w:p>
            <w:pPr>
              <w:pStyle w:val="TableContents"/>
              <w:spacing w:before="0" w:after="283"/>
              <w:jc w:val="left"/>
              <w:rPr/>
            </w:pPr>
            <w:r>
              <w:rPr/>
              <w:t xml:space="preserve">  </w:t>
            </w:r>
          </w:p>
        </w:tc>
        <w:tc>
          <w:tcPr>
            <w:tcW w:w="863" w:type="dxa"/>
            <w:tcBorders/>
            <w:shd w:fill="FFFFFF" w:val="clear"/>
            <w:vAlign w:val="bottom"/>
          </w:tcPr>
          <w:p>
            <w:pPr>
              <w:pStyle w:val="TableContents"/>
              <w:spacing w:before="0" w:after="283"/>
              <w:jc w:val="right"/>
              <w:rPr/>
            </w:pPr>
            <w:r>
              <w:rPr/>
              <w:t xml:space="preserve">  </w:t>
            </w:r>
          </w:p>
        </w:tc>
        <w:tc>
          <w:tcPr>
            <w:tcW w:w="180" w:type="dxa"/>
            <w:tcBorders/>
            <w:shd w:fill="FFFFFF" w:val="clear"/>
            <w:vAlign w:val="bottom"/>
          </w:tcPr>
          <w:p>
            <w:pPr>
              <w:pStyle w:val="TableContents"/>
              <w:spacing w:before="0" w:after="283"/>
              <w:jc w:val="left"/>
              <w:rPr/>
            </w:pPr>
            <w:r>
              <w:rPr/>
              <w:t xml:space="preserve">  </w:t>
            </w:r>
          </w:p>
        </w:tc>
      </w:tr>
      <w:tr>
        <w:trPr/>
        <w:tc>
          <w:tcPr>
            <w:tcW w:w="4977" w:type="dxa"/>
            <w:tcBorders/>
            <w:shd w:fill="CCEEFF" w:val="clear"/>
            <w:vAlign w:val="bottom"/>
          </w:tcPr>
          <w:p>
            <w:pPr>
              <w:pStyle w:val="TableContents"/>
              <w:spacing w:before="0" w:after="0"/>
              <w:ind w:left="0" w:right="0" w:hanging="0"/>
              <w:jc w:val="left"/>
              <w:rPr/>
            </w:pPr>
            <w:r>
              <w:rPr>
                <w:rFonts w:ascii="helvetica" w:hAnsi="helvetica"/>
                <w:sz w:val="20"/>
              </w:rPr>
              <w:t>issued and outstanding, pro forma;            shares issued and</w:t>
            </w:r>
            <w:r>
              <w:rPr/>
              <w:t xml:space="preserve"> </w:t>
            </w:r>
          </w:p>
        </w:tc>
        <w:tc>
          <w:tcPr>
            <w:tcW w:w="104" w:type="dxa"/>
            <w:tcBorders/>
            <w:shd w:fill="CCEEFF" w:val="clear"/>
            <w:vAlign w:val="bottom"/>
          </w:tcPr>
          <w:p>
            <w:pPr>
              <w:pStyle w:val="TableContents"/>
              <w:spacing w:before="0" w:after="283"/>
              <w:rPr/>
            </w:pPr>
            <w:r>
              <w:rPr/>
              <w:t xml:space="preserve">  </w:t>
            </w:r>
          </w:p>
        </w:tc>
        <w:tc>
          <w:tcPr>
            <w:tcW w:w="161" w:type="dxa"/>
            <w:tcBorders/>
            <w:shd w:fill="CCEEFF" w:val="clear"/>
            <w:vAlign w:val="bottom"/>
          </w:tcPr>
          <w:p>
            <w:pPr>
              <w:pStyle w:val="TableContents"/>
              <w:spacing w:before="0" w:after="283"/>
              <w:jc w:val="left"/>
              <w:rPr/>
            </w:pPr>
            <w:r>
              <w:rPr/>
              <w:t xml:space="preserve">  </w:t>
            </w:r>
          </w:p>
        </w:tc>
        <w:tc>
          <w:tcPr>
            <w:tcW w:w="1382" w:type="dxa"/>
            <w:tcBorders/>
            <w:shd w:fill="CCEEFF" w:val="clear"/>
            <w:vAlign w:val="bottom"/>
          </w:tcPr>
          <w:p>
            <w:pPr>
              <w:pStyle w:val="TableContents"/>
              <w:spacing w:before="0" w:after="283"/>
              <w:jc w:val="right"/>
              <w:rPr/>
            </w:pPr>
            <w:r>
              <w:rPr/>
              <w:t xml:space="preserve">  </w:t>
            </w:r>
          </w:p>
        </w:tc>
        <w:tc>
          <w:tcPr>
            <w:tcW w:w="175" w:type="dxa"/>
            <w:tcBorders/>
            <w:shd w:fill="CCEEFF" w:val="clear"/>
            <w:vAlign w:val="bottom"/>
          </w:tcPr>
          <w:p>
            <w:pPr>
              <w:pStyle w:val="TableContents"/>
              <w:spacing w:before="0" w:after="283"/>
              <w:jc w:val="left"/>
              <w:rPr/>
            </w:pPr>
            <w:r>
              <w:rPr/>
              <w:t xml:space="preserve">  </w:t>
            </w:r>
          </w:p>
        </w:tc>
        <w:tc>
          <w:tcPr>
            <w:tcW w:w="104" w:type="dxa"/>
            <w:tcBorders/>
            <w:shd w:fill="CCEEFF" w:val="clear"/>
            <w:vAlign w:val="bottom"/>
          </w:tcPr>
          <w:p>
            <w:pPr>
              <w:pStyle w:val="TableContents"/>
              <w:spacing w:before="0" w:after="283"/>
              <w:rPr/>
            </w:pPr>
            <w:r>
              <w:rPr/>
              <w:t xml:space="preserve">  </w:t>
            </w:r>
          </w:p>
        </w:tc>
        <w:tc>
          <w:tcPr>
            <w:tcW w:w="161" w:type="dxa"/>
            <w:tcBorders/>
            <w:shd w:fill="CCEEFF" w:val="clear"/>
            <w:vAlign w:val="bottom"/>
          </w:tcPr>
          <w:p>
            <w:pPr>
              <w:pStyle w:val="TableContents"/>
              <w:spacing w:before="0" w:after="283"/>
              <w:jc w:val="left"/>
              <w:rPr/>
            </w:pPr>
            <w:r>
              <w:rPr/>
              <w:t xml:space="preserve">  </w:t>
            </w:r>
          </w:p>
        </w:tc>
        <w:tc>
          <w:tcPr>
            <w:tcW w:w="1381" w:type="dxa"/>
            <w:tcBorders/>
            <w:shd w:fill="CCEEFF" w:val="clear"/>
            <w:vAlign w:val="bottom"/>
          </w:tcPr>
          <w:p>
            <w:pPr>
              <w:pStyle w:val="TableContents"/>
              <w:spacing w:before="0" w:after="283"/>
              <w:jc w:val="right"/>
              <w:rPr/>
            </w:pPr>
            <w:r>
              <w:rPr/>
              <w:t xml:space="preserve">  </w:t>
            </w:r>
          </w:p>
        </w:tc>
        <w:tc>
          <w:tcPr>
            <w:tcW w:w="175" w:type="dxa"/>
            <w:tcBorders/>
            <w:shd w:fill="CCEEFF" w:val="clear"/>
            <w:vAlign w:val="bottom"/>
          </w:tcPr>
          <w:p>
            <w:pPr>
              <w:pStyle w:val="TableContents"/>
              <w:spacing w:before="0" w:after="283"/>
              <w:jc w:val="left"/>
              <w:rPr/>
            </w:pPr>
            <w:r>
              <w:rPr/>
              <w:t xml:space="preserve">  </w:t>
            </w:r>
          </w:p>
        </w:tc>
        <w:tc>
          <w:tcPr>
            <w:tcW w:w="104" w:type="dxa"/>
            <w:tcBorders/>
            <w:shd w:fill="CCEEFF" w:val="clear"/>
            <w:vAlign w:val="bottom"/>
          </w:tcPr>
          <w:p>
            <w:pPr>
              <w:pStyle w:val="TableContents"/>
              <w:spacing w:before="0" w:after="283"/>
              <w:rPr/>
            </w:pPr>
            <w:r>
              <w:rPr/>
              <w:t xml:space="preserve">  </w:t>
            </w:r>
          </w:p>
        </w:tc>
        <w:tc>
          <w:tcPr>
            <w:tcW w:w="438" w:type="dxa"/>
            <w:tcBorders/>
            <w:shd w:fill="CCEEFF" w:val="clear"/>
            <w:vAlign w:val="bottom"/>
          </w:tcPr>
          <w:p>
            <w:pPr>
              <w:pStyle w:val="TableContents"/>
              <w:spacing w:before="0" w:after="283"/>
              <w:jc w:val="left"/>
              <w:rPr/>
            </w:pPr>
            <w:r>
              <w:rPr/>
              <w:t xml:space="preserve">  </w:t>
            </w:r>
          </w:p>
        </w:tc>
        <w:tc>
          <w:tcPr>
            <w:tcW w:w="863" w:type="dxa"/>
            <w:tcBorders/>
            <w:shd w:fill="CCEEFF" w:val="clear"/>
            <w:vAlign w:val="bottom"/>
          </w:tcPr>
          <w:p>
            <w:pPr>
              <w:pStyle w:val="TableContents"/>
              <w:spacing w:before="0" w:after="283"/>
              <w:jc w:val="right"/>
              <w:rPr/>
            </w:pPr>
            <w:r>
              <w:rPr/>
              <w:t xml:space="preserve">  </w:t>
            </w:r>
          </w:p>
        </w:tc>
        <w:tc>
          <w:tcPr>
            <w:tcW w:w="180" w:type="dxa"/>
            <w:tcBorders/>
            <w:shd w:fill="CCEEFF" w:val="clear"/>
            <w:vAlign w:val="bottom"/>
          </w:tcPr>
          <w:p>
            <w:pPr>
              <w:pStyle w:val="TableContents"/>
              <w:spacing w:before="0" w:after="283"/>
              <w:jc w:val="left"/>
              <w:rPr/>
            </w:pPr>
            <w:r>
              <w:rPr/>
              <w:t xml:space="preserve">  </w:t>
            </w:r>
          </w:p>
        </w:tc>
      </w:tr>
      <w:tr>
        <w:trPr/>
        <w:tc>
          <w:tcPr>
            <w:tcW w:w="4977" w:type="dxa"/>
            <w:tcBorders/>
            <w:shd w:fill="FFFFFF" w:val="clear"/>
            <w:vAlign w:val="bottom"/>
          </w:tcPr>
          <w:p>
            <w:pPr>
              <w:pStyle w:val="TableContents"/>
              <w:spacing w:before="0" w:after="0"/>
              <w:ind w:left="0" w:right="0" w:hanging="0"/>
              <w:jc w:val="left"/>
              <w:rPr/>
            </w:pPr>
            <w:r>
              <w:rPr>
                <w:rFonts w:ascii="helvetica" w:hAnsi="helvetica"/>
                <w:sz w:val="20"/>
              </w:rPr>
              <w:t>outstanding,  pro forma as adjusted</w:t>
            </w:r>
            <w:r>
              <w:rPr/>
              <w:t xml:space="preserve"> </w:t>
            </w:r>
          </w:p>
        </w:tc>
        <w:tc>
          <w:tcPr>
            <w:tcW w:w="104" w:type="dxa"/>
            <w:tcBorders/>
            <w:shd w:fill="FFFFFF" w:val="clear"/>
            <w:vAlign w:val="bottom"/>
          </w:tcPr>
          <w:p>
            <w:pPr>
              <w:pStyle w:val="TableContents"/>
              <w:spacing w:before="0" w:after="283"/>
              <w:jc w:val="right"/>
              <w:rPr/>
            </w:pPr>
            <w:r>
              <w:rPr/>
              <w:t xml:space="preserve">  </w:t>
            </w:r>
          </w:p>
        </w:tc>
        <w:tc>
          <w:tcPr>
            <w:tcW w:w="161" w:type="dxa"/>
            <w:tcBorders/>
            <w:shd w:fill="FFFFFF" w:val="clear"/>
            <w:vAlign w:val="bottom"/>
          </w:tcPr>
          <w:p>
            <w:pPr>
              <w:pStyle w:val="TableContents"/>
              <w:spacing w:before="0" w:after="283"/>
              <w:jc w:val="left"/>
              <w:rPr/>
            </w:pPr>
            <w:r>
              <w:rPr/>
              <w:t xml:space="preserve">  </w:t>
            </w:r>
          </w:p>
        </w:tc>
        <w:tc>
          <w:tcPr>
            <w:tcW w:w="1382" w:type="dxa"/>
            <w:tcBorders/>
            <w:shd w:fill="FFFFFF" w:val="clear"/>
            <w:vAlign w:val="bottom"/>
          </w:tcPr>
          <w:p>
            <w:pPr>
              <w:pStyle w:val="TableContents"/>
              <w:spacing w:before="0" w:after="283"/>
              <w:jc w:val="right"/>
              <w:rPr/>
            </w:pPr>
            <w:r>
              <w:rPr>
                <w:rFonts w:ascii="helvetica" w:hAnsi="helvetica"/>
                <w:sz w:val="20"/>
              </w:rPr>
              <w:t>5,939</w:t>
            </w:r>
            <w:r>
              <w:rPr/>
              <w:t xml:space="preserve"> </w:t>
            </w:r>
          </w:p>
        </w:tc>
        <w:tc>
          <w:tcPr>
            <w:tcW w:w="175" w:type="dxa"/>
            <w:tcBorders/>
            <w:shd w:fill="FFFFFF" w:val="clear"/>
            <w:vAlign w:val="bottom"/>
          </w:tcPr>
          <w:p>
            <w:pPr>
              <w:pStyle w:val="TableContents"/>
              <w:spacing w:before="0" w:after="283"/>
              <w:jc w:val="left"/>
              <w:rPr/>
            </w:pPr>
            <w:r>
              <w:rPr/>
              <w:t xml:space="preserve">  </w:t>
            </w:r>
          </w:p>
        </w:tc>
        <w:tc>
          <w:tcPr>
            <w:tcW w:w="104" w:type="dxa"/>
            <w:tcBorders/>
            <w:shd w:fill="FFFFFF" w:val="clear"/>
            <w:vAlign w:val="bottom"/>
          </w:tcPr>
          <w:p>
            <w:pPr>
              <w:pStyle w:val="TableContents"/>
              <w:spacing w:before="0" w:after="283"/>
              <w:jc w:val="right"/>
              <w:rPr/>
            </w:pPr>
            <w:r>
              <w:rPr/>
              <w:t xml:space="preserve">  </w:t>
            </w:r>
          </w:p>
        </w:tc>
        <w:tc>
          <w:tcPr>
            <w:tcW w:w="161" w:type="dxa"/>
            <w:tcBorders/>
            <w:shd w:fill="FFFFFF" w:val="clear"/>
            <w:vAlign w:val="bottom"/>
          </w:tcPr>
          <w:p>
            <w:pPr>
              <w:pStyle w:val="TableContents"/>
              <w:spacing w:before="0" w:after="283"/>
              <w:jc w:val="left"/>
              <w:rPr/>
            </w:pPr>
            <w:r>
              <w:rPr/>
              <w:t xml:space="preserve">  </w:t>
            </w:r>
          </w:p>
        </w:tc>
        <w:tc>
          <w:tcPr>
            <w:tcW w:w="1381" w:type="dxa"/>
            <w:tcBorders/>
            <w:shd w:fill="FFFFFF" w:val="clear"/>
            <w:vAlign w:val="bottom"/>
          </w:tcPr>
          <w:p>
            <w:pPr>
              <w:pStyle w:val="TableContents"/>
              <w:spacing w:before="0" w:after="283"/>
              <w:jc w:val="right"/>
              <w:rPr/>
            </w:pPr>
            <w:r>
              <w:rPr>
                <w:rFonts w:ascii="helvetica" w:hAnsi="helvetica"/>
                <w:sz w:val="20"/>
              </w:rPr>
              <w:t>6,772</w:t>
            </w:r>
            <w:r>
              <w:rPr/>
              <w:t xml:space="preserve"> </w:t>
            </w:r>
          </w:p>
        </w:tc>
        <w:tc>
          <w:tcPr>
            <w:tcW w:w="175" w:type="dxa"/>
            <w:tcBorders/>
            <w:shd w:fill="FFFFFF" w:val="clear"/>
            <w:vAlign w:val="bottom"/>
          </w:tcPr>
          <w:p>
            <w:pPr>
              <w:pStyle w:val="TableContents"/>
              <w:spacing w:before="0" w:after="283"/>
              <w:jc w:val="left"/>
              <w:rPr/>
            </w:pPr>
            <w:r>
              <w:rPr/>
              <w:t xml:space="preserve">  </w:t>
            </w:r>
          </w:p>
        </w:tc>
        <w:tc>
          <w:tcPr>
            <w:tcW w:w="104" w:type="dxa"/>
            <w:tcBorders/>
            <w:shd w:fill="FFFFFF" w:val="clear"/>
            <w:vAlign w:val="bottom"/>
          </w:tcPr>
          <w:p>
            <w:pPr>
              <w:pStyle w:val="TableContents"/>
              <w:spacing w:before="0" w:after="283"/>
              <w:rPr/>
            </w:pPr>
            <w:r>
              <w:rPr/>
              <w:t xml:space="preserve">  </w:t>
            </w:r>
          </w:p>
        </w:tc>
        <w:tc>
          <w:tcPr>
            <w:tcW w:w="438" w:type="dxa"/>
            <w:tcBorders/>
            <w:shd w:fill="FFFFFF" w:val="clear"/>
            <w:vAlign w:val="bottom"/>
          </w:tcPr>
          <w:p>
            <w:pPr>
              <w:pStyle w:val="TableContents"/>
              <w:spacing w:before="0" w:after="283"/>
              <w:jc w:val="left"/>
              <w:rPr/>
            </w:pPr>
            <w:r>
              <w:rPr/>
              <w:t xml:space="preserve">  </w:t>
            </w:r>
          </w:p>
        </w:tc>
        <w:tc>
          <w:tcPr>
            <w:tcW w:w="863" w:type="dxa"/>
            <w:tcBorders/>
            <w:shd w:fill="FFFFFF" w:val="clear"/>
            <w:vAlign w:val="bottom"/>
          </w:tcPr>
          <w:p>
            <w:pPr>
              <w:pStyle w:val="TableContents"/>
              <w:spacing w:before="0" w:after="283"/>
              <w:jc w:val="right"/>
              <w:rPr/>
            </w:pPr>
            <w:r>
              <w:rPr/>
              <w:t xml:space="preserve">  </w:t>
            </w:r>
          </w:p>
        </w:tc>
        <w:tc>
          <w:tcPr>
            <w:tcW w:w="180" w:type="dxa"/>
            <w:tcBorders/>
            <w:shd w:fill="FFFFFF" w:val="clear"/>
            <w:vAlign w:val="bottom"/>
          </w:tcPr>
          <w:p>
            <w:pPr>
              <w:pStyle w:val="TableContents"/>
              <w:spacing w:before="0" w:after="283"/>
              <w:jc w:val="left"/>
              <w:rPr/>
            </w:pPr>
            <w:r>
              <w:rPr/>
              <w:t xml:space="preserve">  </w:t>
            </w:r>
          </w:p>
        </w:tc>
      </w:tr>
      <w:tr>
        <w:trPr/>
        <w:tc>
          <w:tcPr>
            <w:tcW w:w="4977" w:type="dxa"/>
            <w:tcBorders/>
            <w:shd w:fill="CCEEFF" w:val="clear"/>
            <w:vAlign w:val="bottom"/>
          </w:tcPr>
          <w:p>
            <w:pPr>
              <w:pStyle w:val="TableContents"/>
              <w:spacing w:before="0" w:after="0"/>
              <w:ind w:left="0" w:right="0" w:hanging="0"/>
              <w:jc w:val="left"/>
              <w:rPr/>
            </w:pPr>
            <w:r>
              <w:rPr>
                <w:rFonts w:ascii="helvetica" w:hAnsi="helvetica"/>
                <w:sz w:val="20"/>
              </w:rPr>
              <w:t>Additional paid-in capital</w:t>
            </w:r>
            <w:r>
              <w:rPr/>
              <w:t xml:space="preserve"> </w:t>
            </w:r>
          </w:p>
        </w:tc>
        <w:tc>
          <w:tcPr>
            <w:tcW w:w="104" w:type="dxa"/>
            <w:tcBorders/>
            <w:shd w:fill="CCEEFF" w:val="clear"/>
            <w:vAlign w:val="bottom"/>
          </w:tcPr>
          <w:p>
            <w:pPr>
              <w:pStyle w:val="TableContents"/>
              <w:spacing w:before="0" w:after="283"/>
              <w:jc w:val="right"/>
              <w:rPr/>
            </w:pPr>
            <w:r>
              <w:rPr/>
              <w:t xml:space="preserve">  </w:t>
            </w:r>
          </w:p>
        </w:tc>
        <w:tc>
          <w:tcPr>
            <w:tcW w:w="161" w:type="dxa"/>
            <w:tcBorders/>
            <w:shd w:fill="CCEEFF" w:val="clear"/>
            <w:vAlign w:val="bottom"/>
          </w:tcPr>
          <w:p>
            <w:pPr>
              <w:pStyle w:val="TableContents"/>
              <w:spacing w:before="0" w:after="283"/>
              <w:jc w:val="left"/>
              <w:rPr/>
            </w:pPr>
            <w:r>
              <w:rPr/>
              <w:t xml:space="preserve">  </w:t>
            </w:r>
          </w:p>
        </w:tc>
        <w:tc>
          <w:tcPr>
            <w:tcW w:w="1382" w:type="dxa"/>
            <w:tcBorders/>
            <w:shd w:fill="CCEEFF" w:val="clear"/>
            <w:vAlign w:val="bottom"/>
          </w:tcPr>
          <w:p>
            <w:pPr>
              <w:pStyle w:val="TableContents"/>
              <w:spacing w:before="0" w:after="283"/>
              <w:jc w:val="right"/>
              <w:rPr/>
            </w:pPr>
            <w:r>
              <w:rPr>
                <w:rFonts w:ascii="helvetica" w:hAnsi="helvetica"/>
                <w:sz w:val="20"/>
              </w:rPr>
              <w:t>28,803,306</w:t>
            </w:r>
            <w:r>
              <w:rPr/>
              <w:t xml:space="preserve"> </w:t>
            </w:r>
          </w:p>
        </w:tc>
        <w:tc>
          <w:tcPr>
            <w:tcW w:w="175" w:type="dxa"/>
            <w:tcBorders/>
            <w:shd w:fill="CCEEFF" w:val="clear"/>
            <w:vAlign w:val="bottom"/>
          </w:tcPr>
          <w:p>
            <w:pPr>
              <w:pStyle w:val="TableContents"/>
              <w:spacing w:before="0" w:after="283"/>
              <w:jc w:val="left"/>
              <w:rPr/>
            </w:pPr>
            <w:r>
              <w:rPr/>
              <w:t xml:space="preserve">  </w:t>
            </w:r>
          </w:p>
        </w:tc>
        <w:tc>
          <w:tcPr>
            <w:tcW w:w="104" w:type="dxa"/>
            <w:tcBorders/>
            <w:shd w:fill="CCEEFF" w:val="clear"/>
            <w:vAlign w:val="bottom"/>
          </w:tcPr>
          <w:p>
            <w:pPr>
              <w:pStyle w:val="TableContents"/>
              <w:spacing w:before="0" w:after="283"/>
              <w:jc w:val="right"/>
              <w:rPr/>
            </w:pPr>
            <w:r>
              <w:rPr/>
              <w:t xml:space="preserve">  </w:t>
            </w:r>
          </w:p>
        </w:tc>
        <w:tc>
          <w:tcPr>
            <w:tcW w:w="161" w:type="dxa"/>
            <w:tcBorders/>
            <w:shd w:fill="CCEEFF" w:val="clear"/>
            <w:vAlign w:val="bottom"/>
          </w:tcPr>
          <w:p>
            <w:pPr>
              <w:pStyle w:val="TableContents"/>
              <w:spacing w:before="0" w:after="283"/>
              <w:jc w:val="left"/>
              <w:rPr/>
            </w:pPr>
            <w:r>
              <w:rPr/>
              <w:t xml:space="preserve">  </w:t>
            </w:r>
          </w:p>
        </w:tc>
        <w:tc>
          <w:tcPr>
            <w:tcW w:w="1381" w:type="dxa"/>
            <w:tcBorders/>
            <w:shd w:fill="CCEEFF" w:val="clear"/>
            <w:vAlign w:val="bottom"/>
          </w:tcPr>
          <w:p>
            <w:pPr>
              <w:pStyle w:val="TableContents"/>
              <w:spacing w:before="0" w:after="283"/>
              <w:jc w:val="right"/>
              <w:rPr/>
            </w:pPr>
            <w:r>
              <w:rPr>
                <w:rFonts w:ascii="helvetica" w:hAnsi="helvetica"/>
                <w:sz w:val="20"/>
              </w:rPr>
              <w:t>32,802,473</w:t>
            </w:r>
            <w:r>
              <w:rPr/>
              <w:t xml:space="preserve"> </w:t>
            </w:r>
          </w:p>
        </w:tc>
        <w:tc>
          <w:tcPr>
            <w:tcW w:w="175" w:type="dxa"/>
            <w:tcBorders/>
            <w:shd w:fill="CCEEFF" w:val="clear"/>
            <w:vAlign w:val="bottom"/>
          </w:tcPr>
          <w:p>
            <w:pPr>
              <w:pStyle w:val="TableContents"/>
              <w:spacing w:before="0" w:after="283"/>
              <w:jc w:val="left"/>
              <w:rPr/>
            </w:pPr>
            <w:r>
              <w:rPr/>
              <w:t xml:space="preserve">  </w:t>
            </w:r>
          </w:p>
        </w:tc>
        <w:tc>
          <w:tcPr>
            <w:tcW w:w="104" w:type="dxa"/>
            <w:tcBorders/>
            <w:shd w:fill="CCEEFF" w:val="clear"/>
            <w:vAlign w:val="bottom"/>
          </w:tcPr>
          <w:p>
            <w:pPr>
              <w:pStyle w:val="TableContents"/>
              <w:spacing w:before="0" w:after="283"/>
              <w:rPr/>
            </w:pPr>
            <w:r>
              <w:rPr/>
              <w:t xml:space="preserve">  </w:t>
            </w:r>
          </w:p>
        </w:tc>
        <w:tc>
          <w:tcPr>
            <w:tcW w:w="438" w:type="dxa"/>
            <w:tcBorders/>
            <w:shd w:fill="CCEEFF" w:val="clear"/>
            <w:vAlign w:val="bottom"/>
          </w:tcPr>
          <w:p>
            <w:pPr>
              <w:pStyle w:val="TableContents"/>
              <w:spacing w:before="0" w:after="283"/>
              <w:jc w:val="left"/>
              <w:rPr/>
            </w:pPr>
            <w:r>
              <w:rPr/>
              <w:t xml:space="preserve">  </w:t>
            </w:r>
          </w:p>
        </w:tc>
        <w:tc>
          <w:tcPr>
            <w:tcW w:w="863" w:type="dxa"/>
            <w:tcBorders/>
            <w:shd w:fill="CCEEFF" w:val="clear"/>
            <w:vAlign w:val="bottom"/>
          </w:tcPr>
          <w:p>
            <w:pPr>
              <w:pStyle w:val="TableContents"/>
              <w:spacing w:before="0" w:after="283"/>
              <w:jc w:val="right"/>
              <w:rPr/>
            </w:pPr>
            <w:r>
              <w:rPr/>
              <w:t xml:space="preserve">  </w:t>
            </w:r>
          </w:p>
        </w:tc>
        <w:tc>
          <w:tcPr>
            <w:tcW w:w="180" w:type="dxa"/>
            <w:tcBorders/>
            <w:shd w:fill="CCEEFF" w:val="clear"/>
            <w:vAlign w:val="bottom"/>
          </w:tcPr>
          <w:p>
            <w:pPr>
              <w:pStyle w:val="TableContents"/>
              <w:spacing w:before="0" w:after="283"/>
              <w:jc w:val="left"/>
              <w:rPr/>
            </w:pPr>
            <w:r>
              <w:rPr/>
              <w:t xml:space="preserve">  </w:t>
            </w:r>
          </w:p>
        </w:tc>
      </w:tr>
      <w:tr>
        <w:trPr/>
        <w:tc>
          <w:tcPr>
            <w:tcW w:w="4977" w:type="dxa"/>
            <w:tcBorders/>
            <w:shd w:fill="FFFFFF" w:val="clear"/>
            <w:vAlign w:val="bottom"/>
          </w:tcPr>
          <w:p>
            <w:pPr>
              <w:pStyle w:val="TableContents"/>
              <w:spacing w:before="0" w:after="0"/>
              <w:ind w:left="0" w:right="0" w:hanging="0"/>
              <w:jc w:val="left"/>
              <w:rPr/>
            </w:pPr>
            <w:r>
              <w:rPr>
                <w:rFonts w:ascii="helvetica" w:hAnsi="helvetica"/>
                <w:sz w:val="20"/>
              </w:rPr>
              <w:t>Deficit accumulated during the development stage</w:t>
            </w:r>
            <w:r>
              <w:rPr/>
              <w:t xml:space="preserve"> </w:t>
            </w:r>
          </w:p>
        </w:tc>
        <w:tc>
          <w:tcPr>
            <w:tcW w:w="104" w:type="dxa"/>
            <w:tcBorders/>
            <w:shd w:fill="FFFFFF" w:val="clear"/>
            <w:vAlign w:val="bottom"/>
          </w:tcPr>
          <w:p>
            <w:pPr>
              <w:pStyle w:val="TableContents"/>
              <w:spacing w:before="0" w:after="283"/>
              <w:jc w:val="right"/>
              <w:rPr/>
            </w:pPr>
            <w:r>
              <w:rPr/>
              <w:t xml:space="preserve">  </w:t>
            </w:r>
          </w:p>
        </w:tc>
        <w:tc>
          <w:tcPr>
            <w:tcW w:w="161" w:type="dxa"/>
            <w:tcBorders>
              <w:bottom w:val="single" w:sz="12" w:space="0" w:color="000000"/>
            </w:tcBorders>
            <w:shd w:fill="FFFFFF" w:val="clear"/>
            <w:tcMar>
              <w:bottom w:w="28" w:type="dxa"/>
            </w:tcMar>
            <w:vAlign w:val="bottom"/>
          </w:tcPr>
          <w:p>
            <w:pPr>
              <w:pStyle w:val="TableContents"/>
              <w:spacing w:before="0" w:after="283"/>
              <w:jc w:val="left"/>
              <w:rPr/>
            </w:pPr>
            <w:r>
              <w:rPr/>
              <w:t xml:space="preserve">  </w:t>
            </w:r>
          </w:p>
        </w:tc>
        <w:tc>
          <w:tcPr>
            <w:tcW w:w="1382" w:type="dxa"/>
            <w:tcBorders>
              <w:bottom w:val="single" w:sz="12" w:space="0" w:color="000000"/>
            </w:tcBorders>
            <w:shd w:fill="FFFFFF" w:val="clear"/>
            <w:tcMar>
              <w:bottom w:w="28" w:type="dxa"/>
            </w:tcMar>
            <w:vAlign w:val="bottom"/>
          </w:tcPr>
          <w:p>
            <w:pPr>
              <w:pStyle w:val="TableContents"/>
              <w:spacing w:before="0" w:after="283"/>
              <w:jc w:val="right"/>
              <w:rPr/>
            </w:pPr>
            <w:r>
              <w:rPr>
                <w:rFonts w:ascii="helvetica" w:hAnsi="helvetica"/>
                <w:sz w:val="20"/>
              </w:rPr>
              <w:t>(21,405,414</w:t>
            </w:r>
            <w:r>
              <w:rPr/>
              <w:t xml:space="preserve"> </w:t>
            </w:r>
          </w:p>
        </w:tc>
        <w:tc>
          <w:tcPr>
            <w:tcW w:w="175" w:type="dxa"/>
            <w:tcBorders/>
            <w:shd w:fill="FFFFFF" w:val="clear"/>
            <w:vAlign w:val="bottom"/>
          </w:tcPr>
          <w:p>
            <w:pPr>
              <w:pStyle w:val="TableContents"/>
              <w:spacing w:before="0" w:after="283"/>
              <w:jc w:val="left"/>
              <w:rPr/>
            </w:pPr>
            <w:r>
              <w:rPr>
                <w:rFonts w:ascii="helvetica" w:hAnsi="helvetica"/>
                <w:sz w:val="20"/>
              </w:rPr>
              <w:t>)</w:t>
            </w:r>
            <w:r>
              <w:rPr/>
              <w:t xml:space="preserve"> </w:t>
            </w:r>
          </w:p>
        </w:tc>
        <w:tc>
          <w:tcPr>
            <w:tcW w:w="104" w:type="dxa"/>
            <w:tcBorders/>
            <w:shd w:fill="FFFFFF" w:val="clear"/>
            <w:vAlign w:val="bottom"/>
          </w:tcPr>
          <w:p>
            <w:pPr>
              <w:pStyle w:val="TableContents"/>
              <w:spacing w:before="0" w:after="283"/>
              <w:jc w:val="right"/>
              <w:rPr/>
            </w:pPr>
            <w:r>
              <w:rPr/>
              <w:t xml:space="preserve">  </w:t>
            </w:r>
          </w:p>
        </w:tc>
        <w:tc>
          <w:tcPr>
            <w:tcW w:w="161" w:type="dxa"/>
            <w:tcBorders>
              <w:bottom w:val="single" w:sz="12" w:space="0" w:color="000000"/>
            </w:tcBorders>
            <w:shd w:fill="FFFFFF" w:val="clear"/>
            <w:tcMar>
              <w:bottom w:w="28" w:type="dxa"/>
            </w:tcMar>
            <w:vAlign w:val="bottom"/>
          </w:tcPr>
          <w:p>
            <w:pPr>
              <w:pStyle w:val="TableContents"/>
              <w:spacing w:before="0" w:after="283"/>
              <w:jc w:val="left"/>
              <w:rPr/>
            </w:pPr>
            <w:r>
              <w:rPr/>
              <w:t xml:space="preserve">  </w:t>
            </w:r>
          </w:p>
        </w:tc>
        <w:tc>
          <w:tcPr>
            <w:tcW w:w="1381" w:type="dxa"/>
            <w:tcBorders>
              <w:bottom w:val="single" w:sz="12" w:space="0" w:color="000000"/>
            </w:tcBorders>
            <w:shd w:fill="FFFFFF" w:val="clear"/>
            <w:tcMar>
              <w:bottom w:w="28" w:type="dxa"/>
            </w:tcMar>
            <w:vAlign w:val="bottom"/>
          </w:tcPr>
          <w:p>
            <w:pPr>
              <w:pStyle w:val="TableContents"/>
              <w:spacing w:before="0" w:after="283"/>
              <w:jc w:val="right"/>
              <w:rPr/>
            </w:pPr>
            <w:r>
              <w:rPr>
                <w:rFonts w:ascii="helvetica" w:hAnsi="helvetica"/>
                <w:sz w:val="20"/>
              </w:rPr>
              <w:t>(21,405,414</w:t>
            </w:r>
            <w:r>
              <w:rPr/>
              <w:t xml:space="preserve"> </w:t>
            </w:r>
          </w:p>
        </w:tc>
        <w:tc>
          <w:tcPr>
            <w:tcW w:w="175" w:type="dxa"/>
            <w:tcBorders/>
            <w:shd w:fill="FFFFFF" w:val="clear"/>
            <w:vAlign w:val="bottom"/>
          </w:tcPr>
          <w:p>
            <w:pPr>
              <w:pStyle w:val="TableContents"/>
              <w:spacing w:before="0" w:after="283"/>
              <w:jc w:val="left"/>
              <w:rPr/>
            </w:pPr>
            <w:r>
              <w:rPr>
                <w:rFonts w:ascii="helvetica" w:hAnsi="helvetica"/>
                <w:sz w:val="20"/>
              </w:rPr>
              <w:t>)</w:t>
            </w:r>
            <w:r>
              <w:rPr/>
              <w:t xml:space="preserve"> </w:t>
            </w:r>
          </w:p>
        </w:tc>
        <w:tc>
          <w:tcPr>
            <w:tcW w:w="104" w:type="dxa"/>
            <w:tcBorders/>
            <w:shd w:fill="FFFFFF" w:val="clear"/>
            <w:vAlign w:val="bottom"/>
          </w:tcPr>
          <w:p>
            <w:pPr>
              <w:pStyle w:val="TableContents"/>
              <w:spacing w:before="0" w:after="283"/>
              <w:rPr/>
            </w:pPr>
            <w:r>
              <w:rPr/>
              <w:t xml:space="preserve">  </w:t>
            </w:r>
          </w:p>
        </w:tc>
        <w:tc>
          <w:tcPr>
            <w:tcW w:w="438" w:type="dxa"/>
            <w:tcBorders>
              <w:bottom w:val="single" w:sz="12" w:space="0" w:color="000000"/>
            </w:tcBorders>
            <w:shd w:fill="FFFFFF" w:val="clear"/>
            <w:tcMar>
              <w:bottom w:w="28" w:type="dxa"/>
            </w:tcMar>
            <w:vAlign w:val="bottom"/>
          </w:tcPr>
          <w:p>
            <w:pPr>
              <w:pStyle w:val="TableContents"/>
              <w:spacing w:before="0" w:after="283"/>
              <w:jc w:val="left"/>
              <w:rPr/>
            </w:pPr>
            <w:r>
              <w:rPr/>
              <w:t xml:space="preserve">  </w:t>
            </w:r>
          </w:p>
        </w:tc>
        <w:tc>
          <w:tcPr>
            <w:tcW w:w="863" w:type="dxa"/>
            <w:tcBorders>
              <w:bottom w:val="single" w:sz="12" w:space="0" w:color="000000"/>
            </w:tcBorders>
            <w:shd w:fill="FFFFFF" w:val="clear"/>
            <w:tcMar>
              <w:bottom w:w="28" w:type="dxa"/>
            </w:tcMar>
            <w:vAlign w:val="bottom"/>
          </w:tcPr>
          <w:p>
            <w:pPr>
              <w:pStyle w:val="TableContents"/>
              <w:spacing w:before="0" w:after="283"/>
              <w:jc w:val="right"/>
              <w:rPr/>
            </w:pPr>
            <w:r>
              <w:rPr/>
              <w:t xml:space="preserve">  </w:t>
            </w:r>
          </w:p>
        </w:tc>
        <w:tc>
          <w:tcPr>
            <w:tcW w:w="180" w:type="dxa"/>
            <w:tcBorders/>
            <w:shd w:fill="FFFFFF" w:val="clear"/>
            <w:vAlign w:val="bottom"/>
          </w:tcPr>
          <w:p>
            <w:pPr>
              <w:pStyle w:val="TableContents"/>
              <w:spacing w:before="0" w:after="283"/>
              <w:jc w:val="left"/>
              <w:rPr/>
            </w:pPr>
            <w:r>
              <w:rPr/>
              <w:t xml:space="preserve">  </w:t>
            </w:r>
          </w:p>
        </w:tc>
      </w:tr>
      <w:tr>
        <w:trPr/>
        <w:tc>
          <w:tcPr>
            <w:tcW w:w="4977" w:type="dxa"/>
            <w:tcBorders/>
            <w:shd w:fill="CCEEFF" w:val="clear"/>
            <w:vAlign w:val="bottom"/>
          </w:tcPr>
          <w:p>
            <w:pPr>
              <w:pStyle w:val="TableContents"/>
              <w:spacing w:before="0" w:after="0"/>
              <w:ind w:left="0" w:right="0" w:hanging="0"/>
              <w:jc w:val="left"/>
              <w:rPr/>
            </w:pPr>
            <w:r>
              <w:rPr>
                <w:rFonts w:ascii="helvetica" w:hAnsi="helvetica"/>
                <w:sz w:val="20"/>
              </w:rPr>
              <w:t>Total stockholders' equity</w:t>
            </w:r>
            <w:r>
              <w:rPr/>
              <w:t xml:space="preserve"> </w:t>
            </w:r>
          </w:p>
        </w:tc>
        <w:tc>
          <w:tcPr>
            <w:tcW w:w="104" w:type="dxa"/>
            <w:tcBorders/>
            <w:shd w:fill="CCEEFF" w:val="clear"/>
            <w:vAlign w:val="bottom"/>
          </w:tcPr>
          <w:p>
            <w:pPr>
              <w:pStyle w:val="TableContents"/>
              <w:spacing w:before="0" w:after="283"/>
              <w:jc w:val="right"/>
              <w:rPr/>
            </w:pPr>
            <w:r>
              <w:rPr/>
              <w:t xml:space="preserve">  </w:t>
            </w:r>
          </w:p>
        </w:tc>
        <w:tc>
          <w:tcPr>
            <w:tcW w:w="161" w:type="dxa"/>
            <w:tcBorders>
              <w:bottom w:val="single" w:sz="12" w:space="0" w:color="000000"/>
            </w:tcBorders>
            <w:shd w:fill="CCEEFF" w:val="clear"/>
            <w:tcMar>
              <w:bottom w:w="28" w:type="dxa"/>
            </w:tcMar>
            <w:vAlign w:val="bottom"/>
          </w:tcPr>
          <w:p>
            <w:pPr>
              <w:pStyle w:val="TableContents"/>
              <w:spacing w:before="0" w:after="283"/>
              <w:jc w:val="left"/>
              <w:rPr/>
            </w:pPr>
            <w:r>
              <w:rPr/>
              <w:t xml:space="preserve">  </w:t>
            </w:r>
          </w:p>
        </w:tc>
        <w:tc>
          <w:tcPr>
            <w:tcW w:w="1382" w:type="dxa"/>
            <w:tcBorders>
              <w:bottom w:val="single" w:sz="12" w:space="0" w:color="000000"/>
            </w:tcBorders>
            <w:shd w:fill="CCEEFF" w:val="clear"/>
            <w:tcMar>
              <w:bottom w:w="28" w:type="dxa"/>
            </w:tcMar>
            <w:vAlign w:val="bottom"/>
          </w:tcPr>
          <w:p>
            <w:pPr>
              <w:pStyle w:val="TableContents"/>
              <w:spacing w:before="0" w:after="283"/>
              <w:jc w:val="right"/>
              <w:rPr/>
            </w:pPr>
            <w:r>
              <w:rPr>
                <w:rFonts w:ascii="helvetica" w:hAnsi="helvetica"/>
                <w:sz w:val="20"/>
              </w:rPr>
              <w:t>7,403,831</w:t>
            </w:r>
            <w:r>
              <w:rPr/>
              <w:t xml:space="preserve"> </w:t>
            </w:r>
          </w:p>
        </w:tc>
        <w:tc>
          <w:tcPr>
            <w:tcW w:w="175" w:type="dxa"/>
            <w:tcBorders/>
            <w:shd w:fill="CCEEFF" w:val="clear"/>
            <w:vAlign w:val="bottom"/>
          </w:tcPr>
          <w:p>
            <w:pPr>
              <w:pStyle w:val="TableContents"/>
              <w:spacing w:before="0" w:after="283"/>
              <w:jc w:val="left"/>
              <w:rPr/>
            </w:pPr>
            <w:r>
              <w:rPr/>
              <w:t xml:space="preserve">  </w:t>
            </w:r>
          </w:p>
        </w:tc>
        <w:tc>
          <w:tcPr>
            <w:tcW w:w="104" w:type="dxa"/>
            <w:tcBorders/>
            <w:shd w:fill="CCEEFF" w:val="clear"/>
            <w:vAlign w:val="bottom"/>
          </w:tcPr>
          <w:p>
            <w:pPr>
              <w:pStyle w:val="TableContents"/>
              <w:spacing w:before="0" w:after="283"/>
              <w:jc w:val="right"/>
              <w:rPr/>
            </w:pPr>
            <w:r>
              <w:rPr/>
              <w:t xml:space="preserve">  </w:t>
            </w:r>
          </w:p>
        </w:tc>
        <w:tc>
          <w:tcPr>
            <w:tcW w:w="161" w:type="dxa"/>
            <w:tcBorders>
              <w:bottom w:val="single" w:sz="12" w:space="0" w:color="000000"/>
            </w:tcBorders>
            <w:shd w:fill="CCEEFF" w:val="clear"/>
            <w:tcMar>
              <w:bottom w:w="28" w:type="dxa"/>
            </w:tcMar>
            <w:vAlign w:val="bottom"/>
          </w:tcPr>
          <w:p>
            <w:pPr>
              <w:pStyle w:val="TableContents"/>
              <w:spacing w:before="0" w:after="283"/>
              <w:jc w:val="left"/>
              <w:rPr/>
            </w:pPr>
            <w:r>
              <w:rPr/>
              <w:t xml:space="preserve">  </w:t>
            </w:r>
          </w:p>
        </w:tc>
        <w:tc>
          <w:tcPr>
            <w:tcW w:w="1381" w:type="dxa"/>
            <w:tcBorders>
              <w:bottom w:val="single" w:sz="12" w:space="0" w:color="000000"/>
            </w:tcBorders>
            <w:shd w:fill="CCEEFF" w:val="clear"/>
            <w:tcMar>
              <w:bottom w:w="28" w:type="dxa"/>
            </w:tcMar>
            <w:vAlign w:val="bottom"/>
          </w:tcPr>
          <w:p>
            <w:pPr>
              <w:pStyle w:val="TableContents"/>
              <w:spacing w:before="0" w:after="283"/>
              <w:jc w:val="right"/>
              <w:rPr/>
            </w:pPr>
            <w:r>
              <w:rPr>
                <w:rFonts w:ascii="helvetica" w:hAnsi="helvetica"/>
                <w:sz w:val="20"/>
              </w:rPr>
              <w:t>11,403,831</w:t>
            </w:r>
            <w:r>
              <w:rPr/>
              <w:t xml:space="preserve"> </w:t>
            </w:r>
          </w:p>
        </w:tc>
        <w:tc>
          <w:tcPr>
            <w:tcW w:w="175" w:type="dxa"/>
            <w:tcBorders/>
            <w:shd w:fill="CCEEFF" w:val="clear"/>
            <w:vAlign w:val="bottom"/>
          </w:tcPr>
          <w:p>
            <w:pPr>
              <w:pStyle w:val="TableContents"/>
              <w:spacing w:before="0" w:after="283"/>
              <w:jc w:val="left"/>
              <w:rPr/>
            </w:pPr>
            <w:r>
              <w:rPr/>
              <w:t xml:space="preserve">  </w:t>
            </w:r>
          </w:p>
        </w:tc>
        <w:tc>
          <w:tcPr>
            <w:tcW w:w="104" w:type="dxa"/>
            <w:tcBorders/>
            <w:shd w:fill="CCEEFF" w:val="clear"/>
            <w:vAlign w:val="bottom"/>
          </w:tcPr>
          <w:p>
            <w:pPr>
              <w:pStyle w:val="TableContents"/>
              <w:spacing w:before="0" w:after="283"/>
              <w:rPr/>
            </w:pPr>
            <w:r>
              <w:rPr/>
              <w:t xml:space="preserve">  </w:t>
            </w:r>
          </w:p>
        </w:tc>
        <w:tc>
          <w:tcPr>
            <w:tcW w:w="438" w:type="dxa"/>
            <w:tcBorders>
              <w:bottom w:val="single" w:sz="12" w:space="0" w:color="000000"/>
            </w:tcBorders>
            <w:shd w:fill="CCEEFF" w:val="clear"/>
            <w:tcMar>
              <w:bottom w:w="28" w:type="dxa"/>
            </w:tcMar>
            <w:vAlign w:val="bottom"/>
          </w:tcPr>
          <w:p>
            <w:pPr>
              <w:pStyle w:val="TableContents"/>
              <w:spacing w:before="0" w:after="283"/>
              <w:jc w:val="left"/>
              <w:rPr/>
            </w:pPr>
            <w:r>
              <w:rPr/>
              <w:t xml:space="preserve">  </w:t>
            </w:r>
          </w:p>
        </w:tc>
        <w:tc>
          <w:tcPr>
            <w:tcW w:w="863" w:type="dxa"/>
            <w:tcBorders>
              <w:bottom w:val="single" w:sz="12" w:space="0" w:color="000000"/>
            </w:tcBorders>
            <w:shd w:fill="CCEEFF" w:val="clear"/>
            <w:tcMar>
              <w:bottom w:w="28" w:type="dxa"/>
            </w:tcMar>
            <w:vAlign w:val="bottom"/>
          </w:tcPr>
          <w:p>
            <w:pPr>
              <w:pStyle w:val="TableContents"/>
              <w:spacing w:before="0" w:after="283"/>
              <w:jc w:val="right"/>
              <w:rPr/>
            </w:pPr>
            <w:r>
              <w:rPr/>
              <w:t xml:space="preserve">  </w:t>
            </w:r>
          </w:p>
        </w:tc>
        <w:tc>
          <w:tcPr>
            <w:tcW w:w="180" w:type="dxa"/>
            <w:tcBorders/>
            <w:shd w:fill="CCEEFF" w:val="clear"/>
            <w:vAlign w:val="bottom"/>
          </w:tcPr>
          <w:p>
            <w:pPr>
              <w:pStyle w:val="TableContents"/>
              <w:spacing w:before="0" w:after="283"/>
              <w:jc w:val="left"/>
              <w:rPr/>
            </w:pPr>
            <w:r>
              <w:rPr/>
              <w:t xml:space="preserve">  </w:t>
            </w:r>
          </w:p>
        </w:tc>
      </w:tr>
      <w:tr>
        <w:trPr/>
        <w:tc>
          <w:tcPr>
            <w:tcW w:w="4977" w:type="dxa"/>
            <w:tcBorders/>
            <w:shd w:fill="FFFFFF" w:val="clear"/>
            <w:vAlign w:val="bottom"/>
          </w:tcPr>
          <w:p>
            <w:pPr>
              <w:pStyle w:val="TableContents"/>
              <w:spacing w:before="0" w:after="0"/>
              <w:ind w:left="0" w:right="0" w:hanging="0"/>
              <w:jc w:val="left"/>
              <w:rPr/>
            </w:pPr>
            <w:r>
              <w:rPr>
                <w:rFonts w:ascii="helvetica" w:hAnsi="helvetica"/>
                <w:sz w:val="20"/>
              </w:rPr>
              <w:t>Total capitalization</w:t>
            </w:r>
            <w:r>
              <w:rPr/>
              <w:t xml:space="preserve"> </w:t>
            </w:r>
          </w:p>
        </w:tc>
        <w:tc>
          <w:tcPr>
            <w:tcW w:w="104" w:type="dxa"/>
            <w:tcBorders/>
            <w:shd w:fill="FFFFFF" w:val="clear"/>
            <w:vAlign w:val="bottom"/>
          </w:tcPr>
          <w:p>
            <w:pPr>
              <w:pStyle w:val="TableContents"/>
              <w:spacing w:before="0" w:after="283"/>
              <w:jc w:val="right"/>
              <w:rPr/>
            </w:pPr>
            <w:r>
              <w:rPr/>
              <w:t xml:space="preserve">  </w:t>
            </w:r>
          </w:p>
        </w:tc>
        <w:tc>
          <w:tcPr>
            <w:tcW w:w="161" w:type="dxa"/>
            <w:tcBorders>
              <w:bottom w:val="double" w:sz="8" w:space="0" w:color="000000"/>
            </w:tcBorders>
            <w:shd w:fill="FFFFFF" w:val="clear"/>
            <w:tcMar>
              <w:bottom w:w="28" w:type="dxa"/>
            </w:tcMar>
            <w:vAlign w:val="bottom"/>
          </w:tcPr>
          <w:p>
            <w:pPr>
              <w:pStyle w:val="TableContents"/>
              <w:spacing w:before="0" w:after="283"/>
              <w:jc w:val="left"/>
              <w:rPr/>
            </w:pPr>
            <w:r>
              <w:rPr>
                <w:rFonts w:ascii="helvetica" w:hAnsi="helvetica"/>
                <w:sz w:val="20"/>
              </w:rPr>
              <w:t>$</w:t>
            </w:r>
            <w:r>
              <w:rPr/>
              <w:t xml:space="preserve"> </w:t>
            </w:r>
          </w:p>
        </w:tc>
        <w:tc>
          <w:tcPr>
            <w:tcW w:w="1382" w:type="dxa"/>
            <w:tcBorders>
              <w:bottom w:val="double" w:sz="8" w:space="0" w:color="000000"/>
            </w:tcBorders>
            <w:shd w:fill="FFFFFF" w:val="clear"/>
            <w:tcMar>
              <w:bottom w:w="28" w:type="dxa"/>
            </w:tcMar>
            <w:vAlign w:val="bottom"/>
          </w:tcPr>
          <w:p>
            <w:pPr>
              <w:pStyle w:val="TableContents"/>
              <w:spacing w:before="0" w:after="283"/>
              <w:jc w:val="right"/>
              <w:rPr/>
            </w:pPr>
            <w:r>
              <w:rPr>
                <w:rFonts w:ascii="helvetica" w:hAnsi="helvetica"/>
                <w:sz w:val="20"/>
              </w:rPr>
              <w:t>7,403,831</w:t>
            </w:r>
            <w:r>
              <w:rPr/>
              <w:t xml:space="preserve"> </w:t>
            </w:r>
          </w:p>
        </w:tc>
        <w:tc>
          <w:tcPr>
            <w:tcW w:w="175" w:type="dxa"/>
            <w:tcBorders/>
            <w:shd w:fill="FFFFFF" w:val="clear"/>
            <w:vAlign w:val="bottom"/>
          </w:tcPr>
          <w:p>
            <w:pPr>
              <w:pStyle w:val="TableContents"/>
              <w:spacing w:before="0" w:after="283"/>
              <w:jc w:val="left"/>
              <w:rPr/>
            </w:pPr>
            <w:r>
              <w:rPr/>
              <w:t xml:space="preserve">  </w:t>
            </w:r>
          </w:p>
        </w:tc>
        <w:tc>
          <w:tcPr>
            <w:tcW w:w="104" w:type="dxa"/>
            <w:tcBorders/>
            <w:shd w:fill="FFFFFF" w:val="clear"/>
            <w:vAlign w:val="bottom"/>
          </w:tcPr>
          <w:p>
            <w:pPr>
              <w:pStyle w:val="TableContents"/>
              <w:spacing w:before="0" w:after="283"/>
              <w:jc w:val="right"/>
              <w:rPr/>
            </w:pPr>
            <w:r>
              <w:rPr/>
              <w:t xml:space="preserve">  </w:t>
            </w:r>
          </w:p>
        </w:tc>
        <w:tc>
          <w:tcPr>
            <w:tcW w:w="161" w:type="dxa"/>
            <w:tcBorders>
              <w:bottom w:val="double" w:sz="8" w:space="0" w:color="000000"/>
            </w:tcBorders>
            <w:shd w:fill="FFFFFF" w:val="clear"/>
            <w:tcMar>
              <w:bottom w:w="28" w:type="dxa"/>
            </w:tcMar>
            <w:vAlign w:val="bottom"/>
          </w:tcPr>
          <w:p>
            <w:pPr>
              <w:pStyle w:val="TableContents"/>
              <w:spacing w:before="0" w:after="283"/>
              <w:jc w:val="left"/>
              <w:rPr/>
            </w:pPr>
            <w:r>
              <w:rPr>
                <w:rFonts w:ascii="helvetica" w:hAnsi="helvetica"/>
                <w:sz w:val="20"/>
              </w:rPr>
              <w:t>$</w:t>
            </w:r>
            <w:r>
              <w:rPr/>
              <w:t xml:space="preserve"> </w:t>
            </w:r>
          </w:p>
        </w:tc>
        <w:tc>
          <w:tcPr>
            <w:tcW w:w="1381" w:type="dxa"/>
            <w:tcBorders>
              <w:bottom w:val="double" w:sz="8" w:space="0" w:color="000000"/>
            </w:tcBorders>
            <w:shd w:fill="FFFFFF" w:val="clear"/>
            <w:tcMar>
              <w:bottom w:w="28" w:type="dxa"/>
            </w:tcMar>
            <w:vAlign w:val="bottom"/>
          </w:tcPr>
          <w:p>
            <w:pPr>
              <w:pStyle w:val="TableContents"/>
              <w:spacing w:before="0" w:after="283"/>
              <w:jc w:val="right"/>
              <w:rPr/>
            </w:pPr>
            <w:r>
              <w:rPr>
                <w:rFonts w:ascii="helvetica" w:hAnsi="helvetica"/>
                <w:sz w:val="20"/>
              </w:rPr>
              <w:t>11,403,831</w:t>
            </w:r>
            <w:r>
              <w:rPr/>
              <w:t xml:space="preserve"> </w:t>
            </w:r>
          </w:p>
        </w:tc>
        <w:tc>
          <w:tcPr>
            <w:tcW w:w="175" w:type="dxa"/>
            <w:tcBorders/>
            <w:shd w:fill="FFFFFF" w:val="clear"/>
            <w:vAlign w:val="bottom"/>
          </w:tcPr>
          <w:p>
            <w:pPr>
              <w:pStyle w:val="TableContents"/>
              <w:spacing w:before="0" w:after="283"/>
              <w:jc w:val="left"/>
              <w:rPr/>
            </w:pPr>
            <w:r>
              <w:rPr/>
              <w:t xml:space="preserve">  </w:t>
            </w:r>
          </w:p>
        </w:tc>
        <w:tc>
          <w:tcPr>
            <w:tcW w:w="104" w:type="dxa"/>
            <w:tcBorders/>
            <w:shd w:fill="FFFFFF" w:val="clear"/>
            <w:vAlign w:val="bottom"/>
          </w:tcPr>
          <w:p>
            <w:pPr>
              <w:pStyle w:val="TableContents"/>
              <w:spacing w:before="0" w:after="283"/>
              <w:rPr/>
            </w:pPr>
            <w:r>
              <w:rPr/>
              <w:t xml:space="preserve">  </w:t>
            </w:r>
          </w:p>
        </w:tc>
        <w:tc>
          <w:tcPr>
            <w:tcW w:w="438" w:type="dxa"/>
            <w:tcBorders>
              <w:bottom w:val="double" w:sz="8" w:space="0" w:color="000000"/>
            </w:tcBorders>
            <w:shd w:fill="FFFFFF" w:val="clear"/>
            <w:tcMar>
              <w:bottom w:w="28" w:type="dxa"/>
            </w:tcMar>
            <w:vAlign w:val="bottom"/>
          </w:tcPr>
          <w:p>
            <w:pPr>
              <w:pStyle w:val="TableContents"/>
              <w:spacing w:before="0" w:after="283"/>
              <w:jc w:val="left"/>
              <w:rPr/>
            </w:pPr>
            <w:r>
              <w:rPr/>
              <w:t xml:space="preserve">  </w:t>
            </w:r>
          </w:p>
        </w:tc>
        <w:tc>
          <w:tcPr>
            <w:tcW w:w="863" w:type="dxa"/>
            <w:tcBorders>
              <w:bottom w:val="double" w:sz="8" w:space="0" w:color="000000"/>
            </w:tcBorders>
            <w:shd w:fill="FFFFFF" w:val="clear"/>
            <w:tcMar>
              <w:bottom w:w="28" w:type="dxa"/>
            </w:tcMar>
            <w:vAlign w:val="bottom"/>
          </w:tcPr>
          <w:p>
            <w:pPr>
              <w:pStyle w:val="TableContents"/>
              <w:spacing w:before="0" w:after="283"/>
              <w:jc w:val="right"/>
              <w:rPr/>
            </w:pPr>
            <w:r>
              <w:rPr/>
              <w:t xml:space="preserve">  </w:t>
            </w:r>
          </w:p>
        </w:tc>
        <w:tc>
          <w:tcPr>
            <w:tcW w:w="180" w:type="dxa"/>
            <w:tcBorders/>
            <w:shd w:fill="FFFFFF" w:val="clear"/>
            <w:vAlign w:val="bottom"/>
          </w:tcPr>
          <w:p>
            <w:pPr>
              <w:pStyle w:val="TableContents"/>
              <w:spacing w:before="0" w:after="283"/>
              <w:jc w:val="left"/>
              <w:rPr/>
            </w:pPr>
            <w:r>
              <w:rPr/>
              <w:t xml:space="preserve">  </w:t>
            </w:r>
          </w:p>
        </w:tc>
      </w:tr>
    </w:tbl>
    <w:p>
      <w:pPr>
        <w:pStyle w:val="TextBody"/>
        <w:spacing w:before="0" w:after="0"/>
        <w:ind w:left="0" w:right="0" w:firstLine="720"/>
        <w:jc w:val="left"/>
        <w:rPr/>
      </w:pPr>
      <w:r>
        <w:rPr/>
        <w:t> </w:t>
      </w:r>
    </w:p>
    <w:p>
      <w:pPr>
        <w:pStyle w:val="TextBody"/>
        <w:spacing w:before="0" w:after="0"/>
        <w:ind w:left="0" w:right="0" w:hanging="0"/>
        <w:jc w:val="both"/>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404" w:name="PGBRK27"/>
      <w:bookmarkStart w:id="405" w:name="PGBRK27"/>
      <w:bookmarkEnd w:id="40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406" w:name="FTR27"/>
      <w:bookmarkStart w:id="407" w:name="FTR27"/>
      <w:bookmarkEnd w:id="40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408" w:name="GLFTR26"/>
      <w:bookmarkEnd w:id="408"/>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helvetica" w:hAnsi="helvetica"/>
          <w:sz w:val="20"/>
        </w:rPr>
      </w:pPr>
      <w:bookmarkStart w:id="409" w:name="PN26"/>
      <w:bookmarkEnd w:id="409"/>
      <w:r>
        <w:rPr>
          <w:rFonts w:ascii="helvetica" w:hAnsi="helvetica"/>
          <w:sz w:val="20"/>
        </w:rPr>
        <w:t>25</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410" w:name="HDR26"/>
      <w:bookmarkStart w:id="411" w:name="HDR26"/>
      <w:bookmarkEnd w:id="41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412" w:name="GLHDR26"/>
      <w:bookmarkEnd w:id="412"/>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pPr>
      <w:r>
        <w:rPr/>
        <w:t> </w:t>
      </w:r>
    </w:p>
    <w:p>
      <w:pPr>
        <w:pStyle w:val="TextBody"/>
        <w:spacing w:before="0" w:after="0"/>
        <w:ind w:left="0" w:right="0" w:firstLine="720"/>
        <w:jc w:val="left"/>
        <w:rPr/>
      </w:pPr>
      <w:r>
        <w:rPr>
          <w:rFonts w:ascii="helvetica" w:hAnsi="helvetica"/>
          <w:sz w:val="20"/>
        </w:rPr>
        <w:t>The number of shares of our common stock to be outstanding after this offering is based on 5,939,243 shares outstanding as of June 30, 2012, and excludes:</w:t>
      </w:r>
      <w:r>
        <w:rPr/>
        <w:t xml:space="preserve"> </w:t>
      </w:r>
    </w:p>
    <w:p>
      <w:pPr>
        <w:pStyle w:val="TextBody"/>
        <w:spacing w:before="0" w:after="0"/>
        <w:ind w:left="0" w:right="0" w:hanging="0"/>
        <w:jc w:val="both"/>
        <w:rPr/>
      </w:pPr>
      <w:r>
        <w:rPr/>
        <w:t> </w:t>
      </w:r>
    </w:p>
    <w:p>
      <w:pPr>
        <w:pStyle w:val="Normal"/>
        <w:spacing w:before="0" w:after="0"/>
        <w:jc w:val="both"/>
        <w:rPr>
          <w:sz w:val="4"/>
          <w:szCs w:val="4"/>
        </w:rPr>
      </w:pPr>
      <w:r>
        <w:rPr>
          <w:sz w:val="4"/>
          <w:szCs w:val="4"/>
        </w:rPr>
      </w:r>
      <w:bookmarkStart w:id="413" w:name="list75"/>
      <w:bookmarkStart w:id="414" w:name="list75"/>
      <w:bookmarkEnd w:id="414"/>
    </w:p>
    <w:tbl>
      <w:tblPr>
        <w:tblW w:w="5000" w:type="pct"/>
        <w:jc w:val="left"/>
        <w:tblInd w:w="0" w:type="dxa"/>
        <w:tblCellMar>
          <w:top w:w="0" w:type="dxa"/>
          <w:left w:w="0" w:type="dxa"/>
          <w:bottom w:w="0" w:type="dxa"/>
          <w:right w:w="0" w:type="dxa"/>
        </w:tblCellMar>
      </w:tblPr>
      <w:tblGrid>
        <w:gridCol w:w="334"/>
        <w:gridCol w:w="9871"/>
      </w:tblGrid>
      <w:tr>
        <w:trPr/>
        <w:tc>
          <w:tcPr>
            <w:tcW w:w="334" w:type="dxa"/>
            <w:tcBorders/>
            <w:shd w:fill="auto" w:val="clear"/>
          </w:tcPr>
          <w:p>
            <w:pPr>
              <w:pStyle w:val="TableContents"/>
              <w:spacing w:before="0" w:after="0"/>
              <w:jc w:val="right"/>
              <w:rPr/>
            </w:pPr>
            <w:r>
              <w:rPr/>
              <w:t xml:space="preserve">●   </w:t>
            </w:r>
          </w:p>
        </w:tc>
        <w:tc>
          <w:tcPr>
            <w:tcW w:w="9871" w:type="dxa"/>
            <w:tcBorders/>
            <w:shd w:fill="auto" w:val="clear"/>
          </w:tcPr>
          <w:p>
            <w:pPr>
              <w:pStyle w:val="TableContents"/>
              <w:spacing w:before="0" w:after="0"/>
              <w:ind w:left="0" w:right="0" w:hanging="0"/>
              <w:jc w:val="both"/>
              <w:rPr/>
            </w:pPr>
            <w:r>
              <w:rPr>
                <w:rFonts w:ascii="helvetica" w:hAnsi="helvetica"/>
                <w:sz w:val="20"/>
              </w:rPr>
              <w:t>900,031 shares of common stock issuable upon the exercise of options outstanding as of June 30, 2012 with exercise prices ranging from $2.40 to $80.00 and a weighted average exercise price of $5.15 per share;</w:t>
            </w:r>
            <w:r>
              <w:rPr/>
              <w:t xml:space="preserve"> </w:t>
            </w:r>
          </w:p>
        </w:tc>
      </w:tr>
    </w:tbl>
    <w:p>
      <w:pPr>
        <w:pStyle w:val="TextBody"/>
        <w:spacing w:before="0" w:after="0"/>
        <w:ind w:left="0" w:right="0" w:hanging="0"/>
        <w:jc w:val="both"/>
        <w:rPr/>
      </w:pPr>
      <w:r>
        <w:rPr/>
        <w:t> </w:t>
      </w:r>
    </w:p>
    <w:p>
      <w:pPr>
        <w:pStyle w:val="Normal"/>
        <w:spacing w:before="0" w:after="0"/>
        <w:jc w:val="both"/>
        <w:rPr>
          <w:sz w:val="4"/>
          <w:szCs w:val="4"/>
        </w:rPr>
      </w:pPr>
      <w:r>
        <w:rPr>
          <w:sz w:val="4"/>
          <w:szCs w:val="4"/>
        </w:rPr>
      </w:r>
      <w:bookmarkStart w:id="415" w:name="list76"/>
      <w:bookmarkStart w:id="416" w:name="list76"/>
      <w:bookmarkEnd w:id="416"/>
    </w:p>
    <w:tbl>
      <w:tblPr>
        <w:tblW w:w="5000" w:type="pct"/>
        <w:jc w:val="left"/>
        <w:tblInd w:w="0" w:type="dxa"/>
        <w:tblCellMar>
          <w:top w:w="0" w:type="dxa"/>
          <w:left w:w="0" w:type="dxa"/>
          <w:bottom w:w="0" w:type="dxa"/>
          <w:right w:w="0" w:type="dxa"/>
        </w:tblCellMar>
      </w:tblPr>
      <w:tblGrid>
        <w:gridCol w:w="342"/>
        <w:gridCol w:w="9863"/>
      </w:tblGrid>
      <w:tr>
        <w:trPr/>
        <w:tc>
          <w:tcPr>
            <w:tcW w:w="342" w:type="dxa"/>
            <w:tcBorders/>
            <w:shd w:fill="auto" w:val="clear"/>
          </w:tcPr>
          <w:p>
            <w:pPr>
              <w:pStyle w:val="TableContents"/>
              <w:spacing w:before="0" w:after="0"/>
              <w:jc w:val="right"/>
              <w:rPr/>
            </w:pPr>
            <w:r>
              <w:rPr/>
              <w:t xml:space="preserve">●   </w:t>
            </w:r>
          </w:p>
        </w:tc>
        <w:tc>
          <w:tcPr>
            <w:tcW w:w="9863" w:type="dxa"/>
            <w:tcBorders/>
            <w:shd w:fill="auto" w:val="clear"/>
          </w:tcPr>
          <w:p>
            <w:pPr>
              <w:pStyle w:val="TableContents"/>
              <w:spacing w:before="0" w:after="0"/>
              <w:ind w:left="0" w:right="0" w:hanging="0"/>
              <w:jc w:val="both"/>
              <w:rPr/>
            </w:pPr>
            <w:r>
              <w:rPr>
                <w:rFonts w:ascii="helvetica" w:hAnsi="helvetica"/>
                <w:sz w:val="20"/>
              </w:rPr>
              <w:t>17,123 shares of common stock issuable upon the exercise of outstanding options granted subsequent to June 30, 2012 at a weighted average exercise price of $4.50;</w:t>
            </w:r>
            <w:r>
              <w:rPr/>
              <w:t xml:space="preserve"> </w:t>
            </w:r>
          </w:p>
        </w:tc>
      </w:tr>
    </w:tbl>
    <w:p>
      <w:pPr>
        <w:pStyle w:val="TextBody"/>
        <w:spacing w:before="0" w:after="0"/>
        <w:ind w:left="0" w:right="0" w:hanging="0"/>
        <w:jc w:val="both"/>
        <w:rPr/>
      </w:pPr>
      <w:r>
        <w:rPr/>
        <w:t> </w:t>
      </w:r>
    </w:p>
    <w:p>
      <w:pPr>
        <w:pStyle w:val="Normal"/>
        <w:spacing w:before="0" w:after="0"/>
        <w:jc w:val="both"/>
        <w:rPr>
          <w:sz w:val="4"/>
          <w:szCs w:val="4"/>
        </w:rPr>
      </w:pPr>
      <w:r>
        <w:rPr>
          <w:sz w:val="4"/>
          <w:szCs w:val="4"/>
        </w:rPr>
      </w:r>
      <w:bookmarkStart w:id="417" w:name="list77"/>
      <w:bookmarkStart w:id="418" w:name="list77"/>
      <w:bookmarkEnd w:id="418"/>
    </w:p>
    <w:tbl>
      <w:tblPr>
        <w:tblW w:w="5000" w:type="pct"/>
        <w:jc w:val="left"/>
        <w:tblInd w:w="0" w:type="dxa"/>
        <w:tblCellMar>
          <w:top w:w="0" w:type="dxa"/>
          <w:left w:w="0" w:type="dxa"/>
          <w:bottom w:w="0" w:type="dxa"/>
          <w:right w:w="0" w:type="dxa"/>
        </w:tblCellMar>
      </w:tblPr>
      <w:tblGrid>
        <w:gridCol w:w="333"/>
        <w:gridCol w:w="9872"/>
      </w:tblGrid>
      <w:tr>
        <w:trPr/>
        <w:tc>
          <w:tcPr>
            <w:tcW w:w="333" w:type="dxa"/>
            <w:tcBorders/>
            <w:shd w:fill="auto" w:val="clear"/>
          </w:tcPr>
          <w:p>
            <w:pPr>
              <w:pStyle w:val="TableContents"/>
              <w:spacing w:before="0" w:after="0"/>
              <w:jc w:val="right"/>
              <w:rPr/>
            </w:pPr>
            <w:r>
              <w:rPr/>
              <w:t xml:space="preserve">●   </w:t>
            </w:r>
          </w:p>
        </w:tc>
        <w:tc>
          <w:tcPr>
            <w:tcW w:w="9872" w:type="dxa"/>
            <w:tcBorders/>
            <w:shd w:fill="auto" w:val="clear"/>
          </w:tcPr>
          <w:p>
            <w:pPr>
              <w:pStyle w:val="TableContents"/>
              <w:spacing w:before="0" w:after="0"/>
              <w:ind w:left="0" w:right="0" w:hanging="0"/>
              <w:jc w:val="both"/>
              <w:rPr/>
            </w:pPr>
            <w:r>
              <w:rPr>
                <w:rFonts w:ascii="helvetica" w:hAnsi="helvetica"/>
                <w:sz w:val="20"/>
              </w:rPr>
              <w:t>570,290 shares of common stock issuable upon the exercise of warrants outstanding as of June 30, 2012 with exercise prices ranging from $5.925 to $176.00 and a weighted average exercise price of $11.25 per share;</w:t>
            </w:r>
            <w:r>
              <w:rPr/>
              <w:t xml:space="preserve"> </w:t>
            </w:r>
          </w:p>
        </w:tc>
      </w:tr>
    </w:tbl>
    <w:p>
      <w:pPr>
        <w:pStyle w:val="TextBody"/>
        <w:spacing w:before="0" w:after="0"/>
        <w:ind w:left="0" w:right="0" w:hanging="0"/>
        <w:jc w:val="both"/>
        <w:rPr/>
      </w:pPr>
      <w:r>
        <w:rPr/>
        <w:t> </w:t>
      </w:r>
    </w:p>
    <w:p>
      <w:pPr>
        <w:pStyle w:val="Normal"/>
        <w:spacing w:before="0" w:after="0"/>
        <w:jc w:val="both"/>
        <w:rPr>
          <w:sz w:val="4"/>
          <w:szCs w:val="4"/>
        </w:rPr>
      </w:pPr>
      <w:r>
        <w:rPr>
          <w:sz w:val="4"/>
          <w:szCs w:val="4"/>
        </w:rPr>
      </w:r>
      <w:bookmarkStart w:id="419" w:name="list78"/>
      <w:bookmarkStart w:id="420" w:name="list78"/>
      <w:bookmarkEnd w:id="420"/>
    </w:p>
    <w:tbl>
      <w:tblPr>
        <w:tblW w:w="5000" w:type="pct"/>
        <w:jc w:val="left"/>
        <w:tblInd w:w="0" w:type="dxa"/>
        <w:tblCellMar>
          <w:top w:w="0" w:type="dxa"/>
          <w:left w:w="0" w:type="dxa"/>
          <w:bottom w:w="0" w:type="dxa"/>
          <w:right w:w="0" w:type="dxa"/>
        </w:tblCellMar>
      </w:tblPr>
      <w:tblGrid>
        <w:gridCol w:w="351"/>
        <w:gridCol w:w="9854"/>
      </w:tblGrid>
      <w:tr>
        <w:trPr/>
        <w:tc>
          <w:tcPr>
            <w:tcW w:w="351" w:type="dxa"/>
            <w:tcBorders/>
            <w:shd w:fill="auto" w:val="clear"/>
          </w:tcPr>
          <w:p>
            <w:pPr>
              <w:pStyle w:val="TableContents"/>
              <w:spacing w:before="0" w:after="0"/>
              <w:jc w:val="right"/>
              <w:rPr/>
            </w:pPr>
            <w:r>
              <w:rPr/>
              <w:t xml:space="preserve">●   </w:t>
            </w:r>
          </w:p>
        </w:tc>
        <w:tc>
          <w:tcPr>
            <w:tcW w:w="9854" w:type="dxa"/>
            <w:tcBorders/>
            <w:shd w:fill="auto" w:val="clear"/>
          </w:tcPr>
          <w:p>
            <w:pPr>
              <w:pStyle w:val="TableContents"/>
              <w:spacing w:before="0" w:after="0"/>
              <w:ind w:left="0" w:right="0" w:hanging="0"/>
              <w:jc w:val="both"/>
              <w:rPr/>
            </w:pPr>
            <w:r>
              <w:rPr>
                <w:rFonts w:ascii="helvetica" w:hAnsi="helvetica"/>
                <w:sz w:val="20"/>
              </w:rPr>
              <w:t>200,000 shares of common stock issuable underlying restricted stock units granted subsequent to June 30, 2012  outside of our 2007 Plan;</w:t>
            </w:r>
            <w:r>
              <w:rPr/>
              <w:t xml:space="preserve"> </w:t>
            </w:r>
          </w:p>
        </w:tc>
      </w:tr>
    </w:tbl>
    <w:p>
      <w:pPr>
        <w:pStyle w:val="TextBody"/>
        <w:spacing w:before="0" w:after="0"/>
        <w:ind w:left="0" w:right="0" w:hanging="0"/>
        <w:jc w:val="both"/>
        <w:rPr/>
      </w:pPr>
      <w:r>
        <w:rPr/>
        <w:t> </w:t>
      </w:r>
    </w:p>
    <w:p>
      <w:pPr>
        <w:pStyle w:val="Normal"/>
        <w:spacing w:before="0" w:after="0"/>
        <w:jc w:val="both"/>
        <w:rPr>
          <w:sz w:val="4"/>
          <w:szCs w:val="4"/>
        </w:rPr>
      </w:pPr>
      <w:r>
        <w:rPr>
          <w:sz w:val="4"/>
          <w:szCs w:val="4"/>
        </w:rPr>
      </w:r>
      <w:bookmarkStart w:id="421" w:name="list79"/>
      <w:bookmarkStart w:id="422" w:name="list79"/>
      <w:bookmarkEnd w:id="422"/>
    </w:p>
    <w:tbl>
      <w:tblPr>
        <w:tblW w:w="5000" w:type="pct"/>
        <w:jc w:val="left"/>
        <w:tblInd w:w="0" w:type="dxa"/>
        <w:tblCellMar>
          <w:top w:w="0" w:type="dxa"/>
          <w:left w:w="0" w:type="dxa"/>
          <w:bottom w:w="0" w:type="dxa"/>
          <w:right w:w="0" w:type="dxa"/>
        </w:tblCellMar>
      </w:tblPr>
      <w:tblGrid>
        <w:gridCol w:w="349"/>
        <w:gridCol w:w="9856"/>
      </w:tblGrid>
      <w:tr>
        <w:trPr/>
        <w:tc>
          <w:tcPr>
            <w:tcW w:w="349" w:type="dxa"/>
            <w:tcBorders/>
            <w:shd w:fill="auto" w:val="clear"/>
          </w:tcPr>
          <w:p>
            <w:pPr>
              <w:pStyle w:val="TableContents"/>
              <w:spacing w:before="0" w:after="0"/>
              <w:jc w:val="right"/>
              <w:rPr/>
            </w:pPr>
            <w:r>
              <w:rPr/>
              <w:t xml:space="preserve">●   </w:t>
            </w:r>
          </w:p>
        </w:tc>
        <w:tc>
          <w:tcPr>
            <w:tcW w:w="9856" w:type="dxa"/>
            <w:tcBorders/>
            <w:shd w:fill="auto" w:val="clear"/>
          </w:tcPr>
          <w:p>
            <w:pPr>
              <w:pStyle w:val="TableContents"/>
              <w:spacing w:before="0" w:after="0"/>
              <w:ind w:left="0" w:right="0" w:hanging="0"/>
              <w:jc w:val="both"/>
              <w:rPr/>
            </w:pPr>
            <w:r>
              <w:rPr>
                <w:rFonts w:ascii="helvetica" w:hAnsi="helvetica"/>
                <w:sz w:val="20"/>
              </w:rPr>
              <w:t>warrants to purchase up to               shares of our common stock issuable to the underwriter in connection with the completion of this offering;</w:t>
            </w:r>
            <w:r>
              <w:rPr/>
              <w:t xml:space="preserve"> </w:t>
            </w:r>
          </w:p>
        </w:tc>
      </w:tr>
    </w:tbl>
    <w:p>
      <w:pPr>
        <w:pStyle w:val="TextBody"/>
        <w:spacing w:before="0" w:after="0"/>
        <w:ind w:left="0" w:right="0" w:hanging="0"/>
        <w:jc w:val="both"/>
        <w:rPr/>
      </w:pPr>
      <w:r>
        <w:rPr/>
        <w:t> </w:t>
      </w:r>
    </w:p>
    <w:p>
      <w:pPr>
        <w:pStyle w:val="Normal"/>
        <w:spacing w:before="0" w:after="0"/>
        <w:jc w:val="both"/>
        <w:rPr>
          <w:sz w:val="4"/>
          <w:szCs w:val="4"/>
        </w:rPr>
      </w:pPr>
      <w:r>
        <w:rPr>
          <w:sz w:val="4"/>
          <w:szCs w:val="4"/>
        </w:rPr>
      </w:r>
      <w:bookmarkStart w:id="423" w:name="list80"/>
      <w:bookmarkStart w:id="424" w:name="list80"/>
      <w:bookmarkEnd w:id="424"/>
    </w:p>
    <w:tbl>
      <w:tblPr>
        <w:tblW w:w="5000" w:type="pct"/>
        <w:jc w:val="left"/>
        <w:tblInd w:w="0" w:type="dxa"/>
        <w:tblCellMar>
          <w:top w:w="0" w:type="dxa"/>
          <w:left w:w="0" w:type="dxa"/>
          <w:bottom w:w="0" w:type="dxa"/>
          <w:right w:w="0" w:type="dxa"/>
        </w:tblCellMar>
      </w:tblPr>
      <w:tblGrid>
        <w:gridCol w:w="401"/>
        <w:gridCol w:w="9804"/>
      </w:tblGrid>
      <w:tr>
        <w:trPr/>
        <w:tc>
          <w:tcPr>
            <w:tcW w:w="401" w:type="dxa"/>
            <w:tcBorders/>
            <w:shd w:fill="auto" w:val="clear"/>
          </w:tcPr>
          <w:p>
            <w:pPr>
              <w:pStyle w:val="TableContents"/>
              <w:spacing w:before="0" w:after="0"/>
              <w:jc w:val="right"/>
              <w:rPr/>
            </w:pPr>
            <w:r>
              <w:rPr/>
              <w:t xml:space="preserve">●   </w:t>
            </w:r>
          </w:p>
        </w:tc>
        <w:tc>
          <w:tcPr>
            <w:tcW w:w="9804" w:type="dxa"/>
            <w:tcBorders/>
            <w:shd w:fill="auto" w:val="clear"/>
          </w:tcPr>
          <w:p>
            <w:pPr>
              <w:pStyle w:val="TableContents"/>
              <w:spacing w:before="0" w:after="0"/>
              <w:ind w:left="0" w:right="0" w:hanging="0"/>
              <w:jc w:val="left"/>
              <w:rPr/>
            </w:pPr>
            <w:r>
              <w:rPr>
                <w:rFonts w:ascii="helvetica" w:hAnsi="helvetica"/>
                <w:sz w:val="20"/>
              </w:rPr>
              <w:t>1,483,864 shares of common stock available for future grant as of June 30, 2012 under our 2007 Plan</w:t>
            </w:r>
            <w:r>
              <w:rPr/>
              <w:t xml:space="preserve"> </w:t>
            </w:r>
          </w:p>
        </w:tc>
      </w:tr>
    </w:tbl>
    <w:p>
      <w:pPr>
        <w:pStyle w:val="TextBody"/>
        <w:spacing w:before="0" w:after="0"/>
        <w:ind w:left="0" w:right="0" w:hanging="0"/>
        <w:jc w:val="both"/>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425" w:name="PGBRK28"/>
      <w:bookmarkStart w:id="426" w:name="PGBRK28"/>
      <w:bookmarkEnd w:id="42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427" w:name="FTR28"/>
      <w:bookmarkStart w:id="428" w:name="FTR28"/>
      <w:bookmarkEnd w:id="42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429" w:name="GLFTR27"/>
      <w:bookmarkEnd w:id="429"/>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helvetica" w:hAnsi="helvetica"/>
          <w:sz w:val="20"/>
        </w:rPr>
      </w:pPr>
      <w:bookmarkStart w:id="430" w:name="PN27"/>
      <w:bookmarkEnd w:id="430"/>
      <w:r>
        <w:rPr>
          <w:rFonts w:ascii="helvetica" w:hAnsi="helvetica"/>
          <w:sz w:val="20"/>
        </w:rPr>
        <w:t>26</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431" w:name="HDR27"/>
      <w:bookmarkStart w:id="432" w:name="HDR27"/>
      <w:bookmarkEnd w:id="43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433" w:name="GLHDR27"/>
      <w:bookmarkEnd w:id="433"/>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t> </w:t>
      </w:r>
    </w:p>
    <w:p>
      <w:pPr>
        <w:pStyle w:val="TextBody"/>
        <w:spacing w:before="0" w:after="0"/>
        <w:jc w:val="center"/>
        <w:rPr>
          <w:rFonts w:ascii="helvetica" w:hAnsi="helvetica"/>
          <w:b/>
          <w:sz w:val="20"/>
        </w:rPr>
      </w:pPr>
      <w:r>
        <w:rPr>
          <w:rFonts w:ascii="helvetica" w:hAnsi="helvetica"/>
          <w:b/>
          <w:sz w:val="20"/>
        </w:rPr>
        <w:t>DILUTION</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r>
        <w:rPr>
          <w:rFonts w:ascii="helvetica" w:hAnsi="helvetica"/>
          <w:sz w:val="20"/>
        </w:rPr>
        <w:t xml:space="preserve">If you invest in the securities offered in this offering, your interest will be diluted immediately to the extent of the difference between the assumed public offering price per share of our common stock and the as adjusted net tangible book value per share of our common stock after this offering. As of June 30, 2012, our net tangible book value was $7,403,831, or $1.25 per share of common stock (after giving effect to the one-for-five reverse stock split).  Net tangible book value per share represents the total tangible assets of the Company, less all liabilities, divided by the number of shares of common stock outstanding. </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r>
        <w:rPr>
          <w:rFonts w:ascii="helvetica" w:hAnsi="helvetica"/>
          <w:sz w:val="20"/>
        </w:rPr>
        <w:t xml:space="preserve">Our pro forma net tangible book value as of June 30, 2012 in the amount of $11,403,831, or $1.68 per share (after giving effect to the one-for-five reverse stock split), is based on 6,771,926 shares of our common stock outstanding as of June 30, 2012, after giving effect to the issuance of 832,683 shares of common stock issued to PCCA in connection with the PCCA Transaction (resulting in gross proceeds to the Company of $4 million). </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r>
        <w:rPr>
          <w:rFonts w:ascii="helvetica" w:hAnsi="helvetica"/>
          <w:sz w:val="20"/>
        </w:rPr>
        <w:t xml:space="preserve">Net tangible book value dilution per share represents the difference between the amount per share of common stock paid by the new investors who purchase securities in this offering and the pro forma net tangible book value per share in common stock immediately after completion of this offering. After giving effect to our sale of                     shares of common stock at a public offering price of $           per share, and after underwriting fees and commissions and estimated offering expenses payable by us, our pro forma as adjusted net tangible book value as of June 30, 2012 would have been $          , or $        per share. This represents an immediate increase of net tangible book value of $         per share to our existing stockholders and an immediate dilution in net tangible book value of $             per share to purchasers of our common stock in this offering. The following table illustrates this per share dilution: </w:t>
      </w:r>
    </w:p>
    <w:p>
      <w:pPr>
        <w:pStyle w:val="TextBody"/>
        <w:spacing w:before="0" w:after="0"/>
        <w:ind w:left="0" w:right="0" w:hanging="0"/>
        <w:jc w:val="both"/>
        <w:rPr/>
      </w:pPr>
      <w:r>
        <w:rPr/>
        <w:t> </w:t>
      </w:r>
    </w:p>
    <w:tbl>
      <w:tblPr>
        <w:tblW w:w="5000" w:type="pct"/>
        <w:jc w:val="left"/>
        <w:tblInd w:w="0" w:type="dxa"/>
        <w:tblCellMar>
          <w:top w:w="0" w:type="dxa"/>
          <w:left w:w="0" w:type="dxa"/>
          <w:bottom w:w="0" w:type="dxa"/>
          <w:right w:w="0" w:type="dxa"/>
        </w:tblCellMar>
      </w:tblPr>
      <w:tblGrid>
        <w:gridCol w:w="7576"/>
        <w:gridCol w:w="113"/>
        <w:gridCol w:w="133"/>
        <w:gridCol w:w="982"/>
        <w:gridCol w:w="132"/>
        <w:gridCol w:w="113"/>
        <w:gridCol w:w="133"/>
        <w:gridCol w:w="879"/>
        <w:gridCol w:w="144"/>
      </w:tblGrid>
      <w:tr>
        <w:trPr/>
        <w:tc>
          <w:tcPr>
            <w:tcW w:w="7576" w:type="dxa"/>
            <w:tcBorders/>
            <w:shd w:fill="CCEEFF" w:val="clear"/>
            <w:vAlign w:val="bottom"/>
          </w:tcPr>
          <w:p>
            <w:pPr>
              <w:pStyle w:val="TableContents"/>
              <w:spacing w:before="0" w:after="0"/>
              <w:ind w:left="0" w:right="0" w:hanging="0"/>
              <w:jc w:val="left"/>
              <w:rPr/>
            </w:pPr>
            <w:r>
              <w:rPr>
                <w:rFonts w:ascii="helvetica" w:hAnsi="helvetica"/>
                <w:sz w:val="20"/>
              </w:rPr>
              <w:t>Assumed public offering price per share</w:t>
            </w:r>
            <w:r>
              <w:rPr/>
              <w:t xml:space="preserve"> </w:t>
            </w:r>
          </w:p>
        </w:tc>
        <w:tc>
          <w:tcPr>
            <w:tcW w:w="113" w:type="dxa"/>
            <w:tcBorders/>
            <w:shd w:fill="CCEEFF" w:val="clear"/>
            <w:vAlign w:val="bottom"/>
          </w:tcPr>
          <w:p>
            <w:pPr>
              <w:pStyle w:val="TableContents"/>
              <w:spacing w:before="0" w:after="283"/>
              <w:rPr/>
            </w:pPr>
            <w:r>
              <w:rPr/>
              <w:t xml:space="preserve">  </w:t>
            </w:r>
          </w:p>
        </w:tc>
        <w:tc>
          <w:tcPr>
            <w:tcW w:w="1115" w:type="dxa"/>
            <w:gridSpan w:val="2"/>
            <w:tcBorders/>
            <w:shd w:fill="CCEEFF" w:val="clear"/>
            <w:vAlign w:val="bottom"/>
          </w:tcPr>
          <w:p>
            <w:pPr>
              <w:pStyle w:val="TableContents"/>
              <w:spacing w:before="0" w:after="283"/>
              <w:rPr/>
            </w:pPr>
            <w:r>
              <w:rPr/>
              <w:t xml:space="preserve">  </w:t>
            </w:r>
          </w:p>
        </w:tc>
        <w:tc>
          <w:tcPr>
            <w:tcW w:w="132" w:type="dxa"/>
            <w:tcBorders/>
            <w:shd w:fill="CCEEFF" w:val="clear"/>
            <w:vAlign w:val="bottom"/>
          </w:tcPr>
          <w:p>
            <w:pPr>
              <w:pStyle w:val="TableContents"/>
              <w:spacing w:before="0" w:after="283"/>
              <w:jc w:val="left"/>
              <w:rPr/>
            </w:pPr>
            <w:r>
              <w:rPr/>
              <w:t xml:space="preserve">  </w:t>
            </w:r>
          </w:p>
        </w:tc>
        <w:tc>
          <w:tcPr>
            <w:tcW w:w="113" w:type="dxa"/>
            <w:tcBorders/>
            <w:shd w:fill="CCEEFF" w:val="clear"/>
            <w:vAlign w:val="bottom"/>
          </w:tcPr>
          <w:p>
            <w:pPr>
              <w:pStyle w:val="TableContents"/>
              <w:spacing w:before="0" w:after="283"/>
              <w:rPr/>
            </w:pPr>
            <w:r>
              <w:rPr/>
              <w:t xml:space="preserve">  </w:t>
            </w:r>
          </w:p>
        </w:tc>
        <w:tc>
          <w:tcPr>
            <w:tcW w:w="133" w:type="dxa"/>
            <w:tcBorders>
              <w:bottom w:val="single" w:sz="12" w:space="0" w:color="000000"/>
            </w:tcBorders>
            <w:shd w:fill="CCEEFF" w:val="clear"/>
            <w:tcMar>
              <w:bottom w:w="28" w:type="dxa"/>
            </w:tcMar>
            <w:vAlign w:val="bottom"/>
          </w:tcPr>
          <w:p>
            <w:pPr>
              <w:pStyle w:val="TableContents"/>
              <w:spacing w:before="0" w:after="283"/>
              <w:jc w:val="left"/>
              <w:rPr/>
            </w:pPr>
            <w:r>
              <w:rPr>
                <w:rFonts w:ascii="helvetica" w:hAnsi="helvetica"/>
                <w:sz w:val="20"/>
              </w:rPr>
              <w:t>$</w:t>
            </w:r>
            <w:r>
              <w:rPr/>
              <w:t xml:space="preserve"> </w:t>
            </w:r>
          </w:p>
        </w:tc>
        <w:tc>
          <w:tcPr>
            <w:tcW w:w="879" w:type="dxa"/>
            <w:tcBorders>
              <w:bottom w:val="single" w:sz="12" w:space="0" w:color="000000"/>
            </w:tcBorders>
            <w:shd w:fill="CCEEFF" w:val="clear"/>
            <w:tcMar>
              <w:bottom w:w="28" w:type="dxa"/>
            </w:tcMar>
            <w:vAlign w:val="bottom"/>
          </w:tcPr>
          <w:p>
            <w:pPr>
              <w:pStyle w:val="TableContents"/>
              <w:spacing w:before="0" w:after="283"/>
              <w:jc w:val="right"/>
              <w:rPr/>
            </w:pPr>
            <w:r>
              <w:rPr/>
              <w:t> </w:t>
            </w:r>
          </w:p>
        </w:tc>
        <w:tc>
          <w:tcPr>
            <w:tcW w:w="144" w:type="dxa"/>
            <w:tcBorders/>
            <w:shd w:fill="CCEEFF" w:val="clear"/>
            <w:vAlign w:val="bottom"/>
          </w:tcPr>
          <w:p>
            <w:pPr>
              <w:pStyle w:val="TableContents"/>
              <w:spacing w:before="0" w:after="283"/>
              <w:jc w:val="left"/>
              <w:rPr/>
            </w:pPr>
            <w:r>
              <w:rPr/>
              <w:t xml:space="preserve">  </w:t>
            </w:r>
          </w:p>
        </w:tc>
      </w:tr>
      <w:tr>
        <w:trPr/>
        <w:tc>
          <w:tcPr>
            <w:tcW w:w="7576" w:type="dxa"/>
            <w:tcBorders/>
            <w:shd w:fill="FFFFFF" w:val="clear"/>
            <w:vAlign w:val="bottom"/>
          </w:tcPr>
          <w:p>
            <w:pPr>
              <w:pStyle w:val="TableContents"/>
              <w:spacing w:before="0" w:after="0"/>
              <w:ind w:left="0" w:right="0" w:hanging="0"/>
              <w:jc w:val="left"/>
              <w:rPr/>
            </w:pPr>
            <w:r>
              <w:rPr>
                <w:rFonts w:ascii="helvetica" w:hAnsi="helvetica"/>
                <w:sz w:val="20"/>
              </w:rPr>
              <w:t>Historical net tangible book value per share as of June 30, 2012</w:t>
            </w:r>
            <w:r>
              <w:rPr/>
              <w:t xml:space="preserve"> </w:t>
            </w:r>
          </w:p>
        </w:tc>
        <w:tc>
          <w:tcPr>
            <w:tcW w:w="113" w:type="dxa"/>
            <w:tcBorders/>
            <w:shd w:fill="FFFFFF" w:val="clear"/>
            <w:vAlign w:val="bottom"/>
          </w:tcPr>
          <w:p>
            <w:pPr>
              <w:pStyle w:val="TableContents"/>
              <w:spacing w:before="0" w:after="283"/>
              <w:rPr/>
            </w:pPr>
            <w:r>
              <w:rPr/>
              <w:t xml:space="preserve">  </w:t>
            </w:r>
          </w:p>
        </w:tc>
        <w:tc>
          <w:tcPr>
            <w:tcW w:w="133" w:type="dxa"/>
            <w:tcBorders/>
            <w:shd w:fill="FFFFFF" w:val="clear"/>
            <w:vAlign w:val="bottom"/>
          </w:tcPr>
          <w:p>
            <w:pPr>
              <w:pStyle w:val="TableContents"/>
              <w:spacing w:before="0" w:after="283"/>
              <w:jc w:val="left"/>
              <w:rPr/>
            </w:pPr>
            <w:r>
              <w:rPr>
                <w:rFonts w:ascii="helvetica" w:hAnsi="helvetica"/>
                <w:sz w:val="20"/>
              </w:rPr>
              <w:t>$</w:t>
            </w:r>
            <w:r>
              <w:rPr/>
              <w:t xml:space="preserve"> </w:t>
            </w:r>
          </w:p>
        </w:tc>
        <w:tc>
          <w:tcPr>
            <w:tcW w:w="982" w:type="dxa"/>
            <w:tcBorders/>
            <w:shd w:fill="FFFFFF" w:val="clear"/>
            <w:vAlign w:val="bottom"/>
          </w:tcPr>
          <w:p>
            <w:pPr>
              <w:pStyle w:val="TableContents"/>
              <w:spacing w:before="0" w:after="283"/>
              <w:jc w:val="right"/>
              <w:rPr/>
            </w:pPr>
            <w:r>
              <w:rPr>
                <w:rFonts w:ascii="helvetica" w:hAnsi="helvetica"/>
                <w:sz w:val="20"/>
              </w:rPr>
              <w:t>1.25</w:t>
            </w:r>
            <w:r>
              <w:rPr/>
              <w:t xml:space="preserve"> </w:t>
            </w:r>
          </w:p>
        </w:tc>
        <w:tc>
          <w:tcPr>
            <w:tcW w:w="132" w:type="dxa"/>
            <w:tcBorders/>
            <w:shd w:fill="FFFFFF" w:val="clear"/>
            <w:vAlign w:val="bottom"/>
          </w:tcPr>
          <w:p>
            <w:pPr>
              <w:pStyle w:val="TableContents"/>
              <w:spacing w:before="0" w:after="283"/>
              <w:jc w:val="left"/>
              <w:rPr/>
            </w:pPr>
            <w:r>
              <w:rPr/>
              <w:t xml:space="preserve">  </w:t>
            </w:r>
          </w:p>
        </w:tc>
        <w:tc>
          <w:tcPr>
            <w:tcW w:w="113" w:type="dxa"/>
            <w:tcBorders/>
            <w:shd w:fill="FFFFFF" w:val="clear"/>
            <w:vAlign w:val="bottom"/>
          </w:tcPr>
          <w:p>
            <w:pPr>
              <w:pStyle w:val="TableContents"/>
              <w:spacing w:before="0" w:after="283"/>
              <w:rPr/>
            </w:pPr>
            <w:r>
              <w:rPr/>
              <w:t xml:space="preserve">  </w:t>
            </w:r>
          </w:p>
        </w:tc>
        <w:tc>
          <w:tcPr>
            <w:tcW w:w="133" w:type="dxa"/>
            <w:tcBorders/>
            <w:shd w:fill="FFFFFF" w:val="clear"/>
            <w:vAlign w:val="bottom"/>
          </w:tcPr>
          <w:p>
            <w:pPr>
              <w:pStyle w:val="TableContents"/>
              <w:spacing w:before="0" w:after="283"/>
              <w:jc w:val="left"/>
              <w:rPr/>
            </w:pPr>
            <w:r>
              <w:rPr/>
              <w:t xml:space="preserve">  </w:t>
            </w:r>
          </w:p>
        </w:tc>
        <w:tc>
          <w:tcPr>
            <w:tcW w:w="879" w:type="dxa"/>
            <w:tcBorders/>
            <w:shd w:fill="FFFFFF" w:val="clear"/>
            <w:vAlign w:val="bottom"/>
          </w:tcPr>
          <w:p>
            <w:pPr>
              <w:pStyle w:val="TableContents"/>
              <w:spacing w:before="0" w:after="283"/>
              <w:jc w:val="right"/>
              <w:rPr/>
            </w:pPr>
            <w:r>
              <w:rPr/>
              <w:t xml:space="preserve">  </w:t>
            </w:r>
          </w:p>
        </w:tc>
        <w:tc>
          <w:tcPr>
            <w:tcW w:w="144" w:type="dxa"/>
            <w:tcBorders/>
            <w:shd w:fill="FFFFFF" w:val="clear"/>
            <w:vAlign w:val="bottom"/>
          </w:tcPr>
          <w:p>
            <w:pPr>
              <w:pStyle w:val="TableContents"/>
              <w:spacing w:before="0" w:after="283"/>
              <w:jc w:val="left"/>
              <w:rPr/>
            </w:pPr>
            <w:r>
              <w:rPr/>
              <w:t xml:space="preserve">  </w:t>
            </w:r>
          </w:p>
        </w:tc>
      </w:tr>
      <w:tr>
        <w:trPr/>
        <w:tc>
          <w:tcPr>
            <w:tcW w:w="7576" w:type="dxa"/>
            <w:tcBorders/>
            <w:shd w:fill="CCEEFF" w:val="clear"/>
            <w:vAlign w:val="bottom"/>
          </w:tcPr>
          <w:p>
            <w:pPr>
              <w:pStyle w:val="TableContents"/>
              <w:spacing w:before="0" w:after="0"/>
              <w:ind w:left="0" w:right="0" w:hanging="0"/>
              <w:jc w:val="left"/>
              <w:rPr/>
            </w:pPr>
            <w:r>
              <w:rPr>
                <w:rFonts w:ascii="helvetica" w:hAnsi="helvetica"/>
                <w:sz w:val="20"/>
              </w:rPr>
              <w:t>Pro forma increase in net tangible book value attributable to pro forma transaction described above</w:t>
            </w:r>
            <w:r>
              <w:rPr/>
              <w:t xml:space="preserve"> </w:t>
            </w:r>
          </w:p>
        </w:tc>
        <w:tc>
          <w:tcPr>
            <w:tcW w:w="113" w:type="dxa"/>
            <w:tcBorders/>
            <w:shd w:fill="CCEEFF" w:val="clear"/>
            <w:vAlign w:val="bottom"/>
          </w:tcPr>
          <w:p>
            <w:pPr>
              <w:pStyle w:val="TableContents"/>
              <w:spacing w:before="0" w:after="283"/>
              <w:rPr/>
            </w:pPr>
            <w:r>
              <w:rPr/>
              <w:t xml:space="preserve">  </w:t>
            </w:r>
          </w:p>
        </w:tc>
        <w:tc>
          <w:tcPr>
            <w:tcW w:w="133" w:type="dxa"/>
            <w:tcBorders>
              <w:bottom w:val="single" w:sz="12" w:space="0" w:color="000000"/>
            </w:tcBorders>
            <w:shd w:fill="CCEEFF" w:val="clear"/>
            <w:tcMar>
              <w:bottom w:w="28" w:type="dxa"/>
            </w:tcMar>
            <w:vAlign w:val="bottom"/>
          </w:tcPr>
          <w:p>
            <w:pPr>
              <w:pStyle w:val="TableContents"/>
              <w:spacing w:before="0" w:after="283"/>
              <w:jc w:val="left"/>
              <w:rPr/>
            </w:pPr>
            <w:r>
              <w:rPr/>
              <w:t xml:space="preserve">  </w:t>
            </w:r>
          </w:p>
        </w:tc>
        <w:tc>
          <w:tcPr>
            <w:tcW w:w="982" w:type="dxa"/>
            <w:tcBorders>
              <w:bottom w:val="single" w:sz="12" w:space="0" w:color="000000"/>
            </w:tcBorders>
            <w:shd w:fill="CCEEFF" w:val="clear"/>
            <w:tcMar>
              <w:bottom w:w="28" w:type="dxa"/>
            </w:tcMar>
            <w:vAlign w:val="bottom"/>
          </w:tcPr>
          <w:p>
            <w:pPr>
              <w:pStyle w:val="TableContents"/>
              <w:spacing w:before="0" w:after="283"/>
              <w:jc w:val="right"/>
              <w:rPr/>
            </w:pPr>
            <w:r>
              <w:rPr>
                <w:rFonts w:ascii="helvetica" w:hAnsi="helvetica"/>
                <w:sz w:val="20"/>
              </w:rPr>
              <w:t>0.44</w:t>
            </w:r>
            <w:r>
              <w:rPr/>
              <w:t xml:space="preserve"> </w:t>
            </w:r>
          </w:p>
        </w:tc>
        <w:tc>
          <w:tcPr>
            <w:tcW w:w="132" w:type="dxa"/>
            <w:tcBorders/>
            <w:shd w:fill="CCEEFF" w:val="clear"/>
            <w:vAlign w:val="bottom"/>
          </w:tcPr>
          <w:p>
            <w:pPr>
              <w:pStyle w:val="TableContents"/>
              <w:spacing w:before="0" w:after="283"/>
              <w:jc w:val="left"/>
              <w:rPr/>
            </w:pPr>
            <w:r>
              <w:rPr/>
              <w:t xml:space="preserve">  </w:t>
            </w:r>
          </w:p>
        </w:tc>
        <w:tc>
          <w:tcPr>
            <w:tcW w:w="113" w:type="dxa"/>
            <w:tcBorders/>
            <w:shd w:fill="CCEEFF" w:val="clear"/>
            <w:vAlign w:val="bottom"/>
          </w:tcPr>
          <w:p>
            <w:pPr>
              <w:pStyle w:val="TableContents"/>
              <w:spacing w:before="0" w:after="283"/>
              <w:rPr/>
            </w:pPr>
            <w:r>
              <w:rPr/>
              <w:t xml:space="preserve">  </w:t>
            </w:r>
          </w:p>
        </w:tc>
        <w:tc>
          <w:tcPr>
            <w:tcW w:w="133" w:type="dxa"/>
            <w:tcBorders/>
            <w:shd w:fill="CCEEFF" w:val="clear"/>
            <w:vAlign w:val="bottom"/>
          </w:tcPr>
          <w:p>
            <w:pPr>
              <w:pStyle w:val="TableContents"/>
              <w:spacing w:before="0" w:after="283"/>
              <w:jc w:val="left"/>
              <w:rPr/>
            </w:pPr>
            <w:r>
              <w:rPr/>
              <w:t xml:space="preserve">  </w:t>
            </w:r>
          </w:p>
        </w:tc>
        <w:tc>
          <w:tcPr>
            <w:tcW w:w="879" w:type="dxa"/>
            <w:tcBorders/>
            <w:shd w:fill="CCEEFF" w:val="clear"/>
            <w:vAlign w:val="bottom"/>
          </w:tcPr>
          <w:p>
            <w:pPr>
              <w:pStyle w:val="TableContents"/>
              <w:spacing w:before="0" w:after="283"/>
              <w:jc w:val="right"/>
              <w:rPr/>
            </w:pPr>
            <w:r>
              <w:rPr/>
              <w:t xml:space="preserve">  </w:t>
            </w:r>
          </w:p>
        </w:tc>
        <w:tc>
          <w:tcPr>
            <w:tcW w:w="144" w:type="dxa"/>
            <w:tcBorders/>
            <w:shd w:fill="CCEEFF" w:val="clear"/>
            <w:vAlign w:val="bottom"/>
          </w:tcPr>
          <w:p>
            <w:pPr>
              <w:pStyle w:val="TableContents"/>
              <w:spacing w:before="0" w:after="283"/>
              <w:jc w:val="left"/>
              <w:rPr/>
            </w:pPr>
            <w:r>
              <w:rPr/>
              <w:t xml:space="preserve">  </w:t>
            </w:r>
          </w:p>
        </w:tc>
      </w:tr>
      <w:tr>
        <w:trPr/>
        <w:tc>
          <w:tcPr>
            <w:tcW w:w="7576" w:type="dxa"/>
            <w:tcBorders/>
            <w:shd w:fill="FFFFFF" w:val="clear"/>
            <w:vAlign w:val="bottom"/>
          </w:tcPr>
          <w:p>
            <w:pPr>
              <w:pStyle w:val="TableContents"/>
              <w:spacing w:before="0" w:after="0"/>
              <w:ind w:left="0" w:right="0" w:hanging="0"/>
              <w:jc w:val="left"/>
              <w:rPr/>
            </w:pPr>
            <w:r>
              <w:rPr>
                <w:rFonts w:ascii="helvetica" w:hAnsi="helvetica"/>
                <w:sz w:val="20"/>
              </w:rPr>
              <w:t>Pro forma net tangible book value per share before this offering</w:t>
            </w:r>
            <w:r>
              <w:rPr/>
              <w:t xml:space="preserve"> </w:t>
            </w:r>
          </w:p>
        </w:tc>
        <w:tc>
          <w:tcPr>
            <w:tcW w:w="113" w:type="dxa"/>
            <w:tcBorders/>
            <w:shd w:fill="FFFFFF" w:val="clear"/>
            <w:vAlign w:val="bottom"/>
          </w:tcPr>
          <w:p>
            <w:pPr>
              <w:pStyle w:val="TableContents"/>
              <w:spacing w:before="0" w:after="283"/>
              <w:rPr/>
            </w:pPr>
            <w:r>
              <w:rPr/>
              <w:t xml:space="preserve">  </w:t>
            </w:r>
          </w:p>
        </w:tc>
        <w:tc>
          <w:tcPr>
            <w:tcW w:w="133" w:type="dxa"/>
            <w:tcBorders/>
            <w:shd w:fill="FFFFFF" w:val="clear"/>
            <w:vAlign w:val="bottom"/>
          </w:tcPr>
          <w:p>
            <w:pPr>
              <w:pStyle w:val="TableContents"/>
              <w:spacing w:before="0" w:after="283"/>
              <w:jc w:val="left"/>
              <w:rPr/>
            </w:pPr>
            <w:r>
              <w:rPr/>
              <w:t xml:space="preserve">  </w:t>
            </w:r>
          </w:p>
        </w:tc>
        <w:tc>
          <w:tcPr>
            <w:tcW w:w="982" w:type="dxa"/>
            <w:tcBorders/>
            <w:shd w:fill="FFFFFF" w:val="clear"/>
            <w:vAlign w:val="bottom"/>
          </w:tcPr>
          <w:p>
            <w:pPr>
              <w:pStyle w:val="TableContents"/>
              <w:spacing w:before="0" w:after="283"/>
              <w:jc w:val="right"/>
              <w:rPr/>
            </w:pPr>
            <w:r>
              <w:rPr>
                <w:rFonts w:ascii="helvetica" w:hAnsi="helvetica"/>
                <w:sz w:val="20"/>
              </w:rPr>
              <w:t>1.68</w:t>
            </w:r>
            <w:r>
              <w:rPr/>
              <w:t xml:space="preserve"> </w:t>
            </w:r>
          </w:p>
        </w:tc>
        <w:tc>
          <w:tcPr>
            <w:tcW w:w="132" w:type="dxa"/>
            <w:tcBorders/>
            <w:shd w:fill="FFFFFF" w:val="clear"/>
            <w:vAlign w:val="bottom"/>
          </w:tcPr>
          <w:p>
            <w:pPr>
              <w:pStyle w:val="TableContents"/>
              <w:spacing w:before="0" w:after="283"/>
              <w:jc w:val="left"/>
              <w:rPr/>
            </w:pPr>
            <w:r>
              <w:rPr/>
              <w:t xml:space="preserve">  </w:t>
            </w:r>
          </w:p>
        </w:tc>
        <w:tc>
          <w:tcPr>
            <w:tcW w:w="113" w:type="dxa"/>
            <w:tcBorders/>
            <w:shd w:fill="FFFFFF" w:val="clear"/>
            <w:vAlign w:val="bottom"/>
          </w:tcPr>
          <w:p>
            <w:pPr>
              <w:pStyle w:val="TableContents"/>
              <w:spacing w:before="0" w:after="283"/>
              <w:rPr/>
            </w:pPr>
            <w:r>
              <w:rPr/>
              <w:t xml:space="preserve">  </w:t>
            </w:r>
          </w:p>
        </w:tc>
        <w:tc>
          <w:tcPr>
            <w:tcW w:w="133" w:type="dxa"/>
            <w:tcBorders/>
            <w:shd w:fill="FFFFFF" w:val="clear"/>
            <w:vAlign w:val="bottom"/>
          </w:tcPr>
          <w:p>
            <w:pPr>
              <w:pStyle w:val="TableContents"/>
              <w:spacing w:before="0" w:after="283"/>
              <w:jc w:val="left"/>
              <w:rPr/>
            </w:pPr>
            <w:r>
              <w:rPr/>
              <w:t xml:space="preserve">  </w:t>
            </w:r>
          </w:p>
        </w:tc>
        <w:tc>
          <w:tcPr>
            <w:tcW w:w="879" w:type="dxa"/>
            <w:tcBorders/>
            <w:shd w:fill="FFFFFF" w:val="clear"/>
            <w:vAlign w:val="bottom"/>
          </w:tcPr>
          <w:p>
            <w:pPr>
              <w:pStyle w:val="TableContents"/>
              <w:spacing w:before="0" w:after="283"/>
              <w:jc w:val="right"/>
              <w:rPr/>
            </w:pPr>
            <w:r>
              <w:rPr/>
              <w:t xml:space="preserve">  </w:t>
            </w:r>
          </w:p>
        </w:tc>
        <w:tc>
          <w:tcPr>
            <w:tcW w:w="144" w:type="dxa"/>
            <w:tcBorders/>
            <w:shd w:fill="FFFFFF" w:val="clear"/>
            <w:vAlign w:val="bottom"/>
          </w:tcPr>
          <w:p>
            <w:pPr>
              <w:pStyle w:val="TableContents"/>
              <w:spacing w:before="0" w:after="283"/>
              <w:jc w:val="left"/>
              <w:rPr/>
            </w:pPr>
            <w:r>
              <w:rPr/>
              <w:t xml:space="preserve">  </w:t>
            </w:r>
          </w:p>
        </w:tc>
      </w:tr>
      <w:tr>
        <w:trPr/>
        <w:tc>
          <w:tcPr>
            <w:tcW w:w="7576" w:type="dxa"/>
            <w:tcBorders/>
            <w:shd w:fill="CCEEFF" w:val="clear"/>
            <w:vAlign w:val="bottom"/>
          </w:tcPr>
          <w:p>
            <w:pPr>
              <w:pStyle w:val="TableContents"/>
              <w:spacing w:before="0" w:after="0"/>
              <w:ind w:left="0" w:right="0" w:hanging="0"/>
              <w:jc w:val="left"/>
              <w:rPr/>
            </w:pPr>
            <w:r>
              <w:rPr>
                <w:rFonts w:ascii="helvetica" w:hAnsi="helvetica"/>
                <w:sz w:val="20"/>
              </w:rPr>
              <w:t>Pro forma increase in net tangible book value per share attributable to new investors</w:t>
            </w:r>
            <w:r>
              <w:rPr/>
              <w:t xml:space="preserve"> </w:t>
            </w:r>
          </w:p>
        </w:tc>
        <w:tc>
          <w:tcPr>
            <w:tcW w:w="113" w:type="dxa"/>
            <w:tcBorders/>
            <w:shd w:fill="CCEEFF" w:val="clear"/>
            <w:vAlign w:val="bottom"/>
          </w:tcPr>
          <w:p>
            <w:pPr>
              <w:pStyle w:val="TableContents"/>
              <w:spacing w:before="0" w:after="283"/>
              <w:rPr/>
            </w:pPr>
            <w:r>
              <w:rPr/>
              <w:t xml:space="preserve">  </w:t>
            </w:r>
          </w:p>
        </w:tc>
        <w:tc>
          <w:tcPr>
            <w:tcW w:w="133" w:type="dxa"/>
            <w:tcBorders>
              <w:bottom w:val="single" w:sz="12" w:space="0" w:color="000000"/>
            </w:tcBorders>
            <w:shd w:fill="CCEEFF" w:val="clear"/>
            <w:tcMar>
              <w:bottom w:w="28" w:type="dxa"/>
            </w:tcMar>
            <w:vAlign w:val="bottom"/>
          </w:tcPr>
          <w:p>
            <w:pPr>
              <w:pStyle w:val="TableContents"/>
              <w:spacing w:before="0" w:after="283"/>
              <w:jc w:val="left"/>
              <w:rPr/>
            </w:pPr>
            <w:r>
              <w:rPr/>
              <w:t xml:space="preserve">  </w:t>
            </w:r>
          </w:p>
        </w:tc>
        <w:tc>
          <w:tcPr>
            <w:tcW w:w="982" w:type="dxa"/>
            <w:tcBorders>
              <w:bottom w:val="single" w:sz="12" w:space="0" w:color="000000"/>
            </w:tcBorders>
            <w:shd w:fill="CCEEFF" w:val="clear"/>
            <w:tcMar>
              <w:bottom w:w="28" w:type="dxa"/>
            </w:tcMar>
            <w:vAlign w:val="bottom"/>
          </w:tcPr>
          <w:p>
            <w:pPr>
              <w:pStyle w:val="TableContents"/>
              <w:spacing w:before="0" w:after="283"/>
              <w:jc w:val="right"/>
              <w:rPr/>
            </w:pPr>
            <w:r>
              <w:rPr/>
              <w:t xml:space="preserve">  </w:t>
            </w:r>
          </w:p>
        </w:tc>
        <w:tc>
          <w:tcPr>
            <w:tcW w:w="132" w:type="dxa"/>
            <w:tcBorders/>
            <w:shd w:fill="CCEEFF" w:val="clear"/>
            <w:vAlign w:val="bottom"/>
          </w:tcPr>
          <w:p>
            <w:pPr>
              <w:pStyle w:val="TableContents"/>
              <w:spacing w:before="0" w:after="283"/>
              <w:jc w:val="left"/>
              <w:rPr/>
            </w:pPr>
            <w:r>
              <w:rPr/>
              <w:t xml:space="preserve">  </w:t>
            </w:r>
          </w:p>
        </w:tc>
        <w:tc>
          <w:tcPr>
            <w:tcW w:w="113" w:type="dxa"/>
            <w:tcBorders/>
            <w:shd w:fill="CCEEFF" w:val="clear"/>
            <w:vAlign w:val="bottom"/>
          </w:tcPr>
          <w:p>
            <w:pPr>
              <w:pStyle w:val="TableContents"/>
              <w:spacing w:before="0" w:after="283"/>
              <w:rPr/>
            </w:pPr>
            <w:r>
              <w:rPr/>
              <w:t xml:space="preserve">  </w:t>
            </w:r>
          </w:p>
        </w:tc>
        <w:tc>
          <w:tcPr>
            <w:tcW w:w="133" w:type="dxa"/>
            <w:tcBorders/>
            <w:shd w:fill="CCEEFF" w:val="clear"/>
            <w:vAlign w:val="bottom"/>
          </w:tcPr>
          <w:p>
            <w:pPr>
              <w:pStyle w:val="TableContents"/>
              <w:spacing w:before="0" w:after="283"/>
              <w:jc w:val="left"/>
              <w:rPr/>
            </w:pPr>
            <w:r>
              <w:rPr/>
              <w:t xml:space="preserve">  </w:t>
            </w:r>
          </w:p>
        </w:tc>
        <w:tc>
          <w:tcPr>
            <w:tcW w:w="879" w:type="dxa"/>
            <w:tcBorders/>
            <w:shd w:fill="CCEEFF" w:val="clear"/>
            <w:vAlign w:val="bottom"/>
          </w:tcPr>
          <w:p>
            <w:pPr>
              <w:pStyle w:val="TableContents"/>
              <w:spacing w:before="0" w:after="283"/>
              <w:jc w:val="right"/>
              <w:rPr/>
            </w:pPr>
            <w:r>
              <w:rPr/>
              <w:t xml:space="preserve">  </w:t>
            </w:r>
          </w:p>
        </w:tc>
        <w:tc>
          <w:tcPr>
            <w:tcW w:w="144" w:type="dxa"/>
            <w:tcBorders/>
            <w:shd w:fill="CCEEFF" w:val="clear"/>
            <w:vAlign w:val="bottom"/>
          </w:tcPr>
          <w:p>
            <w:pPr>
              <w:pStyle w:val="TableContents"/>
              <w:spacing w:before="0" w:after="283"/>
              <w:jc w:val="left"/>
              <w:rPr/>
            </w:pPr>
            <w:r>
              <w:rPr/>
              <w:t xml:space="preserve">  </w:t>
            </w:r>
          </w:p>
        </w:tc>
      </w:tr>
      <w:tr>
        <w:trPr/>
        <w:tc>
          <w:tcPr>
            <w:tcW w:w="7576" w:type="dxa"/>
            <w:tcBorders/>
            <w:shd w:fill="FFFFFF" w:val="clear"/>
            <w:vAlign w:val="bottom"/>
          </w:tcPr>
          <w:p>
            <w:pPr>
              <w:pStyle w:val="TableContents"/>
              <w:spacing w:before="0" w:after="0"/>
              <w:ind w:left="0" w:right="0" w:hanging="0"/>
              <w:jc w:val="left"/>
              <w:rPr/>
            </w:pPr>
            <w:r>
              <w:rPr>
                <w:rFonts w:ascii="helvetica" w:hAnsi="helvetica"/>
                <w:sz w:val="20"/>
              </w:rPr>
              <w:t>Pro forma as adjusted net tangible book value per share after this offering</w:t>
            </w:r>
            <w:r>
              <w:rPr/>
              <w:t xml:space="preserve"> </w:t>
            </w:r>
          </w:p>
        </w:tc>
        <w:tc>
          <w:tcPr>
            <w:tcW w:w="113" w:type="dxa"/>
            <w:tcBorders/>
            <w:shd w:fill="FFFFFF" w:val="clear"/>
            <w:vAlign w:val="bottom"/>
          </w:tcPr>
          <w:p>
            <w:pPr>
              <w:pStyle w:val="TableContents"/>
              <w:spacing w:before="0" w:after="283"/>
              <w:rPr/>
            </w:pPr>
            <w:r>
              <w:rPr/>
              <w:t xml:space="preserve">  </w:t>
            </w:r>
          </w:p>
        </w:tc>
        <w:tc>
          <w:tcPr>
            <w:tcW w:w="133" w:type="dxa"/>
            <w:tcBorders/>
            <w:shd w:fill="FFFFFF" w:val="clear"/>
            <w:vAlign w:val="bottom"/>
          </w:tcPr>
          <w:p>
            <w:pPr>
              <w:pStyle w:val="TableContents"/>
              <w:spacing w:before="0" w:after="283"/>
              <w:jc w:val="left"/>
              <w:rPr/>
            </w:pPr>
            <w:r>
              <w:rPr/>
              <w:t xml:space="preserve">  </w:t>
            </w:r>
          </w:p>
        </w:tc>
        <w:tc>
          <w:tcPr>
            <w:tcW w:w="982" w:type="dxa"/>
            <w:tcBorders/>
            <w:shd w:fill="FFFFFF" w:val="clear"/>
            <w:vAlign w:val="bottom"/>
          </w:tcPr>
          <w:p>
            <w:pPr>
              <w:pStyle w:val="TableContents"/>
              <w:spacing w:before="0" w:after="283"/>
              <w:jc w:val="right"/>
              <w:rPr/>
            </w:pPr>
            <w:r>
              <w:rPr/>
              <w:t xml:space="preserve">  </w:t>
            </w:r>
          </w:p>
        </w:tc>
        <w:tc>
          <w:tcPr>
            <w:tcW w:w="132" w:type="dxa"/>
            <w:tcBorders/>
            <w:shd w:fill="FFFFFF" w:val="clear"/>
            <w:vAlign w:val="bottom"/>
          </w:tcPr>
          <w:p>
            <w:pPr>
              <w:pStyle w:val="TableContents"/>
              <w:spacing w:before="0" w:after="283"/>
              <w:jc w:val="left"/>
              <w:rPr/>
            </w:pPr>
            <w:r>
              <w:rPr/>
              <w:t xml:space="preserve">  </w:t>
            </w:r>
          </w:p>
        </w:tc>
        <w:tc>
          <w:tcPr>
            <w:tcW w:w="113" w:type="dxa"/>
            <w:tcBorders/>
            <w:shd w:fill="FFFFFF" w:val="clear"/>
            <w:vAlign w:val="bottom"/>
          </w:tcPr>
          <w:p>
            <w:pPr>
              <w:pStyle w:val="TableContents"/>
              <w:spacing w:before="0" w:after="283"/>
              <w:rPr/>
            </w:pPr>
            <w:r>
              <w:rPr/>
              <w:t xml:space="preserve">  </w:t>
            </w:r>
          </w:p>
        </w:tc>
        <w:tc>
          <w:tcPr>
            <w:tcW w:w="133" w:type="dxa"/>
            <w:tcBorders>
              <w:bottom w:val="single" w:sz="12" w:space="0" w:color="000000"/>
            </w:tcBorders>
            <w:shd w:fill="FFFFFF" w:val="clear"/>
            <w:tcMar>
              <w:bottom w:w="28" w:type="dxa"/>
            </w:tcMar>
            <w:vAlign w:val="bottom"/>
          </w:tcPr>
          <w:p>
            <w:pPr>
              <w:pStyle w:val="TableContents"/>
              <w:spacing w:before="0" w:after="283"/>
              <w:jc w:val="left"/>
              <w:rPr/>
            </w:pPr>
            <w:r>
              <w:rPr/>
              <w:t xml:space="preserve">  </w:t>
            </w:r>
          </w:p>
        </w:tc>
        <w:tc>
          <w:tcPr>
            <w:tcW w:w="879" w:type="dxa"/>
            <w:tcBorders>
              <w:bottom w:val="single" w:sz="12" w:space="0" w:color="000000"/>
            </w:tcBorders>
            <w:shd w:fill="FFFFFF" w:val="clear"/>
            <w:tcMar>
              <w:bottom w:w="28" w:type="dxa"/>
            </w:tcMar>
            <w:vAlign w:val="bottom"/>
          </w:tcPr>
          <w:p>
            <w:pPr>
              <w:pStyle w:val="TableContents"/>
              <w:spacing w:before="0" w:after="283"/>
              <w:jc w:val="right"/>
              <w:rPr/>
            </w:pPr>
            <w:r>
              <w:rPr/>
              <w:t xml:space="preserve">  </w:t>
            </w:r>
          </w:p>
        </w:tc>
        <w:tc>
          <w:tcPr>
            <w:tcW w:w="144" w:type="dxa"/>
            <w:tcBorders/>
            <w:shd w:fill="FFFFFF" w:val="clear"/>
            <w:vAlign w:val="bottom"/>
          </w:tcPr>
          <w:p>
            <w:pPr>
              <w:pStyle w:val="TableContents"/>
              <w:spacing w:before="0" w:after="283"/>
              <w:jc w:val="left"/>
              <w:rPr/>
            </w:pPr>
            <w:r>
              <w:rPr/>
              <w:t xml:space="preserve">  </w:t>
            </w:r>
          </w:p>
        </w:tc>
      </w:tr>
      <w:tr>
        <w:trPr/>
        <w:tc>
          <w:tcPr>
            <w:tcW w:w="7576" w:type="dxa"/>
            <w:tcBorders/>
            <w:shd w:fill="CCEEFF" w:val="clear"/>
            <w:vAlign w:val="bottom"/>
          </w:tcPr>
          <w:p>
            <w:pPr>
              <w:pStyle w:val="TableContents"/>
              <w:spacing w:before="0" w:after="0"/>
              <w:ind w:left="0" w:right="0" w:hanging="0"/>
              <w:jc w:val="left"/>
              <w:rPr/>
            </w:pPr>
            <w:r>
              <w:rPr>
                <w:rFonts w:ascii="helvetica" w:hAnsi="helvetica"/>
                <w:sz w:val="20"/>
              </w:rPr>
              <w:t>Dilution per share to new investors purchasing common stock in this offering</w:t>
            </w:r>
            <w:r>
              <w:rPr/>
              <w:t xml:space="preserve"> </w:t>
            </w:r>
          </w:p>
        </w:tc>
        <w:tc>
          <w:tcPr>
            <w:tcW w:w="113" w:type="dxa"/>
            <w:tcBorders/>
            <w:shd w:fill="CCEEFF" w:val="clear"/>
            <w:vAlign w:val="bottom"/>
          </w:tcPr>
          <w:p>
            <w:pPr>
              <w:pStyle w:val="TableContents"/>
              <w:spacing w:before="0" w:after="283"/>
              <w:rPr/>
            </w:pPr>
            <w:r>
              <w:rPr/>
              <w:t xml:space="preserve">  </w:t>
            </w:r>
          </w:p>
        </w:tc>
        <w:tc>
          <w:tcPr>
            <w:tcW w:w="133" w:type="dxa"/>
            <w:tcBorders/>
            <w:shd w:fill="CCEEFF" w:val="clear"/>
            <w:vAlign w:val="bottom"/>
          </w:tcPr>
          <w:p>
            <w:pPr>
              <w:pStyle w:val="TableContents"/>
              <w:spacing w:before="0" w:after="283"/>
              <w:jc w:val="left"/>
              <w:rPr/>
            </w:pPr>
            <w:r>
              <w:rPr/>
              <w:t xml:space="preserve">  </w:t>
            </w:r>
          </w:p>
        </w:tc>
        <w:tc>
          <w:tcPr>
            <w:tcW w:w="982" w:type="dxa"/>
            <w:tcBorders/>
            <w:shd w:fill="CCEEFF" w:val="clear"/>
            <w:vAlign w:val="bottom"/>
          </w:tcPr>
          <w:p>
            <w:pPr>
              <w:pStyle w:val="TableContents"/>
              <w:spacing w:before="0" w:after="283"/>
              <w:jc w:val="right"/>
              <w:rPr/>
            </w:pPr>
            <w:r>
              <w:rPr/>
              <w:t xml:space="preserve">  </w:t>
            </w:r>
          </w:p>
        </w:tc>
        <w:tc>
          <w:tcPr>
            <w:tcW w:w="132" w:type="dxa"/>
            <w:tcBorders/>
            <w:shd w:fill="CCEEFF" w:val="clear"/>
            <w:vAlign w:val="bottom"/>
          </w:tcPr>
          <w:p>
            <w:pPr>
              <w:pStyle w:val="TableContents"/>
              <w:spacing w:before="0" w:after="283"/>
              <w:jc w:val="left"/>
              <w:rPr/>
            </w:pPr>
            <w:r>
              <w:rPr/>
              <w:t xml:space="preserve">  </w:t>
            </w:r>
          </w:p>
        </w:tc>
        <w:tc>
          <w:tcPr>
            <w:tcW w:w="113" w:type="dxa"/>
            <w:tcBorders/>
            <w:shd w:fill="CCEEFF" w:val="clear"/>
            <w:vAlign w:val="bottom"/>
          </w:tcPr>
          <w:p>
            <w:pPr>
              <w:pStyle w:val="TableContents"/>
              <w:spacing w:before="0" w:after="283"/>
              <w:rPr/>
            </w:pPr>
            <w:r>
              <w:rPr/>
              <w:t xml:space="preserve">  </w:t>
            </w:r>
          </w:p>
        </w:tc>
        <w:tc>
          <w:tcPr>
            <w:tcW w:w="133" w:type="dxa"/>
            <w:tcBorders>
              <w:bottom w:val="double" w:sz="8" w:space="0" w:color="000000"/>
            </w:tcBorders>
            <w:shd w:fill="CCEEFF" w:val="clear"/>
            <w:tcMar>
              <w:bottom w:w="28" w:type="dxa"/>
            </w:tcMar>
            <w:vAlign w:val="bottom"/>
          </w:tcPr>
          <w:p>
            <w:pPr>
              <w:pStyle w:val="TableContents"/>
              <w:spacing w:before="0" w:after="283"/>
              <w:jc w:val="left"/>
              <w:rPr/>
            </w:pPr>
            <w:r>
              <w:rPr>
                <w:rFonts w:ascii="helvetica" w:hAnsi="helvetica"/>
                <w:sz w:val="20"/>
              </w:rPr>
              <w:t>$</w:t>
            </w:r>
            <w:r>
              <w:rPr/>
              <w:t xml:space="preserve"> </w:t>
            </w:r>
          </w:p>
        </w:tc>
        <w:tc>
          <w:tcPr>
            <w:tcW w:w="879" w:type="dxa"/>
            <w:tcBorders>
              <w:bottom w:val="double" w:sz="8" w:space="0" w:color="000000"/>
            </w:tcBorders>
            <w:shd w:fill="CCEEFF" w:val="clear"/>
            <w:tcMar>
              <w:bottom w:w="28" w:type="dxa"/>
            </w:tcMar>
            <w:vAlign w:val="bottom"/>
          </w:tcPr>
          <w:p>
            <w:pPr>
              <w:pStyle w:val="TableContents"/>
              <w:spacing w:before="0" w:after="283"/>
              <w:jc w:val="right"/>
              <w:rPr/>
            </w:pPr>
            <w:r>
              <w:rPr/>
              <w:t> </w:t>
            </w:r>
          </w:p>
        </w:tc>
        <w:tc>
          <w:tcPr>
            <w:tcW w:w="144" w:type="dxa"/>
            <w:tcBorders/>
            <w:shd w:fill="CCEEFF" w:val="clear"/>
            <w:vAlign w:val="bottom"/>
          </w:tcPr>
          <w:p>
            <w:pPr>
              <w:pStyle w:val="TableContents"/>
              <w:spacing w:before="0" w:after="283"/>
              <w:jc w:val="left"/>
              <w:rPr/>
            </w:pPr>
            <w:r>
              <w:rPr/>
              <w:t> </w:t>
            </w:r>
          </w:p>
        </w:tc>
      </w:tr>
    </w:tbl>
    <w:p>
      <w:pPr>
        <w:pStyle w:val="TextBody"/>
        <w:spacing w:before="0" w:after="0"/>
        <w:ind w:left="0" w:right="0" w:hanging="0"/>
        <w:jc w:val="both"/>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434" w:name="PGBRK29"/>
      <w:bookmarkStart w:id="435" w:name="PGBRK29"/>
      <w:bookmarkEnd w:id="43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436" w:name="FTR29"/>
      <w:bookmarkStart w:id="437" w:name="FTR29"/>
      <w:bookmarkEnd w:id="43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438" w:name="GLFTR28"/>
      <w:bookmarkEnd w:id="438"/>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helvetica" w:hAnsi="helvetica"/>
          <w:sz w:val="20"/>
        </w:rPr>
      </w:pPr>
      <w:bookmarkStart w:id="439" w:name="PN28"/>
      <w:bookmarkEnd w:id="439"/>
      <w:r>
        <w:rPr>
          <w:rFonts w:ascii="helvetica" w:hAnsi="helvetica"/>
          <w:sz w:val="20"/>
        </w:rPr>
        <w:t>27</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440" w:name="HDR28"/>
      <w:bookmarkStart w:id="441" w:name="HDR28"/>
      <w:bookmarkEnd w:id="44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442" w:name="GLHDR28"/>
      <w:bookmarkEnd w:id="442"/>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firstLine="720"/>
        <w:jc w:val="left"/>
        <w:rPr/>
      </w:pPr>
      <w:r>
        <w:rPr/>
        <w:t> </w:t>
      </w:r>
    </w:p>
    <w:p>
      <w:pPr>
        <w:pStyle w:val="TextBody"/>
        <w:spacing w:before="0" w:after="0"/>
        <w:ind w:left="0" w:right="0" w:firstLine="720"/>
        <w:jc w:val="left"/>
        <w:rPr/>
      </w:pPr>
      <w:r>
        <w:rPr>
          <w:rFonts w:ascii="helvetica" w:hAnsi="helvetica"/>
          <w:sz w:val="20"/>
        </w:rPr>
        <w:t>The above discussion and table do not include the following:</w:t>
      </w:r>
      <w:r>
        <w:rPr/>
        <w:t xml:space="preserve"> </w:t>
      </w:r>
    </w:p>
    <w:p>
      <w:pPr>
        <w:pStyle w:val="TextBody"/>
        <w:spacing w:before="0" w:after="0"/>
        <w:ind w:left="0" w:right="0" w:hanging="0"/>
        <w:jc w:val="both"/>
        <w:rPr/>
      </w:pPr>
      <w:r>
        <w:rPr/>
        <w:t> </w:t>
      </w:r>
    </w:p>
    <w:p>
      <w:pPr>
        <w:pStyle w:val="Normal"/>
        <w:spacing w:before="0" w:after="0"/>
        <w:rPr>
          <w:sz w:val="4"/>
          <w:szCs w:val="4"/>
        </w:rPr>
      </w:pPr>
      <w:r>
        <w:rPr>
          <w:sz w:val="4"/>
          <w:szCs w:val="4"/>
        </w:rPr>
      </w:r>
      <w:bookmarkStart w:id="443" w:name="list81"/>
      <w:bookmarkStart w:id="444" w:name="list81"/>
      <w:bookmarkEnd w:id="444"/>
    </w:p>
    <w:tbl>
      <w:tblPr>
        <w:tblW w:w="5000" w:type="pct"/>
        <w:jc w:val="left"/>
        <w:tblInd w:w="0" w:type="dxa"/>
        <w:tblCellMar>
          <w:top w:w="0" w:type="dxa"/>
          <w:left w:w="0" w:type="dxa"/>
          <w:bottom w:w="0" w:type="dxa"/>
          <w:right w:w="0" w:type="dxa"/>
        </w:tblCellMar>
      </w:tblPr>
      <w:tblGrid>
        <w:gridCol w:w="334"/>
        <w:gridCol w:w="9871"/>
      </w:tblGrid>
      <w:tr>
        <w:trPr/>
        <w:tc>
          <w:tcPr>
            <w:tcW w:w="334" w:type="dxa"/>
            <w:tcBorders/>
            <w:shd w:fill="auto" w:val="clear"/>
          </w:tcPr>
          <w:p>
            <w:pPr>
              <w:pStyle w:val="TableContents"/>
              <w:spacing w:before="0" w:after="0"/>
              <w:jc w:val="right"/>
              <w:rPr/>
            </w:pPr>
            <w:r>
              <w:rPr/>
              <w:t xml:space="preserve">●   </w:t>
            </w:r>
          </w:p>
        </w:tc>
        <w:tc>
          <w:tcPr>
            <w:tcW w:w="9871" w:type="dxa"/>
            <w:tcBorders/>
            <w:shd w:fill="auto" w:val="clear"/>
          </w:tcPr>
          <w:p>
            <w:pPr>
              <w:pStyle w:val="TableContents"/>
              <w:spacing w:before="0" w:after="0"/>
              <w:ind w:left="0" w:right="0" w:hanging="0"/>
              <w:jc w:val="both"/>
              <w:rPr/>
            </w:pPr>
            <w:r>
              <w:rPr>
                <w:rFonts w:ascii="helvetica" w:hAnsi="helvetica"/>
                <w:sz w:val="20"/>
              </w:rPr>
              <w:t>900,031 shares of common stock issuable upon the exercise of options outstanding as of June 30, 2012 with exercise prices ranging from $2.40 to $80.00 and a weighted average exercise price of $5.15 per share;</w:t>
            </w:r>
            <w:r>
              <w:rPr/>
              <w:t xml:space="preserve"> </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445" w:name="list82"/>
      <w:bookmarkStart w:id="446" w:name="list82"/>
      <w:bookmarkEnd w:id="446"/>
    </w:p>
    <w:tbl>
      <w:tblPr>
        <w:tblW w:w="5000" w:type="pct"/>
        <w:jc w:val="left"/>
        <w:tblInd w:w="0" w:type="dxa"/>
        <w:tblCellMar>
          <w:top w:w="0" w:type="dxa"/>
          <w:left w:w="0" w:type="dxa"/>
          <w:bottom w:w="0" w:type="dxa"/>
          <w:right w:w="0" w:type="dxa"/>
        </w:tblCellMar>
      </w:tblPr>
      <w:tblGrid>
        <w:gridCol w:w="342"/>
        <w:gridCol w:w="9863"/>
      </w:tblGrid>
      <w:tr>
        <w:trPr/>
        <w:tc>
          <w:tcPr>
            <w:tcW w:w="342" w:type="dxa"/>
            <w:tcBorders/>
            <w:shd w:fill="auto" w:val="clear"/>
          </w:tcPr>
          <w:p>
            <w:pPr>
              <w:pStyle w:val="TableContents"/>
              <w:spacing w:before="0" w:after="0"/>
              <w:jc w:val="right"/>
              <w:rPr/>
            </w:pPr>
            <w:r>
              <w:rPr/>
              <w:t xml:space="preserve">●   </w:t>
            </w:r>
          </w:p>
        </w:tc>
        <w:tc>
          <w:tcPr>
            <w:tcW w:w="9863" w:type="dxa"/>
            <w:tcBorders/>
            <w:shd w:fill="auto" w:val="clear"/>
          </w:tcPr>
          <w:p>
            <w:pPr>
              <w:pStyle w:val="TableContents"/>
              <w:spacing w:before="0" w:after="0"/>
              <w:ind w:left="0" w:right="0" w:hanging="0"/>
              <w:jc w:val="both"/>
              <w:rPr/>
            </w:pPr>
            <w:r>
              <w:rPr>
                <w:rFonts w:ascii="helvetica" w:hAnsi="helvetica"/>
                <w:sz w:val="20"/>
              </w:rPr>
              <w:t>17,123 shares of common stock issuable upon the exercise of outstanding options granted subsequent to June 30, 2012 at a weighted average exercise price of $4.50;</w:t>
            </w:r>
            <w:r>
              <w:rPr/>
              <w:t xml:space="preserve"> </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447" w:name="list83"/>
      <w:bookmarkStart w:id="448" w:name="list83"/>
      <w:bookmarkEnd w:id="448"/>
    </w:p>
    <w:tbl>
      <w:tblPr>
        <w:tblW w:w="5000" w:type="pct"/>
        <w:jc w:val="left"/>
        <w:tblInd w:w="0" w:type="dxa"/>
        <w:tblCellMar>
          <w:top w:w="0" w:type="dxa"/>
          <w:left w:w="0" w:type="dxa"/>
          <w:bottom w:w="0" w:type="dxa"/>
          <w:right w:w="0" w:type="dxa"/>
        </w:tblCellMar>
      </w:tblPr>
      <w:tblGrid>
        <w:gridCol w:w="333"/>
        <w:gridCol w:w="9872"/>
      </w:tblGrid>
      <w:tr>
        <w:trPr/>
        <w:tc>
          <w:tcPr>
            <w:tcW w:w="333" w:type="dxa"/>
            <w:tcBorders/>
            <w:shd w:fill="auto" w:val="clear"/>
          </w:tcPr>
          <w:p>
            <w:pPr>
              <w:pStyle w:val="TableContents"/>
              <w:spacing w:before="0" w:after="0"/>
              <w:jc w:val="right"/>
              <w:rPr/>
            </w:pPr>
            <w:r>
              <w:rPr/>
              <w:t xml:space="preserve">●   </w:t>
            </w:r>
          </w:p>
        </w:tc>
        <w:tc>
          <w:tcPr>
            <w:tcW w:w="9872" w:type="dxa"/>
            <w:tcBorders/>
            <w:shd w:fill="auto" w:val="clear"/>
          </w:tcPr>
          <w:p>
            <w:pPr>
              <w:pStyle w:val="TableContents"/>
              <w:spacing w:before="0" w:after="0"/>
              <w:ind w:left="0" w:right="0" w:hanging="0"/>
              <w:jc w:val="both"/>
              <w:rPr/>
            </w:pPr>
            <w:r>
              <w:rPr>
                <w:rFonts w:ascii="helvetica" w:hAnsi="helvetica"/>
                <w:sz w:val="20"/>
              </w:rPr>
              <w:t>570,290 shares of common stock issuable upon the exercise of warrants outstanding as of June 30, 2012 with exercise prices ranging from $5.925 to $176.00 and a weighted average exercise price of $11.25 per share;</w:t>
            </w:r>
            <w:r>
              <w:rPr/>
              <w:t xml:space="preserve"> </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449" w:name="list84"/>
      <w:bookmarkStart w:id="450" w:name="list84"/>
      <w:bookmarkEnd w:id="450"/>
    </w:p>
    <w:tbl>
      <w:tblPr>
        <w:tblW w:w="5000" w:type="pct"/>
        <w:jc w:val="left"/>
        <w:tblInd w:w="0" w:type="dxa"/>
        <w:tblCellMar>
          <w:top w:w="0" w:type="dxa"/>
          <w:left w:w="0" w:type="dxa"/>
          <w:bottom w:w="0" w:type="dxa"/>
          <w:right w:w="0" w:type="dxa"/>
        </w:tblCellMar>
      </w:tblPr>
      <w:tblGrid>
        <w:gridCol w:w="351"/>
        <w:gridCol w:w="9854"/>
      </w:tblGrid>
      <w:tr>
        <w:trPr/>
        <w:tc>
          <w:tcPr>
            <w:tcW w:w="351" w:type="dxa"/>
            <w:tcBorders/>
            <w:shd w:fill="auto" w:val="clear"/>
          </w:tcPr>
          <w:p>
            <w:pPr>
              <w:pStyle w:val="TableContents"/>
              <w:spacing w:before="0" w:after="0"/>
              <w:jc w:val="right"/>
              <w:rPr/>
            </w:pPr>
            <w:r>
              <w:rPr/>
              <w:t xml:space="preserve">●   </w:t>
            </w:r>
          </w:p>
        </w:tc>
        <w:tc>
          <w:tcPr>
            <w:tcW w:w="9854" w:type="dxa"/>
            <w:tcBorders/>
            <w:shd w:fill="auto" w:val="clear"/>
          </w:tcPr>
          <w:p>
            <w:pPr>
              <w:pStyle w:val="TableContents"/>
              <w:spacing w:before="0" w:after="0"/>
              <w:ind w:left="0" w:right="0" w:hanging="0"/>
              <w:jc w:val="both"/>
              <w:rPr/>
            </w:pPr>
            <w:r>
              <w:rPr>
                <w:rFonts w:ascii="helvetica" w:hAnsi="helvetica"/>
                <w:sz w:val="20"/>
              </w:rPr>
              <w:t>200,000 shares of common stock issuable underlying restricted stock units granted subsequent to June 30, 2012 outside of our 2007 Plan;</w:t>
            </w:r>
            <w:r>
              <w:rPr/>
              <w:t xml:space="preserve"> </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451" w:name="list85"/>
      <w:bookmarkStart w:id="452" w:name="list85"/>
      <w:bookmarkEnd w:id="452"/>
    </w:p>
    <w:tbl>
      <w:tblPr>
        <w:tblW w:w="5000" w:type="pct"/>
        <w:jc w:val="left"/>
        <w:tblInd w:w="0" w:type="dxa"/>
        <w:tblCellMar>
          <w:top w:w="0" w:type="dxa"/>
          <w:left w:w="0" w:type="dxa"/>
          <w:bottom w:w="0" w:type="dxa"/>
          <w:right w:w="0" w:type="dxa"/>
        </w:tblCellMar>
      </w:tblPr>
      <w:tblGrid>
        <w:gridCol w:w="349"/>
        <w:gridCol w:w="9856"/>
      </w:tblGrid>
      <w:tr>
        <w:trPr/>
        <w:tc>
          <w:tcPr>
            <w:tcW w:w="349" w:type="dxa"/>
            <w:tcBorders/>
            <w:shd w:fill="auto" w:val="clear"/>
          </w:tcPr>
          <w:p>
            <w:pPr>
              <w:pStyle w:val="TableContents"/>
              <w:spacing w:before="0" w:after="0"/>
              <w:jc w:val="right"/>
              <w:rPr/>
            </w:pPr>
            <w:r>
              <w:rPr/>
              <w:t xml:space="preserve">●   </w:t>
            </w:r>
          </w:p>
        </w:tc>
        <w:tc>
          <w:tcPr>
            <w:tcW w:w="9856" w:type="dxa"/>
            <w:tcBorders/>
            <w:shd w:fill="auto" w:val="clear"/>
          </w:tcPr>
          <w:p>
            <w:pPr>
              <w:pStyle w:val="TableContents"/>
              <w:spacing w:before="0" w:after="0"/>
              <w:ind w:left="0" w:right="0" w:hanging="0"/>
              <w:jc w:val="both"/>
              <w:rPr/>
            </w:pPr>
            <w:r>
              <w:rPr>
                <w:rFonts w:ascii="helvetica" w:hAnsi="helvetica"/>
                <w:sz w:val="20"/>
              </w:rPr>
              <w:t>warrants to purchase up to               shares of our common stock issuable to the underwriter in connection with the completion of this offering;</w:t>
            </w:r>
            <w:r>
              <w:rPr/>
              <w:t xml:space="preserve"> </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453" w:name="list86"/>
      <w:bookmarkStart w:id="454" w:name="list86"/>
      <w:bookmarkEnd w:id="454"/>
    </w:p>
    <w:tbl>
      <w:tblPr>
        <w:tblW w:w="5000" w:type="pct"/>
        <w:jc w:val="left"/>
        <w:tblInd w:w="0" w:type="dxa"/>
        <w:tblCellMar>
          <w:top w:w="0" w:type="dxa"/>
          <w:left w:w="0" w:type="dxa"/>
          <w:bottom w:w="0" w:type="dxa"/>
          <w:right w:w="0" w:type="dxa"/>
        </w:tblCellMar>
      </w:tblPr>
      <w:tblGrid>
        <w:gridCol w:w="398"/>
        <w:gridCol w:w="9807"/>
      </w:tblGrid>
      <w:tr>
        <w:trPr/>
        <w:tc>
          <w:tcPr>
            <w:tcW w:w="398" w:type="dxa"/>
            <w:tcBorders/>
            <w:shd w:fill="auto" w:val="clear"/>
          </w:tcPr>
          <w:p>
            <w:pPr>
              <w:pStyle w:val="TableContents"/>
              <w:spacing w:before="0" w:after="0"/>
              <w:jc w:val="right"/>
              <w:rPr/>
            </w:pPr>
            <w:r>
              <w:rPr/>
              <w:t xml:space="preserve">●   </w:t>
            </w:r>
          </w:p>
        </w:tc>
        <w:tc>
          <w:tcPr>
            <w:tcW w:w="9807" w:type="dxa"/>
            <w:tcBorders/>
            <w:shd w:fill="auto" w:val="clear"/>
          </w:tcPr>
          <w:p>
            <w:pPr>
              <w:pStyle w:val="TableContents"/>
              <w:spacing w:before="0" w:after="0"/>
              <w:ind w:left="0" w:right="0" w:hanging="0"/>
              <w:jc w:val="both"/>
              <w:rPr/>
            </w:pPr>
            <w:r>
              <w:rPr>
                <w:rFonts w:ascii="helvetica" w:hAnsi="helvetica"/>
                <w:sz w:val="20"/>
              </w:rPr>
              <w:t>1,483,864 shares of common stock available for future grant as of June 30, 2012 under our 2007 Plan.</w:t>
            </w:r>
            <w:r>
              <w:rPr/>
              <w:t xml:space="preserve"> </w:t>
            </w:r>
          </w:p>
        </w:tc>
      </w:tr>
    </w:tbl>
    <w:p>
      <w:pPr>
        <w:pStyle w:val="TextBody"/>
        <w:spacing w:before="0" w:after="0"/>
        <w:ind w:left="0" w:right="0" w:hanging="0"/>
        <w:jc w:val="both"/>
        <w:rPr/>
      </w:pPr>
      <w:r>
        <w:rPr/>
        <w:t> </w:t>
      </w:r>
    </w:p>
    <w:p>
      <w:pPr>
        <w:pStyle w:val="TextBody"/>
        <w:spacing w:before="0" w:after="0"/>
        <w:rPr/>
      </w:pPr>
      <w:r>
        <w:rPr/>
        <w:t> </w:t>
      </w:r>
    </w:p>
    <w:p>
      <w:pPr>
        <w:pStyle w:val="TextBody"/>
        <w:spacing w:before="0" w:after="0"/>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455" w:name="PGBRK30"/>
      <w:bookmarkStart w:id="456" w:name="PGBRK30"/>
      <w:bookmarkEnd w:id="45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457" w:name="FTR30"/>
      <w:bookmarkStart w:id="458" w:name="FTR30"/>
      <w:bookmarkEnd w:id="45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459" w:name="GLFTR29"/>
      <w:bookmarkEnd w:id="459"/>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helvetica" w:hAnsi="helvetica"/>
          <w:sz w:val="20"/>
        </w:rPr>
      </w:pPr>
      <w:bookmarkStart w:id="460" w:name="PN29"/>
      <w:bookmarkEnd w:id="460"/>
      <w:r>
        <w:rPr>
          <w:rFonts w:ascii="helvetica" w:hAnsi="helvetica"/>
          <w:sz w:val="20"/>
        </w:rPr>
        <w:t>28</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461" w:name="HDR29"/>
      <w:bookmarkStart w:id="462" w:name="HDR29"/>
      <w:bookmarkEnd w:id="46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463" w:name="GLHDR29"/>
      <w:bookmarkEnd w:id="463"/>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t> </w:t>
      </w:r>
    </w:p>
    <w:p>
      <w:pPr>
        <w:pStyle w:val="TextBody"/>
        <w:spacing w:before="0" w:after="0"/>
        <w:jc w:val="center"/>
        <w:rPr>
          <w:rFonts w:ascii="helvetica" w:hAnsi="helvetica"/>
          <w:b/>
          <w:sz w:val="20"/>
        </w:rPr>
      </w:pPr>
      <w:r>
        <w:rPr>
          <w:rFonts w:ascii="helvetica" w:hAnsi="helvetica"/>
          <w:b/>
          <w:sz w:val="20"/>
        </w:rPr>
        <w:t>UNDERWRITING</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r>
        <w:rPr>
          <w:rFonts w:ascii="helvetica" w:hAnsi="helvetica"/>
          <w:sz w:val="20"/>
        </w:rPr>
        <w:t>We are offering the shares of common stock described in this prospectus through a single underwriter. MDB Capital Group LLC is acting as sole book-running manager of the offering. We have entered into an underwriting agreement with the underwriter. Subject to the terms and conditions of the underwriting agreement, we have agreed to sell to the underwriter, and the underwriter has agreed to purchase, at the public offering price less the underwriting discounts and commissions set forth on the cover page of this prospectus supplement, shares of common stock (not including shares that may be issued pursuant to the underwriter’s over-allotment option).  The underwriter is committed to purchase all the common shares offered by us, other than those covered by the option to purchase additional shares described below, if they purchase any shares.  A copy of the underwriting agreement has been filed as an exhibit to the registration statement of which this prospectus forms a part.</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r>
        <w:rPr>
          <w:rFonts w:ascii="helvetica" w:hAnsi="helvetica"/>
          <w:sz w:val="20"/>
        </w:rPr>
        <w:t>We have been advised by the underwriter that it proposes to offer shares of our common stock directly to the public at the public offering price set forth on the cover page of this prospectus and to certain dealers that are members of the Financial Industry Regulatory Authority (FINRA). Any securities sold by the underwriter to such securities dealers will be sold at the public offering price less a selling concession not in excess of $          per share. Any such dealers may resell shares to certain other brokers or dealers at a discount of up to $          per share from the public offering price. After the public offering of the shares, the offering price and other selling terms may be changed by the underwriter.</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r>
        <w:rPr>
          <w:rFonts w:ascii="helvetica" w:hAnsi="helvetica"/>
          <w:sz w:val="20"/>
        </w:rPr>
        <w:t>The underwriting agreement provides that the underwriter’s obligation to purchase shares of our common stock is subject to conditions contained in the underwriting agreement.</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r>
        <w:rPr>
          <w:rFonts w:ascii="helvetica" w:hAnsi="helvetica"/>
          <w:sz w:val="20"/>
        </w:rPr>
        <w:t>None of our securities included in this offering may be offered or sold, directly or indirectly, nor may this prospectus and any other offering material or advertisements in connection with the offer and sales of any of our common stock be distributed or published in any jurisdiction, except under circumstances that will result in compliance with the applicable rules and regulations of that jurisdiction. Persons who receive this prospectus are advised to inform themselves about and to observe any restrictions relating to this offering of our common stock and the distribution of this prospectus. This prospectus is neither an offer to sell nor a solicitation of any offer to buy any of our common stock included in this offering in any jurisdiction where that would not be permitted or legal.</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r>
        <w:rPr>
          <w:rFonts w:ascii="helvetica" w:hAnsi="helvetica"/>
          <w:sz w:val="20"/>
        </w:rPr>
        <w:t>The underwriter has advised us that it does not intend to confirm sales to any accounts over which it exercises discretionary authority.</w:t>
      </w:r>
    </w:p>
    <w:p>
      <w:pPr>
        <w:pStyle w:val="TextBody"/>
        <w:spacing w:before="0" w:after="0"/>
        <w:ind w:left="0" w:right="0" w:hanging="0"/>
        <w:jc w:val="both"/>
        <w:rPr/>
      </w:pPr>
      <w:r>
        <w:rPr/>
        <w:t> </w:t>
      </w:r>
    </w:p>
    <w:p>
      <w:pPr>
        <w:pStyle w:val="TextBody"/>
        <w:spacing w:before="0" w:after="0"/>
        <w:ind w:left="0" w:right="0" w:hanging="0"/>
        <w:jc w:val="left"/>
        <w:rPr>
          <w:rFonts w:ascii="helvetica" w:hAnsi="helvetica"/>
          <w:b/>
          <w:sz w:val="20"/>
        </w:rPr>
      </w:pPr>
      <w:r>
        <w:rPr>
          <w:rFonts w:ascii="helvetica" w:hAnsi="helvetica"/>
          <w:b/>
          <w:sz w:val="20"/>
        </w:rPr>
        <w:t>Underwriting Discount and Expenses</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r>
        <w:rPr>
          <w:rFonts w:ascii="helvetica" w:hAnsi="helvetica"/>
          <w:sz w:val="20"/>
        </w:rPr>
        <w:t>The following table summarizes the underwriting discount and commission to be paid to the underwriter by us.</w:t>
      </w:r>
    </w:p>
    <w:p>
      <w:pPr>
        <w:pStyle w:val="TextBody"/>
        <w:spacing w:before="0" w:after="0"/>
        <w:ind w:left="0" w:right="0" w:hanging="0"/>
        <w:jc w:val="both"/>
        <w:rPr/>
      </w:pPr>
      <w:r>
        <w:rPr/>
        <w:t> </w:t>
      </w:r>
    </w:p>
    <w:tbl>
      <w:tblPr>
        <w:tblW w:w="5000" w:type="pct"/>
        <w:jc w:val="center"/>
        <w:tblInd w:w="0" w:type="dxa"/>
        <w:tblCellMar>
          <w:top w:w="0" w:type="dxa"/>
          <w:left w:w="0" w:type="dxa"/>
          <w:bottom w:w="0" w:type="dxa"/>
          <w:right w:w="0" w:type="dxa"/>
        </w:tblCellMar>
      </w:tblPr>
      <w:tblGrid>
        <w:gridCol w:w="6729"/>
        <w:gridCol w:w="112"/>
        <w:gridCol w:w="186"/>
        <w:gridCol w:w="1320"/>
        <w:gridCol w:w="112"/>
        <w:gridCol w:w="112"/>
        <w:gridCol w:w="186"/>
        <w:gridCol w:w="1320"/>
        <w:gridCol w:w="128"/>
      </w:tblGrid>
      <w:tr>
        <w:trPr/>
        <w:tc>
          <w:tcPr>
            <w:tcW w:w="6729" w:type="dxa"/>
            <w:tcBorders/>
            <w:shd w:fill="auto" w:val="clear"/>
            <w:vAlign w:val="bottom"/>
          </w:tcPr>
          <w:p>
            <w:pPr>
              <w:pStyle w:val="TableContents"/>
              <w:spacing w:before="0" w:after="283"/>
              <w:rPr/>
            </w:pPr>
            <w:r>
              <w:rPr/>
              <w:t xml:space="preserve">  </w:t>
            </w:r>
          </w:p>
        </w:tc>
        <w:tc>
          <w:tcPr>
            <w:tcW w:w="112" w:type="dxa"/>
            <w:tcBorders/>
            <w:shd w:fill="auto" w:val="clear"/>
            <w:vAlign w:val="bottom"/>
          </w:tcPr>
          <w:p>
            <w:pPr>
              <w:pStyle w:val="TableContents"/>
              <w:spacing w:before="0" w:after="283"/>
              <w:rPr/>
            </w:pPr>
            <w:r>
              <w:rPr/>
              <w:t xml:space="preserve">  </w:t>
            </w:r>
          </w:p>
        </w:tc>
        <w:tc>
          <w:tcPr>
            <w:tcW w:w="1506"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helvetica" w:hAnsi="helvetica"/>
                <w:b/>
                <w:sz w:val="16"/>
              </w:rPr>
            </w:pPr>
            <w:r>
              <w:rPr>
                <w:rFonts w:ascii="helvetica" w:hAnsi="helvetica"/>
                <w:b/>
                <w:sz w:val="16"/>
              </w:rPr>
              <w:t>Without</w:t>
            </w:r>
          </w:p>
          <w:p>
            <w:pPr>
              <w:pStyle w:val="TableContents"/>
              <w:spacing w:before="0" w:after="0"/>
              <w:ind w:left="0" w:right="0" w:hanging="0"/>
              <w:jc w:val="center"/>
              <w:rPr>
                <w:rFonts w:ascii="helvetica" w:hAnsi="helvetica"/>
                <w:b/>
                <w:sz w:val="16"/>
              </w:rPr>
            </w:pPr>
            <w:r>
              <w:rPr>
                <w:rFonts w:ascii="helvetica" w:hAnsi="helvetica"/>
                <w:b/>
                <w:sz w:val="16"/>
              </w:rPr>
              <w:t>Over-Allotment</w:t>
            </w:r>
          </w:p>
        </w:tc>
        <w:tc>
          <w:tcPr>
            <w:tcW w:w="112" w:type="dxa"/>
            <w:tcBorders/>
            <w:shd w:fill="auto" w:val="clear"/>
            <w:vAlign w:val="bottom"/>
          </w:tcPr>
          <w:p>
            <w:pPr>
              <w:pStyle w:val="TableContents"/>
              <w:spacing w:before="0" w:after="283"/>
              <w:rPr/>
            </w:pPr>
            <w:r>
              <w:rPr/>
              <w:t xml:space="preserve">  </w:t>
            </w:r>
          </w:p>
        </w:tc>
        <w:tc>
          <w:tcPr>
            <w:tcW w:w="112" w:type="dxa"/>
            <w:tcBorders/>
            <w:shd w:fill="auto" w:val="clear"/>
            <w:vAlign w:val="bottom"/>
          </w:tcPr>
          <w:p>
            <w:pPr>
              <w:pStyle w:val="TableContents"/>
              <w:spacing w:before="0" w:after="283"/>
              <w:rPr/>
            </w:pPr>
            <w:r>
              <w:rPr/>
              <w:t xml:space="preserve">  </w:t>
            </w:r>
          </w:p>
        </w:tc>
        <w:tc>
          <w:tcPr>
            <w:tcW w:w="1506"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helvetica" w:hAnsi="helvetica"/>
                <w:b/>
                <w:sz w:val="16"/>
              </w:rPr>
            </w:pPr>
            <w:r>
              <w:rPr>
                <w:rFonts w:ascii="helvetica" w:hAnsi="helvetica"/>
                <w:b/>
                <w:sz w:val="16"/>
              </w:rPr>
              <w:t>With</w:t>
            </w:r>
          </w:p>
          <w:p>
            <w:pPr>
              <w:pStyle w:val="TableContents"/>
              <w:spacing w:before="0" w:after="0"/>
              <w:ind w:left="0" w:right="0" w:hanging="0"/>
              <w:jc w:val="center"/>
              <w:rPr>
                <w:rFonts w:ascii="helvetica" w:hAnsi="helvetica"/>
                <w:b/>
                <w:sz w:val="16"/>
              </w:rPr>
            </w:pPr>
            <w:r>
              <w:rPr>
                <w:rFonts w:ascii="helvetica" w:hAnsi="helvetica"/>
                <w:b/>
                <w:sz w:val="16"/>
              </w:rPr>
              <w:t>Over-Allotment</w:t>
            </w:r>
          </w:p>
        </w:tc>
        <w:tc>
          <w:tcPr>
            <w:tcW w:w="128" w:type="dxa"/>
            <w:tcBorders/>
            <w:shd w:fill="auto" w:val="clear"/>
            <w:vAlign w:val="bottom"/>
          </w:tcPr>
          <w:p>
            <w:pPr>
              <w:pStyle w:val="TableContents"/>
              <w:spacing w:before="0" w:after="283"/>
              <w:rPr/>
            </w:pPr>
            <w:r>
              <w:rPr/>
              <w:t xml:space="preserve">  </w:t>
            </w:r>
          </w:p>
        </w:tc>
      </w:tr>
      <w:tr>
        <w:trPr/>
        <w:tc>
          <w:tcPr>
            <w:tcW w:w="6729" w:type="dxa"/>
            <w:tcBorders/>
            <w:shd w:fill="auto" w:val="clear"/>
            <w:vAlign w:val="bottom"/>
          </w:tcPr>
          <w:p>
            <w:pPr>
              <w:pStyle w:val="TableContents"/>
              <w:spacing w:before="0" w:after="283"/>
              <w:rPr/>
            </w:pPr>
            <w:r>
              <w:rPr/>
              <w:t xml:space="preserve">  </w:t>
            </w:r>
          </w:p>
        </w:tc>
        <w:tc>
          <w:tcPr>
            <w:tcW w:w="112" w:type="dxa"/>
            <w:tcBorders/>
            <w:shd w:fill="auto" w:val="clear"/>
            <w:vAlign w:val="bottom"/>
          </w:tcPr>
          <w:p>
            <w:pPr>
              <w:pStyle w:val="TableContents"/>
              <w:spacing w:before="0" w:after="283"/>
              <w:rPr/>
            </w:pPr>
            <w:r>
              <w:rPr/>
              <w:t xml:space="preserve">  </w:t>
            </w:r>
          </w:p>
        </w:tc>
        <w:tc>
          <w:tcPr>
            <w:tcW w:w="1506" w:type="dxa"/>
            <w:gridSpan w:val="2"/>
            <w:tcBorders/>
            <w:shd w:fill="auto" w:val="clear"/>
            <w:vAlign w:val="bottom"/>
          </w:tcPr>
          <w:p>
            <w:pPr>
              <w:pStyle w:val="TableContents"/>
              <w:spacing w:before="0" w:after="283"/>
              <w:rPr/>
            </w:pPr>
            <w:r>
              <w:rPr/>
              <w:t xml:space="preserve">  </w:t>
            </w:r>
          </w:p>
        </w:tc>
        <w:tc>
          <w:tcPr>
            <w:tcW w:w="112" w:type="dxa"/>
            <w:tcBorders/>
            <w:shd w:fill="auto" w:val="clear"/>
            <w:vAlign w:val="bottom"/>
          </w:tcPr>
          <w:p>
            <w:pPr>
              <w:pStyle w:val="TableContents"/>
              <w:spacing w:before="0" w:after="283"/>
              <w:rPr/>
            </w:pPr>
            <w:r>
              <w:rPr/>
              <w:t xml:space="preserve">  </w:t>
            </w:r>
          </w:p>
        </w:tc>
        <w:tc>
          <w:tcPr>
            <w:tcW w:w="112" w:type="dxa"/>
            <w:tcBorders/>
            <w:shd w:fill="auto" w:val="clear"/>
            <w:vAlign w:val="bottom"/>
          </w:tcPr>
          <w:p>
            <w:pPr>
              <w:pStyle w:val="TableContents"/>
              <w:spacing w:before="0" w:after="283"/>
              <w:rPr/>
            </w:pPr>
            <w:r>
              <w:rPr/>
              <w:t xml:space="preserve">  </w:t>
            </w:r>
          </w:p>
        </w:tc>
        <w:tc>
          <w:tcPr>
            <w:tcW w:w="1506" w:type="dxa"/>
            <w:gridSpan w:val="2"/>
            <w:tcBorders/>
            <w:shd w:fill="auto" w:val="clear"/>
            <w:vAlign w:val="bottom"/>
          </w:tcPr>
          <w:p>
            <w:pPr>
              <w:pStyle w:val="TableContents"/>
              <w:spacing w:before="0" w:after="283"/>
              <w:rPr/>
            </w:pPr>
            <w:r>
              <w:rPr/>
              <w:t xml:space="preserve">  </w:t>
            </w:r>
          </w:p>
        </w:tc>
        <w:tc>
          <w:tcPr>
            <w:tcW w:w="128" w:type="dxa"/>
            <w:tcBorders/>
            <w:shd w:fill="auto" w:val="clear"/>
            <w:vAlign w:val="bottom"/>
          </w:tcPr>
          <w:p>
            <w:pPr>
              <w:pStyle w:val="TableContents"/>
              <w:spacing w:before="0" w:after="283"/>
              <w:rPr/>
            </w:pPr>
            <w:r>
              <w:rPr/>
              <w:t xml:space="preserve">  </w:t>
            </w:r>
          </w:p>
        </w:tc>
      </w:tr>
      <w:tr>
        <w:trPr/>
        <w:tc>
          <w:tcPr>
            <w:tcW w:w="6729" w:type="dxa"/>
            <w:tcBorders/>
            <w:shd w:fill="CCEEFF" w:val="clear"/>
            <w:vAlign w:val="bottom"/>
          </w:tcPr>
          <w:p>
            <w:pPr>
              <w:pStyle w:val="TableContents"/>
              <w:spacing w:before="0" w:after="0"/>
              <w:ind w:left="0" w:right="0" w:hanging="0"/>
              <w:jc w:val="left"/>
              <w:rPr>
                <w:rFonts w:ascii="helvetica" w:hAnsi="helvetica"/>
                <w:sz w:val="20"/>
              </w:rPr>
            </w:pPr>
            <w:r>
              <w:rPr>
                <w:rFonts w:ascii="helvetica" w:hAnsi="helvetica"/>
                <w:sz w:val="20"/>
              </w:rPr>
              <w:t>Public offering price per share</w:t>
            </w:r>
          </w:p>
        </w:tc>
        <w:tc>
          <w:tcPr>
            <w:tcW w:w="112" w:type="dxa"/>
            <w:tcBorders/>
            <w:shd w:fill="CCEEFF" w:val="clear"/>
            <w:vAlign w:val="bottom"/>
          </w:tcPr>
          <w:p>
            <w:pPr>
              <w:pStyle w:val="TableContents"/>
              <w:spacing w:before="0" w:after="283"/>
              <w:rPr/>
            </w:pPr>
            <w:r>
              <w:rPr/>
              <w:t xml:space="preserve">  </w:t>
            </w:r>
          </w:p>
        </w:tc>
        <w:tc>
          <w:tcPr>
            <w:tcW w:w="186" w:type="dxa"/>
            <w:tcBorders/>
            <w:shd w:fill="CCEEFF" w:val="clear"/>
            <w:vAlign w:val="bottom"/>
          </w:tcPr>
          <w:p>
            <w:pPr>
              <w:pStyle w:val="TableContents"/>
              <w:spacing w:before="0" w:after="0"/>
              <w:ind w:left="0" w:right="0" w:hanging="0"/>
              <w:jc w:val="left"/>
              <w:rPr>
                <w:rFonts w:ascii="helvetica" w:hAnsi="helvetica"/>
                <w:sz w:val="20"/>
              </w:rPr>
            </w:pPr>
            <w:r>
              <w:rPr>
                <w:rFonts w:ascii="helvetica" w:hAnsi="helvetica"/>
                <w:sz w:val="20"/>
              </w:rPr>
              <w:t>$</w:t>
            </w:r>
          </w:p>
        </w:tc>
        <w:tc>
          <w:tcPr>
            <w:tcW w:w="1320" w:type="dxa"/>
            <w:tcBorders/>
            <w:shd w:fill="CCEEFF" w:val="clear"/>
            <w:vAlign w:val="bottom"/>
          </w:tcPr>
          <w:p>
            <w:pPr>
              <w:pStyle w:val="TableContents"/>
              <w:spacing w:before="0" w:after="283"/>
              <w:rPr/>
            </w:pPr>
            <w:r>
              <w:rPr/>
              <w:t xml:space="preserve">  </w:t>
            </w:r>
          </w:p>
        </w:tc>
        <w:tc>
          <w:tcPr>
            <w:tcW w:w="112" w:type="dxa"/>
            <w:tcBorders/>
            <w:shd w:fill="CCEEFF" w:val="clear"/>
            <w:vAlign w:val="bottom"/>
          </w:tcPr>
          <w:p>
            <w:pPr>
              <w:pStyle w:val="TableContents"/>
              <w:spacing w:before="0" w:after="283"/>
              <w:rPr/>
            </w:pPr>
            <w:r>
              <w:rPr/>
              <w:t xml:space="preserve">  </w:t>
            </w:r>
          </w:p>
        </w:tc>
        <w:tc>
          <w:tcPr>
            <w:tcW w:w="112" w:type="dxa"/>
            <w:tcBorders/>
            <w:shd w:fill="CCEEFF" w:val="clear"/>
            <w:vAlign w:val="bottom"/>
          </w:tcPr>
          <w:p>
            <w:pPr>
              <w:pStyle w:val="TableContents"/>
              <w:spacing w:before="0" w:after="283"/>
              <w:rPr/>
            </w:pPr>
            <w:r>
              <w:rPr/>
              <w:t xml:space="preserve">  </w:t>
            </w:r>
          </w:p>
        </w:tc>
        <w:tc>
          <w:tcPr>
            <w:tcW w:w="186" w:type="dxa"/>
            <w:tcBorders/>
            <w:shd w:fill="CCEEFF" w:val="clear"/>
            <w:vAlign w:val="bottom"/>
          </w:tcPr>
          <w:p>
            <w:pPr>
              <w:pStyle w:val="TableContents"/>
              <w:spacing w:before="0" w:after="0"/>
              <w:ind w:left="0" w:right="0" w:hanging="0"/>
              <w:jc w:val="left"/>
              <w:rPr>
                <w:rFonts w:ascii="helvetica" w:hAnsi="helvetica"/>
                <w:sz w:val="20"/>
              </w:rPr>
            </w:pPr>
            <w:r>
              <w:rPr>
                <w:rFonts w:ascii="helvetica" w:hAnsi="helvetica"/>
                <w:sz w:val="20"/>
              </w:rPr>
              <w:t>$</w:t>
            </w:r>
          </w:p>
        </w:tc>
        <w:tc>
          <w:tcPr>
            <w:tcW w:w="1320" w:type="dxa"/>
            <w:tcBorders/>
            <w:shd w:fill="CCEEFF" w:val="clear"/>
            <w:vAlign w:val="bottom"/>
          </w:tcPr>
          <w:p>
            <w:pPr>
              <w:pStyle w:val="TableContents"/>
              <w:spacing w:before="0" w:after="283"/>
              <w:rPr/>
            </w:pPr>
            <w:r>
              <w:rPr/>
              <w:t xml:space="preserve">  </w:t>
            </w:r>
          </w:p>
        </w:tc>
        <w:tc>
          <w:tcPr>
            <w:tcW w:w="128" w:type="dxa"/>
            <w:tcBorders/>
            <w:shd w:fill="CCEEFF" w:val="clear"/>
            <w:vAlign w:val="bottom"/>
          </w:tcPr>
          <w:p>
            <w:pPr>
              <w:pStyle w:val="TableContents"/>
              <w:spacing w:before="0" w:after="283"/>
              <w:rPr/>
            </w:pPr>
            <w:r>
              <w:rPr/>
              <w:t xml:space="preserve">  </w:t>
            </w:r>
          </w:p>
        </w:tc>
      </w:tr>
      <w:tr>
        <w:trPr/>
        <w:tc>
          <w:tcPr>
            <w:tcW w:w="6729" w:type="dxa"/>
            <w:tcBorders/>
            <w:shd w:fill="FFFFFF" w:val="clear"/>
            <w:vAlign w:val="bottom"/>
          </w:tcPr>
          <w:p>
            <w:pPr>
              <w:pStyle w:val="TableContents"/>
              <w:spacing w:before="0" w:after="0"/>
              <w:ind w:left="0" w:right="0" w:hanging="0"/>
              <w:jc w:val="left"/>
              <w:rPr>
                <w:rFonts w:ascii="helvetica" w:hAnsi="helvetica"/>
                <w:sz w:val="20"/>
              </w:rPr>
            </w:pPr>
            <w:r>
              <w:rPr>
                <w:rFonts w:ascii="helvetica" w:hAnsi="helvetica"/>
                <w:sz w:val="20"/>
              </w:rPr>
              <w:t>Underwriting discount per share to be paid to the underwriter by us for the common stock</w:t>
            </w:r>
          </w:p>
        </w:tc>
        <w:tc>
          <w:tcPr>
            <w:tcW w:w="112" w:type="dxa"/>
            <w:tcBorders/>
            <w:shd w:fill="FFFFFF" w:val="clear"/>
            <w:vAlign w:val="bottom"/>
          </w:tcPr>
          <w:p>
            <w:pPr>
              <w:pStyle w:val="TableContents"/>
              <w:spacing w:before="0" w:after="283"/>
              <w:rPr/>
            </w:pPr>
            <w:r>
              <w:rPr/>
              <w:t xml:space="preserve">  </w:t>
            </w:r>
          </w:p>
        </w:tc>
        <w:tc>
          <w:tcPr>
            <w:tcW w:w="186" w:type="dxa"/>
            <w:tcBorders/>
            <w:shd w:fill="FFFFFF" w:val="clear"/>
            <w:vAlign w:val="bottom"/>
          </w:tcPr>
          <w:p>
            <w:pPr>
              <w:pStyle w:val="TableContents"/>
              <w:spacing w:before="0" w:after="0"/>
              <w:ind w:left="0" w:right="0" w:hanging="0"/>
              <w:jc w:val="left"/>
              <w:rPr>
                <w:rFonts w:ascii="helvetica" w:hAnsi="helvetica"/>
                <w:sz w:val="20"/>
              </w:rPr>
            </w:pPr>
            <w:r>
              <w:rPr>
                <w:rFonts w:ascii="helvetica" w:hAnsi="helvetica"/>
                <w:sz w:val="20"/>
              </w:rPr>
              <w:t>$</w:t>
            </w:r>
          </w:p>
        </w:tc>
        <w:tc>
          <w:tcPr>
            <w:tcW w:w="1320" w:type="dxa"/>
            <w:tcBorders/>
            <w:shd w:fill="FFFFFF" w:val="clear"/>
            <w:vAlign w:val="bottom"/>
          </w:tcPr>
          <w:p>
            <w:pPr>
              <w:pStyle w:val="TableContents"/>
              <w:spacing w:before="0" w:after="283"/>
              <w:rPr/>
            </w:pPr>
            <w:r>
              <w:rPr/>
              <w:t xml:space="preserve">  </w:t>
            </w:r>
          </w:p>
        </w:tc>
        <w:tc>
          <w:tcPr>
            <w:tcW w:w="112" w:type="dxa"/>
            <w:tcBorders/>
            <w:shd w:fill="FFFFFF" w:val="clear"/>
            <w:vAlign w:val="bottom"/>
          </w:tcPr>
          <w:p>
            <w:pPr>
              <w:pStyle w:val="TableContents"/>
              <w:spacing w:before="0" w:after="283"/>
              <w:rPr/>
            </w:pPr>
            <w:r>
              <w:rPr/>
              <w:t xml:space="preserve">  </w:t>
            </w:r>
          </w:p>
        </w:tc>
        <w:tc>
          <w:tcPr>
            <w:tcW w:w="112" w:type="dxa"/>
            <w:tcBorders/>
            <w:shd w:fill="FFFFFF" w:val="clear"/>
            <w:vAlign w:val="bottom"/>
          </w:tcPr>
          <w:p>
            <w:pPr>
              <w:pStyle w:val="TableContents"/>
              <w:spacing w:before="0" w:after="283"/>
              <w:rPr/>
            </w:pPr>
            <w:r>
              <w:rPr/>
              <w:t xml:space="preserve">  </w:t>
            </w:r>
          </w:p>
        </w:tc>
        <w:tc>
          <w:tcPr>
            <w:tcW w:w="186" w:type="dxa"/>
            <w:tcBorders/>
            <w:shd w:fill="FFFFFF" w:val="clear"/>
            <w:vAlign w:val="bottom"/>
          </w:tcPr>
          <w:p>
            <w:pPr>
              <w:pStyle w:val="TableContents"/>
              <w:spacing w:before="0" w:after="0"/>
              <w:ind w:left="0" w:right="0" w:hanging="0"/>
              <w:jc w:val="left"/>
              <w:rPr>
                <w:rFonts w:ascii="helvetica" w:hAnsi="helvetica"/>
                <w:sz w:val="20"/>
              </w:rPr>
            </w:pPr>
            <w:r>
              <w:rPr>
                <w:rFonts w:ascii="helvetica" w:hAnsi="helvetica"/>
                <w:sz w:val="20"/>
              </w:rPr>
              <w:t>$</w:t>
            </w:r>
          </w:p>
        </w:tc>
        <w:tc>
          <w:tcPr>
            <w:tcW w:w="1320" w:type="dxa"/>
            <w:tcBorders/>
            <w:shd w:fill="FFFFFF" w:val="clear"/>
            <w:vAlign w:val="bottom"/>
          </w:tcPr>
          <w:p>
            <w:pPr>
              <w:pStyle w:val="TableContents"/>
              <w:spacing w:before="0" w:after="283"/>
              <w:rPr/>
            </w:pPr>
            <w:r>
              <w:rPr/>
              <w:t xml:space="preserve">  </w:t>
            </w:r>
          </w:p>
        </w:tc>
        <w:tc>
          <w:tcPr>
            <w:tcW w:w="128" w:type="dxa"/>
            <w:tcBorders/>
            <w:shd w:fill="FFFFFF" w:val="clear"/>
            <w:vAlign w:val="bottom"/>
          </w:tcPr>
          <w:p>
            <w:pPr>
              <w:pStyle w:val="TableContents"/>
              <w:spacing w:before="0" w:after="283"/>
              <w:rPr/>
            </w:pPr>
            <w:r>
              <w:rPr/>
              <w:t xml:space="preserve">  </w:t>
            </w:r>
          </w:p>
        </w:tc>
      </w:tr>
      <w:tr>
        <w:trPr/>
        <w:tc>
          <w:tcPr>
            <w:tcW w:w="6729" w:type="dxa"/>
            <w:tcBorders/>
            <w:shd w:fill="CCEEFF" w:val="clear"/>
            <w:vAlign w:val="bottom"/>
          </w:tcPr>
          <w:p>
            <w:pPr>
              <w:pStyle w:val="TableContents"/>
              <w:spacing w:before="0" w:after="0"/>
              <w:ind w:left="0" w:right="0" w:hanging="0"/>
              <w:jc w:val="left"/>
              <w:rPr>
                <w:rFonts w:ascii="helvetica" w:hAnsi="helvetica"/>
                <w:sz w:val="20"/>
              </w:rPr>
            </w:pPr>
            <w:r>
              <w:rPr>
                <w:rFonts w:ascii="helvetica" w:hAnsi="helvetica"/>
                <w:sz w:val="20"/>
              </w:rPr>
              <w:t>Non-accountable expense allowance</w:t>
            </w:r>
          </w:p>
        </w:tc>
        <w:tc>
          <w:tcPr>
            <w:tcW w:w="112" w:type="dxa"/>
            <w:tcBorders/>
            <w:shd w:fill="CCEEFF" w:val="clear"/>
            <w:vAlign w:val="bottom"/>
          </w:tcPr>
          <w:p>
            <w:pPr>
              <w:pStyle w:val="TableContents"/>
              <w:spacing w:before="0" w:after="283"/>
              <w:rPr/>
            </w:pPr>
            <w:r>
              <w:rPr/>
              <w:t xml:space="preserve">  </w:t>
            </w:r>
          </w:p>
        </w:tc>
        <w:tc>
          <w:tcPr>
            <w:tcW w:w="186" w:type="dxa"/>
            <w:tcBorders/>
            <w:shd w:fill="CCEEFF" w:val="clear"/>
            <w:vAlign w:val="bottom"/>
          </w:tcPr>
          <w:p>
            <w:pPr>
              <w:pStyle w:val="TableContents"/>
              <w:spacing w:before="0" w:after="0"/>
              <w:ind w:left="0" w:right="0" w:hanging="0"/>
              <w:jc w:val="left"/>
              <w:rPr/>
            </w:pPr>
            <w:r>
              <w:rPr>
                <w:rFonts w:ascii="helvetica" w:hAnsi="helvetica"/>
                <w:sz w:val="20"/>
              </w:rPr>
              <w:t>$</w:t>
            </w:r>
            <w:r>
              <w:rPr/>
              <w:t xml:space="preserve"> </w:t>
            </w:r>
          </w:p>
        </w:tc>
        <w:tc>
          <w:tcPr>
            <w:tcW w:w="1320" w:type="dxa"/>
            <w:tcBorders/>
            <w:shd w:fill="CCEEFF" w:val="clear"/>
            <w:vAlign w:val="bottom"/>
          </w:tcPr>
          <w:p>
            <w:pPr>
              <w:pStyle w:val="TableContents"/>
              <w:spacing w:before="0" w:after="283"/>
              <w:jc w:val="right"/>
              <w:rPr/>
            </w:pPr>
            <w:r>
              <w:rPr>
                <w:rFonts w:ascii="helvetica" w:hAnsi="helvetica"/>
                <w:sz w:val="20"/>
              </w:rPr>
              <w:t>150,000</w:t>
            </w:r>
            <w:r>
              <w:rPr/>
              <w:t xml:space="preserve"> </w:t>
            </w:r>
          </w:p>
        </w:tc>
        <w:tc>
          <w:tcPr>
            <w:tcW w:w="112" w:type="dxa"/>
            <w:tcBorders/>
            <w:shd w:fill="CCEEFF" w:val="clear"/>
            <w:vAlign w:val="bottom"/>
          </w:tcPr>
          <w:p>
            <w:pPr>
              <w:pStyle w:val="TableContents"/>
              <w:spacing w:before="0" w:after="283"/>
              <w:rPr/>
            </w:pPr>
            <w:r>
              <w:rPr/>
              <w:t xml:space="preserve">  </w:t>
            </w:r>
          </w:p>
        </w:tc>
        <w:tc>
          <w:tcPr>
            <w:tcW w:w="112" w:type="dxa"/>
            <w:tcBorders/>
            <w:shd w:fill="CCEEFF" w:val="clear"/>
            <w:vAlign w:val="bottom"/>
          </w:tcPr>
          <w:p>
            <w:pPr>
              <w:pStyle w:val="TableContents"/>
              <w:spacing w:before="0" w:after="283"/>
              <w:rPr/>
            </w:pPr>
            <w:r>
              <w:rPr/>
              <w:t xml:space="preserve">  </w:t>
            </w:r>
          </w:p>
        </w:tc>
        <w:tc>
          <w:tcPr>
            <w:tcW w:w="186" w:type="dxa"/>
            <w:tcBorders/>
            <w:shd w:fill="CCEEFF" w:val="clear"/>
            <w:vAlign w:val="bottom"/>
          </w:tcPr>
          <w:p>
            <w:pPr>
              <w:pStyle w:val="TableContents"/>
              <w:spacing w:before="0" w:after="0"/>
              <w:ind w:left="0" w:right="0" w:hanging="0"/>
              <w:jc w:val="left"/>
              <w:rPr/>
            </w:pPr>
            <w:r>
              <w:rPr>
                <w:rFonts w:ascii="helvetica" w:hAnsi="helvetica"/>
                <w:sz w:val="20"/>
              </w:rPr>
              <w:t>$</w:t>
            </w:r>
            <w:r>
              <w:rPr/>
              <w:t xml:space="preserve"> </w:t>
            </w:r>
          </w:p>
        </w:tc>
        <w:tc>
          <w:tcPr>
            <w:tcW w:w="1320" w:type="dxa"/>
            <w:tcBorders/>
            <w:shd w:fill="CCEEFF" w:val="clear"/>
            <w:vAlign w:val="bottom"/>
          </w:tcPr>
          <w:p>
            <w:pPr>
              <w:pStyle w:val="TableContents"/>
              <w:spacing w:before="0" w:after="283"/>
              <w:jc w:val="right"/>
              <w:rPr/>
            </w:pPr>
            <w:r>
              <w:rPr>
                <w:rFonts w:ascii="helvetica" w:hAnsi="helvetica"/>
                <w:sz w:val="20"/>
              </w:rPr>
              <w:t>150,000</w:t>
            </w:r>
            <w:r>
              <w:rPr/>
              <w:t xml:space="preserve"> </w:t>
            </w:r>
          </w:p>
        </w:tc>
        <w:tc>
          <w:tcPr>
            <w:tcW w:w="128" w:type="dxa"/>
            <w:tcBorders/>
            <w:shd w:fill="CCEEFF" w:val="clear"/>
            <w:vAlign w:val="bottom"/>
          </w:tcPr>
          <w:p>
            <w:pPr>
              <w:pStyle w:val="TableContents"/>
              <w:spacing w:before="0" w:after="283"/>
              <w:rPr/>
            </w:pPr>
            <w:r>
              <w:rPr/>
              <w:t xml:space="preserve">  </w:t>
            </w:r>
          </w:p>
        </w:tc>
      </w:tr>
      <w:tr>
        <w:trPr/>
        <w:tc>
          <w:tcPr>
            <w:tcW w:w="6729" w:type="dxa"/>
            <w:tcBorders/>
            <w:shd w:fill="FFFFFF" w:val="clear"/>
            <w:vAlign w:val="bottom"/>
          </w:tcPr>
          <w:p>
            <w:pPr>
              <w:pStyle w:val="TableContents"/>
              <w:spacing w:before="0" w:after="0"/>
              <w:ind w:left="0" w:right="0" w:hanging="0"/>
              <w:jc w:val="left"/>
              <w:rPr>
                <w:rFonts w:ascii="helvetica" w:hAnsi="helvetica"/>
                <w:sz w:val="20"/>
              </w:rPr>
            </w:pPr>
            <w:r>
              <w:rPr>
                <w:rFonts w:ascii="helvetica" w:hAnsi="helvetica"/>
                <w:sz w:val="20"/>
              </w:rPr>
              <w:t>Total underwriting discounts and commissions</w:t>
            </w:r>
          </w:p>
        </w:tc>
        <w:tc>
          <w:tcPr>
            <w:tcW w:w="112" w:type="dxa"/>
            <w:tcBorders/>
            <w:shd w:fill="FFFFFF" w:val="clear"/>
            <w:vAlign w:val="bottom"/>
          </w:tcPr>
          <w:p>
            <w:pPr>
              <w:pStyle w:val="TableContents"/>
              <w:spacing w:before="0" w:after="283"/>
              <w:rPr/>
            </w:pPr>
            <w:r>
              <w:rPr/>
              <w:t xml:space="preserve">  </w:t>
            </w:r>
          </w:p>
        </w:tc>
        <w:tc>
          <w:tcPr>
            <w:tcW w:w="186" w:type="dxa"/>
            <w:tcBorders/>
            <w:shd w:fill="FFFFFF" w:val="clear"/>
            <w:vAlign w:val="bottom"/>
          </w:tcPr>
          <w:p>
            <w:pPr>
              <w:pStyle w:val="TableContents"/>
              <w:spacing w:before="0" w:after="283"/>
              <w:rPr/>
            </w:pPr>
            <w:r>
              <w:rPr/>
              <w:t xml:space="preserve">  </w:t>
            </w:r>
          </w:p>
        </w:tc>
        <w:tc>
          <w:tcPr>
            <w:tcW w:w="1320" w:type="dxa"/>
            <w:tcBorders/>
            <w:shd w:fill="FFFFFF" w:val="clear"/>
            <w:vAlign w:val="bottom"/>
          </w:tcPr>
          <w:p>
            <w:pPr>
              <w:pStyle w:val="TableContents"/>
              <w:spacing w:before="0" w:after="283"/>
              <w:rPr/>
            </w:pPr>
            <w:r>
              <w:rPr/>
              <w:t xml:space="preserve">  </w:t>
            </w:r>
          </w:p>
        </w:tc>
        <w:tc>
          <w:tcPr>
            <w:tcW w:w="112" w:type="dxa"/>
            <w:tcBorders/>
            <w:shd w:fill="FFFFFF" w:val="clear"/>
            <w:vAlign w:val="bottom"/>
          </w:tcPr>
          <w:p>
            <w:pPr>
              <w:pStyle w:val="TableContents"/>
              <w:spacing w:before="0" w:after="283"/>
              <w:rPr/>
            </w:pPr>
            <w:r>
              <w:rPr/>
              <w:t xml:space="preserve">  </w:t>
            </w:r>
          </w:p>
        </w:tc>
        <w:tc>
          <w:tcPr>
            <w:tcW w:w="112" w:type="dxa"/>
            <w:tcBorders/>
            <w:shd w:fill="FFFFFF" w:val="clear"/>
            <w:vAlign w:val="bottom"/>
          </w:tcPr>
          <w:p>
            <w:pPr>
              <w:pStyle w:val="TableContents"/>
              <w:spacing w:before="0" w:after="283"/>
              <w:rPr/>
            </w:pPr>
            <w:r>
              <w:rPr/>
              <w:t xml:space="preserve">  </w:t>
            </w:r>
          </w:p>
        </w:tc>
        <w:tc>
          <w:tcPr>
            <w:tcW w:w="186" w:type="dxa"/>
            <w:tcBorders/>
            <w:shd w:fill="FFFFFF" w:val="clear"/>
            <w:vAlign w:val="bottom"/>
          </w:tcPr>
          <w:p>
            <w:pPr>
              <w:pStyle w:val="TableContents"/>
              <w:spacing w:before="0" w:after="283"/>
              <w:rPr/>
            </w:pPr>
            <w:r>
              <w:rPr/>
              <w:t xml:space="preserve">  </w:t>
            </w:r>
          </w:p>
        </w:tc>
        <w:tc>
          <w:tcPr>
            <w:tcW w:w="1320" w:type="dxa"/>
            <w:tcBorders/>
            <w:shd w:fill="FFFFFF" w:val="clear"/>
            <w:vAlign w:val="bottom"/>
          </w:tcPr>
          <w:p>
            <w:pPr>
              <w:pStyle w:val="TableContents"/>
              <w:spacing w:before="0" w:after="283"/>
              <w:rPr/>
            </w:pPr>
            <w:r>
              <w:rPr/>
              <w:t xml:space="preserve">  </w:t>
            </w:r>
          </w:p>
        </w:tc>
        <w:tc>
          <w:tcPr>
            <w:tcW w:w="128" w:type="dxa"/>
            <w:tcBorders/>
            <w:shd w:fill="FFFFFF" w:val="clear"/>
            <w:vAlign w:val="bottom"/>
          </w:tcPr>
          <w:p>
            <w:pPr>
              <w:pStyle w:val="TableContents"/>
              <w:spacing w:before="0" w:after="283"/>
              <w:rPr/>
            </w:pPr>
            <w:r>
              <w:rPr/>
              <w:t xml:space="preserve">  </w:t>
            </w:r>
          </w:p>
        </w:tc>
      </w:tr>
      <w:tr>
        <w:trPr/>
        <w:tc>
          <w:tcPr>
            <w:tcW w:w="6729" w:type="dxa"/>
            <w:tcBorders/>
            <w:shd w:fill="CCEEFF" w:val="clear"/>
            <w:vAlign w:val="bottom"/>
          </w:tcPr>
          <w:p>
            <w:pPr>
              <w:pStyle w:val="TableContents"/>
              <w:spacing w:before="0" w:after="0"/>
              <w:ind w:left="0" w:right="0" w:hanging="0"/>
              <w:jc w:val="left"/>
              <w:rPr>
                <w:rFonts w:ascii="helvetica" w:hAnsi="helvetica"/>
                <w:sz w:val="20"/>
              </w:rPr>
            </w:pPr>
            <w:r>
              <w:rPr>
                <w:rFonts w:ascii="helvetica" w:hAnsi="helvetica"/>
                <w:sz w:val="20"/>
              </w:rPr>
              <w:t>Proceeds, before expenses, to us</w:t>
            </w:r>
          </w:p>
        </w:tc>
        <w:tc>
          <w:tcPr>
            <w:tcW w:w="112" w:type="dxa"/>
            <w:tcBorders/>
            <w:shd w:fill="CCEEFF" w:val="clear"/>
            <w:vAlign w:val="bottom"/>
          </w:tcPr>
          <w:p>
            <w:pPr>
              <w:pStyle w:val="TableContents"/>
              <w:spacing w:before="0" w:after="283"/>
              <w:rPr/>
            </w:pPr>
            <w:r>
              <w:rPr/>
              <w:t xml:space="preserve">  </w:t>
            </w:r>
          </w:p>
        </w:tc>
        <w:tc>
          <w:tcPr>
            <w:tcW w:w="186" w:type="dxa"/>
            <w:tcBorders/>
            <w:shd w:fill="CCEEFF" w:val="clear"/>
            <w:vAlign w:val="bottom"/>
          </w:tcPr>
          <w:p>
            <w:pPr>
              <w:pStyle w:val="TableContents"/>
              <w:spacing w:before="0" w:after="0"/>
              <w:ind w:left="0" w:right="0" w:hanging="0"/>
              <w:jc w:val="left"/>
              <w:rPr>
                <w:rFonts w:ascii="helvetica" w:hAnsi="helvetica"/>
                <w:sz w:val="20"/>
              </w:rPr>
            </w:pPr>
            <w:r>
              <w:rPr>
                <w:rFonts w:ascii="helvetica" w:hAnsi="helvetica"/>
                <w:sz w:val="20"/>
              </w:rPr>
              <w:t>$</w:t>
            </w:r>
          </w:p>
        </w:tc>
        <w:tc>
          <w:tcPr>
            <w:tcW w:w="1320" w:type="dxa"/>
            <w:tcBorders/>
            <w:shd w:fill="CCEEFF" w:val="clear"/>
            <w:vAlign w:val="bottom"/>
          </w:tcPr>
          <w:p>
            <w:pPr>
              <w:pStyle w:val="TableContents"/>
              <w:spacing w:before="0" w:after="283"/>
              <w:rPr/>
            </w:pPr>
            <w:r>
              <w:rPr/>
              <w:t xml:space="preserve">  </w:t>
            </w:r>
          </w:p>
        </w:tc>
        <w:tc>
          <w:tcPr>
            <w:tcW w:w="112" w:type="dxa"/>
            <w:tcBorders/>
            <w:shd w:fill="CCEEFF" w:val="clear"/>
            <w:vAlign w:val="bottom"/>
          </w:tcPr>
          <w:p>
            <w:pPr>
              <w:pStyle w:val="TableContents"/>
              <w:spacing w:before="0" w:after="283"/>
              <w:rPr/>
            </w:pPr>
            <w:r>
              <w:rPr/>
              <w:t xml:space="preserve">  </w:t>
            </w:r>
          </w:p>
        </w:tc>
        <w:tc>
          <w:tcPr>
            <w:tcW w:w="112" w:type="dxa"/>
            <w:tcBorders/>
            <w:shd w:fill="CCEEFF" w:val="clear"/>
            <w:vAlign w:val="bottom"/>
          </w:tcPr>
          <w:p>
            <w:pPr>
              <w:pStyle w:val="TableContents"/>
              <w:spacing w:before="0" w:after="283"/>
              <w:rPr/>
            </w:pPr>
            <w:r>
              <w:rPr/>
              <w:t xml:space="preserve">  </w:t>
            </w:r>
          </w:p>
        </w:tc>
        <w:tc>
          <w:tcPr>
            <w:tcW w:w="186" w:type="dxa"/>
            <w:tcBorders/>
            <w:shd w:fill="CCEEFF" w:val="clear"/>
            <w:vAlign w:val="bottom"/>
          </w:tcPr>
          <w:p>
            <w:pPr>
              <w:pStyle w:val="TableContents"/>
              <w:spacing w:before="0" w:after="0"/>
              <w:ind w:left="0" w:right="0" w:hanging="0"/>
              <w:jc w:val="left"/>
              <w:rPr>
                <w:rFonts w:ascii="helvetica" w:hAnsi="helvetica"/>
                <w:sz w:val="20"/>
              </w:rPr>
            </w:pPr>
            <w:r>
              <w:rPr>
                <w:rFonts w:ascii="helvetica" w:hAnsi="helvetica"/>
                <w:sz w:val="20"/>
              </w:rPr>
              <w:t>$</w:t>
            </w:r>
          </w:p>
        </w:tc>
        <w:tc>
          <w:tcPr>
            <w:tcW w:w="1320" w:type="dxa"/>
            <w:tcBorders/>
            <w:shd w:fill="CCEEFF" w:val="clear"/>
            <w:vAlign w:val="bottom"/>
          </w:tcPr>
          <w:p>
            <w:pPr>
              <w:pStyle w:val="TableContents"/>
              <w:spacing w:before="0" w:after="283"/>
              <w:rPr/>
            </w:pPr>
            <w:r>
              <w:rPr/>
              <w:t xml:space="preserve">  </w:t>
            </w:r>
          </w:p>
        </w:tc>
        <w:tc>
          <w:tcPr>
            <w:tcW w:w="128" w:type="dxa"/>
            <w:tcBorders/>
            <w:shd w:fill="CCEEFF" w:val="clear"/>
            <w:vAlign w:val="bottom"/>
          </w:tcPr>
          <w:p>
            <w:pPr>
              <w:pStyle w:val="TableContents"/>
              <w:spacing w:before="0" w:after="283"/>
              <w:rPr/>
            </w:pPr>
            <w:r>
              <w:rPr/>
              <w:t xml:space="preserve">  </w:t>
            </w:r>
          </w:p>
        </w:tc>
      </w:tr>
    </w:tbl>
    <w:p>
      <w:pPr>
        <w:pStyle w:val="TextBody"/>
        <w:spacing w:before="0" w:after="0"/>
        <w:ind w:left="0" w:right="0" w:hanging="0"/>
        <w:rPr/>
      </w:pPr>
      <w:r>
        <w:rPr/>
        <w:t> </w:t>
      </w:r>
    </w:p>
    <w:p>
      <w:pPr>
        <w:pStyle w:val="TextBody"/>
        <w:spacing w:before="0" w:after="0"/>
        <w:ind w:left="0" w:right="0" w:firstLine="720"/>
        <w:jc w:val="left"/>
        <w:rPr>
          <w:rFonts w:ascii="helvetica" w:hAnsi="helvetica"/>
          <w:sz w:val="20"/>
        </w:rPr>
      </w:pPr>
      <w:r>
        <w:rPr>
          <w:rFonts w:ascii="helvetica" w:hAnsi="helvetica"/>
          <w:sz w:val="20"/>
        </w:rPr>
        <w:t xml:space="preserve">We estimate the expenses payable by us for this offering to be $             million, including the underwriting discount, or $              million if the underwriter’s over-allotment option is exercised in full, and reimbursement of up to $160,000 in expenses of the underwriter as follows:  (i) non-accountable expense amount of $150,000, of which $30,000 we advanced prior to the commencement of this offering, and (ii) up to $10,000 of accountable expenses, which we advanced prior to the commencement of this offering.  We will not reimburse the underwriter more than a total of $160,000 in expenses, including all of the underwriter’s legal, road show and out of pocket expenses in connection with this offering. </w:t>
      </w:r>
    </w:p>
    <w:p>
      <w:pPr>
        <w:pStyle w:val="TextBody"/>
        <w:spacing w:before="0" w:after="0"/>
        <w:ind w:left="0" w:right="0" w:firstLine="720"/>
        <w:jc w:val="left"/>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464" w:name="PGBRK31"/>
      <w:bookmarkStart w:id="465" w:name="PGBRK31"/>
      <w:bookmarkEnd w:id="46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466" w:name="FTR31"/>
      <w:bookmarkStart w:id="467" w:name="FTR31"/>
      <w:bookmarkEnd w:id="46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468" w:name="GLFTR30"/>
      <w:bookmarkEnd w:id="468"/>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helvetica" w:hAnsi="helvetica"/>
          <w:sz w:val="20"/>
        </w:rPr>
      </w:pPr>
      <w:bookmarkStart w:id="469" w:name="PN30"/>
      <w:bookmarkEnd w:id="469"/>
      <w:r>
        <w:rPr>
          <w:rFonts w:ascii="helvetica" w:hAnsi="helvetica"/>
          <w:sz w:val="20"/>
        </w:rPr>
        <w:t>29</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470" w:name="HDR30"/>
      <w:bookmarkStart w:id="471" w:name="HDR30"/>
      <w:bookmarkEnd w:id="47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472" w:name="GLHDR30"/>
      <w:bookmarkEnd w:id="472"/>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pPr>
      <w:r>
        <w:rPr/>
        <w:t> </w:t>
      </w:r>
    </w:p>
    <w:p>
      <w:pPr>
        <w:pStyle w:val="TextBody"/>
        <w:spacing w:before="0" w:after="0"/>
        <w:ind w:left="0" w:right="0" w:hanging="0"/>
        <w:jc w:val="left"/>
        <w:rPr>
          <w:rFonts w:ascii="helvetica" w:hAnsi="helvetica"/>
          <w:b/>
          <w:sz w:val="20"/>
        </w:rPr>
      </w:pPr>
      <w:r>
        <w:rPr>
          <w:rFonts w:ascii="helvetica" w:hAnsi="helvetica"/>
          <w:b/>
          <w:sz w:val="20"/>
        </w:rPr>
        <w:t>Over-allotment Option</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r>
        <w:rPr>
          <w:rFonts w:ascii="helvetica" w:hAnsi="helvetica"/>
          <w:sz w:val="20"/>
        </w:rPr>
        <w:t>We have granted to the underwriter an option, exercisable not later than              days after the date of this prospectus, to purchase up to an additional                    shares of our common stock (up to  15% of the shares firmly committed in this offering) at the public offering price, less the underwriting discount, set forth on the cover page of this prospectus. The underwriter may exercise the option solely to cover over-allotments, if any, made in connection with this offering. If any additional shares of our common stock are purchased pursuant to the over-allotment option, the underwriter will offer these additional shares of our common stock on the same terms as those on which the other shares of common stock are being offered hereby.</w:t>
      </w:r>
    </w:p>
    <w:p>
      <w:pPr>
        <w:pStyle w:val="TextBody"/>
        <w:spacing w:before="0" w:after="0"/>
        <w:ind w:left="0" w:right="0" w:hanging="0"/>
        <w:jc w:val="both"/>
        <w:rPr/>
      </w:pPr>
      <w:r>
        <w:rPr/>
        <w:t> </w:t>
      </w:r>
    </w:p>
    <w:p>
      <w:pPr>
        <w:pStyle w:val="TextBody"/>
        <w:spacing w:before="0" w:after="0"/>
        <w:ind w:left="0" w:right="0" w:hanging="0"/>
        <w:jc w:val="left"/>
        <w:rPr>
          <w:rFonts w:ascii="helvetica" w:hAnsi="helvetica"/>
          <w:b/>
          <w:sz w:val="20"/>
        </w:rPr>
      </w:pPr>
      <w:r>
        <w:rPr>
          <w:rFonts w:ascii="helvetica" w:hAnsi="helvetica"/>
          <w:b/>
          <w:sz w:val="20"/>
        </w:rPr>
        <w:t>Determination of Offering Price</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r>
        <w:rPr>
          <w:rFonts w:ascii="helvetica" w:hAnsi="helvetica"/>
          <w:sz w:val="20"/>
        </w:rPr>
        <w:t>The public offering price of the common stock was negotiated between us and the underwriter, based on the trading price of the common stock prior to the offering, among other things. Other factors considered in determining the price of the common stock include the history and prospects of our company, the stage of development of our business, our business plans for the future and the extent to which they have been implemented, an assessment of our management, general conditions of the financial markets at the time of the offering and such other factors as were deemed relevant.</w:t>
      </w:r>
    </w:p>
    <w:p>
      <w:pPr>
        <w:pStyle w:val="TextBody"/>
        <w:spacing w:before="0" w:after="0"/>
        <w:ind w:left="0" w:right="0" w:hanging="0"/>
        <w:jc w:val="both"/>
        <w:rPr/>
      </w:pPr>
      <w:r>
        <w:rPr/>
        <w:t> </w:t>
      </w:r>
    </w:p>
    <w:p>
      <w:pPr>
        <w:pStyle w:val="TextBody"/>
        <w:spacing w:before="0" w:after="0"/>
        <w:ind w:left="0" w:right="0" w:hanging="0"/>
        <w:jc w:val="left"/>
        <w:rPr>
          <w:rFonts w:ascii="helvetica" w:hAnsi="helvetica"/>
          <w:b/>
          <w:sz w:val="20"/>
        </w:rPr>
      </w:pPr>
      <w:r>
        <w:rPr>
          <w:rFonts w:ascii="helvetica" w:hAnsi="helvetica"/>
          <w:b/>
          <w:sz w:val="20"/>
        </w:rPr>
        <w:t>Underwriter Warrant</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r>
        <w:rPr>
          <w:rFonts w:ascii="helvetica" w:hAnsi="helvetica"/>
          <w:sz w:val="20"/>
        </w:rPr>
        <w:t>We have agreed to issue to MDB Capital Group LLC a warrant to purchase up to 8.5% of the shares of common stock sold in this offering. This warrant is exercisable at $          per share (100% of the price of the common stock sold in this offering), commencing on the effective date of this offering and expiring five years from the effective date of this offering. The warrant and the shares of common stock underlying the warrant have been deemed compensation by FINRA and are therefore subject to a 180-day lock-up pursuant to Rule 5110(g)(1) of the FINRA. MDB Capital Group LLC (or permitted assignees under the Rule) will not sell, transfer, assign, pledge or hypothecate this warrant or the securities underlying this option, nor will it engage in any hedging, short sale, derivative, put or call transaction that would result in the effective economic disposition of this warrant or the underlying securities for a period of 180 days from the effective date of the registration statement of which this prospectus is a part.</w:t>
      </w:r>
    </w:p>
    <w:p>
      <w:pPr>
        <w:pStyle w:val="TextBody"/>
        <w:spacing w:before="0" w:after="0"/>
        <w:ind w:left="0" w:right="0" w:hanging="0"/>
        <w:jc w:val="both"/>
        <w:rPr/>
      </w:pPr>
      <w:r>
        <w:rPr/>
        <w:t> </w:t>
      </w:r>
    </w:p>
    <w:p>
      <w:pPr>
        <w:pStyle w:val="TextBody"/>
        <w:spacing w:before="0" w:after="0"/>
        <w:ind w:left="0" w:right="0" w:hanging="0"/>
        <w:jc w:val="left"/>
        <w:rPr>
          <w:rFonts w:ascii="helvetica" w:hAnsi="helvetica"/>
          <w:b/>
          <w:sz w:val="20"/>
        </w:rPr>
      </w:pPr>
      <w:r>
        <w:rPr>
          <w:rFonts w:ascii="helvetica" w:hAnsi="helvetica"/>
          <w:b/>
          <w:sz w:val="20"/>
        </w:rPr>
        <w:t>Lock-Up Agreements</w:t>
      </w:r>
    </w:p>
    <w:p>
      <w:pPr>
        <w:pStyle w:val="TextBody"/>
        <w:spacing w:before="0" w:after="0"/>
        <w:ind w:left="0" w:right="0" w:hanging="0"/>
        <w:jc w:val="left"/>
        <w:rPr/>
      </w:pPr>
      <w:r>
        <w:rPr/>
        <w:t> </w:t>
      </w:r>
    </w:p>
    <w:p>
      <w:pPr>
        <w:pStyle w:val="TextBody"/>
        <w:spacing w:before="0" w:after="0"/>
        <w:ind w:left="0" w:right="0" w:firstLine="720"/>
        <w:jc w:val="left"/>
        <w:rPr>
          <w:rFonts w:ascii="helvetica" w:hAnsi="helvetica"/>
          <w:sz w:val="20"/>
        </w:rPr>
      </w:pPr>
      <w:r>
        <w:rPr>
          <w:rFonts w:ascii="helvetica" w:hAnsi="helvetica"/>
          <w:sz w:val="20"/>
        </w:rPr>
        <w:t>All of our officers and directors and stockholders beneficially owning 5% or more of our common stock have agreed that, for a period of 180 days from the date of this prospectus, they will not sell, contract to sell, grant any option for the sale or otherwise dispose of any of our equity securities, or any securities convertible into or exercisable or exchangeable for our equity securities, without the consent of the underwriter, except for exercise or conversion of currently outstanding warrants and options, as applicable, and exercise of options under an acceptable stock incentive plan. The underwriter may consent to an early release from the lock-up period if, in its opinion, the market for the common stock would not be adversely impacted by sales and in cases of a financial emergency of an officer, director or other stockholder. We are unaware of any officer, director or stockholder who intends to ask for consent to dispose of any of our equity securities during the relevant lock-up period.</w:t>
      </w:r>
    </w:p>
    <w:p>
      <w:pPr>
        <w:pStyle w:val="TextBody"/>
        <w:spacing w:before="0" w:after="0"/>
        <w:ind w:left="0" w:right="0" w:hanging="0"/>
        <w:jc w:val="both"/>
        <w:rPr/>
      </w:pPr>
      <w:r>
        <w:rPr/>
        <w:t> </w:t>
      </w:r>
    </w:p>
    <w:p>
      <w:pPr>
        <w:pStyle w:val="TextBody"/>
        <w:spacing w:before="0" w:after="0"/>
        <w:ind w:left="0" w:right="0" w:hanging="0"/>
        <w:jc w:val="left"/>
        <w:rPr>
          <w:rFonts w:ascii="helvetica" w:hAnsi="helvetica"/>
          <w:b/>
          <w:sz w:val="20"/>
        </w:rPr>
      </w:pPr>
      <w:r>
        <w:rPr>
          <w:rFonts w:ascii="helvetica" w:hAnsi="helvetica"/>
          <w:b/>
          <w:sz w:val="20"/>
        </w:rPr>
        <w:t>Indemnification</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r>
        <w:rPr>
          <w:rFonts w:ascii="helvetica" w:hAnsi="helvetica"/>
          <w:sz w:val="20"/>
        </w:rPr>
        <w:t>We will agree to indemnify the underwriter against certain liabilities, including certain liabilities arising under the Securities Act, and to contribute to payments that the underwriter may be required to make for these liabilities.</w:t>
      </w:r>
    </w:p>
    <w:p>
      <w:pPr>
        <w:pStyle w:val="TextBody"/>
        <w:spacing w:before="0" w:after="0"/>
        <w:ind w:left="0" w:right="0" w:firstLine="720"/>
        <w:jc w:val="left"/>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473" w:name="PGBRK32"/>
      <w:bookmarkStart w:id="474" w:name="PGBRK32"/>
      <w:bookmarkEnd w:id="47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475" w:name="FTR32"/>
      <w:bookmarkStart w:id="476" w:name="FTR32"/>
      <w:bookmarkEnd w:id="47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477" w:name="GLFTR31"/>
      <w:bookmarkEnd w:id="477"/>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helvetica" w:hAnsi="helvetica"/>
          <w:sz w:val="20"/>
        </w:rPr>
      </w:pPr>
      <w:bookmarkStart w:id="478" w:name="PN31"/>
      <w:bookmarkEnd w:id="478"/>
      <w:r>
        <w:rPr>
          <w:rFonts w:ascii="helvetica" w:hAnsi="helvetica"/>
          <w:sz w:val="20"/>
        </w:rPr>
        <w:t>30</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479" w:name="HDR31"/>
      <w:bookmarkStart w:id="480" w:name="HDR31"/>
      <w:bookmarkEnd w:id="48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481" w:name="GLHDR31"/>
      <w:bookmarkEnd w:id="481"/>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pPr>
      <w:r>
        <w:rPr/>
        <w:t> </w:t>
      </w:r>
    </w:p>
    <w:p>
      <w:pPr>
        <w:pStyle w:val="TextBody"/>
        <w:spacing w:before="0" w:after="0"/>
        <w:ind w:left="0" w:right="0" w:hanging="0"/>
        <w:jc w:val="left"/>
        <w:rPr>
          <w:rFonts w:ascii="helvetica" w:hAnsi="helvetica"/>
          <w:b/>
          <w:sz w:val="20"/>
        </w:rPr>
      </w:pPr>
      <w:r>
        <w:rPr>
          <w:rFonts w:ascii="helvetica" w:hAnsi="helvetica"/>
          <w:b/>
          <w:sz w:val="20"/>
        </w:rPr>
        <w:t>Stabilization, Short Positions and Penalty Bids</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r>
        <w:rPr>
          <w:rFonts w:ascii="helvetica" w:hAnsi="helvetica"/>
          <w:sz w:val="20"/>
        </w:rPr>
        <w:t>The underwriter may engage in over-allotment, stabilizing transactions, syndicate covering transactions, and penalty bids or purchases for the purpose of pegging, fixing or maintaining the price of the common stock, in accordance with Regulation M under the Exchange Act.</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r>
        <w:rPr>
          <w:rFonts w:ascii="helvetica" w:hAnsi="helvetica"/>
          <w:sz w:val="20"/>
        </w:rPr>
        <w:t>Over-allotment involves sales by the underwriter of shares in excess of the number of shares the underwriter is obligated to purchase, which creates a syndicate short position. The short position may be either a covered short position or a naked short position. In a covered short position, the number of shares over-allotted by the underwriter is not greater than the number of shares that it may purchase in the over-allotment option. In a naked short position, the number of shares involved is greater than the number of shares in the over-allotment option. The underwriter may close out any short position by either exercising its over-allotment option and/or purchasing shares in the open market.</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r>
        <w:rPr>
          <w:rFonts w:ascii="helvetica" w:hAnsi="helvetica"/>
          <w:sz w:val="20"/>
        </w:rPr>
        <w:t>Stabilizing transactions permit bids to purchase the underlying security so long as the stabilizing bids do not exceed a specified maximum.</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r>
        <w:rPr>
          <w:rFonts w:ascii="helvetica" w:hAnsi="helvetica"/>
          <w:sz w:val="20"/>
        </w:rPr>
        <w:t>Syndicate covering transactions involve purchases of the common stock in the open market after the distribution has been completed in order to cover syndicate short positions. In determining the source of shares to close out the short position, the underwriter will consider, among other things, the price of shares available for purchase in the open market as compared to the price at which it may purchase shares through the over-allotment option. If the underwriter sells more shares than could be covered by the over-allotment option, a naked short position, the position can only be closed out by buying shares in the open market. A naked short position is more likely to be created if the underwriter is concerned that there could be downward pressure on the price of the shares in the open market after pricing that could adversely affect investors who purchase in the offering.</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r>
        <w:rPr>
          <w:rFonts w:ascii="helvetica" w:hAnsi="helvetica"/>
          <w:sz w:val="20"/>
        </w:rPr>
        <w:t>Penalty bids permit the underwriter to reclaim a selling concession from a syndicate member when the shares originally sold by the syndicate member are purchased in a stabilizing or syndicate covering transaction to cover syndicate short positions.</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r>
        <w:rPr>
          <w:rFonts w:ascii="helvetica" w:hAnsi="helvetica"/>
          <w:sz w:val="20"/>
        </w:rPr>
        <w:t>These stabilizing transactions, syndicate covering transactions and penalty bids may have the effect of raising or maintaining the market price of our common stock or preventing or retarding a decline in the market price of the common stock. As a result, the price of the common stock may be higher than the price that might otherwise exist in the open market. These transactions, if commenced, may be discontinued at any time.</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r>
        <w:rPr>
          <w:rFonts w:ascii="helvetica" w:hAnsi="helvetica"/>
          <w:sz w:val="20"/>
        </w:rPr>
        <w:t>Neither we nor the underwriter make any representation or prediction as to the direction or magnitude of any effect that the transactions described above may have on the price of the common stock. In addition, neither we nor the underwriter make any representation that the underwriter will engage in these stabilizing transactions or that any transaction, once commenced, will not be discontinued without notice.</w:t>
      </w:r>
    </w:p>
    <w:p>
      <w:pPr>
        <w:pStyle w:val="TextBody"/>
        <w:spacing w:before="0" w:after="0"/>
        <w:ind w:left="0" w:right="0" w:hanging="0"/>
        <w:jc w:val="both"/>
        <w:rPr/>
      </w:pPr>
      <w:r>
        <w:rPr/>
        <w:t> </w:t>
      </w:r>
    </w:p>
    <w:p>
      <w:pPr>
        <w:pStyle w:val="TextBody"/>
        <w:spacing w:before="0" w:after="0"/>
        <w:ind w:left="0" w:right="0" w:hanging="0"/>
        <w:jc w:val="both"/>
        <w:rPr>
          <w:rFonts w:ascii="helvetica" w:hAnsi="helvetica"/>
          <w:b/>
          <w:sz w:val="20"/>
        </w:rPr>
      </w:pPr>
      <w:r>
        <w:rPr>
          <w:rFonts w:ascii="helvetica" w:hAnsi="helvetica"/>
          <w:b/>
          <w:sz w:val="20"/>
        </w:rPr>
        <w:t>Passive Market Making</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r>
        <w:rPr>
          <w:rFonts w:ascii="helvetica" w:hAnsi="helvetica"/>
          <w:sz w:val="20"/>
        </w:rPr>
        <w:t>In connection with the offering, the underwriter may engage in passive market making transactions in the common stock in accordance with Rule 103 of Regulation M under the Exchange Act during the period before the commencement of offers or sales of common stock and extending through the completion of distribution. A passive market maker must display its bids at a price not in excess of the highest independent bid of the security. However, if all independent bids are lowered below the passive market maker’s bid, that bid must be lowered when specified purchase limits are exceeded.</w:t>
      </w:r>
    </w:p>
    <w:p>
      <w:pPr>
        <w:pStyle w:val="TextBody"/>
        <w:spacing w:before="0" w:after="0"/>
        <w:ind w:left="0" w:right="0" w:hanging="0"/>
        <w:jc w:val="both"/>
        <w:rPr/>
      </w:pPr>
      <w:r>
        <w:rPr/>
        <w:t> </w:t>
      </w:r>
    </w:p>
    <w:p>
      <w:pPr>
        <w:pStyle w:val="TextBody"/>
        <w:spacing w:before="0" w:after="0"/>
        <w:ind w:left="0" w:right="0" w:hanging="0"/>
        <w:jc w:val="left"/>
        <w:rPr>
          <w:rFonts w:ascii="helvetica" w:hAnsi="helvetica"/>
          <w:b/>
          <w:sz w:val="20"/>
        </w:rPr>
      </w:pPr>
      <w:r>
        <w:rPr>
          <w:rFonts w:ascii="helvetica" w:hAnsi="helvetica"/>
          <w:b/>
          <w:sz w:val="20"/>
        </w:rPr>
        <w:t>Electronic Distribution</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r>
        <w:rPr>
          <w:rFonts w:ascii="helvetica" w:hAnsi="helvetica"/>
          <w:sz w:val="20"/>
        </w:rPr>
        <w:t>A prospectus in electronic format may be made available on the Internet sites or through other online services maintained by the underwriter, or by its affiliates. In those cases, prospective investors may view offering terms online and, depending upon the underwriter, prospective investors may be allowed to place orders online. The underwriter may agree with us to allocate a specific number of shares for sale to online brokerage account holders. Any such allocation for online distributions will be made by the underwriter on the same basis as other allocations.</w:t>
      </w:r>
    </w:p>
    <w:p>
      <w:pPr>
        <w:pStyle w:val="TextBody"/>
        <w:spacing w:before="0" w:after="0"/>
        <w:ind w:left="0" w:right="0" w:firstLine="720"/>
        <w:jc w:val="left"/>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482" w:name="PGBRK33"/>
      <w:bookmarkStart w:id="483" w:name="PGBRK33"/>
      <w:bookmarkEnd w:id="48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484" w:name="FTR33"/>
      <w:bookmarkStart w:id="485" w:name="FTR33"/>
      <w:bookmarkEnd w:id="48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486" w:name="GLFTR32"/>
      <w:bookmarkEnd w:id="486"/>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helvetica" w:hAnsi="helvetica"/>
          <w:sz w:val="20"/>
        </w:rPr>
      </w:pPr>
      <w:bookmarkStart w:id="487" w:name="PN32"/>
      <w:bookmarkEnd w:id="487"/>
      <w:r>
        <w:rPr>
          <w:rFonts w:ascii="helvetica" w:hAnsi="helvetica"/>
          <w:sz w:val="20"/>
        </w:rPr>
        <w:t>31</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488" w:name="HDR32"/>
      <w:bookmarkStart w:id="489" w:name="HDR32"/>
      <w:bookmarkEnd w:id="48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490" w:name="GLHDR32"/>
      <w:bookmarkEnd w:id="490"/>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r>
        <w:rPr>
          <w:rFonts w:ascii="helvetica" w:hAnsi="helvetica"/>
          <w:sz w:val="20"/>
        </w:rPr>
        <w:t>Other than the prospectus in electronic format, the information on the underwriter’s website and any information contained in any other website maintained by the underwriter is not part of the prospectus or the registration statement of which this prospectus forms a part, has not been approved and/or endorsed by us or the underwriter in its capacity as underwriter and should not be relied upon by investors.</w:t>
      </w:r>
    </w:p>
    <w:p>
      <w:pPr>
        <w:pStyle w:val="TextBody"/>
        <w:spacing w:before="0" w:after="0"/>
        <w:ind w:left="0" w:right="0" w:firstLine="720"/>
        <w:jc w:val="left"/>
        <w:rPr/>
      </w:pPr>
      <w:r>
        <w:rPr/>
        <w:t> </w:t>
      </w:r>
    </w:p>
    <w:p>
      <w:pPr>
        <w:pStyle w:val="TextBody"/>
        <w:spacing w:before="0" w:after="0"/>
        <w:ind w:left="0" w:right="0" w:firstLine="720"/>
        <w:jc w:val="left"/>
        <w:rPr>
          <w:rFonts w:ascii="helvetica" w:hAnsi="helvetica"/>
          <w:sz w:val="20"/>
        </w:rPr>
      </w:pPr>
      <w:r>
        <w:rPr>
          <w:rFonts w:ascii="helvetica" w:hAnsi="helvetica"/>
          <w:sz w:val="20"/>
        </w:rPr>
        <w:t>The underwriter’s compensation in connection with this offering is limited to the fees and expenses described in this section under “Underwriting Discount and Expenses.”</w:t>
      </w:r>
    </w:p>
    <w:p>
      <w:pPr>
        <w:pStyle w:val="TextBody"/>
        <w:spacing w:before="0" w:after="0"/>
        <w:ind w:left="0" w:right="0" w:firstLine="720"/>
        <w:jc w:val="left"/>
        <w:rPr/>
      </w:pPr>
      <w:r>
        <w:rPr/>
        <w:t> </w:t>
      </w:r>
    </w:p>
    <w:p>
      <w:pPr>
        <w:pStyle w:val="TextBody"/>
        <w:spacing w:before="0" w:after="0"/>
        <w:ind w:left="0" w:right="0" w:hanging="0"/>
        <w:jc w:val="both"/>
        <w:rPr>
          <w:rFonts w:ascii="helvetica" w:hAnsi="helvetica"/>
          <w:b/>
          <w:sz w:val="20"/>
        </w:rPr>
      </w:pPr>
      <w:r>
        <w:rPr>
          <w:rFonts w:ascii="helvetica" w:hAnsi="helvetica"/>
          <w:b/>
          <w:sz w:val="20"/>
        </w:rPr>
        <w:t>United Kingdom</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r>
        <w:rPr>
          <w:rFonts w:ascii="helvetica" w:hAnsi="helvetica"/>
          <w:sz w:val="20"/>
        </w:rPr>
        <w:t>This document is only being distributed to and is only directed at (i) persons who are outside the United Kingdom or (ii) investment professionals falling within Article 19(5) of the Financial Services and Markets Act 2000 (Financial Promotion) Order 2005 (the “Order”), or (iii) high net worth entities, and other persons to whom it may lawfully be communicated, falling within Article 49(2)(a) to (e) of the Order (all such persons together being referred to as “relevant persons”). The shares of common stock are only available to, and any invitation, offer or agreement to subscribe, purchase or otherwise acquire such common stock will be engaged in only with, relevant persons. Any person who is not a relevant person should not act or rely on this document or any of its contents.</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r>
        <w:rPr>
          <w:rFonts w:ascii="helvetica" w:hAnsi="helvetica"/>
          <w:sz w:val="20"/>
        </w:rPr>
        <w:t>The underwriter has represented and agreed that:</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r>
        <w:rPr>
          <w:rFonts w:ascii="helvetica" w:hAnsi="helvetica"/>
          <w:sz w:val="20"/>
        </w:rPr>
        <w:t>(a) it has only communicated or caused to be communicated and will only communicate or cause to be communicated an invitation or inducement to engage in investment activity (within the meaning of Section 21 of the Financial Services and Markets Act 2000 or FSMA) received by it in connection with the issue or sale of the shares in circumstances in which Section 21(1) of the FSMA does not apply to us, and</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r>
        <w:rPr>
          <w:rFonts w:ascii="helvetica" w:hAnsi="helvetica"/>
          <w:sz w:val="20"/>
        </w:rPr>
        <w:t>(b) it has complied with, and will comply with all applicable provisions of FSMA with respect to anything done by it in relation to the shares in, from or otherwise involving the United Kingdom.</w:t>
      </w:r>
    </w:p>
    <w:p>
      <w:pPr>
        <w:pStyle w:val="TextBody"/>
        <w:spacing w:before="0" w:after="0"/>
        <w:ind w:left="0" w:right="0" w:hanging="0"/>
        <w:jc w:val="both"/>
        <w:rPr/>
      </w:pPr>
      <w:r>
        <w:rPr/>
        <w:t> </w:t>
      </w:r>
    </w:p>
    <w:p>
      <w:pPr>
        <w:pStyle w:val="TextBody"/>
        <w:spacing w:before="0" w:after="0"/>
        <w:ind w:left="0" w:right="0" w:hanging="0"/>
        <w:jc w:val="left"/>
        <w:rPr>
          <w:rFonts w:ascii="helvetica" w:hAnsi="helvetica"/>
          <w:b/>
          <w:sz w:val="20"/>
        </w:rPr>
      </w:pPr>
      <w:r>
        <w:rPr>
          <w:rFonts w:ascii="helvetica" w:hAnsi="helvetica"/>
          <w:b/>
          <w:sz w:val="20"/>
        </w:rPr>
        <w:t>European Economic Area</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r>
        <w:rPr>
          <w:rFonts w:ascii="helvetica" w:hAnsi="helvetica"/>
          <w:sz w:val="20"/>
        </w:rPr>
        <w:t>To the extent that the offer of the common stock is made in any Member State of the European Economic Area that has implemented the Prospectus Directive before the date of publication of a prospectus in relation to the common stock which has been approved by the competent authority in the Member State in accordance with the Prospectus Directive (or, where appropriate, published in accordance with the Prospectus Directive and notified to the competent authority in the Member State in accordance with the Prospectus Directive), the offer (including any offer pursuant to this document) is only addressed to qualified investors in that Member State within the meaning of the Prospectus Directive or has been or will be made otherwise in circumstances that do not require us to publish a prospectus pursuant to the Prospectus Directive.</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r>
        <w:rPr>
          <w:rFonts w:ascii="helvetica" w:hAnsi="helvetica"/>
          <w:sz w:val="20"/>
        </w:rPr>
        <w:t>In relation to each Member State of the European Economic Area which has implemented the Prospectus Directive (each, a “Relevant Member State”), the underwriter has represented and agreed that with effect from and including the date on which the Prospectus Directive is implemented in that Relevant Member State (the “Relevant Implementation Date”) it has not made and will not make an offer of shares to the public in that Relevant Member State prior to the publication of a prospectus in relation to the shares which has been approved by the competent authority in that Relevant Member State or, where appropriate, approved in another Relevant Member State and notified to the competent authority in that Relevant Member State, all in accordance with the Prospectus Directive, except that it may, with effect from and including the Relevant Implementation Date, make an offer of shares to the public in that Relevant Member State at any time:</w:t>
      </w:r>
    </w:p>
    <w:p>
      <w:pPr>
        <w:pStyle w:val="TextBody"/>
        <w:spacing w:before="0" w:after="0"/>
        <w:ind w:left="0" w:right="0" w:firstLine="720"/>
        <w:jc w:val="left"/>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491" w:name="PGBRK34"/>
      <w:bookmarkStart w:id="492" w:name="PGBRK34"/>
      <w:bookmarkEnd w:id="49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493" w:name="FTR34"/>
      <w:bookmarkStart w:id="494" w:name="FTR34"/>
      <w:bookmarkEnd w:id="49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495" w:name="GLFTR33"/>
      <w:bookmarkEnd w:id="495"/>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helvetica" w:hAnsi="helvetica"/>
          <w:sz w:val="20"/>
        </w:rPr>
      </w:pPr>
      <w:bookmarkStart w:id="496" w:name="PN33"/>
      <w:bookmarkEnd w:id="496"/>
      <w:r>
        <w:rPr>
          <w:rFonts w:ascii="helvetica" w:hAnsi="helvetica"/>
          <w:sz w:val="20"/>
        </w:rPr>
        <w:t>32</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497" w:name="HDR33"/>
      <w:bookmarkStart w:id="498" w:name="HDR33"/>
      <w:bookmarkEnd w:id="49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499" w:name="GLHDR33"/>
      <w:bookmarkEnd w:id="499"/>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r>
        <w:rPr>
          <w:rFonts w:ascii="helvetica" w:hAnsi="helvetica"/>
          <w:sz w:val="20"/>
        </w:rPr>
        <w:t>(a) to legal entities which are authorized or regulated to operate in the financial markets or, if not so authorized or regulated, whose corporate purpose is solely to invest in securities,</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r>
        <w:rPr>
          <w:rFonts w:ascii="helvetica" w:hAnsi="helvetica"/>
          <w:sz w:val="20"/>
        </w:rPr>
        <w:t>(b) to any legal entity which has two or more of (1) an average of at least 250 employees during the last financial year; (2) a total balance sheet of more than €43,000,000, and (3) an annual net turnover of more than €50,000,000, as shown in its last annual or consolidated accounts, or in any other circumstances which do not require the publication by us of a prospectus pursuant to Article 3 of the Prospectus Directive. For the purposes of this provision, the expression an “offer of shares to the public” in relation to any shares in any Relevant Member State means the communication in any form and by any means of sufficient information on the terms of the offer and the shares to be offered so as to enable an investor to decide to purchase or subscribe the shares, as the same may be varied in that Relevant Member State by any measure implementing the Prospectus Directive in that Relevant Member State and the expression “Prospectus Directive” means Directive 2003/71/EC and includes any relevant implementing measure in each Relevant Member State.</w:t>
      </w:r>
    </w:p>
    <w:p>
      <w:pPr>
        <w:pStyle w:val="TextBody"/>
        <w:spacing w:before="0" w:after="0"/>
        <w:ind w:left="0" w:right="0" w:firstLine="720"/>
        <w:jc w:val="left"/>
        <w:rPr/>
      </w:pPr>
      <w:r>
        <w:rPr/>
        <w:t> </w:t>
      </w:r>
    </w:p>
    <w:p>
      <w:pPr>
        <w:pStyle w:val="TextBody"/>
        <w:spacing w:before="0" w:after="0"/>
        <w:ind w:left="0" w:right="0" w:firstLine="720"/>
        <w:jc w:val="left"/>
        <w:rPr>
          <w:rFonts w:ascii="helvetica" w:hAnsi="helvetica"/>
          <w:sz w:val="20"/>
        </w:rPr>
      </w:pPr>
      <w:r>
        <w:rPr>
          <w:rFonts w:ascii="helvetica" w:hAnsi="helvetica"/>
          <w:sz w:val="20"/>
        </w:rPr>
        <w:t>The EEA selling restriction is in addition to any other selling restrictions set out below. In relation to each Relevant Member State, each purchaser of shares of common stock (other than the underwriter) will be deemed to have represented, acknowledged and agreed that it will not make an offer of shares of common stock to the public in any Relevant Member State, except that it may, with effect from and including the date on which the Prospectus Directive is implemented in the Relevant Member State, make an offer of shares of common stock to the public in that Relevant Member State at any time in any circumstances which do not require the publication by us of a prospectus pursuant to Article 3 of the Prospectus Directive, provided that such purchaser agrees that it has not and will not make an offer of any shares of common stock in reliance or purported reliance on Article 3(2)(b) of the Prospectus Directive. For the purposes of this provision, the expression an “offer of shares to the public” in relation to any shares of common stock in any Relevant Member State has the same meaning as in the preceding paragraph.</w:t>
      </w:r>
    </w:p>
    <w:p>
      <w:pPr>
        <w:pStyle w:val="TextBody"/>
        <w:spacing w:before="0" w:after="0"/>
        <w:ind w:left="0" w:right="0" w:hanging="0"/>
        <w:jc w:val="both"/>
        <w:rPr/>
      </w:pPr>
      <w:r>
        <w:rPr/>
        <w:t> </w:t>
      </w:r>
    </w:p>
    <w:p>
      <w:pPr>
        <w:pStyle w:val="TextBody"/>
        <w:spacing w:before="0" w:after="0"/>
        <w:ind w:left="720" w:right="0" w:hanging="0"/>
        <w:jc w:val="center"/>
        <w:rPr>
          <w:rFonts w:ascii="helvetica" w:hAnsi="helvetica"/>
          <w:b/>
          <w:sz w:val="20"/>
        </w:rPr>
      </w:pPr>
      <w:bookmarkStart w:id="500" w:name="TAB11"/>
      <w:bookmarkEnd w:id="500"/>
      <w:r>
        <w:rPr>
          <w:rFonts w:ascii="helvetica" w:hAnsi="helvetica"/>
          <w:b/>
          <w:sz w:val="20"/>
        </w:rPr>
        <w:t>MARKET PRICE OF AND DIVIDENDS ON COMMON STOCK AND RELATED MATTERS</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r>
        <w:rPr>
          <w:rFonts w:ascii="helvetica" w:hAnsi="helvetica"/>
          <w:sz w:val="20"/>
        </w:rPr>
        <w:t>Our common stock has been quoted on the  over-the-counter market beginning on March 14, 2007 and is currently quoted on the OTC Markets Group QB tier, or OTCQB, under the symbol IMMY.  Effective September 21, 2007, our common shares began quotation on the Over-the-Counter Bulletin Board, or OTCBB, under the symbol TDLP.  Due to our failure to comply with SEC filing requirements and following our entry into bankruptcy proceedings (as described in more detail elsewhere in this prospectus), effective May 20, 2011, our common stock ceased being quoted on the OTCBB and, effective on June 28, 2011, began quotation under the symbol TDLPQ.PK on the OTC Markets Group Pink tier, or OTC Pink. On  February  24, 2012, our common stock began quotation on the OTCQB under the symbol TDLPD, in connection with the one-for-eight reverse split of our authorized, issued and outstanding common stock effected on February 28, 2012. On March 23, 2012, our common stock began trading under the symbol IMMY in connection with our name change to Imprimis Pharmaceuticals, Inc. The liquidity of our shares on the OTCBB, OTC Pink and OTCQB markets  has been  extremely limited and any prices quoted may not be a reliable indication of the value of our common stock.  There is no established trading market for our common stock.</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r>
        <w:rPr>
          <w:rFonts w:ascii="helvetica" w:hAnsi="helvetica"/>
          <w:sz w:val="20"/>
        </w:rPr>
        <w:t>The following table sets forth the high and low last-bid prices for our common stock for the periods indicated, as reported by the OTCBB, OTC Pink or the OTCQB, as applicable, after giving effect to the expected one-for-five reverse stock split. The quotations reflect inter-dealer prices, without retail mark-up, mark-down or commission, and may not represent actual transactions.</w:t>
      </w:r>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7537"/>
        <w:gridCol w:w="110"/>
        <w:gridCol w:w="125"/>
        <w:gridCol w:w="986"/>
        <w:gridCol w:w="110"/>
        <w:gridCol w:w="110"/>
        <w:gridCol w:w="125"/>
        <w:gridCol w:w="986"/>
        <w:gridCol w:w="116"/>
      </w:tblGrid>
      <w:tr>
        <w:trPr/>
        <w:tc>
          <w:tcPr>
            <w:tcW w:w="7537" w:type="dxa"/>
            <w:tcBorders/>
            <w:shd w:fill="auto" w:val="clear"/>
            <w:vAlign w:val="bottom"/>
          </w:tcPr>
          <w:p>
            <w:pPr>
              <w:pStyle w:val="TableContents"/>
              <w:spacing w:before="0" w:after="0"/>
              <w:ind w:left="0" w:right="16" w:hanging="0"/>
              <w:jc w:val="left"/>
              <w:rPr>
                <w:rFonts w:ascii="helvetica" w:hAnsi="helvetica"/>
                <w:b/>
                <w:sz w:val="16"/>
              </w:rPr>
            </w:pPr>
            <w:r>
              <w:rPr>
                <w:rFonts w:ascii="helvetica" w:hAnsi="helvetica"/>
                <w:b/>
                <w:sz w:val="16"/>
              </w:rPr>
              <w:t>Fiscal Year 2012</w:t>
            </w:r>
          </w:p>
        </w:tc>
        <w:tc>
          <w:tcPr>
            <w:tcW w:w="1221" w:type="dxa"/>
            <w:gridSpan w:val="3"/>
            <w:tcBorders>
              <w:bottom w:val="single" w:sz="12" w:space="0" w:color="000000"/>
            </w:tcBorders>
            <w:shd w:fill="auto" w:val="clear"/>
            <w:tcMar>
              <w:bottom w:w="28" w:type="dxa"/>
            </w:tcMar>
            <w:vAlign w:val="bottom"/>
          </w:tcPr>
          <w:p>
            <w:pPr>
              <w:pStyle w:val="TableContents"/>
              <w:spacing w:before="0" w:after="0"/>
              <w:ind w:left="0" w:right="36" w:hanging="0"/>
              <w:jc w:val="center"/>
              <w:rPr>
                <w:rFonts w:ascii="helvetica" w:hAnsi="helvetica"/>
                <w:b/>
                <w:sz w:val="16"/>
              </w:rPr>
            </w:pPr>
            <w:r>
              <w:rPr>
                <w:rFonts w:ascii="helvetica" w:hAnsi="helvetica"/>
                <w:b/>
                <w:sz w:val="16"/>
              </w:rPr>
              <w:t>High</w:t>
            </w:r>
          </w:p>
        </w:tc>
        <w:tc>
          <w:tcPr>
            <w:tcW w:w="110" w:type="dxa"/>
            <w:tcBorders/>
            <w:shd w:fill="auto" w:val="clear"/>
            <w:vAlign w:val="bottom"/>
          </w:tcPr>
          <w:p>
            <w:pPr>
              <w:pStyle w:val="TableContents"/>
              <w:spacing w:before="0" w:after="283"/>
              <w:jc w:val="left"/>
              <w:rPr/>
            </w:pPr>
            <w:r>
              <w:rPr/>
              <w:t> </w:t>
            </w:r>
          </w:p>
        </w:tc>
        <w:tc>
          <w:tcPr>
            <w:tcW w:w="1221" w:type="dxa"/>
            <w:gridSpan w:val="3"/>
            <w:tcBorders>
              <w:bottom w:val="single" w:sz="12" w:space="0" w:color="000000"/>
            </w:tcBorders>
            <w:shd w:fill="auto" w:val="clear"/>
            <w:tcMar>
              <w:bottom w:w="28" w:type="dxa"/>
            </w:tcMar>
            <w:vAlign w:val="bottom"/>
          </w:tcPr>
          <w:p>
            <w:pPr>
              <w:pStyle w:val="TableContents"/>
              <w:spacing w:before="0" w:after="0"/>
              <w:ind w:left="0" w:right="36" w:hanging="0"/>
              <w:jc w:val="center"/>
              <w:rPr>
                <w:rFonts w:ascii="helvetica" w:hAnsi="helvetica"/>
                <w:b/>
                <w:sz w:val="16"/>
              </w:rPr>
            </w:pPr>
            <w:r>
              <w:rPr>
                <w:rFonts w:ascii="helvetica" w:hAnsi="helvetica"/>
                <w:b/>
                <w:sz w:val="16"/>
              </w:rPr>
              <w:t>Low</w:t>
            </w:r>
          </w:p>
        </w:tc>
        <w:tc>
          <w:tcPr>
            <w:tcW w:w="116" w:type="dxa"/>
            <w:tcBorders/>
            <w:shd w:fill="auto" w:val="clear"/>
            <w:vAlign w:val="bottom"/>
          </w:tcPr>
          <w:p>
            <w:pPr>
              <w:pStyle w:val="TableContents"/>
              <w:spacing w:before="0" w:after="283"/>
              <w:jc w:val="left"/>
              <w:rPr/>
            </w:pPr>
            <w:r>
              <w:rPr/>
              <w:t> </w:t>
            </w:r>
          </w:p>
        </w:tc>
      </w:tr>
      <w:tr>
        <w:trPr/>
        <w:tc>
          <w:tcPr>
            <w:tcW w:w="7537" w:type="dxa"/>
            <w:tcBorders/>
            <w:shd w:fill="CCEEFF" w:val="clear"/>
            <w:vAlign w:val="bottom"/>
          </w:tcPr>
          <w:p>
            <w:pPr>
              <w:pStyle w:val="TableContents"/>
              <w:spacing w:before="0" w:after="0"/>
              <w:ind w:left="0" w:right="16" w:hanging="0"/>
              <w:jc w:val="left"/>
              <w:rPr>
                <w:rFonts w:ascii="helvetica" w:hAnsi="helvetica"/>
                <w:sz w:val="20"/>
              </w:rPr>
            </w:pPr>
            <w:r>
              <w:rPr>
                <w:rFonts w:ascii="helvetica" w:hAnsi="helvetica"/>
                <w:sz w:val="20"/>
              </w:rPr>
              <w:t>First Quarter</w:t>
            </w:r>
          </w:p>
        </w:tc>
        <w:tc>
          <w:tcPr>
            <w:tcW w:w="110"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rFonts w:ascii="helvetica" w:hAnsi="helvetica"/>
                <w:sz w:val="20"/>
              </w:rPr>
            </w:pPr>
            <w:r>
              <w:rPr>
                <w:rFonts w:ascii="helvetica" w:hAnsi="helvetica"/>
                <w:sz w:val="20"/>
              </w:rPr>
              <w:t>$</w:t>
            </w:r>
          </w:p>
        </w:tc>
        <w:tc>
          <w:tcPr>
            <w:tcW w:w="986"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7.25</w:t>
            </w:r>
          </w:p>
        </w:tc>
        <w:tc>
          <w:tcPr>
            <w:tcW w:w="110" w:type="dxa"/>
            <w:tcBorders/>
            <w:shd w:fill="CCEEFF" w:val="clear"/>
            <w:vAlign w:val="bottom"/>
          </w:tcPr>
          <w:p>
            <w:pPr>
              <w:pStyle w:val="TableContents"/>
              <w:spacing w:before="0" w:after="283"/>
              <w:jc w:val="left"/>
              <w:rPr/>
            </w:pPr>
            <w:r>
              <w:rPr/>
              <w:t> </w:t>
            </w:r>
          </w:p>
        </w:tc>
        <w:tc>
          <w:tcPr>
            <w:tcW w:w="110"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rFonts w:ascii="helvetica" w:hAnsi="helvetica"/>
                <w:sz w:val="20"/>
              </w:rPr>
            </w:pPr>
            <w:r>
              <w:rPr>
                <w:rFonts w:ascii="helvetica" w:hAnsi="helvetica"/>
                <w:sz w:val="20"/>
              </w:rPr>
              <w:t>$</w:t>
            </w:r>
          </w:p>
        </w:tc>
        <w:tc>
          <w:tcPr>
            <w:tcW w:w="986"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0.35</w:t>
            </w:r>
          </w:p>
        </w:tc>
        <w:tc>
          <w:tcPr>
            <w:tcW w:w="116" w:type="dxa"/>
            <w:tcBorders/>
            <w:shd w:fill="CCEEFF" w:val="clear"/>
            <w:vAlign w:val="bottom"/>
          </w:tcPr>
          <w:p>
            <w:pPr>
              <w:pStyle w:val="TableContents"/>
              <w:spacing w:before="0" w:after="283"/>
              <w:jc w:val="left"/>
              <w:rPr/>
            </w:pPr>
            <w:r>
              <w:rPr/>
              <w:t> </w:t>
            </w:r>
          </w:p>
        </w:tc>
      </w:tr>
      <w:tr>
        <w:trPr/>
        <w:tc>
          <w:tcPr>
            <w:tcW w:w="7537" w:type="dxa"/>
            <w:tcBorders/>
            <w:shd w:fill="FFFFFF" w:val="clear"/>
            <w:vAlign w:val="bottom"/>
          </w:tcPr>
          <w:p>
            <w:pPr>
              <w:pStyle w:val="TableContents"/>
              <w:spacing w:before="0" w:after="0"/>
              <w:ind w:left="0" w:right="16" w:hanging="0"/>
              <w:jc w:val="left"/>
              <w:rPr>
                <w:rFonts w:ascii="helvetica" w:hAnsi="helvetica"/>
                <w:sz w:val="20"/>
              </w:rPr>
            </w:pPr>
            <w:r>
              <w:rPr>
                <w:rFonts w:ascii="helvetica" w:hAnsi="helvetica"/>
                <w:sz w:val="20"/>
              </w:rPr>
              <w:t>Second Quarter</w:t>
            </w:r>
          </w:p>
        </w:tc>
        <w:tc>
          <w:tcPr>
            <w:tcW w:w="110"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rFonts w:ascii="helvetica" w:hAnsi="helvetica"/>
                <w:sz w:val="20"/>
              </w:rPr>
            </w:pPr>
            <w:r>
              <w:rPr>
                <w:rFonts w:ascii="helvetica" w:hAnsi="helvetica"/>
                <w:sz w:val="20"/>
              </w:rPr>
              <w:t>$</w:t>
            </w:r>
          </w:p>
        </w:tc>
        <w:tc>
          <w:tcPr>
            <w:tcW w:w="986"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7.50</w:t>
            </w:r>
          </w:p>
        </w:tc>
        <w:tc>
          <w:tcPr>
            <w:tcW w:w="110" w:type="dxa"/>
            <w:tcBorders/>
            <w:shd w:fill="FFFFFF" w:val="clear"/>
            <w:vAlign w:val="bottom"/>
          </w:tcPr>
          <w:p>
            <w:pPr>
              <w:pStyle w:val="TableContents"/>
              <w:spacing w:before="0" w:after="283"/>
              <w:jc w:val="left"/>
              <w:rPr/>
            </w:pPr>
            <w:r>
              <w:rPr/>
              <w:t> </w:t>
            </w:r>
          </w:p>
        </w:tc>
        <w:tc>
          <w:tcPr>
            <w:tcW w:w="110"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rFonts w:ascii="helvetica" w:hAnsi="helvetica"/>
                <w:sz w:val="20"/>
              </w:rPr>
            </w:pPr>
            <w:r>
              <w:rPr>
                <w:rFonts w:ascii="helvetica" w:hAnsi="helvetica"/>
                <w:sz w:val="20"/>
              </w:rPr>
              <w:t>$</w:t>
            </w:r>
          </w:p>
        </w:tc>
        <w:tc>
          <w:tcPr>
            <w:tcW w:w="986"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2.60</w:t>
            </w:r>
          </w:p>
        </w:tc>
        <w:tc>
          <w:tcPr>
            <w:tcW w:w="116" w:type="dxa"/>
            <w:tcBorders/>
            <w:shd w:fill="FFFFFF" w:val="clear"/>
            <w:vAlign w:val="bottom"/>
          </w:tcPr>
          <w:p>
            <w:pPr>
              <w:pStyle w:val="TableContents"/>
              <w:spacing w:before="0" w:after="283"/>
              <w:jc w:val="left"/>
              <w:rPr/>
            </w:pPr>
            <w:r>
              <w:rPr/>
              <w:t> </w:t>
            </w:r>
          </w:p>
        </w:tc>
      </w:tr>
      <w:tr>
        <w:trPr/>
        <w:tc>
          <w:tcPr>
            <w:tcW w:w="7537" w:type="dxa"/>
            <w:tcBorders/>
            <w:shd w:fill="CCEEFF" w:val="clear"/>
            <w:vAlign w:val="bottom"/>
          </w:tcPr>
          <w:p>
            <w:pPr>
              <w:pStyle w:val="TableContents"/>
              <w:spacing w:before="0" w:after="0"/>
              <w:ind w:left="0" w:right="16" w:hanging="0"/>
              <w:jc w:val="left"/>
              <w:rPr>
                <w:rFonts w:ascii="helvetica" w:hAnsi="helvetica"/>
                <w:sz w:val="20"/>
              </w:rPr>
            </w:pPr>
            <w:r>
              <w:rPr>
                <w:rFonts w:ascii="helvetica" w:hAnsi="helvetica"/>
                <w:sz w:val="20"/>
              </w:rPr>
              <w:t>Third Quarter (through August 31, 2012)</w:t>
            </w:r>
          </w:p>
        </w:tc>
        <w:tc>
          <w:tcPr>
            <w:tcW w:w="110"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rFonts w:ascii="helvetica" w:hAnsi="helvetica"/>
                <w:sz w:val="20"/>
              </w:rPr>
            </w:pPr>
            <w:r>
              <w:rPr>
                <w:rFonts w:ascii="helvetica" w:hAnsi="helvetica"/>
                <w:sz w:val="20"/>
              </w:rPr>
              <w:t>$</w:t>
            </w:r>
          </w:p>
        </w:tc>
        <w:tc>
          <w:tcPr>
            <w:tcW w:w="986" w:type="dxa"/>
            <w:tcBorders/>
            <w:shd w:fill="CCEEFF" w:val="clear"/>
            <w:vAlign w:val="bottom"/>
          </w:tcPr>
          <w:p>
            <w:pPr>
              <w:pStyle w:val="TableContents"/>
              <w:spacing w:before="0" w:after="283"/>
              <w:jc w:val="right"/>
              <w:rPr/>
            </w:pPr>
            <w:r>
              <w:rPr>
                <w:rFonts w:ascii="helvetica" w:hAnsi="helvetica"/>
                <w:sz w:val="20"/>
              </w:rPr>
              <w:t>6.25</w:t>
            </w:r>
            <w:r>
              <w:rPr/>
              <w:t xml:space="preserve"> </w:t>
            </w:r>
          </w:p>
        </w:tc>
        <w:tc>
          <w:tcPr>
            <w:tcW w:w="110" w:type="dxa"/>
            <w:tcBorders/>
            <w:shd w:fill="CCEEFF" w:val="clear"/>
            <w:vAlign w:val="bottom"/>
          </w:tcPr>
          <w:p>
            <w:pPr>
              <w:pStyle w:val="TableContents"/>
              <w:spacing w:before="0" w:after="283"/>
              <w:jc w:val="left"/>
              <w:rPr/>
            </w:pPr>
            <w:r>
              <w:rPr/>
              <w:t> </w:t>
            </w:r>
          </w:p>
        </w:tc>
        <w:tc>
          <w:tcPr>
            <w:tcW w:w="110"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rFonts w:ascii="helvetica" w:hAnsi="helvetica"/>
                <w:sz w:val="20"/>
              </w:rPr>
            </w:pPr>
            <w:r>
              <w:rPr>
                <w:rFonts w:ascii="helvetica" w:hAnsi="helvetica"/>
                <w:sz w:val="20"/>
              </w:rPr>
              <w:t>$</w:t>
            </w:r>
          </w:p>
        </w:tc>
        <w:tc>
          <w:tcPr>
            <w:tcW w:w="986"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3.00</w:t>
            </w:r>
          </w:p>
        </w:tc>
        <w:tc>
          <w:tcPr>
            <w:tcW w:w="116" w:type="dxa"/>
            <w:tcBorders/>
            <w:shd w:fill="CCEEFF" w:val="clear"/>
            <w:vAlign w:val="bottom"/>
          </w:tcPr>
          <w:p>
            <w:pPr>
              <w:pStyle w:val="TableContents"/>
              <w:spacing w:before="0" w:after="283"/>
              <w:jc w:val="left"/>
              <w:rPr/>
            </w:pPr>
            <w:r>
              <w:rPr/>
              <w:t> </w:t>
            </w:r>
          </w:p>
        </w:tc>
      </w:tr>
      <w:tr>
        <w:trPr/>
        <w:tc>
          <w:tcPr>
            <w:tcW w:w="7537" w:type="dxa"/>
            <w:tcBorders/>
            <w:shd w:fill="FFFFFF" w:val="clear"/>
            <w:vAlign w:val="bottom"/>
          </w:tcPr>
          <w:p>
            <w:pPr>
              <w:pStyle w:val="TableContents"/>
              <w:spacing w:before="0" w:after="283"/>
              <w:rPr/>
            </w:pPr>
            <w:r>
              <w:rPr/>
              <w:t xml:space="preserve">  </w:t>
            </w:r>
          </w:p>
        </w:tc>
        <w:tc>
          <w:tcPr>
            <w:tcW w:w="110"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986" w:type="dxa"/>
            <w:tcBorders/>
            <w:shd w:fill="FFFFFF" w:val="clear"/>
            <w:vAlign w:val="bottom"/>
          </w:tcPr>
          <w:p>
            <w:pPr>
              <w:pStyle w:val="TableContents"/>
              <w:spacing w:before="0" w:after="283"/>
              <w:jc w:val="right"/>
              <w:rPr/>
            </w:pPr>
            <w:r>
              <w:rPr/>
              <w:t> </w:t>
            </w:r>
          </w:p>
        </w:tc>
        <w:tc>
          <w:tcPr>
            <w:tcW w:w="110" w:type="dxa"/>
            <w:tcBorders/>
            <w:shd w:fill="FFFFFF" w:val="clear"/>
            <w:vAlign w:val="bottom"/>
          </w:tcPr>
          <w:p>
            <w:pPr>
              <w:pStyle w:val="TableContents"/>
              <w:spacing w:before="0" w:after="283"/>
              <w:jc w:val="left"/>
              <w:rPr/>
            </w:pPr>
            <w:r>
              <w:rPr/>
              <w:t> </w:t>
            </w:r>
          </w:p>
        </w:tc>
        <w:tc>
          <w:tcPr>
            <w:tcW w:w="110"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986" w:type="dxa"/>
            <w:tcBorders/>
            <w:shd w:fill="FFFFFF" w:val="clear"/>
            <w:vAlign w:val="bottom"/>
          </w:tcPr>
          <w:p>
            <w:pPr>
              <w:pStyle w:val="TableContents"/>
              <w:spacing w:before="0" w:after="283"/>
              <w:jc w:val="right"/>
              <w:rPr/>
            </w:pPr>
            <w:r>
              <w:rPr/>
              <w:t> </w:t>
            </w:r>
          </w:p>
        </w:tc>
        <w:tc>
          <w:tcPr>
            <w:tcW w:w="116" w:type="dxa"/>
            <w:tcBorders/>
            <w:shd w:fill="FFFFFF" w:val="clear"/>
            <w:vAlign w:val="bottom"/>
          </w:tcPr>
          <w:p>
            <w:pPr>
              <w:pStyle w:val="TableContents"/>
              <w:spacing w:before="0" w:after="283"/>
              <w:jc w:val="left"/>
              <w:rPr/>
            </w:pPr>
            <w:r>
              <w:rPr/>
              <w:t> </w:t>
            </w:r>
          </w:p>
        </w:tc>
      </w:tr>
      <w:tr>
        <w:trPr/>
        <w:tc>
          <w:tcPr>
            <w:tcW w:w="7537" w:type="dxa"/>
            <w:tcBorders/>
            <w:shd w:fill="FFFFFF" w:val="clear"/>
            <w:vAlign w:val="bottom"/>
          </w:tcPr>
          <w:p>
            <w:pPr>
              <w:pStyle w:val="TableContents"/>
              <w:spacing w:before="0" w:after="0"/>
              <w:ind w:left="0" w:right="16" w:hanging="0"/>
              <w:jc w:val="left"/>
              <w:rPr>
                <w:rFonts w:ascii="helvetica" w:hAnsi="helvetica"/>
                <w:b/>
                <w:sz w:val="16"/>
              </w:rPr>
            </w:pPr>
            <w:r>
              <w:rPr>
                <w:rFonts w:ascii="helvetica" w:hAnsi="helvetica"/>
                <w:b/>
                <w:sz w:val="16"/>
              </w:rPr>
              <w:t>Fiscal Year 2011</w:t>
            </w:r>
          </w:p>
        </w:tc>
        <w:tc>
          <w:tcPr>
            <w:tcW w:w="1221" w:type="dxa"/>
            <w:gridSpan w:val="3"/>
            <w:tcBorders>
              <w:bottom w:val="single" w:sz="12" w:space="0" w:color="000000"/>
            </w:tcBorders>
            <w:shd w:fill="FFFFFF" w:val="clear"/>
            <w:tcMar>
              <w:bottom w:w="28" w:type="dxa"/>
            </w:tcMar>
            <w:vAlign w:val="bottom"/>
          </w:tcPr>
          <w:p>
            <w:pPr>
              <w:pStyle w:val="TableContents"/>
              <w:spacing w:before="0" w:after="0"/>
              <w:ind w:left="0" w:right="36" w:hanging="0"/>
              <w:jc w:val="center"/>
              <w:rPr>
                <w:rFonts w:ascii="helvetica" w:hAnsi="helvetica"/>
                <w:b/>
                <w:sz w:val="16"/>
              </w:rPr>
            </w:pPr>
            <w:r>
              <w:rPr>
                <w:rFonts w:ascii="helvetica" w:hAnsi="helvetica"/>
                <w:b/>
                <w:sz w:val="16"/>
              </w:rPr>
              <w:t>High</w:t>
            </w:r>
          </w:p>
        </w:tc>
        <w:tc>
          <w:tcPr>
            <w:tcW w:w="110" w:type="dxa"/>
            <w:tcBorders/>
            <w:shd w:fill="FFFFFF" w:val="clear"/>
            <w:vAlign w:val="bottom"/>
          </w:tcPr>
          <w:p>
            <w:pPr>
              <w:pStyle w:val="TableContents"/>
              <w:spacing w:before="0" w:after="283"/>
              <w:jc w:val="left"/>
              <w:rPr/>
            </w:pPr>
            <w:r>
              <w:rPr/>
              <w:t> </w:t>
            </w:r>
          </w:p>
        </w:tc>
        <w:tc>
          <w:tcPr>
            <w:tcW w:w="1221" w:type="dxa"/>
            <w:gridSpan w:val="3"/>
            <w:tcBorders>
              <w:bottom w:val="single" w:sz="12" w:space="0" w:color="000000"/>
            </w:tcBorders>
            <w:shd w:fill="FFFFFF" w:val="clear"/>
            <w:tcMar>
              <w:bottom w:w="28" w:type="dxa"/>
            </w:tcMar>
            <w:vAlign w:val="bottom"/>
          </w:tcPr>
          <w:p>
            <w:pPr>
              <w:pStyle w:val="TableContents"/>
              <w:spacing w:before="0" w:after="0"/>
              <w:ind w:left="0" w:right="36" w:hanging="0"/>
              <w:jc w:val="center"/>
              <w:rPr>
                <w:rFonts w:ascii="helvetica" w:hAnsi="helvetica"/>
                <w:b/>
                <w:sz w:val="16"/>
              </w:rPr>
            </w:pPr>
            <w:r>
              <w:rPr>
                <w:rFonts w:ascii="helvetica" w:hAnsi="helvetica"/>
                <w:b/>
                <w:sz w:val="16"/>
              </w:rPr>
              <w:t>Low</w:t>
            </w:r>
          </w:p>
        </w:tc>
        <w:tc>
          <w:tcPr>
            <w:tcW w:w="116" w:type="dxa"/>
            <w:tcBorders/>
            <w:shd w:fill="FFFFFF" w:val="clear"/>
            <w:vAlign w:val="bottom"/>
          </w:tcPr>
          <w:p>
            <w:pPr>
              <w:pStyle w:val="TableContents"/>
              <w:spacing w:before="0" w:after="283"/>
              <w:jc w:val="left"/>
              <w:rPr/>
            </w:pPr>
            <w:r>
              <w:rPr/>
              <w:t> </w:t>
            </w:r>
          </w:p>
        </w:tc>
      </w:tr>
      <w:tr>
        <w:trPr/>
        <w:tc>
          <w:tcPr>
            <w:tcW w:w="7537" w:type="dxa"/>
            <w:tcBorders/>
            <w:shd w:fill="CCEEFF" w:val="clear"/>
            <w:vAlign w:val="bottom"/>
          </w:tcPr>
          <w:p>
            <w:pPr>
              <w:pStyle w:val="TableContents"/>
              <w:spacing w:before="0" w:after="0"/>
              <w:ind w:left="0" w:right="16" w:hanging="0"/>
              <w:jc w:val="left"/>
              <w:rPr>
                <w:rFonts w:ascii="helvetica" w:hAnsi="helvetica"/>
                <w:sz w:val="20"/>
              </w:rPr>
            </w:pPr>
            <w:r>
              <w:rPr>
                <w:rFonts w:ascii="helvetica" w:hAnsi="helvetica"/>
                <w:sz w:val="20"/>
              </w:rPr>
              <w:t>First Quarter</w:t>
            </w:r>
          </w:p>
        </w:tc>
        <w:tc>
          <w:tcPr>
            <w:tcW w:w="110"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rFonts w:ascii="helvetica" w:hAnsi="helvetica"/>
                <w:sz w:val="20"/>
              </w:rPr>
            </w:pPr>
            <w:r>
              <w:rPr>
                <w:rFonts w:ascii="helvetica" w:hAnsi="helvetica"/>
                <w:sz w:val="20"/>
              </w:rPr>
              <w:t>$</w:t>
            </w:r>
          </w:p>
        </w:tc>
        <w:tc>
          <w:tcPr>
            <w:tcW w:w="986"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31.60</w:t>
            </w:r>
          </w:p>
        </w:tc>
        <w:tc>
          <w:tcPr>
            <w:tcW w:w="110" w:type="dxa"/>
            <w:tcBorders/>
            <w:shd w:fill="CCEEFF" w:val="clear"/>
            <w:vAlign w:val="bottom"/>
          </w:tcPr>
          <w:p>
            <w:pPr>
              <w:pStyle w:val="TableContents"/>
              <w:spacing w:before="0" w:after="283"/>
              <w:jc w:val="left"/>
              <w:rPr/>
            </w:pPr>
            <w:r>
              <w:rPr/>
              <w:t> </w:t>
            </w:r>
          </w:p>
        </w:tc>
        <w:tc>
          <w:tcPr>
            <w:tcW w:w="110"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rFonts w:ascii="helvetica" w:hAnsi="helvetica"/>
                <w:sz w:val="20"/>
              </w:rPr>
            </w:pPr>
            <w:r>
              <w:rPr>
                <w:rFonts w:ascii="helvetica" w:hAnsi="helvetica"/>
                <w:sz w:val="20"/>
              </w:rPr>
              <w:t>$</w:t>
            </w:r>
          </w:p>
        </w:tc>
        <w:tc>
          <w:tcPr>
            <w:tcW w:w="986"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8.00</w:t>
            </w:r>
          </w:p>
        </w:tc>
        <w:tc>
          <w:tcPr>
            <w:tcW w:w="116" w:type="dxa"/>
            <w:tcBorders/>
            <w:shd w:fill="CCEEFF" w:val="clear"/>
            <w:vAlign w:val="bottom"/>
          </w:tcPr>
          <w:p>
            <w:pPr>
              <w:pStyle w:val="TableContents"/>
              <w:spacing w:before="0" w:after="283"/>
              <w:jc w:val="left"/>
              <w:rPr/>
            </w:pPr>
            <w:r>
              <w:rPr/>
              <w:t> </w:t>
            </w:r>
          </w:p>
        </w:tc>
      </w:tr>
      <w:tr>
        <w:trPr/>
        <w:tc>
          <w:tcPr>
            <w:tcW w:w="7537" w:type="dxa"/>
            <w:tcBorders/>
            <w:shd w:fill="FFFFFF" w:val="clear"/>
            <w:vAlign w:val="bottom"/>
          </w:tcPr>
          <w:p>
            <w:pPr>
              <w:pStyle w:val="TableContents"/>
              <w:spacing w:before="0" w:after="0"/>
              <w:ind w:left="0" w:right="16" w:hanging="0"/>
              <w:jc w:val="left"/>
              <w:rPr>
                <w:rFonts w:ascii="helvetica" w:hAnsi="helvetica"/>
                <w:sz w:val="20"/>
              </w:rPr>
            </w:pPr>
            <w:r>
              <w:rPr>
                <w:rFonts w:ascii="helvetica" w:hAnsi="helvetica"/>
                <w:sz w:val="20"/>
              </w:rPr>
              <w:t>Second Quarter</w:t>
            </w:r>
          </w:p>
        </w:tc>
        <w:tc>
          <w:tcPr>
            <w:tcW w:w="110"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rFonts w:ascii="helvetica" w:hAnsi="helvetica"/>
                <w:sz w:val="20"/>
              </w:rPr>
            </w:pPr>
            <w:r>
              <w:rPr>
                <w:rFonts w:ascii="helvetica" w:hAnsi="helvetica"/>
                <w:sz w:val="20"/>
              </w:rPr>
              <w:t>$</w:t>
            </w:r>
          </w:p>
        </w:tc>
        <w:tc>
          <w:tcPr>
            <w:tcW w:w="986"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10.40</w:t>
            </w:r>
          </w:p>
        </w:tc>
        <w:tc>
          <w:tcPr>
            <w:tcW w:w="110" w:type="dxa"/>
            <w:tcBorders/>
            <w:shd w:fill="FFFFFF" w:val="clear"/>
            <w:vAlign w:val="bottom"/>
          </w:tcPr>
          <w:p>
            <w:pPr>
              <w:pStyle w:val="TableContents"/>
              <w:spacing w:before="0" w:after="283"/>
              <w:jc w:val="left"/>
              <w:rPr/>
            </w:pPr>
            <w:r>
              <w:rPr/>
              <w:t> </w:t>
            </w:r>
          </w:p>
        </w:tc>
        <w:tc>
          <w:tcPr>
            <w:tcW w:w="110"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rFonts w:ascii="helvetica" w:hAnsi="helvetica"/>
                <w:sz w:val="20"/>
              </w:rPr>
            </w:pPr>
            <w:r>
              <w:rPr>
                <w:rFonts w:ascii="helvetica" w:hAnsi="helvetica"/>
                <w:sz w:val="20"/>
              </w:rPr>
              <w:t>$</w:t>
            </w:r>
          </w:p>
        </w:tc>
        <w:tc>
          <w:tcPr>
            <w:tcW w:w="986"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1.20</w:t>
            </w:r>
          </w:p>
        </w:tc>
        <w:tc>
          <w:tcPr>
            <w:tcW w:w="116" w:type="dxa"/>
            <w:tcBorders/>
            <w:shd w:fill="FFFFFF" w:val="clear"/>
            <w:vAlign w:val="bottom"/>
          </w:tcPr>
          <w:p>
            <w:pPr>
              <w:pStyle w:val="TableContents"/>
              <w:spacing w:before="0" w:after="283"/>
              <w:jc w:val="left"/>
              <w:rPr/>
            </w:pPr>
            <w:r>
              <w:rPr/>
              <w:t> </w:t>
            </w:r>
          </w:p>
        </w:tc>
      </w:tr>
      <w:tr>
        <w:trPr/>
        <w:tc>
          <w:tcPr>
            <w:tcW w:w="7537" w:type="dxa"/>
            <w:tcBorders/>
            <w:shd w:fill="CCEEFF" w:val="clear"/>
            <w:vAlign w:val="bottom"/>
          </w:tcPr>
          <w:p>
            <w:pPr>
              <w:pStyle w:val="TableContents"/>
              <w:spacing w:before="0" w:after="0"/>
              <w:ind w:left="0" w:right="16" w:hanging="0"/>
              <w:jc w:val="left"/>
              <w:rPr>
                <w:rFonts w:ascii="helvetica" w:hAnsi="helvetica"/>
                <w:sz w:val="20"/>
              </w:rPr>
            </w:pPr>
            <w:r>
              <w:rPr>
                <w:rFonts w:ascii="helvetica" w:hAnsi="helvetica"/>
                <w:sz w:val="20"/>
              </w:rPr>
              <w:t>Third Quarter</w:t>
            </w:r>
          </w:p>
        </w:tc>
        <w:tc>
          <w:tcPr>
            <w:tcW w:w="110"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rFonts w:ascii="helvetica" w:hAnsi="helvetica"/>
                <w:sz w:val="20"/>
              </w:rPr>
            </w:pPr>
            <w:r>
              <w:rPr>
                <w:rFonts w:ascii="helvetica" w:hAnsi="helvetica"/>
                <w:sz w:val="20"/>
              </w:rPr>
              <w:t>$</w:t>
            </w:r>
          </w:p>
        </w:tc>
        <w:tc>
          <w:tcPr>
            <w:tcW w:w="986"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6.00</w:t>
            </w:r>
          </w:p>
        </w:tc>
        <w:tc>
          <w:tcPr>
            <w:tcW w:w="110" w:type="dxa"/>
            <w:tcBorders/>
            <w:shd w:fill="CCEEFF" w:val="clear"/>
            <w:vAlign w:val="bottom"/>
          </w:tcPr>
          <w:p>
            <w:pPr>
              <w:pStyle w:val="TableContents"/>
              <w:spacing w:before="0" w:after="283"/>
              <w:jc w:val="left"/>
              <w:rPr/>
            </w:pPr>
            <w:r>
              <w:rPr/>
              <w:t> </w:t>
            </w:r>
          </w:p>
        </w:tc>
        <w:tc>
          <w:tcPr>
            <w:tcW w:w="110"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rFonts w:ascii="helvetica" w:hAnsi="helvetica"/>
                <w:sz w:val="20"/>
              </w:rPr>
            </w:pPr>
            <w:r>
              <w:rPr>
                <w:rFonts w:ascii="helvetica" w:hAnsi="helvetica"/>
                <w:sz w:val="20"/>
              </w:rPr>
              <w:t>$</w:t>
            </w:r>
          </w:p>
        </w:tc>
        <w:tc>
          <w:tcPr>
            <w:tcW w:w="986"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1.60</w:t>
            </w:r>
          </w:p>
        </w:tc>
        <w:tc>
          <w:tcPr>
            <w:tcW w:w="116" w:type="dxa"/>
            <w:tcBorders/>
            <w:shd w:fill="CCEEFF" w:val="clear"/>
            <w:vAlign w:val="bottom"/>
          </w:tcPr>
          <w:p>
            <w:pPr>
              <w:pStyle w:val="TableContents"/>
              <w:spacing w:before="0" w:after="283"/>
              <w:jc w:val="left"/>
              <w:rPr/>
            </w:pPr>
            <w:r>
              <w:rPr/>
              <w:t> </w:t>
            </w:r>
          </w:p>
        </w:tc>
      </w:tr>
      <w:tr>
        <w:trPr/>
        <w:tc>
          <w:tcPr>
            <w:tcW w:w="7537" w:type="dxa"/>
            <w:tcBorders/>
            <w:shd w:fill="FFFFFF" w:val="clear"/>
            <w:vAlign w:val="bottom"/>
          </w:tcPr>
          <w:p>
            <w:pPr>
              <w:pStyle w:val="TableContents"/>
              <w:spacing w:before="0" w:after="0"/>
              <w:ind w:left="0" w:right="16" w:hanging="0"/>
              <w:jc w:val="left"/>
              <w:rPr>
                <w:rFonts w:ascii="helvetica" w:hAnsi="helvetica"/>
                <w:sz w:val="20"/>
              </w:rPr>
            </w:pPr>
            <w:r>
              <w:rPr>
                <w:rFonts w:ascii="helvetica" w:hAnsi="helvetica"/>
                <w:sz w:val="20"/>
              </w:rPr>
              <w:t>Fourth Quarter</w:t>
            </w:r>
          </w:p>
        </w:tc>
        <w:tc>
          <w:tcPr>
            <w:tcW w:w="110"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rFonts w:ascii="helvetica" w:hAnsi="helvetica"/>
                <w:sz w:val="20"/>
              </w:rPr>
            </w:pPr>
            <w:r>
              <w:rPr>
                <w:rFonts w:ascii="helvetica" w:hAnsi="helvetica"/>
                <w:sz w:val="20"/>
              </w:rPr>
              <w:t>$</w:t>
            </w:r>
          </w:p>
        </w:tc>
        <w:tc>
          <w:tcPr>
            <w:tcW w:w="986"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11.20</w:t>
            </w:r>
          </w:p>
        </w:tc>
        <w:tc>
          <w:tcPr>
            <w:tcW w:w="110" w:type="dxa"/>
            <w:tcBorders/>
            <w:shd w:fill="FFFFFF" w:val="clear"/>
            <w:vAlign w:val="bottom"/>
          </w:tcPr>
          <w:p>
            <w:pPr>
              <w:pStyle w:val="TableContents"/>
              <w:spacing w:before="0" w:after="283"/>
              <w:jc w:val="left"/>
              <w:rPr/>
            </w:pPr>
            <w:r>
              <w:rPr/>
              <w:t> </w:t>
            </w:r>
          </w:p>
        </w:tc>
        <w:tc>
          <w:tcPr>
            <w:tcW w:w="110"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rFonts w:ascii="helvetica" w:hAnsi="helvetica"/>
                <w:sz w:val="20"/>
              </w:rPr>
            </w:pPr>
            <w:r>
              <w:rPr>
                <w:rFonts w:ascii="helvetica" w:hAnsi="helvetica"/>
                <w:sz w:val="20"/>
              </w:rPr>
              <w:t>$</w:t>
            </w:r>
          </w:p>
        </w:tc>
        <w:tc>
          <w:tcPr>
            <w:tcW w:w="986"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1.30</w:t>
            </w:r>
          </w:p>
        </w:tc>
        <w:tc>
          <w:tcPr>
            <w:tcW w:w="116" w:type="dxa"/>
            <w:tcBorders/>
            <w:shd w:fill="FFFFFF" w:val="clear"/>
            <w:vAlign w:val="bottom"/>
          </w:tcPr>
          <w:p>
            <w:pPr>
              <w:pStyle w:val="TableContents"/>
              <w:spacing w:before="0" w:after="283"/>
              <w:jc w:val="left"/>
              <w:rPr/>
            </w:pPr>
            <w:r>
              <w:rPr/>
              <w:t> </w:t>
            </w:r>
          </w:p>
        </w:tc>
      </w:tr>
      <w:tr>
        <w:trPr/>
        <w:tc>
          <w:tcPr>
            <w:tcW w:w="7537" w:type="dxa"/>
            <w:tcBorders/>
            <w:shd w:fill="FFFFFF" w:val="clear"/>
            <w:vAlign w:val="bottom"/>
          </w:tcPr>
          <w:p>
            <w:pPr>
              <w:pStyle w:val="TableContents"/>
              <w:spacing w:before="0" w:after="283"/>
              <w:rPr/>
            </w:pPr>
            <w:r>
              <w:rPr/>
              <w:t xml:space="preserve">  </w:t>
            </w:r>
          </w:p>
        </w:tc>
        <w:tc>
          <w:tcPr>
            <w:tcW w:w="110"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986" w:type="dxa"/>
            <w:tcBorders/>
            <w:shd w:fill="FFFFFF" w:val="clear"/>
            <w:vAlign w:val="bottom"/>
          </w:tcPr>
          <w:p>
            <w:pPr>
              <w:pStyle w:val="TableContents"/>
              <w:spacing w:before="0" w:after="283"/>
              <w:jc w:val="right"/>
              <w:rPr/>
            </w:pPr>
            <w:r>
              <w:rPr/>
              <w:t> </w:t>
            </w:r>
          </w:p>
        </w:tc>
        <w:tc>
          <w:tcPr>
            <w:tcW w:w="110" w:type="dxa"/>
            <w:tcBorders/>
            <w:shd w:fill="FFFFFF" w:val="clear"/>
            <w:vAlign w:val="bottom"/>
          </w:tcPr>
          <w:p>
            <w:pPr>
              <w:pStyle w:val="TableContents"/>
              <w:spacing w:before="0" w:after="283"/>
              <w:jc w:val="left"/>
              <w:rPr/>
            </w:pPr>
            <w:r>
              <w:rPr/>
              <w:t> </w:t>
            </w:r>
          </w:p>
        </w:tc>
        <w:tc>
          <w:tcPr>
            <w:tcW w:w="110"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986" w:type="dxa"/>
            <w:tcBorders/>
            <w:shd w:fill="FFFFFF" w:val="clear"/>
            <w:vAlign w:val="bottom"/>
          </w:tcPr>
          <w:p>
            <w:pPr>
              <w:pStyle w:val="TableContents"/>
              <w:spacing w:before="0" w:after="283"/>
              <w:jc w:val="right"/>
              <w:rPr/>
            </w:pPr>
            <w:r>
              <w:rPr/>
              <w:t> </w:t>
            </w:r>
          </w:p>
        </w:tc>
        <w:tc>
          <w:tcPr>
            <w:tcW w:w="116" w:type="dxa"/>
            <w:tcBorders/>
            <w:shd w:fill="FFFFFF" w:val="clear"/>
            <w:vAlign w:val="bottom"/>
          </w:tcPr>
          <w:p>
            <w:pPr>
              <w:pStyle w:val="TableContents"/>
              <w:spacing w:before="0" w:after="283"/>
              <w:jc w:val="left"/>
              <w:rPr/>
            </w:pPr>
            <w:r>
              <w:rPr/>
              <w:t> </w:t>
            </w:r>
          </w:p>
        </w:tc>
      </w:tr>
      <w:tr>
        <w:trPr/>
        <w:tc>
          <w:tcPr>
            <w:tcW w:w="7537" w:type="dxa"/>
            <w:tcBorders/>
            <w:shd w:fill="FFFFFF" w:val="clear"/>
            <w:vAlign w:val="bottom"/>
          </w:tcPr>
          <w:p>
            <w:pPr>
              <w:pStyle w:val="TableContents"/>
              <w:spacing w:before="0" w:after="0"/>
              <w:ind w:left="0" w:right="16" w:hanging="0"/>
              <w:jc w:val="left"/>
              <w:rPr>
                <w:rFonts w:ascii="helvetica" w:hAnsi="helvetica"/>
                <w:b/>
                <w:sz w:val="16"/>
              </w:rPr>
            </w:pPr>
            <w:r>
              <w:rPr>
                <w:rFonts w:ascii="helvetica" w:hAnsi="helvetica"/>
                <w:b/>
                <w:sz w:val="16"/>
              </w:rPr>
              <w:t>Fiscal Year 2010</w:t>
            </w:r>
          </w:p>
        </w:tc>
        <w:tc>
          <w:tcPr>
            <w:tcW w:w="1221" w:type="dxa"/>
            <w:gridSpan w:val="3"/>
            <w:tcBorders>
              <w:bottom w:val="single" w:sz="12" w:space="0" w:color="000000"/>
            </w:tcBorders>
            <w:shd w:fill="FFFFFF" w:val="clear"/>
            <w:tcMar>
              <w:bottom w:w="28" w:type="dxa"/>
            </w:tcMar>
            <w:vAlign w:val="bottom"/>
          </w:tcPr>
          <w:p>
            <w:pPr>
              <w:pStyle w:val="TableContents"/>
              <w:spacing w:before="0" w:after="0"/>
              <w:ind w:left="0" w:right="36" w:hanging="0"/>
              <w:jc w:val="center"/>
              <w:rPr>
                <w:rFonts w:ascii="helvetica" w:hAnsi="helvetica"/>
                <w:b/>
                <w:sz w:val="16"/>
              </w:rPr>
            </w:pPr>
            <w:r>
              <w:rPr>
                <w:rFonts w:ascii="helvetica" w:hAnsi="helvetica"/>
                <w:b/>
                <w:sz w:val="16"/>
              </w:rPr>
              <w:t>High</w:t>
            </w:r>
          </w:p>
        </w:tc>
        <w:tc>
          <w:tcPr>
            <w:tcW w:w="110" w:type="dxa"/>
            <w:tcBorders/>
            <w:shd w:fill="FFFFFF" w:val="clear"/>
            <w:vAlign w:val="bottom"/>
          </w:tcPr>
          <w:p>
            <w:pPr>
              <w:pStyle w:val="TableContents"/>
              <w:spacing w:before="0" w:after="283"/>
              <w:jc w:val="left"/>
              <w:rPr/>
            </w:pPr>
            <w:r>
              <w:rPr/>
              <w:t> </w:t>
            </w:r>
          </w:p>
        </w:tc>
        <w:tc>
          <w:tcPr>
            <w:tcW w:w="1221" w:type="dxa"/>
            <w:gridSpan w:val="3"/>
            <w:tcBorders>
              <w:bottom w:val="single" w:sz="12" w:space="0" w:color="000000"/>
            </w:tcBorders>
            <w:shd w:fill="FFFFFF" w:val="clear"/>
            <w:tcMar>
              <w:bottom w:w="28" w:type="dxa"/>
            </w:tcMar>
            <w:vAlign w:val="bottom"/>
          </w:tcPr>
          <w:p>
            <w:pPr>
              <w:pStyle w:val="TableContents"/>
              <w:spacing w:before="0" w:after="0"/>
              <w:ind w:left="0" w:right="36" w:hanging="0"/>
              <w:jc w:val="center"/>
              <w:rPr>
                <w:rFonts w:ascii="helvetica" w:hAnsi="helvetica"/>
                <w:b/>
                <w:sz w:val="16"/>
              </w:rPr>
            </w:pPr>
            <w:r>
              <w:rPr>
                <w:rFonts w:ascii="helvetica" w:hAnsi="helvetica"/>
                <w:b/>
                <w:sz w:val="16"/>
              </w:rPr>
              <w:t>Low</w:t>
            </w:r>
          </w:p>
        </w:tc>
        <w:tc>
          <w:tcPr>
            <w:tcW w:w="116" w:type="dxa"/>
            <w:tcBorders/>
            <w:shd w:fill="FFFFFF" w:val="clear"/>
            <w:vAlign w:val="bottom"/>
          </w:tcPr>
          <w:p>
            <w:pPr>
              <w:pStyle w:val="TableContents"/>
              <w:spacing w:before="0" w:after="283"/>
              <w:jc w:val="left"/>
              <w:rPr/>
            </w:pPr>
            <w:r>
              <w:rPr/>
              <w:t> </w:t>
            </w:r>
          </w:p>
        </w:tc>
      </w:tr>
      <w:tr>
        <w:trPr/>
        <w:tc>
          <w:tcPr>
            <w:tcW w:w="7537" w:type="dxa"/>
            <w:tcBorders/>
            <w:shd w:fill="CCEEFF" w:val="clear"/>
            <w:vAlign w:val="bottom"/>
          </w:tcPr>
          <w:p>
            <w:pPr>
              <w:pStyle w:val="TableContents"/>
              <w:spacing w:before="0" w:after="0"/>
              <w:ind w:left="0" w:right="16" w:hanging="0"/>
              <w:jc w:val="left"/>
              <w:rPr>
                <w:rFonts w:ascii="helvetica" w:hAnsi="helvetica"/>
                <w:sz w:val="20"/>
              </w:rPr>
            </w:pPr>
            <w:r>
              <w:rPr>
                <w:rFonts w:ascii="helvetica" w:hAnsi="helvetica"/>
                <w:sz w:val="20"/>
              </w:rPr>
              <w:t>First Quarter</w:t>
            </w:r>
          </w:p>
        </w:tc>
        <w:tc>
          <w:tcPr>
            <w:tcW w:w="110"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rFonts w:ascii="helvetica" w:hAnsi="helvetica"/>
                <w:sz w:val="20"/>
              </w:rPr>
            </w:pPr>
            <w:r>
              <w:rPr>
                <w:rFonts w:ascii="helvetica" w:hAnsi="helvetica"/>
                <w:sz w:val="20"/>
              </w:rPr>
              <w:t>$</w:t>
            </w:r>
          </w:p>
        </w:tc>
        <w:tc>
          <w:tcPr>
            <w:tcW w:w="986"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60.00</w:t>
            </w:r>
          </w:p>
        </w:tc>
        <w:tc>
          <w:tcPr>
            <w:tcW w:w="110" w:type="dxa"/>
            <w:tcBorders/>
            <w:shd w:fill="CCEEFF" w:val="clear"/>
            <w:vAlign w:val="bottom"/>
          </w:tcPr>
          <w:p>
            <w:pPr>
              <w:pStyle w:val="TableContents"/>
              <w:spacing w:before="0" w:after="283"/>
              <w:jc w:val="left"/>
              <w:rPr/>
            </w:pPr>
            <w:r>
              <w:rPr/>
              <w:t> </w:t>
            </w:r>
          </w:p>
        </w:tc>
        <w:tc>
          <w:tcPr>
            <w:tcW w:w="110"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rFonts w:ascii="helvetica" w:hAnsi="helvetica"/>
                <w:sz w:val="20"/>
              </w:rPr>
            </w:pPr>
            <w:r>
              <w:rPr>
                <w:rFonts w:ascii="helvetica" w:hAnsi="helvetica"/>
                <w:sz w:val="20"/>
              </w:rPr>
              <w:t>$</w:t>
            </w:r>
          </w:p>
        </w:tc>
        <w:tc>
          <w:tcPr>
            <w:tcW w:w="986"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36.00</w:t>
            </w:r>
          </w:p>
        </w:tc>
        <w:tc>
          <w:tcPr>
            <w:tcW w:w="116" w:type="dxa"/>
            <w:tcBorders/>
            <w:shd w:fill="CCEEFF" w:val="clear"/>
            <w:vAlign w:val="bottom"/>
          </w:tcPr>
          <w:p>
            <w:pPr>
              <w:pStyle w:val="TableContents"/>
              <w:spacing w:before="0" w:after="283"/>
              <w:jc w:val="left"/>
              <w:rPr/>
            </w:pPr>
            <w:r>
              <w:rPr/>
              <w:t> </w:t>
            </w:r>
          </w:p>
        </w:tc>
      </w:tr>
      <w:tr>
        <w:trPr/>
        <w:tc>
          <w:tcPr>
            <w:tcW w:w="7537" w:type="dxa"/>
            <w:tcBorders/>
            <w:shd w:fill="FFFFFF" w:val="clear"/>
            <w:vAlign w:val="bottom"/>
          </w:tcPr>
          <w:p>
            <w:pPr>
              <w:pStyle w:val="TableContents"/>
              <w:spacing w:before="0" w:after="0"/>
              <w:ind w:left="0" w:right="16" w:hanging="0"/>
              <w:jc w:val="left"/>
              <w:rPr>
                <w:rFonts w:ascii="helvetica" w:hAnsi="helvetica"/>
                <w:sz w:val="20"/>
              </w:rPr>
            </w:pPr>
            <w:r>
              <w:rPr>
                <w:rFonts w:ascii="helvetica" w:hAnsi="helvetica"/>
                <w:sz w:val="20"/>
              </w:rPr>
              <w:t>Second Quarter</w:t>
            </w:r>
          </w:p>
        </w:tc>
        <w:tc>
          <w:tcPr>
            <w:tcW w:w="110"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rFonts w:ascii="helvetica" w:hAnsi="helvetica"/>
                <w:sz w:val="20"/>
              </w:rPr>
            </w:pPr>
            <w:r>
              <w:rPr>
                <w:rFonts w:ascii="helvetica" w:hAnsi="helvetica"/>
                <w:sz w:val="20"/>
              </w:rPr>
              <w:t>$</w:t>
            </w:r>
          </w:p>
        </w:tc>
        <w:tc>
          <w:tcPr>
            <w:tcW w:w="986"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48.00</w:t>
            </w:r>
          </w:p>
        </w:tc>
        <w:tc>
          <w:tcPr>
            <w:tcW w:w="110" w:type="dxa"/>
            <w:tcBorders/>
            <w:shd w:fill="FFFFFF" w:val="clear"/>
            <w:vAlign w:val="bottom"/>
          </w:tcPr>
          <w:p>
            <w:pPr>
              <w:pStyle w:val="TableContents"/>
              <w:spacing w:before="0" w:after="283"/>
              <w:jc w:val="left"/>
              <w:rPr/>
            </w:pPr>
            <w:r>
              <w:rPr/>
              <w:t> </w:t>
            </w:r>
          </w:p>
        </w:tc>
        <w:tc>
          <w:tcPr>
            <w:tcW w:w="110"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rFonts w:ascii="helvetica" w:hAnsi="helvetica"/>
                <w:sz w:val="20"/>
              </w:rPr>
            </w:pPr>
            <w:r>
              <w:rPr>
                <w:rFonts w:ascii="helvetica" w:hAnsi="helvetica"/>
                <w:sz w:val="20"/>
              </w:rPr>
              <w:t>$</w:t>
            </w:r>
          </w:p>
        </w:tc>
        <w:tc>
          <w:tcPr>
            <w:tcW w:w="986"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36.00</w:t>
            </w:r>
          </w:p>
        </w:tc>
        <w:tc>
          <w:tcPr>
            <w:tcW w:w="116" w:type="dxa"/>
            <w:tcBorders/>
            <w:shd w:fill="FFFFFF" w:val="clear"/>
            <w:vAlign w:val="bottom"/>
          </w:tcPr>
          <w:p>
            <w:pPr>
              <w:pStyle w:val="TableContents"/>
              <w:spacing w:before="0" w:after="283"/>
              <w:jc w:val="left"/>
              <w:rPr/>
            </w:pPr>
            <w:r>
              <w:rPr/>
              <w:t> </w:t>
            </w:r>
          </w:p>
        </w:tc>
      </w:tr>
      <w:tr>
        <w:trPr/>
        <w:tc>
          <w:tcPr>
            <w:tcW w:w="7537" w:type="dxa"/>
            <w:tcBorders/>
            <w:shd w:fill="CCEEFF" w:val="clear"/>
            <w:vAlign w:val="bottom"/>
          </w:tcPr>
          <w:p>
            <w:pPr>
              <w:pStyle w:val="TableContents"/>
              <w:spacing w:before="0" w:after="0"/>
              <w:ind w:left="0" w:right="16" w:hanging="0"/>
              <w:jc w:val="left"/>
              <w:rPr>
                <w:rFonts w:ascii="helvetica" w:hAnsi="helvetica"/>
                <w:sz w:val="20"/>
              </w:rPr>
            </w:pPr>
            <w:r>
              <w:rPr>
                <w:rFonts w:ascii="helvetica" w:hAnsi="helvetica"/>
                <w:sz w:val="20"/>
              </w:rPr>
              <w:t>Third Quarter</w:t>
            </w:r>
          </w:p>
        </w:tc>
        <w:tc>
          <w:tcPr>
            <w:tcW w:w="110"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rFonts w:ascii="helvetica" w:hAnsi="helvetica"/>
                <w:sz w:val="20"/>
              </w:rPr>
            </w:pPr>
            <w:r>
              <w:rPr>
                <w:rFonts w:ascii="helvetica" w:hAnsi="helvetica"/>
                <w:sz w:val="20"/>
              </w:rPr>
              <w:t>$</w:t>
            </w:r>
          </w:p>
        </w:tc>
        <w:tc>
          <w:tcPr>
            <w:tcW w:w="986"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48.80</w:t>
            </w:r>
          </w:p>
        </w:tc>
        <w:tc>
          <w:tcPr>
            <w:tcW w:w="110" w:type="dxa"/>
            <w:tcBorders/>
            <w:shd w:fill="CCEEFF" w:val="clear"/>
            <w:vAlign w:val="bottom"/>
          </w:tcPr>
          <w:p>
            <w:pPr>
              <w:pStyle w:val="TableContents"/>
              <w:spacing w:before="0" w:after="283"/>
              <w:jc w:val="left"/>
              <w:rPr/>
            </w:pPr>
            <w:r>
              <w:rPr/>
              <w:t> </w:t>
            </w:r>
          </w:p>
        </w:tc>
        <w:tc>
          <w:tcPr>
            <w:tcW w:w="110"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rFonts w:ascii="helvetica" w:hAnsi="helvetica"/>
                <w:sz w:val="20"/>
              </w:rPr>
            </w:pPr>
            <w:r>
              <w:rPr>
                <w:rFonts w:ascii="helvetica" w:hAnsi="helvetica"/>
                <w:sz w:val="20"/>
              </w:rPr>
              <w:t>$</w:t>
            </w:r>
          </w:p>
        </w:tc>
        <w:tc>
          <w:tcPr>
            <w:tcW w:w="986"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32.00</w:t>
            </w:r>
          </w:p>
        </w:tc>
        <w:tc>
          <w:tcPr>
            <w:tcW w:w="116" w:type="dxa"/>
            <w:tcBorders/>
            <w:shd w:fill="CCEEFF" w:val="clear"/>
            <w:vAlign w:val="bottom"/>
          </w:tcPr>
          <w:p>
            <w:pPr>
              <w:pStyle w:val="TableContents"/>
              <w:spacing w:before="0" w:after="283"/>
              <w:jc w:val="left"/>
              <w:rPr/>
            </w:pPr>
            <w:r>
              <w:rPr/>
              <w:t> </w:t>
            </w:r>
          </w:p>
        </w:tc>
      </w:tr>
      <w:tr>
        <w:trPr/>
        <w:tc>
          <w:tcPr>
            <w:tcW w:w="7537" w:type="dxa"/>
            <w:tcBorders/>
            <w:shd w:fill="FFFFFF" w:val="clear"/>
            <w:vAlign w:val="bottom"/>
          </w:tcPr>
          <w:p>
            <w:pPr>
              <w:pStyle w:val="TableContents"/>
              <w:spacing w:before="0" w:after="0"/>
              <w:ind w:left="0" w:right="16" w:hanging="0"/>
              <w:jc w:val="left"/>
              <w:rPr>
                <w:rFonts w:ascii="helvetica" w:hAnsi="helvetica"/>
                <w:sz w:val="20"/>
              </w:rPr>
            </w:pPr>
            <w:r>
              <w:rPr>
                <w:rFonts w:ascii="helvetica" w:hAnsi="helvetica"/>
                <w:sz w:val="20"/>
              </w:rPr>
              <w:t>Fourth Quarter</w:t>
            </w:r>
          </w:p>
        </w:tc>
        <w:tc>
          <w:tcPr>
            <w:tcW w:w="110"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rFonts w:ascii="helvetica" w:hAnsi="helvetica"/>
                <w:sz w:val="20"/>
              </w:rPr>
            </w:pPr>
            <w:r>
              <w:rPr>
                <w:rFonts w:ascii="helvetica" w:hAnsi="helvetica"/>
                <w:sz w:val="20"/>
              </w:rPr>
              <w:t>$</w:t>
            </w:r>
          </w:p>
        </w:tc>
        <w:tc>
          <w:tcPr>
            <w:tcW w:w="986"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36.00</w:t>
            </w:r>
          </w:p>
        </w:tc>
        <w:tc>
          <w:tcPr>
            <w:tcW w:w="110" w:type="dxa"/>
            <w:tcBorders/>
            <w:shd w:fill="FFFFFF" w:val="clear"/>
            <w:vAlign w:val="bottom"/>
          </w:tcPr>
          <w:p>
            <w:pPr>
              <w:pStyle w:val="TableContents"/>
              <w:spacing w:before="0" w:after="283"/>
              <w:jc w:val="left"/>
              <w:rPr/>
            </w:pPr>
            <w:r>
              <w:rPr/>
              <w:t> </w:t>
            </w:r>
          </w:p>
        </w:tc>
        <w:tc>
          <w:tcPr>
            <w:tcW w:w="110"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rFonts w:ascii="helvetica" w:hAnsi="helvetica"/>
                <w:sz w:val="20"/>
              </w:rPr>
            </w:pPr>
            <w:r>
              <w:rPr>
                <w:rFonts w:ascii="helvetica" w:hAnsi="helvetica"/>
                <w:sz w:val="20"/>
              </w:rPr>
              <w:t>$</w:t>
            </w:r>
          </w:p>
        </w:tc>
        <w:tc>
          <w:tcPr>
            <w:tcW w:w="986"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21.60</w:t>
            </w:r>
          </w:p>
        </w:tc>
        <w:tc>
          <w:tcPr>
            <w:tcW w:w="116" w:type="dxa"/>
            <w:tcBorders/>
            <w:shd w:fill="FFFFFF" w:val="clear"/>
            <w:vAlign w:val="bottom"/>
          </w:tcPr>
          <w:p>
            <w:pPr>
              <w:pStyle w:val="TableContents"/>
              <w:spacing w:before="0" w:after="283"/>
              <w:jc w:val="left"/>
              <w:rPr/>
            </w:pPr>
            <w:r>
              <w:rPr/>
              <w:t> </w:t>
            </w:r>
          </w:p>
        </w:tc>
      </w:tr>
    </w:tbl>
    <w:p>
      <w:pPr>
        <w:pStyle w:val="TextBody"/>
        <w:spacing w:before="0" w:after="0"/>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501" w:name="PGBRK35"/>
      <w:bookmarkStart w:id="502" w:name="PGBRK35"/>
      <w:bookmarkEnd w:id="50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503" w:name="FTR35"/>
      <w:bookmarkStart w:id="504" w:name="FTR35"/>
      <w:bookmarkEnd w:id="50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505" w:name="GLFTR34"/>
      <w:bookmarkEnd w:id="505"/>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helvetica" w:hAnsi="helvetica"/>
          <w:sz w:val="20"/>
        </w:rPr>
      </w:pPr>
      <w:bookmarkStart w:id="506" w:name="PN34"/>
      <w:bookmarkEnd w:id="506"/>
      <w:r>
        <w:rPr>
          <w:rFonts w:ascii="helvetica" w:hAnsi="helvetica"/>
          <w:sz w:val="20"/>
        </w:rPr>
        <w:t>33</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507" w:name="HDR34"/>
      <w:bookmarkStart w:id="508" w:name="HDR34"/>
      <w:bookmarkEnd w:id="50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509" w:name="GLHDR34"/>
      <w:bookmarkEnd w:id="509"/>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t> </w:t>
      </w:r>
    </w:p>
    <w:p>
      <w:pPr>
        <w:pStyle w:val="TextBody"/>
        <w:spacing w:before="0" w:after="0"/>
        <w:ind w:left="0" w:right="0" w:hanging="0"/>
        <w:jc w:val="both"/>
        <w:rPr>
          <w:rFonts w:ascii="helvetica" w:hAnsi="helvetica"/>
          <w:b/>
          <w:sz w:val="20"/>
        </w:rPr>
      </w:pPr>
      <w:r>
        <w:rPr>
          <w:rFonts w:ascii="helvetica" w:hAnsi="helvetica"/>
          <w:b/>
          <w:sz w:val="20"/>
        </w:rPr>
        <w:t>Holders</w:t>
      </w:r>
    </w:p>
    <w:p>
      <w:pPr>
        <w:pStyle w:val="TextBody"/>
        <w:spacing w:before="0" w:after="0"/>
        <w:ind w:left="0" w:right="0" w:hanging="0"/>
        <w:rPr/>
      </w:pPr>
      <w:r>
        <w:rPr/>
        <w:t> </w:t>
      </w:r>
    </w:p>
    <w:p>
      <w:pPr>
        <w:pStyle w:val="TextBody"/>
        <w:spacing w:before="0" w:after="0"/>
        <w:ind w:left="0" w:right="0" w:firstLine="720"/>
        <w:jc w:val="left"/>
        <w:rPr>
          <w:rFonts w:ascii="helvetica" w:hAnsi="helvetica"/>
          <w:sz w:val="20"/>
        </w:rPr>
      </w:pPr>
      <w:r>
        <w:rPr>
          <w:rFonts w:ascii="helvetica" w:hAnsi="helvetica"/>
          <w:sz w:val="20"/>
        </w:rPr>
        <w:t>As of August 31, 2012 we had approximately  6,771,926 shares of common stock issued and outstanding (after giving effect to the one-for-five reverse stock split) held by 176 holders of record (excluding an indeterminable number of stockholders whose shares are held in street or “nominee” name). </w:t>
      </w:r>
    </w:p>
    <w:p>
      <w:pPr>
        <w:pStyle w:val="TextBody"/>
        <w:spacing w:before="0" w:after="0"/>
        <w:ind w:left="0" w:right="0" w:hanging="0"/>
        <w:rPr/>
      </w:pPr>
      <w:r>
        <w:rPr/>
        <w:t> </w:t>
      </w:r>
    </w:p>
    <w:p>
      <w:pPr>
        <w:pStyle w:val="TextBody"/>
        <w:spacing w:before="0" w:after="0"/>
        <w:ind w:left="0" w:right="0" w:hanging="0"/>
        <w:jc w:val="both"/>
        <w:rPr>
          <w:rFonts w:ascii="helvetica" w:hAnsi="helvetica"/>
          <w:b/>
          <w:sz w:val="20"/>
        </w:rPr>
      </w:pPr>
      <w:r>
        <w:rPr>
          <w:rFonts w:ascii="helvetica" w:hAnsi="helvetica"/>
          <w:b/>
          <w:sz w:val="20"/>
        </w:rPr>
        <w:t>Dividends</w:t>
      </w:r>
    </w:p>
    <w:p>
      <w:pPr>
        <w:pStyle w:val="TextBody"/>
        <w:spacing w:before="0" w:after="0"/>
        <w:ind w:left="0" w:right="0" w:hanging="0"/>
        <w:rPr/>
      </w:pPr>
      <w:r>
        <w:rPr/>
        <w:t> </w:t>
      </w:r>
    </w:p>
    <w:p>
      <w:pPr>
        <w:pStyle w:val="TextBody"/>
        <w:spacing w:before="0" w:after="0"/>
        <w:ind w:left="0" w:right="0" w:firstLine="720"/>
        <w:jc w:val="both"/>
        <w:rPr>
          <w:rFonts w:ascii="helvetica" w:hAnsi="helvetica"/>
          <w:sz w:val="20"/>
        </w:rPr>
      </w:pPr>
      <w:r>
        <w:rPr>
          <w:rFonts w:ascii="helvetica" w:hAnsi="helvetica"/>
          <w:sz w:val="20"/>
        </w:rPr>
        <w:t>We have never paid any dividends on our common stock and do not expect to pay dividends on our common stock in the foreseeable future. </w:t>
      </w:r>
    </w:p>
    <w:p>
      <w:pPr>
        <w:pStyle w:val="TextBody"/>
        <w:spacing w:before="0" w:after="0"/>
        <w:ind w:left="0" w:right="0" w:hanging="0"/>
        <w:rPr/>
      </w:pPr>
      <w:r>
        <w:rPr/>
        <w:t> </w:t>
      </w:r>
    </w:p>
    <w:p>
      <w:pPr>
        <w:pStyle w:val="TextBody"/>
        <w:spacing w:before="0" w:after="0"/>
        <w:ind w:left="0" w:right="0" w:firstLine="720"/>
        <w:jc w:val="center"/>
        <w:rPr>
          <w:rFonts w:ascii="helvetica" w:hAnsi="helvetica"/>
          <w:b/>
          <w:sz w:val="20"/>
        </w:rPr>
      </w:pPr>
      <w:r>
        <w:rPr>
          <w:rFonts w:ascii="helvetica" w:hAnsi="helvetica"/>
          <w:b/>
          <w:sz w:val="20"/>
        </w:rPr>
        <w:t>SHARES ELIGIBLE FOR FUTURE SALE</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r>
        <w:rPr>
          <w:rFonts w:ascii="helvetica" w:hAnsi="helvetica"/>
          <w:sz w:val="20"/>
        </w:rPr>
        <w:t>Since the filing of our Chapter 11 Case with the Bankruptcy Court in June 2011, there has been a limited public market for our common stock. Future sales of substantial amounts of our common stock in the public market, or the perception that such sales may occur, could adversely affect the prevailing market price of our common stock. No prediction can be made as to the effect, if any, future sales of shares, or the availability of shares for future sales, will have on the market price of our common stock prevailing from time to time.</w:t>
      </w:r>
    </w:p>
    <w:p>
      <w:pPr>
        <w:pStyle w:val="TextBody"/>
        <w:spacing w:before="0" w:after="0"/>
        <w:ind w:left="0" w:right="0" w:hanging="0"/>
        <w:jc w:val="both"/>
        <w:rPr/>
      </w:pPr>
      <w:r>
        <w:rPr/>
        <w:t> </w:t>
      </w:r>
    </w:p>
    <w:p>
      <w:pPr>
        <w:pStyle w:val="TextBody"/>
        <w:spacing w:before="0" w:after="0"/>
        <w:ind w:left="0" w:right="0" w:hanging="0"/>
        <w:jc w:val="both"/>
        <w:rPr/>
      </w:pPr>
      <w:r>
        <w:rPr/>
        <w:t> </w:t>
      </w:r>
    </w:p>
    <w:p>
      <w:pPr>
        <w:pStyle w:val="TextBody"/>
        <w:spacing w:before="0" w:after="0"/>
        <w:ind w:left="0" w:right="0" w:firstLine="540"/>
        <w:jc w:val="left"/>
        <w:rPr>
          <w:rFonts w:ascii="helvetica" w:hAnsi="helvetica"/>
          <w:sz w:val="20"/>
        </w:rPr>
      </w:pPr>
      <w:r>
        <w:rPr>
          <w:rFonts w:ascii="helvetica" w:hAnsi="helvetica"/>
          <w:sz w:val="20"/>
        </w:rPr>
        <w:t>Unless otherwise stated below, all information regarding share amounts of common stock and prices per share of common stock described below assume the consummation of the one-for-five reverse stock split to be effected following the effectiveness of the registration statement of which this prospectus forms a part and prior to the closing of this offering.</w:t>
      </w:r>
    </w:p>
    <w:p>
      <w:pPr>
        <w:pStyle w:val="TextBody"/>
        <w:spacing w:before="0" w:after="0"/>
        <w:ind w:left="0" w:right="0" w:hanging="0"/>
        <w:jc w:val="both"/>
        <w:rPr/>
      </w:pPr>
      <w:r>
        <w:rPr/>
        <w:t> </w:t>
      </w:r>
    </w:p>
    <w:p>
      <w:pPr>
        <w:pStyle w:val="TextBody"/>
        <w:spacing w:before="0" w:after="0"/>
        <w:ind w:left="0" w:right="0" w:hanging="0"/>
        <w:jc w:val="left"/>
        <w:rPr>
          <w:rFonts w:ascii="helvetica" w:hAnsi="helvetica"/>
          <w:b/>
          <w:sz w:val="20"/>
        </w:rPr>
      </w:pPr>
      <w:r>
        <w:rPr>
          <w:rFonts w:ascii="helvetica" w:hAnsi="helvetica"/>
          <w:b/>
          <w:sz w:val="20"/>
        </w:rPr>
        <w:t>Sale of Restricted Shares</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r>
        <w:rPr>
          <w:rFonts w:ascii="helvetica" w:hAnsi="helvetica"/>
          <w:sz w:val="20"/>
        </w:rPr>
        <w:t>Upon completion of this offering, we will have                     shares of common stock and no shares of preferred stock outstanding. Of these shares of common stock, the shares being sold in this offering will be freely tradable without restriction under the Securities Act, except for any such shares which may be held or acquired by an “affiliate” of ours, as that term is defined in Rule 144 promulgated under the Securities Act, which shares will be subject to the volume limitations and other restrictions of Rule 144 as described below. Of the remaining shares of common stock held by our existing stockholders upon completion of this offering, approximately  6,480,484 shares will be “restricted securities,” as that phrase is defined in Rule 144, and may be resold only after registration under the Securities Act or pursuant to an exemption from such registration, including, among others, the exemptions provided by Rule 144 and 701 under the Securities Act, which rules are summarized below.  Included in these restricted shares are approximately  4,752,499 shares of common stock held by our existing stockholders, which upon completion of this offering will be available for sale in the public market after the expiration of the lock-up agreements described in “Underwriting” and under the heading “Lock Up Agreements” below, taking into account the provisions of Rules 144 and 701 under the Securities Act.  We do not have any outstanding obligations to register any shares of capital stock.</w:t>
      </w:r>
    </w:p>
    <w:p>
      <w:pPr>
        <w:pStyle w:val="TextBody"/>
        <w:spacing w:before="0" w:after="0"/>
        <w:ind w:left="0" w:right="0" w:firstLine="720"/>
        <w:jc w:val="left"/>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510" w:name="PGBRK36"/>
      <w:bookmarkStart w:id="511" w:name="PGBRK36"/>
      <w:bookmarkEnd w:id="51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512" w:name="FTR36"/>
      <w:bookmarkStart w:id="513" w:name="FTR36"/>
      <w:bookmarkEnd w:id="51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514" w:name="GLFTR35"/>
      <w:bookmarkEnd w:id="514"/>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helvetica" w:hAnsi="helvetica"/>
          <w:sz w:val="20"/>
        </w:rPr>
      </w:pPr>
      <w:bookmarkStart w:id="515" w:name="PN35"/>
      <w:bookmarkEnd w:id="515"/>
      <w:r>
        <w:rPr>
          <w:rFonts w:ascii="helvetica" w:hAnsi="helvetica"/>
          <w:sz w:val="20"/>
        </w:rPr>
        <w:t>34</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516" w:name="HDR35"/>
      <w:bookmarkStart w:id="517" w:name="HDR35"/>
      <w:bookmarkEnd w:id="51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518" w:name="GLHDR35"/>
      <w:bookmarkEnd w:id="518"/>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pPr>
      <w:r>
        <w:rPr/>
        <w:t> </w:t>
      </w:r>
    </w:p>
    <w:p>
      <w:pPr>
        <w:pStyle w:val="TextBody"/>
        <w:spacing w:before="0" w:after="0"/>
        <w:ind w:left="0" w:right="0" w:hanging="0"/>
        <w:jc w:val="left"/>
        <w:rPr>
          <w:rFonts w:ascii="helvetica" w:hAnsi="helvetica"/>
          <w:b/>
          <w:sz w:val="20"/>
        </w:rPr>
      </w:pPr>
      <w:r>
        <w:rPr>
          <w:rFonts w:ascii="helvetica" w:hAnsi="helvetica"/>
          <w:b/>
          <w:sz w:val="20"/>
        </w:rPr>
        <w:t>Rule 144</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r>
        <w:rPr>
          <w:rFonts w:ascii="helvetica" w:hAnsi="helvetica"/>
          <w:sz w:val="20"/>
        </w:rPr>
        <w:t>Under Rule 144, persons who became the beneficial owner of shares of our common stock prior to the completion of this offering may not sell their shares until the earlier of (1) the expiration of a six-month holding period, if we have been subject to the reporting requirements of the Exchange Act and have filed all required reports for at least 90 days prior to the date of the sale, or (2) a one-year holding period.</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r>
        <w:rPr>
          <w:rFonts w:ascii="helvetica" w:hAnsi="helvetica"/>
          <w:sz w:val="20"/>
        </w:rPr>
        <w:t>At the expiration of the six-month holding period, a person who was not one of our affiliates at any time during the three months preceding a sale would be entitled to sell an unlimited number of shares of our common stock provided current public information about us is available, and a person who was one of our affiliates at any time during the three months preceding a sale would be entitled to sell within any three-month period only a number of shares of common stock that does not exceed the greater of either of the following:</w:t>
      </w:r>
    </w:p>
    <w:p>
      <w:pPr>
        <w:pStyle w:val="TextBody"/>
        <w:spacing w:before="0" w:after="0"/>
        <w:ind w:left="0" w:right="0" w:hanging="0"/>
        <w:jc w:val="both"/>
        <w:rPr/>
      </w:pPr>
      <w:r>
        <w:rPr/>
        <w:t> </w:t>
      </w:r>
    </w:p>
    <w:p>
      <w:pPr>
        <w:pStyle w:val="Normal"/>
        <w:spacing w:before="0" w:after="0"/>
        <w:rPr>
          <w:sz w:val="4"/>
          <w:szCs w:val="4"/>
        </w:rPr>
      </w:pPr>
      <w:r>
        <w:rPr>
          <w:sz w:val="4"/>
          <w:szCs w:val="4"/>
        </w:rPr>
      </w:r>
      <w:bookmarkStart w:id="519" w:name="list87"/>
      <w:bookmarkStart w:id="520" w:name="list87"/>
      <w:bookmarkEnd w:id="520"/>
    </w:p>
    <w:tbl>
      <w:tblPr>
        <w:tblW w:w="5000" w:type="pct"/>
        <w:jc w:val="left"/>
        <w:tblInd w:w="0" w:type="dxa"/>
        <w:tblCellMar>
          <w:top w:w="0" w:type="dxa"/>
          <w:left w:w="0" w:type="dxa"/>
          <w:bottom w:w="0" w:type="dxa"/>
          <w:right w:w="0" w:type="dxa"/>
        </w:tblCellMar>
      </w:tblPr>
      <w:tblGrid>
        <w:gridCol w:w="304"/>
        <w:gridCol w:w="9901"/>
      </w:tblGrid>
      <w:tr>
        <w:trPr/>
        <w:tc>
          <w:tcPr>
            <w:tcW w:w="304" w:type="dxa"/>
            <w:tcBorders/>
            <w:shd w:fill="auto" w:val="clear"/>
          </w:tcPr>
          <w:p>
            <w:pPr>
              <w:pStyle w:val="TableContents"/>
              <w:spacing w:before="0" w:after="0"/>
              <w:jc w:val="right"/>
              <w:rPr/>
            </w:pPr>
            <w:r>
              <w:rPr/>
              <w:t>●  </w:t>
            </w:r>
          </w:p>
        </w:tc>
        <w:tc>
          <w:tcPr>
            <w:tcW w:w="9901" w:type="dxa"/>
            <w:tcBorders/>
            <w:shd w:fill="auto" w:val="clear"/>
          </w:tcPr>
          <w:p>
            <w:pPr>
              <w:pStyle w:val="TableContents"/>
              <w:spacing w:before="0" w:after="0"/>
              <w:ind w:left="0" w:right="0" w:hanging="0"/>
              <w:jc w:val="both"/>
              <w:rPr>
                <w:rFonts w:ascii="helvetica" w:hAnsi="helvetica"/>
                <w:sz w:val="20"/>
              </w:rPr>
            </w:pPr>
            <w:r>
              <w:rPr>
                <w:rFonts w:ascii="helvetica" w:hAnsi="helvetica"/>
                <w:sz w:val="20"/>
              </w:rPr>
              <w:t>1% of the number of shares of our common stock then outstanding, which will equal approximately shares immediately after this offering, based on the number of shares of our common stock outstanding after completion of this offering; or</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521" w:name="list88"/>
      <w:bookmarkStart w:id="522" w:name="list88"/>
      <w:bookmarkEnd w:id="522"/>
    </w:p>
    <w:tbl>
      <w:tblPr>
        <w:tblW w:w="5000" w:type="pct"/>
        <w:jc w:val="left"/>
        <w:tblInd w:w="0" w:type="dxa"/>
        <w:tblCellMar>
          <w:top w:w="0" w:type="dxa"/>
          <w:left w:w="0" w:type="dxa"/>
          <w:bottom w:w="0" w:type="dxa"/>
          <w:right w:w="0" w:type="dxa"/>
        </w:tblCellMar>
      </w:tblPr>
      <w:tblGrid>
        <w:gridCol w:w="304"/>
        <w:gridCol w:w="9901"/>
      </w:tblGrid>
      <w:tr>
        <w:trPr/>
        <w:tc>
          <w:tcPr>
            <w:tcW w:w="304" w:type="dxa"/>
            <w:tcBorders/>
            <w:shd w:fill="auto" w:val="clear"/>
          </w:tcPr>
          <w:p>
            <w:pPr>
              <w:pStyle w:val="TableContents"/>
              <w:spacing w:before="0" w:after="0"/>
              <w:jc w:val="right"/>
              <w:rPr/>
            </w:pPr>
            <w:r>
              <w:rPr/>
              <w:t>●  </w:t>
            </w:r>
          </w:p>
        </w:tc>
        <w:tc>
          <w:tcPr>
            <w:tcW w:w="9901" w:type="dxa"/>
            <w:tcBorders/>
            <w:shd w:fill="auto" w:val="clear"/>
          </w:tcPr>
          <w:p>
            <w:pPr>
              <w:pStyle w:val="TableContents"/>
              <w:spacing w:before="0" w:after="0"/>
              <w:ind w:left="0" w:right="0" w:hanging="0"/>
              <w:jc w:val="both"/>
              <w:rPr>
                <w:rFonts w:ascii="helvetica" w:hAnsi="helvetica"/>
                <w:sz w:val="20"/>
              </w:rPr>
            </w:pPr>
            <w:r>
              <w:rPr>
                <w:rFonts w:ascii="helvetica" w:hAnsi="helvetica"/>
                <w:sz w:val="20"/>
              </w:rPr>
              <w:t>the average weekly trading volume of our common stock during the four calendar weeks preceding the filing of a notice on Form 144 with respect to the sale.</w:t>
            </w:r>
          </w:p>
        </w:tc>
      </w:tr>
    </w:tbl>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r>
        <w:rPr>
          <w:rFonts w:ascii="helvetica" w:hAnsi="helvetica"/>
          <w:sz w:val="20"/>
        </w:rPr>
        <w:t>At the expiration of the one-year holding period, a person who was not one of our affiliates at any time during the three months preceding a sale would be entitled to sell an unlimited number of shares of our common stock without restriction as long as we maintain current public information. A person who was one of our affiliates at any time during the three months preceding a sale would remain subject to the volume restrictions described above.</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r>
        <w:rPr>
          <w:rFonts w:ascii="helvetica" w:hAnsi="helvetica"/>
          <w:sz w:val="20"/>
        </w:rPr>
        <w:t>Sales under Rule 144 by our affiliates are also subject to manner of sale provisions and notice requirements and to the availability of current public information about us.</w:t>
      </w:r>
    </w:p>
    <w:p>
      <w:pPr>
        <w:pStyle w:val="TextBody"/>
        <w:spacing w:before="0" w:after="0"/>
        <w:ind w:left="0" w:right="0" w:hanging="0"/>
        <w:jc w:val="both"/>
        <w:rPr/>
      </w:pPr>
      <w:r>
        <w:rPr/>
        <w:t> </w:t>
      </w:r>
    </w:p>
    <w:p>
      <w:pPr>
        <w:pStyle w:val="TextBody"/>
        <w:spacing w:before="0" w:after="0"/>
        <w:ind w:left="0" w:right="0" w:hanging="0"/>
        <w:jc w:val="left"/>
        <w:rPr>
          <w:rFonts w:ascii="helvetica" w:hAnsi="helvetica"/>
          <w:b/>
          <w:sz w:val="20"/>
        </w:rPr>
      </w:pPr>
      <w:r>
        <w:rPr>
          <w:rFonts w:ascii="helvetica" w:hAnsi="helvetica"/>
          <w:b/>
          <w:sz w:val="20"/>
        </w:rPr>
        <w:t>Stock Incentive Plans</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r>
        <w:rPr>
          <w:rFonts w:ascii="helvetica" w:hAnsi="helvetica"/>
          <w:sz w:val="20"/>
        </w:rPr>
        <w:t>We have filed registration statements on Form S-8 under the Securities Act to register  all of the shares of our common stock issued or reserved for issuance under the 2007 Plan, as well as the shares underlying the restricted stock units granted outside of the 2007 Plan as described below.   Accordingly, shares registered under such registration statement are available for sale in the open market, unless such shares are subject to vesting restrictions with us, Rule 144 restrictions applicable to our affiliates or the lock-up restrictions described below.</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r>
        <w:rPr>
          <w:rFonts w:ascii="helvetica" w:hAnsi="helvetica"/>
          <w:sz w:val="20"/>
        </w:rPr>
        <w:t>On July 18, 2012, the Board of Directors granted to Mr. Baum, in connection with his services as Chief Executive Officer, 160,000 restricted stock units (RSUs) outside of the 2007 Plan.  The RSUs are subject to certain performance-based vesting criteria, such that 40,000 RSUs will vest upon the satisfaction of each of the following events:  (i) successful completion of a financing that results in aggregate cash proceeds to the Company of at least $5,000,000 at any time following the effective date of the grant; (ii) the Company meets the primary endpoints of its Phase III clinical studies for Impracor; (iii) the Company submits a New Drug Application for Impracor to the U.S. Food and Drug Administration; and (iv) the Company enters into a definitive license, collaboration or similar agreement for Impracor that would reasonably be expected to generate cash flow for the Company.  The RSUs vest in full upon a change in control of the Company.</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r>
        <w:rPr>
          <w:rFonts w:ascii="helvetica" w:hAnsi="helvetica"/>
          <w:sz w:val="20"/>
        </w:rPr>
        <w:t>On July 18, 2012, the Board of Directors granted to Dr. Kammer 40,000 RSUs outside of the 2007 Plan in connection with his services as a consultant and advisor to the Company.  The RSUs are subject to certain performance-based vesting criteria, such that all 40,000 RSUs will vest at such time as the Company meets the primary endpoints of its Phase III clinical studies for Impracor.</w:t>
      </w:r>
    </w:p>
    <w:p>
      <w:pPr>
        <w:pStyle w:val="TextBody"/>
        <w:spacing w:before="0" w:after="0"/>
        <w:ind w:left="0" w:right="0" w:hanging="0"/>
        <w:jc w:val="both"/>
        <w:rPr/>
      </w:pPr>
      <w:r>
        <w:rPr/>
        <w:t> </w:t>
      </w:r>
    </w:p>
    <w:p>
      <w:pPr>
        <w:pStyle w:val="TextBody"/>
        <w:spacing w:before="0" w:after="0"/>
        <w:ind w:left="0" w:right="0" w:firstLine="720"/>
        <w:jc w:val="left"/>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523" w:name="PGBRK37"/>
      <w:bookmarkStart w:id="524" w:name="PGBRK37"/>
      <w:bookmarkEnd w:id="52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525" w:name="FTR37"/>
      <w:bookmarkStart w:id="526" w:name="FTR37"/>
      <w:bookmarkEnd w:id="52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527" w:name="GLFTR36"/>
      <w:bookmarkEnd w:id="527"/>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helvetica" w:hAnsi="helvetica"/>
          <w:sz w:val="20"/>
        </w:rPr>
      </w:pPr>
      <w:bookmarkStart w:id="528" w:name="PN36"/>
      <w:bookmarkEnd w:id="528"/>
      <w:r>
        <w:rPr>
          <w:rFonts w:ascii="helvetica" w:hAnsi="helvetica"/>
          <w:sz w:val="20"/>
        </w:rPr>
        <w:t>35</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529" w:name="HDR36"/>
      <w:bookmarkStart w:id="530" w:name="HDR36"/>
      <w:bookmarkEnd w:id="53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531" w:name="GLHDR36"/>
      <w:bookmarkEnd w:id="531"/>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pPr>
      <w:r>
        <w:rPr/>
        <w:t> </w:t>
      </w:r>
    </w:p>
    <w:p>
      <w:pPr>
        <w:pStyle w:val="TextBody"/>
        <w:spacing w:before="0" w:after="0"/>
        <w:ind w:left="0" w:right="0" w:hanging="0"/>
        <w:jc w:val="left"/>
        <w:rPr>
          <w:rFonts w:ascii="helvetica" w:hAnsi="helvetica"/>
          <w:b/>
          <w:sz w:val="20"/>
        </w:rPr>
      </w:pPr>
      <w:r>
        <w:rPr>
          <w:rFonts w:ascii="helvetica" w:hAnsi="helvetica"/>
          <w:b/>
          <w:sz w:val="20"/>
        </w:rPr>
        <w:t>Lock-Up Agreements</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r>
        <w:rPr>
          <w:rFonts w:ascii="helvetica" w:hAnsi="helvetica"/>
          <w:sz w:val="20"/>
        </w:rPr>
        <w:t>We, our executive officers and directors, and other existing security holders have agreed, subject to certain limited exceptions, not to sell or transfer any common stock or securities convertible into, exchangeable for, exercisable for, or repayable with common stock, for 180 days after the date of this prospectus without first obtaining the written consent of MDB Capital Group LLC. See “Underwriting.”</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r>
        <w:rPr>
          <w:rFonts w:ascii="helvetica" w:hAnsi="helvetica"/>
          <w:sz w:val="20"/>
        </w:rPr>
        <w:t>On June 27, 2012, DermaStar and certain other individuals entered into an agreement whereby all of the equity securities held by such parties (including the 1,499,700 shares of common stock underlying the then-outstanding 10 shares of Series A Preferred Stock) would be restricted from resale until the earlier of (i) 15 months from June 27, 2012 or (ii) the date we publicly announce we have filed a new drug application with the FDA for Impracor.  The restrictions continue to apply to all members of DermaStar following DermaStar’s dissolution in July 2012 and the related distribution in kind of the shares of our common stock and warrants held by it.  Holders of approximately 51% of our outstanding stock as of August 31, 2012 are bound by these lock-up restrictions, including Mr. Baum and Dr. Kammer.  The restrictions terminate upon our entry into a definitive agreement for certain change in control transactions.</w:t>
      </w:r>
    </w:p>
    <w:p>
      <w:pPr>
        <w:pStyle w:val="TextBody"/>
        <w:spacing w:before="0" w:after="0"/>
        <w:ind w:left="0" w:right="0" w:firstLine="720"/>
        <w:jc w:val="left"/>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532" w:name="PGBRK38"/>
      <w:bookmarkStart w:id="533" w:name="PGBRK38"/>
      <w:bookmarkEnd w:id="53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534" w:name="FTR38"/>
      <w:bookmarkStart w:id="535" w:name="FTR38"/>
      <w:bookmarkEnd w:id="53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536" w:name="GLFTR37"/>
      <w:bookmarkEnd w:id="536"/>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helvetica" w:hAnsi="helvetica"/>
          <w:sz w:val="20"/>
        </w:rPr>
      </w:pPr>
      <w:bookmarkStart w:id="537" w:name="PN37"/>
      <w:bookmarkEnd w:id="537"/>
      <w:r>
        <w:rPr>
          <w:rFonts w:ascii="helvetica" w:hAnsi="helvetica"/>
          <w:sz w:val="20"/>
        </w:rPr>
        <w:t>36</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538" w:name="HDR37"/>
      <w:bookmarkStart w:id="539" w:name="HDR37"/>
      <w:bookmarkEnd w:id="53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540" w:name="GLHDR37"/>
      <w:bookmarkEnd w:id="540"/>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t> </w:t>
      </w:r>
    </w:p>
    <w:p>
      <w:pPr>
        <w:pStyle w:val="TextBody"/>
        <w:spacing w:before="0" w:after="0"/>
        <w:ind w:left="0" w:right="0" w:hanging="0"/>
        <w:jc w:val="center"/>
        <w:rPr>
          <w:rFonts w:ascii="helvetica" w:hAnsi="helvetica"/>
          <w:b/>
          <w:sz w:val="20"/>
        </w:rPr>
      </w:pPr>
      <w:r>
        <w:rPr>
          <w:rFonts w:ascii="helvetica" w:hAnsi="helvetica"/>
          <w:b/>
          <w:sz w:val="20"/>
        </w:rPr>
        <w:t>MANAGEMENT’S DISCUSSION AND ANALYSIS OF FINANCIAL CONDITION AND RESULTS OF OPERATIONS</w:t>
      </w:r>
    </w:p>
    <w:p>
      <w:pPr>
        <w:pStyle w:val="TextBody"/>
        <w:spacing w:before="0" w:after="0"/>
        <w:ind w:left="0" w:right="0" w:hanging="0"/>
        <w:rPr/>
      </w:pPr>
      <w:r>
        <w:rPr/>
        <w:t> </w:t>
      </w:r>
    </w:p>
    <w:p>
      <w:pPr>
        <w:pStyle w:val="TextBody"/>
        <w:spacing w:before="0" w:after="0"/>
        <w:ind w:left="0" w:right="0" w:firstLine="720"/>
        <w:jc w:val="left"/>
        <w:rPr>
          <w:rFonts w:ascii="helvetica" w:hAnsi="helvetica"/>
          <w:i/>
          <w:sz w:val="20"/>
        </w:rPr>
      </w:pPr>
      <w:r>
        <w:rPr>
          <w:rFonts w:ascii="helvetica" w:hAnsi="helvetica"/>
          <w:i/>
          <w:sz w:val="20"/>
        </w:rPr>
        <w:t>The following discussion should be read in conjunction with the consolidated financial statements and the related notes contained elsewhere in this prospectus. In addition to historical information, the following discussion contains forward looking statements based upon current expectations that are subject to risks and uncertainties. Actual results may differ substantially from those referred to herein due to a number of factors, including but not limited to risks described in the section entitled “Risk Factors” and elsewhere in this prospectus.</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i/>
          <w:sz w:val="20"/>
        </w:rPr>
      </w:pPr>
      <w:r>
        <w:rPr>
          <w:rFonts w:ascii="helvetica" w:hAnsi="helvetica"/>
          <w:i/>
          <w:sz w:val="20"/>
        </w:rPr>
        <w:t>Unless otherwise stated below, all information regarding share amounts of common stock and prices per share of common stock described under the heading “Management’s Discussion and Analysis of Financial Condition and Results of Operations” assume the consummation of the one-for-five reverse stock split to be effected following the effectiveness of the registration statement of which this prospectus forms a part and prior to the closing of the offering.</w:t>
      </w:r>
    </w:p>
    <w:p>
      <w:pPr>
        <w:pStyle w:val="TextBody"/>
        <w:spacing w:before="0" w:after="0"/>
        <w:ind w:left="0" w:right="0" w:hanging="0"/>
        <w:jc w:val="both"/>
        <w:rPr/>
      </w:pPr>
      <w:r>
        <w:rPr/>
        <w:t> </w:t>
      </w:r>
    </w:p>
    <w:p>
      <w:pPr>
        <w:pStyle w:val="TextBody"/>
        <w:spacing w:before="0" w:after="0"/>
        <w:ind w:left="0" w:right="0" w:hanging="0"/>
        <w:jc w:val="both"/>
        <w:rPr>
          <w:rFonts w:ascii="helvetica" w:hAnsi="helvetica"/>
          <w:b/>
          <w:sz w:val="20"/>
        </w:rPr>
      </w:pPr>
      <w:r>
        <w:rPr>
          <w:rFonts w:ascii="helvetica" w:hAnsi="helvetica"/>
          <w:b/>
          <w:sz w:val="20"/>
        </w:rPr>
        <w:t>Overview</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r>
        <w:rPr>
          <w:rFonts w:ascii="helvetica" w:hAnsi="helvetica"/>
          <w:sz w:val="20"/>
        </w:rPr>
        <w:t>We are a specialty pharmaceutical company developing non-invasive, topically delivered product candidates. Our patented Accudel cream formulation technology is designed to facilitate the effective penetration of a variety of products through the tough skin barrier.  Impracor, our lead pain product candidate, utilizes the Accudel platform technology to deliver the active drug, ketoprofen, a non-steroidal anti-inflammatory drug (“NSAID”), through the skin directly into the underlying tissues where the drug exerts its anti-inflammatory and analgesic effects.  We intend to leverage the Accudel platform technology to create a portfolio of topical products for a variety of indications.</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r>
        <w:rPr>
          <w:rFonts w:ascii="helvetica" w:hAnsi="helvetica"/>
          <w:sz w:val="20"/>
        </w:rPr>
        <w:t>On February 28, 2012, we changed our name from Transdel Pharmaceuticals, Inc. to Imprimis Pharmaceuticals, Inc.  All prior references to Transdel Pharmaceuticals, Inc. have been changed to Imprimis to reflect our current name.  Unless the context otherwise requires, all references in this Report to “we,” “us,” “our,” “the Company,” or “Imprimis” refers to Imprimis Pharmaceuticals, Inc. and its subsidiaries.</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r>
        <w:rPr>
          <w:rFonts w:ascii="helvetica" w:hAnsi="helvetica"/>
          <w:sz w:val="20"/>
        </w:rPr>
        <w:t>On February 28, 2012, we effected a one-for-eight reverse split of our authorized, issued and outstanding common stock.  The information in this prospectus and the accompanying financial statements for interim and annual prior periods presented have been retroactively adjusted to reflect the effects of the one-for-eight reverse stock split</w:t>
      </w:r>
      <w:r>
        <w:rPr>
          <w:rFonts w:ascii="helvetica" w:hAnsi="helvetica"/>
          <w:b/>
          <w:sz w:val="20"/>
        </w:rPr>
        <w:t>.</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r>
        <w:rPr>
          <w:rFonts w:ascii="helvetica" w:hAnsi="helvetica"/>
          <w:sz w:val="20"/>
        </w:rPr>
        <w:t>As is discussed further in the Liquidity and Capital Resources section below, we have limited funds to support our operations and have incurred net losses since our inception.  We expect to incur losses in the future as we pursue the clinical development of our product candidates.  Our continuation of operations subsequent to the fourth quarter of 2012 is dependent on our ability to obtain additional financing to fund the continued operation of our business model for a long enough period to achieve profitable operations.</w:t>
      </w:r>
    </w:p>
    <w:p>
      <w:pPr>
        <w:pStyle w:val="TextBody"/>
        <w:spacing w:before="0" w:after="0"/>
        <w:ind w:left="0" w:right="0" w:hanging="0"/>
        <w:jc w:val="both"/>
        <w:rPr/>
      </w:pPr>
      <w:r>
        <w:rPr/>
        <w:t> </w:t>
      </w:r>
    </w:p>
    <w:p>
      <w:pPr>
        <w:pStyle w:val="TextBody"/>
        <w:spacing w:before="0" w:after="0"/>
        <w:ind w:left="0" w:right="0" w:hanging="0"/>
        <w:jc w:val="left"/>
        <w:rPr>
          <w:rFonts w:ascii="helvetica" w:hAnsi="helvetica"/>
          <w:b/>
          <w:sz w:val="20"/>
        </w:rPr>
      </w:pPr>
      <w:r>
        <w:rPr>
          <w:rFonts w:ascii="helvetica" w:hAnsi="helvetica"/>
          <w:b/>
          <w:sz w:val="20"/>
        </w:rPr>
        <w:t>Plan of Operations</w:t>
      </w:r>
    </w:p>
    <w:p>
      <w:pPr>
        <w:pStyle w:val="TextBody"/>
        <w:spacing w:before="0" w:after="0"/>
        <w:ind w:left="0" w:right="0" w:hanging="0"/>
        <w:jc w:val="both"/>
        <w:rPr/>
      </w:pPr>
      <w:r>
        <w:rPr/>
        <w:t> </w:t>
      </w:r>
    </w:p>
    <w:p>
      <w:pPr>
        <w:pStyle w:val="TextBody"/>
        <w:spacing w:before="0" w:after="0"/>
        <w:ind w:left="0" w:right="0" w:firstLine="720"/>
        <w:jc w:val="left"/>
        <w:rPr/>
      </w:pPr>
      <w:r>
        <w:rPr/>
        <w:t> </w:t>
      </w:r>
      <w:r>
        <w:rPr>
          <w:rFonts w:ascii="helvetica" w:hAnsi="helvetica"/>
          <w:sz w:val="20"/>
        </w:rPr>
        <w:t>For the next twelve months, our current operating plan is focused on the development of our lead product candidate, Impracor, for the indication of acute musculoskeletal pain, inflammation and swelling associated with soft tissue injuries, limited development of cosmetic products and co-development opportunities in other therapeutic areas utilizing our Accudel platform technology.</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r>
        <w:rPr>
          <w:rFonts w:ascii="helvetica" w:hAnsi="helvetica"/>
          <w:sz w:val="20"/>
        </w:rPr>
        <w:t>On June 26, 2011 we filed a voluntary petition for reorganization relief under Chapter 11 of the United States Bankruptcy Code in the United States Bankruptcy Court for the Southern District of California (the" Bankruptcy Court"), Case No. 11-10497-11 (the "Chapter 11 Case"). Following the filing of the Chapter 11 Case with the Bankruptcy Court, we suspended our operations and terminated nearly all of our employees.  Since the dismissal of the Chapter 11 Case in December 2011, as further described below, we have engaged a new management team, appointed new directors to fill certain vacancies on our Board and worked towards re-initiating our Phase 3 clinical trials for Impracor.  However, we have a limited operating history since the dismissal of the Chapter 11 Case, and we may not be successful in our efforts to resume our operations.  Prior to the filing of the Chapter 11 Case, we were unable to successfully pursue our business plan and continue our clinical trials due to a lack of funding.  Given our operating history, we may be unable to obtain additional funds when necessary, assemble an effective management team, or hire and retain qualified individuals.  As a result, we may be unable to successfully resume our operations and pursue our business plan.</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r>
        <w:rPr>
          <w:rFonts w:ascii="helvetica" w:hAnsi="helvetica"/>
          <w:sz w:val="20"/>
        </w:rPr>
        <w:t>As is discussed further in the Liquidity and Capital Resources section below, we have limited funds to support our operations.  Our continuation as a going concern subsequent to the fiscal year ended December 31, 2011 is dependent on our ability to obtain additional financing to fund the continued operation of our business model for a long enough period to achieve profitable operations.</w:t>
      </w:r>
    </w:p>
    <w:p>
      <w:pPr>
        <w:pStyle w:val="TextBody"/>
        <w:spacing w:before="0" w:after="0"/>
        <w:ind w:left="0" w:right="0" w:hanging="0"/>
        <w:jc w:val="both"/>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541" w:name="PGBRK39"/>
      <w:bookmarkStart w:id="542" w:name="PGBRK39"/>
      <w:bookmarkEnd w:id="54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543" w:name="FTR39"/>
      <w:bookmarkStart w:id="544" w:name="FTR39"/>
      <w:bookmarkEnd w:id="54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545" w:name="GLFTR38"/>
      <w:bookmarkEnd w:id="545"/>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helvetica" w:hAnsi="helvetica"/>
          <w:sz w:val="20"/>
        </w:rPr>
      </w:pPr>
      <w:bookmarkStart w:id="546" w:name="PN38"/>
      <w:bookmarkEnd w:id="546"/>
      <w:r>
        <w:rPr>
          <w:rFonts w:ascii="helvetica" w:hAnsi="helvetica"/>
          <w:sz w:val="20"/>
        </w:rPr>
        <w:t>37</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547" w:name="HDR38"/>
      <w:bookmarkStart w:id="548" w:name="HDR38"/>
      <w:bookmarkEnd w:id="54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549" w:name="GLHDR38"/>
      <w:bookmarkEnd w:id="549"/>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left"/>
        <w:rPr/>
      </w:pPr>
      <w:r>
        <w:rPr/>
        <w:t> </w:t>
      </w:r>
    </w:p>
    <w:p>
      <w:pPr>
        <w:pStyle w:val="TextBody"/>
        <w:spacing w:before="0" w:after="0"/>
        <w:ind w:left="0" w:right="0" w:hanging="0"/>
        <w:jc w:val="left"/>
        <w:rPr>
          <w:rFonts w:ascii="helvetica" w:hAnsi="helvetica"/>
          <w:b/>
          <w:sz w:val="20"/>
        </w:rPr>
      </w:pPr>
      <w:r>
        <w:rPr>
          <w:rFonts w:ascii="helvetica" w:hAnsi="helvetica"/>
          <w:b/>
          <w:sz w:val="20"/>
        </w:rPr>
        <w:t>Recent Developments</w:t>
      </w:r>
    </w:p>
    <w:p>
      <w:pPr>
        <w:pStyle w:val="TextBody"/>
        <w:spacing w:before="0" w:after="0"/>
        <w:ind w:left="0" w:right="0" w:hanging="0"/>
        <w:jc w:val="both"/>
        <w:rPr/>
      </w:pPr>
      <w:r>
        <w:rPr/>
        <w:t> </w:t>
      </w:r>
    </w:p>
    <w:p>
      <w:pPr>
        <w:pStyle w:val="TextBody"/>
        <w:spacing w:before="0" w:after="0"/>
        <w:ind w:left="0" w:right="0" w:hanging="0"/>
        <w:jc w:val="left"/>
        <w:rPr>
          <w:rFonts w:ascii="helvetica" w:hAnsi="helvetica"/>
          <w:i/>
          <w:sz w:val="20"/>
        </w:rPr>
      </w:pPr>
      <w:r>
        <w:rPr>
          <w:rFonts w:ascii="helvetica" w:hAnsi="helvetica"/>
          <w:i/>
          <w:sz w:val="20"/>
        </w:rPr>
        <w:t>Bankruptcy Petition and Dismissal</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r>
        <w:rPr>
          <w:rFonts w:ascii="helvetica" w:hAnsi="helvetica"/>
          <w:sz w:val="20"/>
        </w:rPr>
        <w:t>On June 26, 2011 we filed the Chapter 11 Case with the Bankruptcy Court. In connection with the Chapter 11 Case, we, as seller, and Cardium Healthcare, Inc., a wholly-owned subsidiary of Cardium Therapeutics, Inc., as purchaser (“Cardium”), entered into an Asset Purchase Agreement dated June 23, 2011 (the “Asset Purchase Agreement”) pursuant to which we agreed to sell substantially all of our assets  pursuant to Sections 105, 363 and 365 of the Bankruptcy Code, subject to court approval and the satisfaction of certain conditions set forth in the Asset Purchase Agreement.  Consummation of the sale to Cardium was subject to a number of conditions, including, among others, the approval by the Bankruptcy Court of the transactions contemplated by the Asset Purchase Agreement and compliance with certain specified deadlines for actions in connection with the Chapter 11 Case. The Asset Purchase Agreement was terminable by the parties under a number of circumstances, including failure to obtain certain Bankruptcy Court orders by agreed dates.</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r>
        <w:rPr>
          <w:rFonts w:ascii="helvetica" w:hAnsi="helvetica"/>
          <w:sz w:val="20"/>
        </w:rPr>
        <w:t>On July 26, 2011, the Bankruptcy Court denied our motion to sell our assets pursuant to the Asset Purchase Agreement. On October 7, 2011, we terminated the Asset Purchase Agreement pursuant to its terms.  On November 21, 2011, in connection with the transactions described below, we requested that the Bankruptcy Court dismiss the Chapter 11 Case and retain jurisdiction to decide matters related to claims brought in the Chapter 11 Case by Cardium.  On December 8, 2011, the Bankruptcy Court entered an order dismissing the Chapter 11 Case.  In connection with the dismissal of the Chapter 11 Case, the Bankruptcy Court, among other things, declined to retain jurisdiction over claim objection proceedings and found moot our objection to certain claims of Cardium.  The dismissal of the Chapter 11 Case was based upon the provisions of both 11 U.S.C. Sections 305(a) and 1112(b).</w:t>
      </w:r>
    </w:p>
    <w:p>
      <w:pPr>
        <w:pStyle w:val="TextBody"/>
        <w:spacing w:before="0" w:after="0"/>
        <w:ind w:left="0" w:right="0" w:hanging="0"/>
        <w:jc w:val="both"/>
        <w:rPr/>
      </w:pPr>
      <w:r>
        <w:rPr/>
        <w:t> </w:t>
      </w:r>
    </w:p>
    <w:p>
      <w:pPr>
        <w:pStyle w:val="TextBody"/>
        <w:spacing w:before="0" w:after="0"/>
        <w:ind w:left="0" w:right="0" w:hanging="0"/>
        <w:jc w:val="left"/>
        <w:rPr>
          <w:rFonts w:ascii="helvetica" w:hAnsi="helvetica"/>
          <w:i/>
          <w:sz w:val="20"/>
        </w:rPr>
      </w:pPr>
      <w:r>
        <w:rPr>
          <w:rFonts w:ascii="helvetica" w:hAnsi="helvetica"/>
          <w:i/>
          <w:sz w:val="20"/>
        </w:rPr>
        <w:t>Secured Line of Credit</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r>
        <w:rPr>
          <w:rFonts w:ascii="helvetica" w:hAnsi="helvetica"/>
          <w:sz w:val="20"/>
        </w:rPr>
        <w:t>On November 21, 2011, we entered into a Secured Line of Credit Letter Agreement (the “Line of Credit Agreement”) with DermaStar International, LLC (“DermaStar”), pursuant to which DermaStar agreed to lend us funds under a line of credit upon certain conditions, including the dismissal of the Chapter 11 Case by the Bankruptcy Court.   The Line of Credit Agreement became effective on December 9, 2011, in connection with the dismissal of the Chapter 11 Case by the Bankruptcy Court.  The Line of Credit Agreement provided for advances of up to an aggregate of $750,000, subject to the satisfaction by us of certain conditions in connection with the initial advance and each subsequent advance.  </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r>
        <w:rPr>
          <w:rFonts w:ascii="helvetica" w:hAnsi="helvetica"/>
          <w:sz w:val="20"/>
        </w:rPr>
        <w:t>On April 25, 2012, the entire outstanding principal balance and all accrued and unpaid interest under the line of credit, an aggregate of $762,534, was converted into 193,047 shares of common stock and warrants to purchase 48,262 shares of common stock at the offering price and on the terms of the April Private Placement described below, pursuant to the terms of a conversion agreement we entered into with DermaStar on April 20, 2012.  The warrants have substantially the same terms as the warrants issued in the April Private Placement.  The line of credit was terminated upon the completion of the conversion.</w:t>
      </w:r>
    </w:p>
    <w:p>
      <w:pPr>
        <w:pStyle w:val="TextBody"/>
        <w:spacing w:before="0" w:after="0"/>
        <w:ind w:left="0" w:right="0" w:hanging="0"/>
        <w:jc w:val="both"/>
        <w:rPr/>
      </w:pPr>
      <w:r>
        <w:rPr/>
        <w:t> </w:t>
      </w:r>
    </w:p>
    <w:p>
      <w:pPr>
        <w:pStyle w:val="TextBody"/>
        <w:spacing w:before="0" w:after="0"/>
        <w:ind w:left="0" w:right="0" w:hanging="0"/>
        <w:jc w:val="left"/>
        <w:rPr>
          <w:rFonts w:ascii="helvetica" w:hAnsi="helvetica"/>
          <w:i/>
          <w:sz w:val="20"/>
        </w:rPr>
      </w:pPr>
      <w:r>
        <w:rPr>
          <w:rFonts w:ascii="helvetica" w:hAnsi="helvetica"/>
          <w:i/>
          <w:sz w:val="20"/>
        </w:rPr>
        <w:t>Change in Control – Issuance of Preferred Stock</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r>
        <w:rPr>
          <w:rFonts w:ascii="helvetica" w:hAnsi="helvetica"/>
          <w:sz w:val="20"/>
        </w:rPr>
        <w:t>In partial consideration for and in connection with the Line of Credit Agreement, on November 21, 2011 we executed a Securities Purchase Agreement (the “Series A Purchase Agreement”) with DermaStar, pursuant to which we agreed to issue 10 shares of newly-designated Series A Convertible Preferred Stock (the “Series A Preferred Stock”) to DermaStar for an aggregate purchase price of $100,000.   The Series A Purchase Agreement, as amended, became effective on December 9, 2011, in connection with the dismissal of the Chapter 11 Case by the Bankruptcy Court.  On December 12, 2011, we and DermaStar consummated the transactions contemplated by the Series A Purchase Agreement.  The shares of Series A Preferred Stock issued to DermaStar in the offering were convertible into 1,499,700 shares of our common stock.  Upon issuance of the Series A Preferred Stock, DermaStar, and its members individually, became control persons of the Company.  We appointed DermaStar Managing Members Mark L. Baum and Robert J. Kammer to our Board of Directors in December 2011.</w:t>
      </w:r>
    </w:p>
    <w:p>
      <w:pPr>
        <w:pStyle w:val="TextBody"/>
        <w:spacing w:before="0" w:after="0"/>
        <w:ind w:left="0" w:right="0" w:firstLine="720"/>
        <w:jc w:val="left"/>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550" w:name="PGBRK40"/>
      <w:bookmarkStart w:id="551" w:name="PGBRK40"/>
      <w:bookmarkEnd w:id="55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552" w:name="FTR40"/>
      <w:bookmarkStart w:id="553" w:name="FTR40"/>
      <w:bookmarkEnd w:id="55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554" w:name="GLFTR39"/>
      <w:bookmarkEnd w:id="554"/>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helvetica" w:hAnsi="helvetica"/>
          <w:sz w:val="20"/>
        </w:rPr>
      </w:pPr>
      <w:bookmarkStart w:id="555" w:name="PN39"/>
      <w:bookmarkEnd w:id="555"/>
      <w:r>
        <w:rPr>
          <w:rFonts w:ascii="helvetica" w:hAnsi="helvetica"/>
          <w:sz w:val="20"/>
        </w:rPr>
        <w:t>38</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556" w:name="HDR39"/>
      <w:bookmarkStart w:id="557" w:name="HDR39"/>
      <w:bookmarkEnd w:id="55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558" w:name="GLHDR39"/>
      <w:bookmarkEnd w:id="558"/>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r>
        <w:rPr>
          <w:rFonts w:ascii="helvetica" w:hAnsi="helvetica"/>
          <w:sz w:val="20"/>
        </w:rPr>
        <w:t>On June 29, 2012, DermaStar converted the 10 shares of Series A Preferred Stock held by it into 1,499,700 shares of our common stock.   In connection with the conversion, we paid to DermaStar $200,000 as partial consideration for the conversion pursuant to a conversion agreement.  Immediately following the conversion of the Series A Preferred Stock, all 10 shares were retired to our treasury and cancelled.  The conversion agreement was unanimously approved by the Company’s disinterested directors, with Mr. Baum and Dr. Kammer abstaining.</w:t>
      </w:r>
    </w:p>
    <w:p>
      <w:pPr>
        <w:pStyle w:val="TextBody"/>
        <w:spacing w:before="0" w:after="0"/>
        <w:ind w:left="0" w:right="0" w:hanging="0"/>
        <w:jc w:val="both"/>
        <w:rPr/>
      </w:pPr>
      <w:r>
        <w:rPr/>
        <w:t> </w:t>
      </w:r>
    </w:p>
    <w:p>
      <w:pPr>
        <w:pStyle w:val="TextBody"/>
        <w:spacing w:before="0" w:after="0"/>
        <w:ind w:left="0" w:right="0" w:hanging="0"/>
        <w:jc w:val="left"/>
        <w:rPr>
          <w:rFonts w:ascii="helvetica" w:hAnsi="helvetica"/>
          <w:i/>
          <w:sz w:val="20"/>
        </w:rPr>
      </w:pPr>
      <w:r>
        <w:rPr>
          <w:rFonts w:ascii="helvetica" w:hAnsi="helvetica"/>
          <w:i/>
          <w:sz w:val="20"/>
        </w:rPr>
        <w:t>Settlement with the Holders of the Company’s 7.5% Convertible Promissory Note</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r>
        <w:rPr>
          <w:rFonts w:ascii="helvetica" w:hAnsi="helvetica"/>
          <w:sz w:val="20"/>
        </w:rPr>
        <w:t>On April 5, 2010, we issued a $1,000,000 7.5% Convertible Promissory Note (the “Convertible Note”) to Alexej Ladonnikov.  During January 2012, Mr. Ladonnikov sold 80% of the Convertible Note to DermaStar in a private transaction.  Effective as of January 25, 2012, we entered into separate waiver and settlement agreements with DermaStar and Mr. Ladonnikov.  Under each of the waiver and settlement agreements, the holders of the Convertible Note agreed to forever waive (i) their rights to accelerate the entire unpaid principal sum of the Convertible Note and all accrued interest pursuant to Section 1 of the Convertible Note, (ii) their rights under Section 7 of the Senior Convertible Note Purchase Agreement dated April 5, 2010, and (iii) certain conversion rights pursuant to Section 3 of the Convertible Note.  Under the terms of the waiver and settlement agreement with DermaStar, we and DermaStar agreed to the mandatory conversion of the principal and accrued and unpaid interest of the Convertible Note and $56,087 in current accounts payable of the Company held by DermaStar into our common stock at a conversion price of approximately $0.06668 per share at such time as we had a sufficient number of shares of authorized common stock to effect such conversion.  Under the terms of the waiver and settlement agreement with Mr. Ladonnikov, we and Mr. Ladonnikov agreed to the mandatory conversion of the 20% of the principal and accrued and unpaid interest of the Convertible Note held by Mr. Ladonnikov, at such time as we had a sufficient number of authorized common shares to effect such a conversion, into our common stock at a conversion price of $0.60. Mr. Ladonnikov also agreed to make a one-time payment of $50,000 to us at such time as the Convertible Note was converted into common stock.</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r>
        <w:rPr>
          <w:rFonts w:ascii="helvetica" w:hAnsi="helvetica"/>
          <w:sz w:val="20"/>
        </w:rPr>
        <w:t>On February 28, 2012, effective immediately following the effective time of our Certificate of Amendment to our Certificate of Incorporation increasing the number of authorized shares of common stock and implementing the one-for-eight reverse split of our common stock, the entire outstanding balance and all accrued but unpaid interest owing under the Convertible Note and the accounts payable held by DermaStar were converted into 1,835,830 shares of common stock, and the Convertible Note was terminated. Mr. Ladonnikov made the required one-time payment of $50,000 to us at the time of the conversion.</w:t>
      </w:r>
    </w:p>
    <w:p>
      <w:pPr>
        <w:pStyle w:val="TextBody"/>
        <w:spacing w:before="0" w:after="0"/>
        <w:ind w:left="0" w:right="0" w:hanging="0"/>
        <w:jc w:val="both"/>
        <w:rPr/>
      </w:pPr>
      <w:r>
        <w:rPr/>
        <w:t> </w:t>
      </w:r>
    </w:p>
    <w:p>
      <w:pPr>
        <w:pStyle w:val="TextBody"/>
        <w:spacing w:before="0" w:after="0"/>
        <w:ind w:left="0" w:right="0" w:hanging="0"/>
        <w:jc w:val="left"/>
        <w:rPr>
          <w:rFonts w:ascii="helvetica" w:hAnsi="helvetica"/>
          <w:i/>
          <w:sz w:val="20"/>
        </w:rPr>
      </w:pPr>
      <w:r>
        <w:rPr>
          <w:rFonts w:ascii="helvetica" w:hAnsi="helvetica"/>
          <w:i/>
          <w:sz w:val="20"/>
        </w:rPr>
        <w:t>Changes in Management and Board of Directors</w:t>
      </w:r>
    </w:p>
    <w:p>
      <w:pPr>
        <w:pStyle w:val="TextBody"/>
        <w:spacing w:before="0" w:after="0"/>
        <w:ind w:left="0" w:right="0" w:hanging="0"/>
        <w:jc w:val="both"/>
        <w:rPr/>
      </w:pPr>
      <w:r>
        <w:rPr/>
        <w:t> </w:t>
      </w:r>
    </w:p>
    <w:p>
      <w:pPr>
        <w:pStyle w:val="TextBody"/>
        <w:spacing w:before="0" w:after="0"/>
        <w:ind w:left="0" w:right="0" w:firstLine="540"/>
        <w:jc w:val="left"/>
        <w:rPr>
          <w:rFonts w:ascii="helvetica" w:hAnsi="helvetica"/>
          <w:sz w:val="20"/>
        </w:rPr>
      </w:pPr>
      <w:r>
        <w:rPr>
          <w:rFonts w:ascii="helvetica" w:hAnsi="helvetica"/>
          <w:sz w:val="20"/>
        </w:rPr>
        <w:t>As a result of the Chapter 11 Case, our management team has undergone significant changes.  The Board accepted the resignation of John N. Bonfiglio, Ph.D. as our Chief Executive Officer and President, effective May 13, 2011. On the same date, the Board appointed John T. Lomoro to serve as the Company’s Principal Executive Officer.  Effective September 16, 2011, the Board accepted the resignation of John T. Lomoro as Principal Executive Officer, Chief Financial Officer and Treasurer of the Company. On the same date, the Board appointed Terry Nida, the Company’s Chief Business Officer, to serve as the Company’s Principal Executive Officer and Principal Financial Officer. Effective December 16, 2011, Terry Nida resigned as Principal Executive Officer and Principal Financial Officer of the Company.     </w:t>
      </w:r>
    </w:p>
    <w:p>
      <w:pPr>
        <w:pStyle w:val="TextBody"/>
        <w:spacing w:before="0" w:after="0"/>
        <w:ind w:left="0" w:right="0" w:hanging="0"/>
        <w:jc w:val="both"/>
        <w:rPr/>
      </w:pPr>
      <w:r>
        <w:rPr/>
        <w:t> </w:t>
      </w:r>
    </w:p>
    <w:p>
      <w:pPr>
        <w:pStyle w:val="TextBody"/>
        <w:spacing w:before="0" w:after="0"/>
        <w:ind w:left="0" w:right="0" w:firstLine="540"/>
        <w:jc w:val="left"/>
        <w:rPr>
          <w:rFonts w:ascii="helvetica" w:hAnsi="helvetica"/>
          <w:sz w:val="20"/>
        </w:rPr>
      </w:pPr>
      <w:r>
        <w:rPr>
          <w:rFonts w:ascii="helvetica" w:hAnsi="helvetica"/>
          <w:sz w:val="20"/>
        </w:rPr>
        <w:t>In January 2012, we began assembling a new management team.  Effective January 1, 2012, the Board appointed Balbir Brar, D.V.M., Ph.D. as President of the Company.  Effective February 1, 2012, the Board appointed Andrew R. Boll as Vice-President of Accounting and Public Reporting and Principal Accounting and Financial Officer of the Company. Effective February 15, 2012, the Board appointed Joachim Schupp, M.D. as Chief Medical Officer of the Company.  Dr. Schupp had previously served as our Chief Medical Officer and Dr. Brar had previously served as our Vice President of Research and Development.  Mr. Baum served as our Chairman of the Board of Directors and principal executive officer beginning in December 2011.  On April 1, 2012, the Board appointed Mr. Baum as our Chief Executive Officer and Mr. Baum stepped down as our Chairman of the Board.  He continues to serve as a director.</w:t>
      </w:r>
    </w:p>
    <w:p>
      <w:pPr>
        <w:pStyle w:val="TextBody"/>
        <w:spacing w:before="0" w:after="0"/>
        <w:ind w:left="0" w:right="0" w:hanging="0"/>
        <w:jc w:val="both"/>
        <w:rPr/>
      </w:pPr>
      <w:r>
        <w:rPr/>
        <w:t> </w:t>
      </w:r>
    </w:p>
    <w:p>
      <w:pPr>
        <w:pStyle w:val="TextBody"/>
        <w:spacing w:before="0" w:after="0"/>
        <w:ind w:left="0" w:right="0" w:firstLine="540"/>
        <w:jc w:val="left"/>
        <w:rPr>
          <w:rFonts w:ascii="helvetica" w:hAnsi="helvetica"/>
          <w:sz w:val="20"/>
        </w:rPr>
      </w:pPr>
      <w:r>
        <w:rPr>
          <w:rFonts w:ascii="helvetica" w:hAnsi="helvetica"/>
          <w:sz w:val="20"/>
        </w:rPr>
        <w:t>Our Board of Directors has also undergone significant change.  Effective December 16, 2011, Anthony S. Thornley resigned from our Board of Directors, and Mr. Baum and Dr. Kammer, managing members of DermaStar, joined the Board of Directors.  Effective February 15, 2012, Paul Finnegan, M.D., M.B.A., and Dr. Brar, our President, were appointed as directors of the Company. On April 1, 2012, Dr. Kammer began serving as the Chairman of the Board of Directors. On July 26, 2012, Stephen G. Austin, CPA, was appointed as a director on our Board of Directors and Dr. Brar resigned as a director (Dr. Brar continues to serve as our President).  We currently have the following five directors:  Jeffrey Abrams, M.D., Mr. Baum, Dr. Kammer, Dr. Finnegan and Mr. Austin.</w:t>
      </w:r>
    </w:p>
    <w:p>
      <w:pPr>
        <w:pStyle w:val="TextBody"/>
        <w:spacing w:before="0" w:after="0"/>
        <w:ind w:left="0" w:right="0" w:firstLine="540"/>
        <w:jc w:val="left"/>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559" w:name="PGBRK41"/>
      <w:bookmarkStart w:id="560" w:name="PGBRK41"/>
      <w:bookmarkEnd w:id="56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561" w:name="FTR41"/>
      <w:bookmarkStart w:id="562" w:name="FTR41"/>
      <w:bookmarkEnd w:id="56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563" w:name="GLFTR40"/>
      <w:bookmarkEnd w:id="563"/>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helvetica" w:hAnsi="helvetica"/>
          <w:sz w:val="20"/>
        </w:rPr>
      </w:pPr>
      <w:bookmarkStart w:id="564" w:name="PN40"/>
      <w:bookmarkEnd w:id="564"/>
      <w:r>
        <w:rPr>
          <w:rFonts w:ascii="helvetica" w:hAnsi="helvetica"/>
          <w:sz w:val="20"/>
        </w:rPr>
        <w:t>39</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565" w:name="HDR40"/>
      <w:bookmarkStart w:id="566" w:name="HDR40"/>
      <w:bookmarkEnd w:id="56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567" w:name="GLHDR40"/>
      <w:bookmarkEnd w:id="567"/>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pPr>
      <w:r>
        <w:rPr/>
        <w:t> </w:t>
      </w:r>
    </w:p>
    <w:p>
      <w:pPr>
        <w:pStyle w:val="TextBody"/>
        <w:spacing w:before="0" w:after="0"/>
        <w:ind w:left="0" w:right="0" w:hanging="0"/>
        <w:jc w:val="left"/>
        <w:rPr>
          <w:rFonts w:ascii="helvetica" w:hAnsi="helvetica"/>
          <w:i/>
          <w:sz w:val="20"/>
        </w:rPr>
      </w:pPr>
      <w:r>
        <w:rPr>
          <w:rFonts w:ascii="helvetica" w:hAnsi="helvetica"/>
          <w:i/>
          <w:sz w:val="20"/>
        </w:rPr>
        <w:t>April Private Placement</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r>
        <w:rPr>
          <w:rFonts w:ascii="helvetica" w:hAnsi="helvetica"/>
          <w:sz w:val="20"/>
        </w:rPr>
        <w:t>On April 20, 2012, we entered into a Securities Purchase Agreement with certain accredited investors relating to the sale and issuance of an aggregate of 2,011,691 shares of our common stock and warrants to purchase up to 502,928 shares of common stock at an exercise price of $5.925 per share, for an aggregate gross purchase price of approximately $7.95 million (the “April Private Placement”).  We closed the April Private Placement on April 25, 2012.  The securities sold in the April Private Placement were sold in reliance on the exemption from the registration requirements of the Securities Act of 1933 (the “Securities Act”) afforded by Section 4(2) of the Securities Act and Rule 506 of Regulation D.</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r>
        <w:rPr>
          <w:rFonts w:ascii="helvetica" w:hAnsi="helvetica"/>
          <w:sz w:val="20"/>
        </w:rPr>
        <w:t>The investors are not entitled to any registration rights with respect to the common stock and warrants issued in the April Private Placement.  The warrants have a term of three years and are exercisable any time after April 25, 2012. We may require that the investors exercise the warrants in whole, but not in part, at any time within 20 business days after all of the following conditions have been satisfied: (i) the volume weighted average price of the our common stock for 10 consecutive trading days is equal to or greater than the exercise price of the warrants; (ii) we have received a Filing Review Notification from the FDA regarding the status of Impracor; and (iii) sufficient shares of common stock are authorized and reserved for issuance upon full exercise of the warrants.</w:t>
      </w:r>
    </w:p>
    <w:p>
      <w:pPr>
        <w:pStyle w:val="TextBody"/>
        <w:spacing w:before="0" w:after="0"/>
        <w:ind w:left="0" w:right="0" w:hanging="0"/>
        <w:jc w:val="both"/>
        <w:rPr/>
      </w:pPr>
      <w:r>
        <w:rPr/>
        <w:t> </w:t>
      </w:r>
    </w:p>
    <w:p>
      <w:pPr>
        <w:pStyle w:val="TextBody"/>
        <w:spacing w:before="0" w:after="0"/>
        <w:ind w:left="0" w:right="0" w:hanging="0"/>
        <w:jc w:val="left"/>
        <w:rPr>
          <w:rFonts w:ascii="helvetica" w:hAnsi="helvetica"/>
          <w:b/>
          <w:sz w:val="20"/>
        </w:rPr>
      </w:pPr>
      <w:r>
        <w:rPr>
          <w:rFonts w:ascii="helvetica" w:hAnsi="helvetica"/>
          <w:b w:val="false"/>
          <w:i/>
          <w:sz w:val="20"/>
        </w:rPr>
        <w:t>PCCA Transaction</w:t>
      </w:r>
      <w:r>
        <w:rPr>
          <w:rFonts w:ascii="helvetica" w:hAnsi="helvetica"/>
          <w:b/>
          <w:sz w:val="20"/>
        </w:rPr>
        <w:t xml:space="preserve"> </w:t>
      </w:r>
    </w:p>
    <w:p>
      <w:pPr>
        <w:pStyle w:val="TextBody"/>
        <w:spacing w:before="0" w:after="0"/>
        <w:ind w:left="0" w:right="0" w:hanging="0"/>
        <w:jc w:val="left"/>
        <w:rPr/>
      </w:pPr>
      <w:r>
        <w:rPr/>
        <w:t> </w:t>
      </w:r>
    </w:p>
    <w:p>
      <w:pPr>
        <w:pStyle w:val="TextBody"/>
        <w:spacing w:before="0" w:after="0"/>
        <w:ind w:left="0" w:right="0" w:firstLine="720"/>
        <w:jc w:val="left"/>
        <w:rPr/>
      </w:pPr>
      <w:r>
        <w:rPr>
          <w:rFonts w:ascii="helvetica" w:hAnsi="helvetica"/>
          <w:b w:val="false"/>
          <w:sz w:val="20"/>
        </w:rPr>
        <w:t>On August 30, 2012, we entered into a License Agreement (the “PCCA License Agreement") and a Stock Purchase Agreement (the “PCCA Purchase Agreement”) in a strategic transaction with PCCA (the “PCCA Transaction”).</w:t>
      </w:r>
      <w:r>
        <w:rPr/>
        <w:t xml:space="preserve"> </w:t>
      </w:r>
    </w:p>
    <w:p>
      <w:pPr>
        <w:pStyle w:val="TextBody"/>
        <w:spacing w:before="0" w:after="0"/>
        <w:ind w:left="0" w:right="0" w:hanging="0"/>
        <w:jc w:val="left"/>
        <w:rPr/>
      </w:pPr>
      <w:r>
        <w:rPr/>
        <w:t> </w:t>
      </w:r>
    </w:p>
    <w:p>
      <w:pPr>
        <w:pStyle w:val="TextBody"/>
        <w:spacing w:before="0" w:after="0"/>
        <w:ind w:left="0" w:right="0" w:firstLine="720"/>
        <w:jc w:val="left"/>
        <w:rPr/>
      </w:pPr>
      <w:r>
        <w:rPr>
          <w:rFonts w:ascii="helvetica" w:hAnsi="helvetica"/>
          <w:b w:val="false"/>
          <w:sz w:val="20"/>
        </w:rPr>
        <w:t>Pursuant to the terms of the PCCA License Agreement, effective August 30, 2012, PCCA has granted to us and our affiliates certain exclusive rights under PCCA’s proprietary formulations, other technologies and data, and we have agreed to pay to PCCA certain royalties on net sales relating to the sale of certain future products, which royalties range from 4.5% to 9% for each product, subject to certain minimum royalty payments. PCCA may terminate the PCCA License Agreement if we fail to commence efforts to research and develop future products within certain time periods.</w:t>
      </w:r>
      <w:r>
        <w:rPr/>
        <w:t xml:space="preserve"> </w:t>
      </w:r>
    </w:p>
    <w:p>
      <w:pPr>
        <w:pStyle w:val="TextBody"/>
        <w:spacing w:before="0" w:after="0"/>
        <w:ind w:left="0" w:right="0" w:hanging="0"/>
        <w:jc w:val="left"/>
        <w:rPr/>
      </w:pPr>
      <w:r>
        <w:rPr/>
        <w:t> </w:t>
      </w:r>
    </w:p>
    <w:p>
      <w:pPr>
        <w:pStyle w:val="TextBody"/>
        <w:spacing w:before="0" w:after="0"/>
        <w:ind w:left="0" w:right="0" w:firstLine="720"/>
        <w:jc w:val="left"/>
        <w:rPr/>
      </w:pPr>
      <w:r>
        <w:rPr>
          <w:rFonts w:ascii="helvetica" w:hAnsi="helvetica"/>
          <w:b w:val="false"/>
          <w:sz w:val="20"/>
        </w:rPr>
        <w:t>Pursuant to the terms of the PCCA Purchase Agreement, closed on August 31, 2012, we issued and sold to PCCA 832,683 shares of our common stock at a per share purchase price of $4.8038, for aggregate gross proceeds to us of $4,000,000. The PCCA Purchase Agreement does not grant to PCCA any registration rights with respect to the shares purchased and sold thereunder. The shares sold to PCCA were sold in reliance on the exemption from the registration requirements of the Securities Act afforded by Section 4(2) thereof.</w:t>
      </w:r>
      <w:r>
        <w:rPr/>
        <w:t xml:space="preserve"> </w:t>
      </w:r>
    </w:p>
    <w:p>
      <w:pPr>
        <w:pStyle w:val="TextBody"/>
        <w:spacing w:before="0" w:after="0"/>
        <w:ind w:left="0" w:right="0" w:hanging="0"/>
        <w:jc w:val="left"/>
        <w:rPr/>
      </w:pPr>
      <w:r>
        <w:rPr/>
        <w:t> </w:t>
      </w:r>
    </w:p>
    <w:p>
      <w:pPr>
        <w:pStyle w:val="TextBody"/>
        <w:spacing w:before="0" w:after="0"/>
        <w:ind w:left="0" w:right="0" w:hanging="0"/>
        <w:jc w:val="left"/>
        <w:rPr>
          <w:rFonts w:ascii="helvetica" w:hAnsi="helvetica"/>
          <w:b/>
          <w:sz w:val="20"/>
        </w:rPr>
      </w:pPr>
      <w:r>
        <w:rPr>
          <w:rFonts w:ascii="helvetica" w:hAnsi="helvetica"/>
          <w:b/>
          <w:sz w:val="20"/>
        </w:rPr>
        <w:t>Critical Accounting Policies</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r>
        <w:rPr>
          <w:rFonts w:ascii="helvetica" w:hAnsi="helvetica"/>
          <w:sz w:val="20"/>
        </w:rPr>
        <w:t>We rely on the use of estimates and make assumptions that impact our financial condition and results. These estimates and assumptions are based on historical results and trends as well as our forecasts as to how results and trends might change in the future. Although we believe that the estimates we use are reasonable, actual results could differ from those estimates.</w:t>
      </w:r>
    </w:p>
    <w:p>
      <w:pPr>
        <w:pStyle w:val="TextBody"/>
        <w:spacing w:before="0" w:after="0"/>
        <w:ind w:left="0" w:right="0" w:hanging="0"/>
        <w:jc w:val="both"/>
        <w:rPr/>
      </w:pPr>
      <w:r>
        <w:rPr/>
        <w:t> </w:t>
      </w:r>
    </w:p>
    <w:p>
      <w:pPr>
        <w:pStyle w:val="TextBody"/>
        <w:spacing w:before="0" w:after="0"/>
        <w:ind w:left="0" w:right="0" w:firstLine="720"/>
        <w:jc w:val="left"/>
        <w:rPr/>
      </w:pPr>
      <w:r>
        <w:rPr/>
        <w:t> </w:t>
      </w:r>
      <w:r>
        <w:rPr>
          <w:rFonts w:ascii="helvetica" w:hAnsi="helvetica"/>
          <w:sz w:val="20"/>
        </w:rPr>
        <w:t>We believe that the accounting policies described below are critical to understanding our business, results of operations and financial condition because they involve more significant judgments and estimates used in the preparation of our consolidated financial statements. An accounting policy is deemed to be critical if it requires an accounting estimate to be made based on assumptions about matters that are highly uncertain at the time the estimate is made, and any changes in the different estimates that could have been used in the accounting estimates that are reasonably likely to occur periodically could materially impact our condensed consolidated financial statements.</w:t>
      </w:r>
    </w:p>
    <w:p>
      <w:pPr>
        <w:pStyle w:val="TextBody"/>
        <w:spacing w:before="0" w:after="0"/>
        <w:ind w:left="0" w:right="0" w:hanging="0"/>
        <w:jc w:val="both"/>
        <w:rPr/>
      </w:pPr>
      <w:r>
        <w:rPr/>
        <w:t> </w:t>
      </w:r>
    </w:p>
    <w:p>
      <w:pPr>
        <w:pStyle w:val="TextBody"/>
        <w:spacing w:before="0" w:after="0"/>
        <w:ind w:left="0" w:right="0" w:firstLine="720"/>
        <w:jc w:val="left"/>
        <w:rPr/>
      </w:pPr>
      <w:r>
        <w:rPr/>
        <w:t> </w:t>
      </w:r>
      <w:r>
        <w:rPr>
          <w:rFonts w:ascii="Helvetica" w:hAnsi="Helvetica"/>
          <w:sz w:val="20"/>
        </w:rPr>
        <w:t xml:space="preserve">Our </w:t>
      </w:r>
      <w:bookmarkStart w:id="568" w:name="V122485_10Q_HTM_V113417_10Q_HTM_EOLPAGE2"/>
      <w:bookmarkEnd w:id="568"/>
      <w:r>
        <w:rPr>
          <w:rFonts w:ascii="Helvetica" w:hAnsi="Helvetica"/>
          <w:sz w:val="20"/>
        </w:rPr>
        <w:t>most critical accounting policies and estimates that may materially impact our results of operations include:</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r>
        <w:rPr>
          <w:rFonts w:ascii="helvetica" w:hAnsi="helvetica"/>
          <w:i/>
          <w:sz w:val="20"/>
        </w:rPr>
        <w:t>Stock-Based Compensation.</w:t>
      </w:r>
      <w:r>
        <w:rPr>
          <w:rFonts w:ascii="helvetica" w:hAnsi="helvetica"/>
          <w:sz w:val="20"/>
        </w:rPr>
        <w:t>  All share-based payments to employees, including grants of employee stock options and restricted stock grants, to be recognized in the consolidated financial statements are based upon their fair values. We use the Black-Scholes-Merton option pricing model to estimate the grant-date fair value of share-based awards. Fair value is determined at the date of grant. The financial statement effect of forfeitures is estimated at the time of grant and revised, if necessary, if the actual effect differs from those estimates.</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r>
        <w:rPr>
          <w:rFonts w:ascii="helvetica" w:hAnsi="helvetica"/>
          <w:sz w:val="20"/>
        </w:rPr>
        <w:t>Our accounting policy for equity instruments issued to consultants and vendors in exchange for goods and services follows Financial Accounting Standards Board (“FASB”) guidance.  As such, the value of the applicable stock-based compensation is periodically remeasured and income or expense is recognized during the vesting terms. The measurement date for the fair value of the equity instruments issued is determined at the earlier of (i) the date at which a commitment for performance by the consultant or vendor is reached or (ii) the date at which the consultant or vendor’s performance is complete. In the case of equity instruments issued to consultants, the fair value of the equity instrument is recognized over the term of the consulting agreement. An asset acquired in exchange for the issuance of fully vested, nonforfeitable equity instruments should not be presented or classified as an offset to equity on the grantor’s balance sheet once the equity instrument is granted for accounting purposes. Accordingly, we record the fair value of nonforfeitable equity instruments issued for future consulting services as prepaid consulting fees in our condensed consolidated balance sheets.</w:t>
      </w:r>
    </w:p>
    <w:p>
      <w:pPr>
        <w:pStyle w:val="TextBody"/>
        <w:spacing w:before="0" w:after="0"/>
        <w:ind w:left="0" w:right="0" w:hanging="0"/>
        <w:jc w:val="both"/>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569" w:name="PGBRK42"/>
      <w:bookmarkStart w:id="570" w:name="PGBRK42"/>
      <w:bookmarkEnd w:id="57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571" w:name="FTR42"/>
      <w:bookmarkStart w:id="572" w:name="FTR42"/>
      <w:bookmarkEnd w:id="57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573" w:name="GLFTR41"/>
      <w:bookmarkEnd w:id="573"/>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helvetica" w:hAnsi="helvetica"/>
          <w:sz w:val="20"/>
        </w:rPr>
      </w:pPr>
      <w:bookmarkStart w:id="574" w:name="PN41"/>
      <w:bookmarkEnd w:id="574"/>
      <w:r>
        <w:rPr>
          <w:rFonts w:ascii="helvetica" w:hAnsi="helvetica"/>
          <w:sz w:val="20"/>
        </w:rPr>
        <w:t>40</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575" w:name="HDR41"/>
      <w:bookmarkStart w:id="576" w:name="HDR41"/>
      <w:bookmarkEnd w:id="57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577" w:name="GLHDR41"/>
      <w:bookmarkEnd w:id="577"/>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firstLine="720"/>
        <w:jc w:val="left"/>
        <w:rPr>
          <w:rFonts w:ascii="helvetica" w:hAnsi="helvetica"/>
          <w:sz w:val="20"/>
        </w:rPr>
      </w:pPr>
      <w:r>
        <w:rPr>
          <w:rFonts w:ascii="helvetica" w:hAnsi="helvetica"/>
          <w:i/>
          <w:sz w:val="20"/>
        </w:rPr>
        <w:t>Income Taxes.</w:t>
      </w:r>
      <w:r>
        <w:rPr>
          <w:rFonts w:ascii="helvetica" w:hAnsi="helvetica"/>
          <w:sz w:val="20"/>
        </w:rPr>
        <w:t>  As part of the process of preparing our consolidated financial statements, we must estimate our actual current tax liabilities together with assessing temporary differences resulting from differing treatment of items for tax and accounting purposes. These differences result in deferred tax assets and liabilities, which are included within the balance sheet. We must assess the likelihood that the deferred tax assets will be recovered from future taxable income and, to the extent we believe that recovery is not likely, a valuation allowance must be established. To the extent we establish a valuation allowance or increase or decrease this allowance in a period, the impact will be included in the tax provision in the statement of operations.</w:t>
      </w:r>
    </w:p>
    <w:p>
      <w:pPr>
        <w:pStyle w:val="TextBody"/>
        <w:spacing w:before="0" w:after="0"/>
        <w:ind w:left="0" w:right="0" w:firstLine="720"/>
        <w:jc w:val="left"/>
        <w:rPr/>
      </w:pPr>
      <w:r>
        <w:rPr/>
        <w:t> </w:t>
      </w:r>
    </w:p>
    <w:p>
      <w:pPr>
        <w:pStyle w:val="TextBody"/>
        <w:spacing w:before="0" w:after="0"/>
        <w:ind w:left="0" w:right="0" w:firstLine="720"/>
        <w:jc w:val="left"/>
        <w:rPr/>
      </w:pPr>
      <w:r>
        <w:rPr>
          <w:i/>
        </w:rPr>
        <w:t>Research and Development.</w:t>
      </w:r>
      <w:r>
        <w:rPr/>
        <w:t xml:space="preserve"> We expense all costs related to research and development as they are incurred.</w:t>
      </w:r>
    </w:p>
    <w:p>
      <w:pPr>
        <w:pStyle w:val="TextBody"/>
        <w:spacing w:before="0" w:after="0"/>
        <w:ind w:left="0" w:right="0" w:hanging="0"/>
        <w:jc w:val="both"/>
        <w:rPr/>
      </w:pPr>
      <w:r>
        <w:rPr/>
        <w:t> </w:t>
      </w:r>
    </w:p>
    <w:p>
      <w:pPr>
        <w:pStyle w:val="TextBody"/>
        <w:spacing w:before="0" w:after="0"/>
        <w:ind w:left="0" w:right="0" w:hanging="0"/>
        <w:jc w:val="left"/>
        <w:rPr>
          <w:rFonts w:ascii="helvetica" w:hAnsi="helvetica"/>
          <w:b/>
          <w:sz w:val="20"/>
        </w:rPr>
      </w:pPr>
      <w:r>
        <w:rPr>
          <w:rFonts w:ascii="helvetica" w:hAnsi="helvetica"/>
          <w:b/>
          <w:sz w:val="20"/>
        </w:rPr>
        <w:t>Results of Operations</w:t>
      </w:r>
    </w:p>
    <w:p>
      <w:pPr>
        <w:pStyle w:val="TextBody"/>
        <w:spacing w:before="0" w:after="0"/>
        <w:ind w:left="0" w:right="0" w:hanging="0"/>
        <w:jc w:val="both"/>
        <w:rPr/>
      </w:pPr>
      <w:r>
        <w:rPr/>
        <w:t> </w:t>
      </w:r>
    </w:p>
    <w:p>
      <w:pPr>
        <w:pStyle w:val="TextBody"/>
        <w:spacing w:before="0" w:after="0"/>
        <w:ind w:left="0" w:right="0" w:firstLine="540"/>
        <w:jc w:val="left"/>
        <w:rPr>
          <w:rFonts w:ascii="helvetica" w:hAnsi="helvetica"/>
          <w:sz w:val="20"/>
        </w:rPr>
      </w:pPr>
      <w:r>
        <w:rPr>
          <w:rFonts w:ascii="helvetica" w:hAnsi="helvetica"/>
          <w:sz w:val="20"/>
        </w:rPr>
        <w:t>The following period to period comparisons of our financial results and our interim results are not necessarily indicative of future results.</w:t>
      </w:r>
    </w:p>
    <w:p>
      <w:pPr>
        <w:pStyle w:val="TextBody"/>
        <w:spacing w:before="0" w:after="0"/>
        <w:ind w:left="0" w:right="0" w:firstLine="540"/>
        <w:jc w:val="left"/>
        <w:rPr/>
      </w:pPr>
      <w:r>
        <w:rPr/>
        <w:t> </w:t>
      </w:r>
    </w:p>
    <w:p>
      <w:pPr>
        <w:pStyle w:val="TextBody"/>
        <w:spacing w:before="0" w:after="0"/>
        <w:ind w:left="0" w:right="0" w:hanging="0"/>
        <w:jc w:val="both"/>
        <w:rPr>
          <w:rFonts w:ascii="helvetica" w:hAnsi="helvetica"/>
          <w:b/>
          <w:i/>
          <w:sz w:val="20"/>
        </w:rPr>
      </w:pPr>
      <w:r>
        <w:rPr>
          <w:rFonts w:ascii="helvetica" w:hAnsi="helvetica"/>
          <w:b/>
          <w:i/>
          <w:sz w:val="20"/>
        </w:rPr>
        <w:t>For the Three and Six Months Ended June 30, 2012, Compared to the Three and Six Months Ended June 30, 2011</w:t>
      </w:r>
    </w:p>
    <w:p>
      <w:pPr>
        <w:pStyle w:val="TextBody"/>
        <w:spacing w:before="0" w:after="0"/>
        <w:ind w:left="0" w:right="0" w:hanging="0"/>
        <w:jc w:val="both"/>
        <w:rPr/>
      </w:pPr>
      <w:r>
        <w:rPr/>
        <w:t> </w:t>
      </w:r>
    </w:p>
    <w:p>
      <w:pPr>
        <w:pStyle w:val="TextBody"/>
        <w:spacing w:before="0" w:after="0"/>
        <w:ind w:left="0" w:right="0" w:hanging="0"/>
        <w:jc w:val="both"/>
        <w:rPr>
          <w:rFonts w:ascii="helvetica" w:hAnsi="helvetica"/>
          <w:b/>
          <w:sz w:val="20"/>
        </w:rPr>
      </w:pPr>
      <w:r>
        <w:rPr>
          <w:rFonts w:ascii="helvetica" w:hAnsi="helvetica"/>
          <w:b/>
          <w:sz w:val="20"/>
        </w:rPr>
        <w:t>Revenues</w:t>
      </w:r>
    </w:p>
    <w:p>
      <w:pPr>
        <w:pStyle w:val="TextBody"/>
        <w:spacing w:before="0" w:after="0"/>
        <w:ind w:left="0" w:right="0" w:hanging="0"/>
        <w:jc w:val="both"/>
        <w:rPr/>
      </w:pPr>
      <w:r>
        <w:rPr/>
        <w:t> </w:t>
      </w:r>
    </w:p>
    <w:p>
      <w:pPr>
        <w:pStyle w:val="TextBody"/>
        <w:spacing w:before="0" w:after="0"/>
        <w:ind w:left="0" w:right="0" w:firstLine="720"/>
        <w:jc w:val="both"/>
        <w:rPr>
          <w:rFonts w:ascii="helvetica" w:hAnsi="helvetica"/>
          <w:sz w:val="20"/>
        </w:rPr>
      </w:pPr>
      <w:r>
        <w:rPr>
          <w:rFonts w:ascii="helvetica" w:hAnsi="helvetica"/>
          <w:sz w:val="20"/>
        </w:rPr>
        <w:t>No revenues were recognized during the three months ended June 30, 2012 and 2011.  For the six months ended June 30, 2012 we recognized $100,000 in revenues, compared to no revenues recognized during the same period in the prior year.  These revenues were non-refundable royalty advances, unrelated to product sales, paid to the Company in December 2010 and April 2011.  The revenues stem from our terminated license agreement which had provided JH Direct rights to our anti-cellulite cosmetic product.  This agreement was terminated in January 2012, and we do not expect any other revenues to be recognized from it.</w:t>
      </w:r>
    </w:p>
    <w:p>
      <w:pPr>
        <w:pStyle w:val="TextBody"/>
        <w:spacing w:before="0" w:after="0"/>
        <w:ind w:left="0" w:right="0" w:hanging="0"/>
        <w:jc w:val="both"/>
        <w:rPr/>
      </w:pPr>
      <w:r>
        <w:rPr/>
        <w:t> </w:t>
      </w:r>
    </w:p>
    <w:p>
      <w:pPr>
        <w:pStyle w:val="TextBody"/>
        <w:spacing w:before="0" w:after="0"/>
        <w:ind w:left="0" w:right="0" w:hanging="0"/>
        <w:jc w:val="both"/>
        <w:rPr>
          <w:rFonts w:ascii="helvetica" w:hAnsi="helvetica"/>
          <w:b/>
          <w:sz w:val="20"/>
        </w:rPr>
      </w:pPr>
      <w:r>
        <w:rPr>
          <w:rFonts w:ascii="helvetica" w:hAnsi="helvetica"/>
          <w:b/>
          <w:sz w:val="20"/>
        </w:rPr>
        <w:t>Selling, General and Administrative Expenses</w:t>
      </w:r>
    </w:p>
    <w:p>
      <w:pPr>
        <w:pStyle w:val="TextBody"/>
        <w:spacing w:before="0" w:after="0"/>
        <w:ind w:left="0" w:right="0" w:hanging="0"/>
        <w:jc w:val="both"/>
        <w:rPr/>
      </w:pPr>
      <w:r>
        <w:rPr/>
        <w:t> </w:t>
      </w:r>
    </w:p>
    <w:p>
      <w:pPr>
        <w:pStyle w:val="TextBody"/>
        <w:spacing w:before="0" w:after="0"/>
        <w:ind w:left="0" w:right="0" w:firstLine="720"/>
        <w:jc w:val="both"/>
        <w:rPr>
          <w:rFonts w:ascii="helvetica" w:hAnsi="helvetica"/>
          <w:sz w:val="20"/>
        </w:rPr>
      </w:pPr>
      <w:r>
        <w:rPr>
          <w:rFonts w:ascii="helvetica" w:hAnsi="helvetica"/>
          <w:sz w:val="20"/>
        </w:rPr>
        <w:t>Our selling, general and administrative expenses include personnel costs including wages and stock-based compensation, corporate facility expenses, investor relations, consulting, insurance, legal and accounting expenses.</w:t>
      </w:r>
    </w:p>
    <w:p>
      <w:pPr>
        <w:pStyle w:val="TextBody"/>
        <w:spacing w:before="0" w:after="0"/>
        <w:ind w:left="0" w:right="0" w:hanging="0"/>
        <w:jc w:val="both"/>
        <w:rPr/>
      </w:pPr>
      <w:r>
        <w:rPr/>
        <w:t> </w:t>
      </w:r>
    </w:p>
    <w:p>
      <w:pPr>
        <w:pStyle w:val="TextBody"/>
        <w:spacing w:before="0" w:after="0"/>
        <w:ind w:left="0" w:right="0" w:firstLine="720"/>
        <w:jc w:val="both"/>
        <w:rPr>
          <w:rFonts w:ascii="helvetica" w:hAnsi="helvetica"/>
          <w:sz w:val="20"/>
        </w:rPr>
      </w:pPr>
      <w:r>
        <w:rPr>
          <w:rFonts w:ascii="helvetica" w:hAnsi="helvetica"/>
          <w:sz w:val="20"/>
        </w:rPr>
        <w:t>The table below provides information regarding selling, general and administrative expenses.</w:t>
      </w:r>
    </w:p>
    <w:p>
      <w:pPr>
        <w:pStyle w:val="TextBody"/>
        <w:spacing w:before="0" w:after="0"/>
        <w:ind w:left="0" w:right="0" w:hanging="0"/>
        <w:jc w:val="both"/>
        <w:rPr/>
      </w:pPr>
      <w:r>
        <w:rPr/>
        <w:t> </w:t>
      </w:r>
    </w:p>
    <w:tbl>
      <w:tblPr>
        <w:tblW w:w="5000" w:type="pct"/>
        <w:jc w:val="left"/>
        <w:tblInd w:w="0" w:type="dxa"/>
        <w:tblCellMar>
          <w:top w:w="0" w:type="dxa"/>
          <w:left w:w="0" w:type="dxa"/>
          <w:bottom w:w="0" w:type="dxa"/>
          <w:right w:w="0" w:type="dxa"/>
        </w:tblCellMar>
      </w:tblPr>
      <w:tblGrid>
        <w:gridCol w:w="2558"/>
        <w:gridCol w:w="96"/>
        <w:gridCol w:w="125"/>
        <w:gridCol w:w="943"/>
        <w:gridCol w:w="96"/>
        <w:gridCol w:w="96"/>
        <w:gridCol w:w="125"/>
        <w:gridCol w:w="943"/>
        <w:gridCol w:w="96"/>
        <w:gridCol w:w="96"/>
        <w:gridCol w:w="124"/>
        <w:gridCol w:w="943"/>
        <w:gridCol w:w="96"/>
        <w:gridCol w:w="96"/>
        <w:gridCol w:w="125"/>
        <w:gridCol w:w="1016"/>
        <w:gridCol w:w="96"/>
        <w:gridCol w:w="96"/>
        <w:gridCol w:w="125"/>
        <w:gridCol w:w="943"/>
        <w:gridCol w:w="95"/>
        <w:gridCol w:w="96"/>
        <w:gridCol w:w="125"/>
        <w:gridCol w:w="943"/>
        <w:gridCol w:w="112"/>
      </w:tblGrid>
      <w:tr>
        <w:trPr/>
        <w:tc>
          <w:tcPr>
            <w:tcW w:w="2558" w:type="dxa"/>
            <w:tcBorders/>
            <w:shd w:fill="auto" w:val="clear"/>
            <w:vAlign w:val="bottom"/>
          </w:tcPr>
          <w:p>
            <w:pPr>
              <w:pStyle w:val="TableContents"/>
              <w:spacing w:before="0" w:after="283"/>
              <w:rPr/>
            </w:pPr>
            <w:r>
              <w:rPr/>
              <w:t xml:space="preserve">  </w:t>
            </w:r>
          </w:p>
        </w:tc>
        <w:tc>
          <w:tcPr>
            <w:tcW w:w="96" w:type="dxa"/>
            <w:tcBorders/>
            <w:shd w:fill="auto" w:val="clear"/>
            <w:vAlign w:val="bottom"/>
          </w:tcPr>
          <w:p>
            <w:pPr>
              <w:pStyle w:val="TableContents"/>
              <w:spacing w:before="0" w:after="283"/>
              <w:rPr/>
            </w:pPr>
            <w:r>
              <w:rPr/>
              <w:t> </w:t>
            </w:r>
          </w:p>
        </w:tc>
        <w:tc>
          <w:tcPr>
            <w:tcW w:w="2328" w:type="dxa"/>
            <w:gridSpan w:val="6"/>
            <w:tcBorders>
              <w:bottom w:val="single" w:sz="12" w:space="0" w:color="000000"/>
            </w:tcBorders>
            <w:shd w:fill="auto" w:val="clear"/>
            <w:tcMar>
              <w:bottom w:w="28" w:type="dxa"/>
            </w:tcMar>
            <w:vAlign w:val="bottom"/>
          </w:tcPr>
          <w:p>
            <w:pPr>
              <w:pStyle w:val="TableContents"/>
              <w:spacing w:before="0" w:after="0"/>
              <w:ind w:left="0" w:right="0" w:hanging="0"/>
              <w:jc w:val="center"/>
              <w:rPr>
                <w:rFonts w:ascii="helvetica" w:hAnsi="helvetica"/>
                <w:b/>
                <w:sz w:val="16"/>
              </w:rPr>
            </w:pPr>
            <w:r>
              <w:rPr>
                <w:rFonts w:ascii="helvetica" w:hAnsi="helvetica"/>
                <w:b/>
                <w:sz w:val="16"/>
              </w:rPr>
              <w:t>Three months ended June 30,</w:t>
            </w:r>
          </w:p>
        </w:tc>
        <w:tc>
          <w:tcPr>
            <w:tcW w:w="96" w:type="dxa"/>
            <w:tcBorders/>
            <w:shd w:fill="auto" w:val="clear"/>
            <w:vAlign w:val="bottom"/>
          </w:tcPr>
          <w:p>
            <w:pPr>
              <w:pStyle w:val="TableContents"/>
              <w:spacing w:before="0" w:after="283"/>
              <w:jc w:val="left"/>
              <w:rPr/>
            </w:pPr>
            <w:r>
              <w:rPr/>
              <w:t> </w:t>
            </w:r>
          </w:p>
        </w:tc>
        <w:tc>
          <w:tcPr>
            <w:tcW w:w="96" w:type="dxa"/>
            <w:tcBorders/>
            <w:shd w:fill="auto" w:val="clear"/>
            <w:vAlign w:val="bottom"/>
          </w:tcPr>
          <w:p>
            <w:pPr>
              <w:pStyle w:val="TableContents"/>
              <w:spacing w:before="0" w:after="283"/>
              <w:rPr/>
            </w:pPr>
            <w:r>
              <w:rPr/>
              <w:t> </w:t>
            </w:r>
          </w:p>
        </w:tc>
        <w:tc>
          <w:tcPr>
            <w:tcW w:w="1067" w:type="dxa"/>
            <w:gridSpan w:val="2"/>
            <w:tcBorders/>
            <w:shd w:fill="auto" w:val="clear"/>
            <w:vAlign w:val="bottom"/>
          </w:tcPr>
          <w:p>
            <w:pPr>
              <w:pStyle w:val="TableContents"/>
              <w:spacing w:before="0" w:after="283"/>
              <w:jc w:val="center"/>
              <w:rPr>
                <w:rFonts w:ascii="helvetica" w:hAnsi="helvetica"/>
                <w:b/>
                <w:sz w:val="16"/>
              </w:rPr>
            </w:pPr>
            <w:r>
              <w:rPr>
                <w:rFonts w:ascii="helvetica" w:hAnsi="helvetica"/>
                <w:b/>
                <w:sz w:val="16"/>
              </w:rPr>
              <w:t>$</w:t>
            </w:r>
          </w:p>
        </w:tc>
        <w:tc>
          <w:tcPr>
            <w:tcW w:w="96" w:type="dxa"/>
            <w:tcBorders/>
            <w:shd w:fill="auto" w:val="clear"/>
            <w:vAlign w:val="bottom"/>
          </w:tcPr>
          <w:p>
            <w:pPr>
              <w:pStyle w:val="TableContents"/>
              <w:spacing w:before="0" w:after="283"/>
              <w:jc w:val="left"/>
              <w:rPr/>
            </w:pPr>
            <w:r>
              <w:rPr/>
              <w:t> </w:t>
            </w:r>
          </w:p>
        </w:tc>
        <w:tc>
          <w:tcPr>
            <w:tcW w:w="96" w:type="dxa"/>
            <w:tcBorders/>
            <w:shd w:fill="auto" w:val="clear"/>
            <w:vAlign w:val="bottom"/>
          </w:tcPr>
          <w:p>
            <w:pPr>
              <w:pStyle w:val="TableContents"/>
              <w:spacing w:before="0" w:after="283"/>
              <w:rPr/>
            </w:pPr>
            <w:r>
              <w:rPr/>
              <w:t> </w:t>
            </w:r>
          </w:p>
        </w:tc>
        <w:tc>
          <w:tcPr>
            <w:tcW w:w="2401" w:type="dxa"/>
            <w:gridSpan w:val="6"/>
            <w:tcBorders>
              <w:bottom w:val="single" w:sz="12" w:space="0" w:color="000000"/>
            </w:tcBorders>
            <w:shd w:fill="auto" w:val="clear"/>
            <w:tcMar>
              <w:bottom w:w="28" w:type="dxa"/>
            </w:tcMar>
            <w:vAlign w:val="bottom"/>
          </w:tcPr>
          <w:p>
            <w:pPr>
              <w:pStyle w:val="TableContents"/>
              <w:spacing w:before="0" w:after="0"/>
              <w:ind w:left="0" w:right="0" w:hanging="0"/>
              <w:jc w:val="center"/>
              <w:rPr>
                <w:rFonts w:ascii="helvetica" w:hAnsi="helvetica"/>
                <w:b/>
                <w:sz w:val="16"/>
              </w:rPr>
            </w:pPr>
            <w:r>
              <w:rPr>
                <w:rFonts w:ascii="helvetica" w:hAnsi="helvetica"/>
                <w:b/>
                <w:sz w:val="16"/>
              </w:rPr>
              <w:t>Six months ended June 30,</w:t>
            </w:r>
          </w:p>
        </w:tc>
        <w:tc>
          <w:tcPr>
            <w:tcW w:w="95" w:type="dxa"/>
            <w:tcBorders/>
            <w:shd w:fill="auto" w:val="clear"/>
            <w:vAlign w:val="bottom"/>
          </w:tcPr>
          <w:p>
            <w:pPr>
              <w:pStyle w:val="TableContents"/>
              <w:spacing w:before="0" w:after="283"/>
              <w:jc w:val="left"/>
              <w:rPr/>
            </w:pPr>
            <w:r>
              <w:rPr/>
              <w:t> </w:t>
            </w:r>
          </w:p>
        </w:tc>
        <w:tc>
          <w:tcPr>
            <w:tcW w:w="96" w:type="dxa"/>
            <w:tcBorders/>
            <w:shd w:fill="auto" w:val="clear"/>
            <w:vAlign w:val="bottom"/>
          </w:tcPr>
          <w:p>
            <w:pPr>
              <w:pStyle w:val="TableContents"/>
              <w:spacing w:before="0" w:after="283"/>
              <w:rPr/>
            </w:pPr>
            <w:r>
              <w:rPr/>
              <w:t> </w:t>
            </w:r>
          </w:p>
        </w:tc>
        <w:tc>
          <w:tcPr>
            <w:tcW w:w="1068" w:type="dxa"/>
            <w:gridSpan w:val="2"/>
            <w:tcBorders/>
            <w:shd w:fill="auto" w:val="clear"/>
            <w:vAlign w:val="bottom"/>
          </w:tcPr>
          <w:p>
            <w:pPr>
              <w:pStyle w:val="TableContents"/>
              <w:spacing w:before="0" w:after="283"/>
              <w:jc w:val="center"/>
              <w:rPr>
                <w:rFonts w:ascii="helvetica" w:hAnsi="helvetica"/>
                <w:b/>
                <w:sz w:val="16"/>
              </w:rPr>
            </w:pPr>
            <w:r>
              <w:rPr>
                <w:rFonts w:ascii="helvetica" w:hAnsi="helvetica"/>
                <w:b/>
                <w:sz w:val="16"/>
              </w:rPr>
              <w:t>$</w:t>
            </w:r>
          </w:p>
        </w:tc>
        <w:tc>
          <w:tcPr>
            <w:tcW w:w="112" w:type="dxa"/>
            <w:tcBorders/>
            <w:shd w:fill="auto" w:val="clear"/>
            <w:vAlign w:val="bottom"/>
          </w:tcPr>
          <w:p>
            <w:pPr>
              <w:pStyle w:val="TableContents"/>
              <w:spacing w:before="0" w:after="283"/>
              <w:jc w:val="left"/>
              <w:rPr/>
            </w:pPr>
            <w:r>
              <w:rPr/>
              <w:t> </w:t>
            </w:r>
          </w:p>
        </w:tc>
      </w:tr>
      <w:tr>
        <w:trPr/>
        <w:tc>
          <w:tcPr>
            <w:tcW w:w="2558" w:type="dxa"/>
            <w:tcBorders/>
            <w:shd w:fill="auto" w:val="clear"/>
            <w:vAlign w:val="bottom"/>
          </w:tcPr>
          <w:p>
            <w:pPr>
              <w:pStyle w:val="TableContents"/>
              <w:spacing w:before="0" w:after="283"/>
              <w:rPr/>
            </w:pPr>
            <w:r>
              <w:rPr/>
              <w:t xml:space="preserve">  </w:t>
            </w:r>
          </w:p>
        </w:tc>
        <w:tc>
          <w:tcPr>
            <w:tcW w:w="96" w:type="dxa"/>
            <w:tcBorders/>
            <w:shd w:fill="auto" w:val="clear"/>
            <w:vAlign w:val="bottom"/>
          </w:tcPr>
          <w:p>
            <w:pPr>
              <w:pStyle w:val="TableContents"/>
              <w:spacing w:before="0" w:after="283"/>
              <w:rPr/>
            </w:pPr>
            <w:r>
              <w:rPr/>
              <w:t> </w:t>
            </w:r>
          </w:p>
        </w:tc>
        <w:tc>
          <w:tcPr>
            <w:tcW w:w="1068"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helvetica" w:hAnsi="helvetica"/>
                <w:b/>
                <w:sz w:val="16"/>
              </w:rPr>
            </w:pPr>
            <w:r>
              <w:rPr>
                <w:rFonts w:ascii="helvetica" w:hAnsi="helvetica"/>
                <w:b/>
                <w:sz w:val="16"/>
              </w:rPr>
              <w:t>2012</w:t>
            </w:r>
          </w:p>
        </w:tc>
        <w:tc>
          <w:tcPr>
            <w:tcW w:w="96" w:type="dxa"/>
            <w:tcBorders/>
            <w:shd w:fill="auto" w:val="clear"/>
            <w:vAlign w:val="bottom"/>
          </w:tcPr>
          <w:p>
            <w:pPr>
              <w:pStyle w:val="TableContents"/>
              <w:spacing w:before="0" w:after="283"/>
              <w:jc w:val="left"/>
              <w:rPr/>
            </w:pPr>
            <w:r>
              <w:rPr/>
              <w:t> </w:t>
            </w:r>
          </w:p>
        </w:tc>
        <w:tc>
          <w:tcPr>
            <w:tcW w:w="96" w:type="dxa"/>
            <w:tcBorders/>
            <w:shd w:fill="auto" w:val="clear"/>
            <w:vAlign w:val="bottom"/>
          </w:tcPr>
          <w:p>
            <w:pPr>
              <w:pStyle w:val="TableContents"/>
              <w:spacing w:before="0" w:after="283"/>
              <w:rPr/>
            </w:pPr>
            <w:r>
              <w:rPr/>
              <w:t> </w:t>
            </w:r>
          </w:p>
        </w:tc>
        <w:tc>
          <w:tcPr>
            <w:tcW w:w="1068"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helvetica" w:hAnsi="helvetica"/>
                <w:b/>
                <w:sz w:val="16"/>
              </w:rPr>
            </w:pPr>
            <w:r>
              <w:rPr>
                <w:rFonts w:ascii="helvetica" w:hAnsi="helvetica"/>
                <w:b/>
                <w:sz w:val="16"/>
              </w:rPr>
              <w:t>2011</w:t>
            </w:r>
          </w:p>
        </w:tc>
        <w:tc>
          <w:tcPr>
            <w:tcW w:w="96" w:type="dxa"/>
            <w:tcBorders/>
            <w:shd w:fill="auto" w:val="clear"/>
            <w:vAlign w:val="bottom"/>
          </w:tcPr>
          <w:p>
            <w:pPr>
              <w:pStyle w:val="TableContents"/>
              <w:spacing w:before="0" w:after="283"/>
              <w:jc w:val="left"/>
              <w:rPr/>
            </w:pPr>
            <w:r>
              <w:rPr/>
              <w:t> </w:t>
            </w:r>
          </w:p>
        </w:tc>
        <w:tc>
          <w:tcPr>
            <w:tcW w:w="96" w:type="dxa"/>
            <w:tcBorders/>
            <w:shd w:fill="auto" w:val="clear"/>
            <w:vAlign w:val="bottom"/>
          </w:tcPr>
          <w:p>
            <w:pPr>
              <w:pStyle w:val="TableContents"/>
              <w:spacing w:before="0" w:after="283"/>
              <w:rPr/>
            </w:pPr>
            <w:r>
              <w:rPr/>
              <w:t> </w:t>
            </w:r>
          </w:p>
        </w:tc>
        <w:tc>
          <w:tcPr>
            <w:tcW w:w="1067"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helvetica" w:hAnsi="helvetica"/>
                <w:b/>
                <w:sz w:val="16"/>
              </w:rPr>
            </w:pPr>
            <w:r>
              <w:rPr>
                <w:rFonts w:ascii="helvetica" w:hAnsi="helvetica"/>
                <w:b/>
                <w:sz w:val="16"/>
              </w:rPr>
              <w:t>Variance</w:t>
            </w:r>
          </w:p>
        </w:tc>
        <w:tc>
          <w:tcPr>
            <w:tcW w:w="96" w:type="dxa"/>
            <w:tcBorders/>
            <w:shd w:fill="auto" w:val="clear"/>
            <w:vAlign w:val="bottom"/>
          </w:tcPr>
          <w:p>
            <w:pPr>
              <w:pStyle w:val="TableContents"/>
              <w:spacing w:before="0" w:after="283"/>
              <w:jc w:val="left"/>
              <w:rPr/>
            </w:pPr>
            <w:r>
              <w:rPr/>
              <w:t> </w:t>
            </w:r>
          </w:p>
        </w:tc>
        <w:tc>
          <w:tcPr>
            <w:tcW w:w="96" w:type="dxa"/>
            <w:tcBorders/>
            <w:shd w:fill="auto" w:val="clear"/>
            <w:vAlign w:val="bottom"/>
          </w:tcPr>
          <w:p>
            <w:pPr>
              <w:pStyle w:val="TableContents"/>
              <w:spacing w:before="0" w:after="283"/>
              <w:rPr/>
            </w:pPr>
            <w:r>
              <w:rPr/>
              <w:t> </w:t>
            </w:r>
          </w:p>
        </w:tc>
        <w:tc>
          <w:tcPr>
            <w:tcW w:w="1141" w:type="dxa"/>
            <w:gridSpan w:val="2"/>
            <w:tcBorders>
              <w:bottom w:val="single" w:sz="12" w:space="0" w:color="000000"/>
            </w:tcBorders>
            <w:shd w:fill="auto" w:val="clear"/>
            <w:tcMar>
              <w:bottom w:w="28" w:type="dxa"/>
            </w:tcMar>
            <w:vAlign w:val="bottom"/>
          </w:tcPr>
          <w:p>
            <w:pPr>
              <w:pStyle w:val="TableContents"/>
              <w:spacing w:before="0" w:after="283"/>
              <w:jc w:val="center"/>
              <w:rPr/>
            </w:pPr>
            <w:r>
              <w:rPr/>
              <w:t> </w:t>
            </w:r>
            <w:r>
              <w:rPr>
                <w:rFonts w:ascii="helvetica" w:hAnsi="helvetica"/>
                <w:b/>
                <w:sz w:val="16"/>
              </w:rPr>
              <w:t>2012</w:t>
            </w:r>
          </w:p>
        </w:tc>
        <w:tc>
          <w:tcPr>
            <w:tcW w:w="96" w:type="dxa"/>
            <w:tcBorders/>
            <w:shd w:fill="auto" w:val="clear"/>
            <w:vAlign w:val="bottom"/>
          </w:tcPr>
          <w:p>
            <w:pPr>
              <w:pStyle w:val="TableContents"/>
              <w:spacing w:before="0" w:after="283"/>
              <w:jc w:val="left"/>
              <w:rPr/>
            </w:pPr>
            <w:r>
              <w:rPr/>
              <w:t> </w:t>
            </w:r>
          </w:p>
        </w:tc>
        <w:tc>
          <w:tcPr>
            <w:tcW w:w="96" w:type="dxa"/>
            <w:tcBorders/>
            <w:shd w:fill="auto" w:val="clear"/>
            <w:vAlign w:val="bottom"/>
          </w:tcPr>
          <w:p>
            <w:pPr>
              <w:pStyle w:val="TableContents"/>
              <w:spacing w:before="0" w:after="283"/>
              <w:rPr/>
            </w:pPr>
            <w:r>
              <w:rPr/>
              <w:t> </w:t>
            </w:r>
          </w:p>
        </w:tc>
        <w:tc>
          <w:tcPr>
            <w:tcW w:w="1068" w:type="dxa"/>
            <w:gridSpan w:val="2"/>
            <w:tcBorders>
              <w:bottom w:val="single" w:sz="12" w:space="0" w:color="000000"/>
            </w:tcBorders>
            <w:shd w:fill="auto" w:val="clear"/>
            <w:tcMar>
              <w:bottom w:w="28" w:type="dxa"/>
            </w:tcMar>
            <w:vAlign w:val="bottom"/>
          </w:tcPr>
          <w:p>
            <w:pPr>
              <w:pStyle w:val="TableContents"/>
              <w:spacing w:before="0" w:after="283"/>
              <w:jc w:val="center"/>
              <w:rPr/>
            </w:pPr>
            <w:r>
              <w:rPr/>
              <w:t> </w:t>
            </w:r>
            <w:r>
              <w:rPr>
                <w:rFonts w:ascii="helvetica" w:hAnsi="helvetica"/>
                <w:b/>
                <w:sz w:val="16"/>
              </w:rPr>
              <w:t>2011</w:t>
            </w:r>
          </w:p>
        </w:tc>
        <w:tc>
          <w:tcPr>
            <w:tcW w:w="95" w:type="dxa"/>
            <w:tcBorders/>
            <w:shd w:fill="auto" w:val="clear"/>
            <w:vAlign w:val="bottom"/>
          </w:tcPr>
          <w:p>
            <w:pPr>
              <w:pStyle w:val="TableContents"/>
              <w:spacing w:before="0" w:after="283"/>
              <w:jc w:val="left"/>
              <w:rPr/>
            </w:pPr>
            <w:r>
              <w:rPr/>
              <w:t> </w:t>
            </w:r>
          </w:p>
        </w:tc>
        <w:tc>
          <w:tcPr>
            <w:tcW w:w="96" w:type="dxa"/>
            <w:tcBorders/>
            <w:shd w:fill="auto" w:val="clear"/>
            <w:vAlign w:val="bottom"/>
          </w:tcPr>
          <w:p>
            <w:pPr>
              <w:pStyle w:val="TableContents"/>
              <w:spacing w:before="0" w:after="283"/>
              <w:rPr/>
            </w:pPr>
            <w:r>
              <w:rPr/>
              <w:t> </w:t>
            </w:r>
          </w:p>
        </w:tc>
        <w:tc>
          <w:tcPr>
            <w:tcW w:w="1068"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helvetica" w:hAnsi="helvetica"/>
                <w:b/>
                <w:sz w:val="16"/>
              </w:rPr>
            </w:pPr>
            <w:r>
              <w:rPr>
                <w:rFonts w:ascii="helvetica" w:hAnsi="helvetica"/>
                <w:b/>
                <w:sz w:val="16"/>
              </w:rPr>
              <w:t>Variance</w:t>
            </w:r>
          </w:p>
        </w:tc>
        <w:tc>
          <w:tcPr>
            <w:tcW w:w="112" w:type="dxa"/>
            <w:tcBorders/>
            <w:shd w:fill="auto" w:val="clear"/>
            <w:vAlign w:val="bottom"/>
          </w:tcPr>
          <w:p>
            <w:pPr>
              <w:pStyle w:val="TableContents"/>
              <w:spacing w:before="0" w:after="283"/>
              <w:jc w:val="left"/>
              <w:rPr/>
            </w:pPr>
            <w:r>
              <w:rPr/>
              <w:t> </w:t>
            </w:r>
          </w:p>
        </w:tc>
      </w:tr>
      <w:tr>
        <w:trPr/>
        <w:tc>
          <w:tcPr>
            <w:tcW w:w="2558" w:type="dxa"/>
            <w:tcBorders/>
            <w:shd w:fill="CCEEFF" w:val="clear"/>
            <w:vAlign w:val="bottom"/>
          </w:tcPr>
          <w:p>
            <w:pPr>
              <w:pStyle w:val="TableContents"/>
              <w:spacing w:before="0" w:after="0"/>
              <w:ind w:left="0" w:right="0" w:hanging="0"/>
              <w:jc w:val="left"/>
              <w:rPr>
                <w:rFonts w:ascii="helvetica" w:hAnsi="helvetica"/>
                <w:b/>
                <w:sz w:val="20"/>
              </w:rPr>
            </w:pPr>
            <w:r>
              <w:rPr>
                <w:rFonts w:ascii="helvetica" w:hAnsi="helvetica"/>
                <w:b/>
                <w:sz w:val="20"/>
              </w:rPr>
              <w:t>Selling, general and administrative</w:t>
            </w:r>
          </w:p>
        </w:tc>
        <w:tc>
          <w:tcPr>
            <w:tcW w:w="96" w:type="dxa"/>
            <w:tcBorders/>
            <w:shd w:fill="CCEEFF" w:val="clear"/>
            <w:vAlign w:val="bottom"/>
          </w:tcPr>
          <w:p>
            <w:pPr>
              <w:pStyle w:val="TableContents"/>
              <w:spacing w:before="0" w:after="283"/>
              <w:rPr/>
            </w:pPr>
            <w:r>
              <w:rPr/>
              <w:t> </w:t>
            </w:r>
          </w:p>
        </w:tc>
        <w:tc>
          <w:tcPr>
            <w:tcW w:w="125" w:type="dxa"/>
            <w:tcBorders>
              <w:bottom w:val="double" w:sz="8" w:space="0" w:color="000000"/>
            </w:tcBorders>
            <w:shd w:fill="CCEEFF" w:val="clear"/>
            <w:tcMar>
              <w:bottom w:w="28" w:type="dxa"/>
            </w:tcMar>
            <w:vAlign w:val="bottom"/>
          </w:tcPr>
          <w:p>
            <w:pPr>
              <w:pStyle w:val="TableContents"/>
              <w:spacing w:before="0" w:after="283"/>
              <w:jc w:val="left"/>
              <w:rPr>
                <w:rFonts w:ascii="helvetica" w:hAnsi="helvetica"/>
                <w:sz w:val="20"/>
              </w:rPr>
            </w:pPr>
            <w:r>
              <w:rPr>
                <w:rFonts w:ascii="helvetica" w:hAnsi="helvetica"/>
                <w:sz w:val="20"/>
              </w:rPr>
              <w:t>$</w:t>
            </w:r>
          </w:p>
        </w:tc>
        <w:tc>
          <w:tcPr>
            <w:tcW w:w="943" w:type="dxa"/>
            <w:tcBorders>
              <w:bottom w:val="double" w:sz="8" w:space="0" w:color="000000"/>
            </w:tcBorders>
            <w:shd w:fill="CCEE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984,667</w:t>
            </w:r>
          </w:p>
        </w:tc>
        <w:tc>
          <w:tcPr>
            <w:tcW w:w="96" w:type="dxa"/>
            <w:tcBorders/>
            <w:shd w:fill="CCEEFF" w:val="clear"/>
            <w:vAlign w:val="bottom"/>
          </w:tcPr>
          <w:p>
            <w:pPr>
              <w:pStyle w:val="TableContents"/>
              <w:spacing w:before="0" w:after="283"/>
              <w:jc w:val="left"/>
              <w:rPr/>
            </w:pPr>
            <w:r>
              <w:rPr/>
              <w:t> </w:t>
            </w:r>
          </w:p>
        </w:tc>
        <w:tc>
          <w:tcPr>
            <w:tcW w:w="96" w:type="dxa"/>
            <w:tcBorders/>
            <w:shd w:fill="CCEEFF" w:val="clear"/>
            <w:vAlign w:val="bottom"/>
          </w:tcPr>
          <w:p>
            <w:pPr>
              <w:pStyle w:val="TableContents"/>
              <w:spacing w:before="0" w:after="283"/>
              <w:rPr/>
            </w:pPr>
            <w:r>
              <w:rPr/>
              <w:t> </w:t>
            </w:r>
          </w:p>
        </w:tc>
        <w:tc>
          <w:tcPr>
            <w:tcW w:w="125" w:type="dxa"/>
            <w:tcBorders>
              <w:bottom w:val="double" w:sz="8" w:space="0" w:color="000000"/>
            </w:tcBorders>
            <w:shd w:fill="CCEEFF" w:val="clear"/>
            <w:tcMar>
              <w:bottom w:w="28" w:type="dxa"/>
            </w:tcMar>
            <w:vAlign w:val="bottom"/>
          </w:tcPr>
          <w:p>
            <w:pPr>
              <w:pStyle w:val="TableContents"/>
              <w:spacing w:before="0" w:after="283"/>
              <w:jc w:val="left"/>
              <w:rPr>
                <w:rFonts w:ascii="helvetica" w:hAnsi="helvetica"/>
                <w:sz w:val="20"/>
              </w:rPr>
            </w:pPr>
            <w:r>
              <w:rPr>
                <w:rFonts w:ascii="helvetica" w:hAnsi="helvetica"/>
                <w:sz w:val="20"/>
              </w:rPr>
              <w:t>$</w:t>
            </w:r>
          </w:p>
        </w:tc>
        <w:tc>
          <w:tcPr>
            <w:tcW w:w="943" w:type="dxa"/>
            <w:tcBorders>
              <w:bottom w:val="double" w:sz="8" w:space="0" w:color="000000"/>
            </w:tcBorders>
            <w:shd w:fill="CCEE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121,429</w:t>
            </w:r>
          </w:p>
        </w:tc>
        <w:tc>
          <w:tcPr>
            <w:tcW w:w="96" w:type="dxa"/>
            <w:tcBorders/>
            <w:shd w:fill="CCEEFF" w:val="clear"/>
            <w:vAlign w:val="bottom"/>
          </w:tcPr>
          <w:p>
            <w:pPr>
              <w:pStyle w:val="TableContents"/>
              <w:spacing w:before="0" w:after="283"/>
              <w:jc w:val="left"/>
              <w:rPr/>
            </w:pPr>
            <w:r>
              <w:rPr/>
              <w:t> </w:t>
            </w:r>
          </w:p>
        </w:tc>
        <w:tc>
          <w:tcPr>
            <w:tcW w:w="96"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jc w:val="left"/>
              <w:rPr>
                <w:rFonts w:ascii="helvetica" w:hAnsi="helvetica"/>
                <w:sz w:val="20"/>
              </w:rPr>
            </w:pPr>
            <w:r>
              <w:rPr>
                <w:rFonts w:ascii="helvetica" w:hAnsi="helvetica"/>
                <w:sz w:val="20"/>
              </w:rPr>
              <w:t>$</w:t>
            </w:r>
          </w:p>
        </w:tc>
        <w:tc>
          <w:tcPr>
            <w:tcW w:w="943"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863,238</w:t>
            </w:r>
          </w:p>
        </w:tc>
        <w:tc>
          <w:tcPr>
            <w:tcW w:w="96" w:type="dxa"/>
            <w:tcBorders/>
            <w:shd w:fill="CCEEFF" w:val="clear"/>
            <w:vAlign w:val="bottom"/>
          </w:tcPr>
          <w:p>
            <w:pPr>
              <w:pStyle w:val="TableContents"/>
              <w:spacing w:before="0" w:after="283"/>
              <w:jc w:val="left"/>
              <w:rPr/>
            </w:pPr>
            <w:r>
              <w:rPr/>
              <w:t> </w:t>
            </w:r>
          </w:p>
        </w:tc>
        <w:tc>
          <w:tcPr>
            <w:tcW w:w="96" w:type="dxa"/>
            <w:tcBorders/>
            <w:shd w:fill="CCEEFF" w:val="clear"/>
            <w:vAlign w:val="bottom"/>
          </w:tcPr>
          <w:p>
            <w:pPr>
              <w:pStyle w:val="TableContents"/>
              <w:spacing w:before="0" w:after="283"/>
              <w:rPr/>
            </w:pPr>
            <w:r>
              <w:rPr/>
              <w:t> </w:t>
            </w:r>
          </w:p>
        </w:tc>
        <w:tc>
          <w:tcPr>
            <w:tcW w:w="125" w:type="dxa"/>
            <w:tcBorders>
              <w:bottom w:val="double" w:sz="8" w:space="0" w:color="000000"/>
            </w:tcBorders>
            <w:shd w:fill="CCEEFF" w:val="clear"/>
            <w:tcMar>
              <w:bottom w:w="28" w:type="dxa"/>
            </w:tcMar>
            <w:vAlign w:val="bottom"/>
          </w:tcPr>
          <w:p>
            <w:pPr>
              <w:pStyle w:val="TableContents"/>
              <w:spacing w:before="0" w:after="283"/>
              <w:jc w:val="left"/>
              <w:rPr>
                <w:rFonts w:ascii="helvetica" w:hAnsi="helvetica"/>
                <w:sz w:val="20"/>
              </w:rPr>
            </w:pPr>
            <w:r>
              <w:rPr>
                <w:rFonts w:ascii="helvetica" w:hAnsi="helvetica"/>
                <w:sz w:val="20"/>
              </w:rPr>
              <w:t>$</w:t>
            </w:r>
          </w:p>
        </w:tc>
        <w:tc>
          <w:tcPr>
            <w:tcW w:w="1016" w:type="dxa"/>
            <w:tcBorders>
              <w:bottom w:val="double" w:sz="8" w:space="0" w:color="000000"/>
            </w:tcBorders>
            <w:shd w:fill="CCEE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1,293,623</w:t>
            </w:r>
          </w:p>
        </w:tc>
        <w:tc>
          <w:tcPr>
            <w:tcW w:w="96" w:type="dxa"/>
            <w:tcBorders/>
            <w:shd w:fill="CCEEFF" w:val="clear"/>
            <w:vAlign w:val="bottom"/>
          </w:tcPr>
          <w:p>
            <w:pPr>
              <w:pStyle w:val="TableContents"/>
              <w:spacing w:before="0" w:after="283"/>
              <w:jc w:val="left"/>
              <w:rPr/>
            </w:pPr>
            <w:r>
              <w:rPr/>
              <w:t> </w:t>
            </w:r>
          </w:p>
        </w:tc>
        <w:tc>
          <w:tcPr>
            <w:tcW w:w="96" w:type="dxa"/>
            <w:tcBorders/>
            <w:shd w:fill="CCEEFF" w:val="clear"/>
            <w:vAlign w:val="bottom"/>
          </w:tcPr>
          <w:p>
            <w:pPr>
              <w:pStyle w:val="TableContents"/>
              <w:spacing w:before="0" w:after="283"/>
              <w:rPr/>
            </w:pPr>
            <w:r>
              <w:rPr/>
              <w:t> </w:t>
            </w:r>
          </w:p>
        </w:tc>
        <w:tc>
          <w:tcPr>
            <w:tcW w:w="125" w:type="dxa"/>
            <w:tcBorders>
              <w:bottom w:val="double" w:sz="8" w:space="0" w:color="000000"/>
            </w:tcBorders>
            <w:shd w:fill="CCEEFF" w:val="clear"/>
            <w:tcMar>
              <w:bottom w:w="28" w:type="dxa"/>
            </w:tcMar>
            <w:vAlign w:val="bottom"/>
          </w:tcPr>
          <w:p>
            <w:pPr>
              <w:pStyle w:val="TableContents"/>
              <w:spacing w:before="0" w:after="283"/>
              <w:jc w:val="left"/>
              <w:rPr>
                <w:rFonts w:ascii="helvetica" w:hAnsi="helvetica"/>
                <w:sz w:val="20"/>
              </w:rPr>
            </w:pPr>
            <w:r>
              <w:rPr>
                <w:rFonts w:ascii="helvetica" w:hAnsi="helvetica"/>
                <w:sz w:val="20"/>
              </w:rPr>
              <w:t>$</w:t>
            </w:r>
          </w:p>
        </w:tc>
        <w:tc>
          <w:tcPr>
            <w:tcW w:w="943" w:type="dxa"/>
            <w:tcBorders>
              <w:bottom w:val="double" w:sz="8" w:space="0" w:color="000000"/>
            </w:tcBorders>
            <w:shd w:fill="CCEE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448,033</w:t>
            </w:r>
          </w:p>
        </w:tc>
        <w:tc>
          <w:tcPr>
            <w:tcW w:w="95" w:type="dxa"/>
            <w:tcBorders/>
            <w:shd w:fill="CCEEFF" w:val="clear"/>
            <w:vAlign w:val="bottom"/>
          </w:tcPr>
          <w:p>
            <w:pPr>
              <w:pStyle w:val="TableContents"/>
              <w:spacing w:before="0" w:after="283"/>
              <w:jc w:val="left"/>
              <w:rPr/>
            </w:pPr>
            <w:r>
              <w:rPr/>
              <w:t> </w:t>
            </w:r>
          </w:p>
        </w:tc>
        <w:tc>
          <w:tcPr>
            <w:tcW w:w="96"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rFonts w:ascii="helvetica" w:hAnsi="helvetica"/>
                <w:sz w:val="20"/>
              </w:rPr>
            </w:pPr>
            <w:r>
              <w:rPr>
                <w:rFonts w:ascii="helvetica" w:hAnsi="helvetica"/>
                <w:sz w:val="20"/>
              </w:rPr>
              <w:t>$</w:t>
            </w:r>
          </w:p>
        </w:tc>
        <w:tc>
          <w:tcPr>
            <w:tcW w:w="943"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845,590</w:t>
            </w:r>
          </w:p>
        </w:tc>
        <w:tc>
          <w:tcPr>
            <w:tcW w:w="112" w:type="dxa"/>
            <w:tcBorders/>
            <w:shd w:fill="CCEEFF" w:val="clear"/>
            <w:vAlign w:val="bottom"/>
          </w:tcPr>
          <w:p>
            <w:pPr>
              <w:pStyle w:val="TableContents"/>
              <w:spacing w:before="0" w:after="283"/>
              <w:jc w:val="left"/>
              <w:rPr/>
            </w:pPr>
            <w:r>
              <w:rPr/>
              <w:t> </w:t>
            </w:r>
          </w:p>
        </w:tc>
      </w:tr>
    </w:tbl>
    <w:p>
      <w:pPr>
        <w:pStyle w:val="TextBody"/>
        <w:spacing w:before="0" w:after="0"/>
        <w:ind w:left="0" w:right="0" w:hanging="0"/>
        <w:jc w:val="left"/>
        <w:rPr/>
      </w:pPr>
      <w:r>
        <w:rPr/>
        <w:t> </w:t>
      </w:r>
    </w:p>
    <w:p>
      <w:pPr>
        <w:pStyle w:val="TextBody"/>
        <w:spacing w:before="0" w:after="0"/>
        <w:ind w:left="0" w:right="0" w:firstLine="720"/>
        <w:jc w:val="both"/>
        <w:rPr>
          <w:rFonts w:ascii="helvetica" w:hAnsi="helvetica"/>
          <w:sz w:val="20"/>
        </w:rPr>
      </w:pPr>
      <w:r>
        <w:rPr>
          <w:rFonts w:ascii="helvetica" w:hAnsi="helvetica"/>
          <w:sz w:val="20"/>
        </w:rPr>
        <w:t>For the three and six months ended June 30, 2012, there was an increase of $863,238 and $845,590, respectively, in selling, general and administrative expenses, as compared to the same periods in the prior year. The increase in selling, general and administrative expenses is largely attributable to the fact that the Company was winding down and ceasing operations during these periods, including the suspension of payroll beginning in March 2011. Following the dismissal of the Chapter 11 Case on December 8, 2011 we began to resume our operations.  Selling, general and administrative expenses during the three and six months ended June 30, 2012 were related to the hiring of new personnel, consultants and management, legal and accounting fees associated with complying with our SEC reporting obligations and fees and expenses related to financing activities.  A significant portion of the increase in personnel costs is associated with stock-based compensation for the three and six months ended June 30, 2012, which increased $662,033 and $691,016, respectively, as compared to the same periods in the prior year.</w:t>
      </w:r>
    </w:p>
    <w:p>
      <w:pPr>
        <w:pStyle w:val="TextBody"/>
        <w:spacing w:before="0" w:after="0"/>
        <w:ind w:left="0" w:right="0" w:hanging="0"/>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578" w:name="PGBRK43"/>
      <w:bookmarkStart w:id="579" w:name="PGBRK43"/>
      <w:bookmarkEnd w:id="57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580" w:name="FTR43"/>
      <w:bookmarkStart w:id="581" w:name="FTR43"/>
      <w:bookmarkEnd w:id="58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582" w:name="GLFTR42"/>
      <w:bookmarkEnd w:id="582"/>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helvetica" w:hAnsi="helvetica"/>
          <w:sz w:val="20"/>
        </w:rPr>
      </w:pPr>
      <w:bookmarkStart w:id="583" w:name="PN42"/>
      <w:bookmarkEnd w:id="583"/>
      <w:r>
        <w:rPr>
          <w:rFonts w:ascii="helvetica" w:hAnsi="helvetica"/>
          <w:sz w:val="20"/>
        </w:rPr>
        <w:t>41</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584" w:name="HDR42"/>
      <w:bookmarkStart w:id="585" w:name="HDR42"/>
      <w:bookmarkEnd w:id="58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586" w:name="GLHDR42"/>
      <w:bookmarkEnd w:id="586"/>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pPr>
      <w:r>
        <w:rPr/>
        <w:t> </w:t>
      </w:r>
    </w:p>
    <w:p>
      <w:pPr>
        <w:pStyle w:val="TextBody"/>
        <w:spacing w:before="0" w:after="0"/>
        <w:ind w:left="0" w:right="0" w:hanging="0"/>
        <w:jc w:val="both"/>
        <w:rPr>
          <w:rFonts w:ascii="helvetica" w:hAnsi="helvetica"/>
          <w:b/>
          <w:sz w:val="20"/>
        </w:rPr>
      </w:pPr>
      <w:r>
        <w:rPr>
          <w:rFonts w:ascii="helvetica" w:hAnsi="helvetica"/>
          <w:b/>
          <w:sz w:val="20"/>
        </w:rPr>
        <w:t>Research and Development Expenses</w:t>
      </w:r>
    </w:p>
    <w:p>
      <w:pPr>
        <w:pStyle w:val="TextBody"/>
        <w:spacing w:before="0" w:after="0"/>
        <w:ind w:left="0" w:right="0" w:hanging="0"/>
        <w:rPr/>
      </w:pPr>
      <w:r>
        <w:rPr/>
        <w:t> </w:t>
      </w:r>
    </w:p>
    <w:p>
      <w:pPr>
        <w:pStyle w:val="TextBody"/>
        <w:spacing w:before="0" w:after="0"/>
        <w:ind w:left="0" w:right="0" w:firstLine="720"/>
        <w:jc w:val="both"/>
        <w:rPr>
          <w:rFonts w:ascii="helvetica" w:hAnsi="helvetica"/>
          <w:sz w:val="20"/>
        </w:rPr>
      </w:pPr>
      <w:r>
        <w:rPr>
          <w:rFonts w:ascii="helvetica" w:hAnsi="helvetica"/>
          <w:sz w:val="20"/>
        </w:rPr>
        <w:t>Our research and development expenses primarily include costs for the Impracor clinical program.  These costs are comprised of expenses for our first Phase 3 study, including costs for our contract research organization and investigator payments to the clinical sites participating in the study.  Other expenses are personnel costs including wages and stock-based compensation, contract manufacturing, non-clinical studies, consulting and other costs related to the clinical program.</w:t>
      </w:r>
    </w:p>
    <w:p>
      <w:pPr>
        <w:pStyle w:val="TextBody"/>
        <w:spacing w:before="0" w:after="0"/>
        <w:ind w:left="0" w:right="0" w:hanging="0"/>
        <w:jc w:val="both"/>
        <w:rPr/>
      </w:pPr>
      <w:r>
        <w:rPr/>
        <w:t> </w:t>
      </w:r>
    </w:p>
    <w:p>
      <w:pPr>
        <w:pStyle w:val="TextBody"/>
        <w:spacing w:before="0" w:after="0"/>
        <w:ind w:left="0" w:right="0" w:firstLine="720"/>
        <w:jc w:val="both"/>
        <w:rPr>
          <w:rFonts w:ascii="helvetica" w:hAnsi="helvetica"/>
          <w:sz w:val="20"/>
        </w:rPr>
      </w:pPr>
      <w:r>
        <w:rPr>
          <w:rFonts w:ascii="helvetica" w:hAnsi="helvetica"/>
          <w:sz w:val="20"/>
        </w:rPr>
        <w:t>The table below provides information regarding research and development expenses.</w:t>
      </w:r>
    </w:p>
    <w:p>
      <w:pPr>
        <w:pStyle w:val="TextBody"/>
        <w:spacing w:before="0" w:after="0"/>
        <w:ind w:left="0" w:right="0" w:hanging="0"/>
        <w:jc w:val="both"/>
        <w:rPr/>
      </w:pPr>
      <w:r>
        <w:rPr/>
        <w:t> </w:t>
      </w:r>
    </w:p>
    <w:tbl>
      <w:tblPr>
        <w:tblW w:w="5000" w:type="pct"/>
        <w:jc w:val="left"/>
        <w:tblInd w:w="0" w:type="dxa"/>
        <w:tblCellMar>
          <w:top w:w="0" w:type="dxa"/>
          <w:left w:w="0" w:type="dxa"/>
          <w:bottom w:w="0" w:type="dxa"/>
          <w:right w:w="0" w:type="dxa"/>
        </w:tblCellMar>
      </w:tblPr>
      <w:tblGrid>
        <w:gridCol w:w="2574"/>
        <w:gridCol w:w="98"/>
        <w:gridCol w:w="125"/>
        <w:gridCol w:w="955"/>
        <w:gridCol w:w="98"/>
        <w:gridCol w:w="98"/>
        <w:gridCol w:w="125"/>
        <w:gridCol w:w="912"/>
        <w:gridCol w:w="98"/>
        <w:gridCol w:w="98"/>
        <w:gridCol w:w="125"/>
        <w:gridCol w:w="954"/>
        <w:gridCol w:w="98"/>
        <w:gridCol w:w="98"/>
        <w:gridCol w:w="125"/>
        <w:gridCol w:w="955"/>
        <w:gridCol w:w="98"/>
        <w:gridCol w:w="98"/>
        <w:gridCol w:w="125"/>
        <w:gridCol w:w="955"/>
        <w:gridCol w:w="98"/>
        <w:gridCol w:w="98"/>
        <w:gridCol w:w="125"/>
        <w:gridCol w:w="954"/>
        <w:gridCol w:w="118"/>
      </w:tblGrid>
      <w:tr>
        <w:trPr/>
        <w:tc>
          <w:tcPr>
            <w:tcW w:w="2574" w:type="dxa"/>
            <w:tcBorders/>
            <w:shd w:fill="auto" w:val="clear"/>
            <w:vAlign w:val="bottom"/>
          </w:tcPr>
          <w:p>
            <w:pPr>
              <w:pStyle w:val="TableContents"/>
              <w:spacing w:before="0" w:after="283"/>
              <w:rPr/>
            </w:pPr>
            <w:r>
              <w:rPr/>
              <w:t xml:space="preserve">  </w:t>
            </w:r>
          </w:p>
        </w:tc>
        <w:tc>
          <w:tcPr>
            <w:tcW w:w="98" w:type="dxa"/>
            <w:tcBorders/>
            <w:shd w:fill="auto" w:val="clear"/>
            <w:vAlign w:val="bottom"/>
          </w:tcPr>
          <w:p>
            <w:pPr>
              <w:pStyle w:val="TableContents"/>
              <w:spacing w:before="0" w:after="283"/>
              <w:rPr/>
            </w:pPr>
            <w:r>
              <w:rPr/>
              <w:t> </w:t>
            </w:r>
          </w:p>
        </w:tc>
        <w:tc>
          <w:tcPr>
            <w:tcW w:w="2313" w:type="dxa"/>
            <w:gridSpan w:val="6"/>
            <w:tcBorders>
              <w:bottom w:val="single" w:sz="12" w:space="0" w:color="000000"/>
            </w:tcBorders>
            <w:shd w:fill="auto" w:val="clear"/>
            <w:tcMar>
              <w:bottom w:w="28" w:type="dxa"/>
            </w:tcMar>
            <w:vAlign w:val="bottom"/>
          </w:tcPr>
          <w:p>
            <w:pPr>
              <w:pStyle w:val="TableContents"/>
              <w:spacing w:before="0" w:after="0"/>
              <w:ind w:left="0" w:right="0" w:hanging="0"/>
              <w:jc w:val="center"/>
              <w:rPr>
                <w:rFonts w:ascii="helvetica" w:hAnsi="helvetica"/>
                <w:b/>
                <w:sz w:val="16"/>
              </w:rPr>
            </w:pPr>
            <w:r>
              <w:rPr>
                <w:rFonts w:ascii="helvetica" w:hAnsi="helvetica"/>
                <w:b/>
                <w:sz w:val="16"/>
              </w:rPr>
              <w:t>Three months ended June 30,</w:t>
            </w:r>
          </w:p>
        </w:tc>
        <w:tc>
          <w:tcPr>
            <w:tcW w:w="98" w:type="dxa"/>
            <w:tcBorders/>
            <w:shd w:fill="auto" w:val="clear"/>
            <w:vAlign w:val="bottom"/>
          </w:tcPr>
          <w:p>
            <w:pPr>
              <w:pStyle w:val="TableContents"/>
              <w:spacing w:before="0" w:after="283"/>
              <w:jc w:val="left"/>
              <w:rPr/>
            </w:pPr>
            <w:r>
              <w:rPr/>
              <w:t> </w:t>
            </w:r>
          </w:p>
        </w:tc>
        <w:tc>
          <w:tcPr>
            <w:tcW w:w="98" w:type="dxa"/>
            <w:tcBorders/>
            <w:shd w:fill="auto" w:val="clear"/>
            <w:vAlign w:val="bottom"/>
          </w:tcPr>
          <w:p>
            <w:pPr>
              <w:pStyle w:val="TableContents"/>
              <w:spacing w:before="0" w:after="283"/>
              <w:rPr/>
            </w:pPr>
            <w:r>
              <w:rPr/>
              <w:t> </w:t>
            </w:r>
          </w:p>
        </w:tc>
        <w:tc>
          <w:tcPr>
            <w:tcW w:w="1079" w:type="dxa"/>
            <w:gridSpan w:val="2"/>
            <w:tcBorders/>
            <w:shd w:fill="auto" w:val="clear"/>
            <w:vAlign w:val="bottom"/>
          </w:tcPr>
          <w:p>
            <w:pPr>
              <w:pStyle w:val="TableContents"/>
              <w:spacing w:before="0" w:after="283"/>
              <w:jc w:val="center"/>
              <w:rPr>
                <w:rFonts w:ascii="helvetica" w:hAnsi="helvetica"/>
                <w:b/>
                <w:sz w:val="16"/>
              </w:rPr>
            </w:pPr>
            <w:r>
              <w:rPr>
                <w:rFonts w:ascii="helvetica" w:hAnsi="helvetica"/>
                <w:b/>
                <w:sz w:val="16"/>
              </w:rPr>
              <w:t>$</w:t>
            </w:r>
          </w:p>
        </w:tc>
        <w:tc>
          <w:tcPr>
            <w:tcW w:w="98" w:type="dxa"/>
            <w:tcBorders/>
            <w:shd w:fill="auto" w:val="clear"/>
            <w:vAlign w:val="bottom"/>
          </w:tcPr>
          <w:p>
            <w:pPr>
              <w:pStyle w:val="TableContents"/>
              <w:spacing w:before="0" w:after="283"/>
              <w:jc w:val="left"/>
              <w:rPr/>
            </w:pPr>
            <w:r>
              <w:rPr/>
              <w:t> </w:t>
            </w:r>
          </w:p>
        </w:tc>
        <w:tc>
          <w:tcPr>
            <w:tcW w:w="98" w:type="dxa"/>
            <w:tcBorders/>
            <w:shd w:fill="auto" w:val="clear"/>
            <w:vAlign w:val="bottom"/>
          </w:tcPr>
          <w:p>
            <w:pPr>
              <w:pStyle w:val="TableContents"/>
              <w:spacing w:before="0" w:after="283"/>
              <w:rPr/>
            </w:pPr>
            <w:r>
              <w:rPr/>
              <w:t> </w:t>
            </w:r>
          </w:p>
        </w:tc>
        <w:tc>
          <w:tcPr>
            <w:tcW w:w="2356" w:type="dxa"/>
            <w:gridSpan w:val="6"/>
            <w:tcBorders>
              <w:bottom w:val="single" w:sz="12" w:space="0" w:color="000000"/>
            </w:tcBorders>
            <w:shd w:fill="auto" w:val="clear"/>
            <w:tcMar>
              <w:bottom w:w="28" w:type="dxa"/>
            </w:tcMar>
            <w:vAlign w:val="bottom"/>
          </w:tcPr>
          <w:p>
            <w:pPr>
              <w:pStyle w:val="TableContents"/>
              <w:spacing w:before="0" w:after="0"/>
              <w:ind w:left="0" w:right="0" w:hanging="0"/>
              <w:jc w:val="center"/>
              <w:rPr>
                <w:rFonts w:ascii="helvetica" w:hAnsi="helvetica"/>
                <w:b/>
                <w:sz w:val="16"/>
              </w:rPr>
            </w:pPr>
            <w:r>
              <w:rPr>
                <w:rFonts w:ascii="helvetica" w:hAnsi="helvetica"/>
                <w:b/>
                <w:sz w:val="16"/>
              </w:rPr>
              <w:t>Six months ended June 30,</w:t>
            </w:r>
          </w:p>
        </w:tc>
        <w:tc>
          <w:tcPr>
            <w:tcW w:w="98" w:type="dxa"/>
            <w:tcBorders/>
            <w:shd w:fill="auto" w:val="clear"/>
            <w:vAlign w:val="bottom"/>
          </w:tcPr>
          <w:p>
            <w:pPr>
              <w:pStyle w:val="TableContents"/>
              <w:spacing w:before="0" w:after="283"/>
              <w:jc w:val="left"/>
              <w:rPr/>
            </w:pPr>
            <w:r>
              <w:rPr/>
              <w:t> </w:t>
            </w:r>
          </w:p>
        </w:tc>
        <w:tc>
          <w:tcPr>
            <w:tcW w:w="98" w:type="dxa"/>
            <w:tcBorders/>
            <w:shd w:fill="auto" w:val="clear"/>
            <w:vAlign w:val="bottom"/>
          </w:tcPr>
          <w:p>
            <w:pPr>
              <w:pStyle w:val="TableContents"/>
              <w:spacing w:before="0" w:after="283"/>
              <w:rPr/>
            </w:pPr>
            <w:r>
              <w:rPr/>
              <w:t> </w:t>
            </w:r>
          </w:p>
        </w:tc>
        <w:tc>
          <w:tcPr>
            <w:tcW w:w="1079" w:type="dxa"/>
            <w:gridSpan w:val="2"/>
            <w:tcBorders/>
            <w:shd w:fill="auto" w:val="clear"/>
            <w:vAlign w:val="bottom"/>
          </w:tcPr>
          <w:p>
            <w:pPr>
              <w:pStyle w:val="TableContents"/>
              <w:spacing w:before="0" w:after="283"/>
              <w:jc w:val="center"/>
              <w:rPr>
                <w:rFonts w:ascii="helvetica" w:hAnsi="helvetica"/>
                <w:b/>
                <w:sz w:val="16"/>
              </w:rPr>
            </w:pPr>
            <w:r>
              <w:rPr>
                <w:rFonts w:ascii="helvetica" w:hAnsi="helvetica"/>
                <w:b/>
                <w:sz w:val="16"/>
              </w:rPr>
              <w:t>$</w:t>
            </w:r>
          </w:p>
        </w:tc>
        <w:tc>
          <w:tcPr>
            <w:tcW w:w="118" w:type="dxa"/>
            <w:tcBorders/>
            <w:shd w:fill="auto" w:val="clear"/>
            <w:vAlign w:val="bottom"/>
          </w:tcPr>
          <w:p>
            <w:pPr>
              <w:pStyle w:val="TableContents"/>
              <w:spacing w:before="0" w:after="283"/>
              <w:jc w:val="left"/>
              <w:rPr/>
            </w:pPr>
            <w:r>
              <w:rPr/>
              <w:t> </w:t>
            </w:r>
          </w:p>
        </w:tc>
      </w:tr>
      <w:tr>
        <w:trPr/>
        <w:tc>
          <w:tcPr>
            <w:tcW w:w="2574" w:type="dxa"/>
            <w:tcBorders/>
            <w:shd w:fill="auto" w:val="clear"/>
            <w:vAlign w:val="bottom"/>
          </w:tcPr>
          <w:p>
            <w:pPr>
              <w:pStyle w:val="TableContents"/>
              <w:spacing w:before="0" w:after="283"/>
              <w:rPr/>
            </w:pPr>
            <w:r>
              <w:rPr/>
              <w:t xml:space="preserve">  </w:t>
            </w:r>
          </w:p>
        </w:tc>
        <w:tc>
          <w:tcPr>
            <w:tcW w:w="98" w:type="dxa"/>
            <w:tcBorders/>
            <w:shd w:fill="auto" w:val="clear"/>
            <w:vAlign w:val="bottom"/>
          </w:tcPr>
          <w:p>
            <w:pPr>
              <w:pStyle w:val="TableContents"/>
              <w:spacing w:before="0" w:after="283"/>
              <w:rPr/>
            </w:pPr>
            <w:r>
              <w:rPr/>
              <w:t> </w:t>
            </w:r>
          </w:p>
        </w:tc>
        <w:tc>
          <w:tcPr>
            <w:tcW w:w="1080"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helvetica" w:hAnsi="helvetica"/>
                <w:b/>
                <w:sz w:val="16"/>
              </w:rPr>
            </w:pPr>
            <w:r>
              <w:rPr>
                <w:rFonts w:ascii="helvetica" w:hAnsi="helvetica"/>
                <w:b/>
                <w:sz w:val="16"/>
              </w:rPr>
              <w:t>2012</w:t>
            </w:r>
          </w:p>
        </w:tc>
        <w:tc>
          <w:tcPr>
            <w:tcW w:w="98" w:type="dxa"/>
            <w:tcBorders/>
            <w:shd w:fill="auto" w:val="clear"/>
            <w:vAlign w:val="bottom"/>
          </w:tcPr>
          <w:p>
            <w:pPr>
              <w:pStyle w:val="TableContents"/>
              <w:spacing w:before="0" w:after="283"/>
              <w:jc w:val="left"/>
              <w:rPr/>
            </w:pPr>
            <w:r>
              <w:rPr/>
              <w:t> </w:t>
            </w:r>
          </w:p>
        </w:tc>
        <w:tc>
          <w:tcPr>
            <w:tcW w:w="98" w:type="dxa"/>
            <w:tcBorders/>
            <w:shd w:fill="auto" w:val="clear"/>
            <w:vAlign w:val="bottom"/>
          </w:tcPr>
          <w:p>
            <w:pPr>
              <w:pStyle w:val="TableContents"/>
              <w:spacing w:before="0" w:after="283"/>
              <w:rPr/>
            </w:pPr>
            <w:r>
              <w:rPr/>
              <w:t> </w:t>
            </w:r>
          </w:p>
        </w:tc>
        <w:tc>
          <w:tcPr>
            <w:tcW w:w="1037"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helvetica" w:hAnsi="helvetica"/>
                <w:b/>
                <w:sz w:val="16"/>
              </w:rPr>
            </w:pPr>
            <w:r>
              <w:rPr>
                <w:rFonts w:ascii="helvetica" w:hAnsi="helvetica"/>
                <w:b/>
                <w:sz w:val="16"/>
              </w:rPr>
              <w:t>2011</w:t>
            </w:r>
          </w:p>
        </w:tc>
        <w:tc>
          <w:tcPr>
            <w:tcW w:w="98" w:type="dxa"/>
            <w:tcBorders/>
            <w:shd w:fill="auto" w:val="clear"/>
            <w:vAlign w:val="bottom"/>
          </w:tcPr>
          <w:p>
            <w:pPr>
              <w:pStyle w:val="TableContents"/>
              <w:spacing w:before="0" w:after="283"/>
              <w:jc w:val="left"/>
              <w:rPr/>
            </w:pPr>
            <w:r>
              <w:rPr/>
              <w:t> </w:t>
            </w:r>
          </w:p>
        </w:tc>
        <w:tc>
          <w:tcPr>
            <w:tcW w:w="98" w:type="dxa"/>
            <w:tcBorders/>
            <w:shd w:fill="auto" w:val="clear"/>
            <w:vAlign w:val="bottom"/>
          </w:tcPr>
          <w:p>
            <w:pPr>
              <w:pStyle w:val="TableContents"/>
              <w:spacing w:before="0" w:after="283"/>
              <w:rPr/>
            </w:pPr>
            <w:r>
              <w:rPr/>
              <w:t> </w:t>
            </w:r>
          </w:p>
        </w:tc>
        <w:tc>
          <w:tcPr>
            <w:tcW w:w="1079"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helvetica" w:hAnsi="helvetica"/>
                <w:b/>
                <w:sz w:val="16"/>
              </w:rPr>
            </w:pPr>
            <w:r>
              <w:rPr>
                <w:rFonts w:ascii="helvetica" w:hAnsi="helvetica"/>
                <w:b/>
                <w:sz w:val="16"/>
              </w:rPr>
              <w:t>Variance</w:t>
            </w:r>
          </w:p>
        </w:tc>
        <w:tc>
          <w:tcPr>
            <w:tcW w:w="98" w:type="dxa"/>
            <w:tcBorders/>
            <w:shd w:fill="auto" w:val="clear"/>
            <w:vAlign w:val="bottom"/>
          </w:tcPr>
          <w:p>
            <w:pPr>
              <w:pStyle w:val="TableContents"/>
              <w:spacing w:before="0" w:after="283"/>
              <w:jc w:val="left"/>
              <w:rPr/>
            </w:pPr>
            <w:r>
              <w:rPr/>
              <w:t> </w:t>
            </w:r>
          </w:p>
        </w:tc>
        <w:tc>
          <w:tcPr>
            <w:tcW w:w="98" w:type="dxa"/>
            <w:tcBorders/>
            <w:shd w:fill="auto" w:val="clear"/>
            <w:vAlign w:val="bottom"/>
          </w:tcPr>
          <w:p>
            <w:pPr>
              <w:pStyle w:val="TableContents"/>
              <w:spacing w:before="0" w:after="283"/>
              <w:rPr/>
            </w:pPr>
            <w:r>
              <w:rPr/>
              <w:t> </w:t>
            </w:r>
          </w:p>
        </w:tc>
        <w:tc>
          <w:tcPr>
            <w:tcW w:w="1080" w:type="dxa"/>
            <w:gridSpan w:val="2"/>
            <w:tcBorders>
              <w:bottom w:val="single" w:sz="12" w:space="0" w:color="000000"/>
            </w:tcBorders>
            <w:shd w:fill="auto" w:val="clear"/>
            <w:tcMar>
              <w:bottom w:w="28" w:type="dxa"/>
            </w:tcMar>
            <w:vAlign w:val="bottom"/>
          </w:tcPr>
          <w:p>
            <w:pPr>
              <w:pStyle w:val="TableContents"/>
              <w:spacing w:before="0" w:after="283"/>
              <w:jc w:val="center"/>
              <w:rPr/>
            </w:pPr>
            <w:r>
              <w:rPr/>
              <w:t> </w:t>
            </w:r>
            <w:r>
              <w:rPr>
                <w:rFonts w:ascii="helvetica" w:hAnsi="helvetica"/>
                <w:b/>
                <w:sz w:val="16"/>
              </w:rPr>
              <w:t>2012</w:t>
            </w:r>
          </w:p>
        </w:tc>
        <w:tc>
          <w:tcPr>
            <w:tcW w:w="98" w:type="dxa"/>
            <w:tcBorders/>
            <w:shd w:fill="auto" w:val="clear"/>
            <w:vAlign w:val="bottom"/>
          </w:tcPr>
          <w:p>
            <w:pPr>
              <w:pStyle w:val="TableContents"/>
              <w:spacing w:before="0" w:after="283"/>
              <w:jc w:val="left"/>
              <w:rPr/>
            </w:pPr>
            <w:r>
              <w:rPr/>
              <w:t> </w:t>
            </w:r>
          </w:p>
        </w:tc>
        <w:tc>
          <w:tcPr>
            <w:tcW w:w="98" w:type="dxa"/>
            <w:tcBorders/>
            <w:shd w:fill="auto" w:val="clear"/>
            <w:vAlign w:val="bottom"/>
          </w:tcPr>
          <w:p>
            <w:pPr>
              <w:pStyle w:val="TableContents"/>
              <w:spacing w:before="0" w:after="283"/>
              <w:rPr/>
            </w:pPr>
            <w:r>
              <w:rPr/>
              <w:t> </w:t>
            </w:r>
          </w:p>
        </w:tc>
        <w:tc>
          <w:tcPr>
            <w:tcW w:w="1080" w:type="dxa"/>
            <w:gridSpan w:val="2"/>
            <w:tcBorders>
              <w:bottom w:val="single" w:sz="12" w:space="0" w:color="000000"/>
            </w:tcBorders>
            <w:shd w:fill="auto" w:val="clear"/>
            <w:tcMar>
              <w:bottom w:w="28" w:type="dxa"/>
            </w:tcMar>
            <w:vAlign w:val="bottom"/>
          </w:tcPr>
          <w:p>
            <w:pPr>
              <w:pStyle w:val="TableContents"/>
              <w:spacing w:before="0" w:after="283"/>
              <w:jc w:val="center"/>
              <w:rPr/>
            </w:pPr>
            <w:r>
              <w:rPr/>
              <w:t> </w:t>
            </w:r>
            <w:r>
              <w:rPr>
                <w:rFonts w:ascii="helvetica" w:hAnsi="helvetica"/>
                <w:b/>
                <w:sz w:val="16"/>
              </w:rPr>
              <w:t>2011</w:t>
            </w:r>
          </w:p>
        </w:tc>
        <w:tc>
          <w:tcPr>
            <w:tcW w:w="98" w:type="dxa"/>
            <w:tcBorders/>
            <w:shd w:fill="auto" w:val="clear"/>
            <w:vAlign w:val="bottom"/>
          </w:tcPr>
          <w:p>
            <w:pPr>
              <w:pStyle w:val="TableContents"/>
              <w:spacing w:before="0" w:after="283"/>
              <w:jc w:val="left"/>
              <w:rPr/>
            </w:pPr>
            <w:r>
              <w:rPr/>
              <w:t> </w:t>
            </w:r>
          </w:p>
        </w:tc>
        <w:tc>
          <w:tcPr>
            <w:tcW w:w="98" w:type="dxa"/>
            <w:tcBorders/>
            <w:shd w:fill="auto" w:val="clear"/>
            <w:vAlign w:val="bottom"/>
          </w:tcPr>
          <w:p>
            <w:pPr>
              <w:pStyle w:val="TableContents"/>
              <w:spacing w:before="0" w:after="283"/>
              <w:rPr/>
            </w:pPr>
            <w:r>
              <w:rPr/>
              <w:t> </w:t>
            </w:r>
          </w:p>
        </w:tc>
        <w:tc>
          <w:tcPr>
            <w:tcW w:w="1079"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helvetica" w:hAnsi="helvetica"/>
                <w:b/>
                <w:sz w:val="16"/>
              </w:rPr>
            </w:pPr>
            <w:r>
              <w:rPr>
                <w:rFonts w:ascii="helvetica" w:hAnsi="helvetica"/>
                <w:b/>
                <w:sz w:val="16"/>
              </w:rPr>
              <w:t>Variance</w:t>
            </w:r>
          </w:p>
        </w:tc>
        <w:tc>
          <w:tcPr>
            <w:tcW w:w="118" w:type="dxa"/>
            <w:tcBorders/>
            <w:shd w:fill="auto" w:val="clear"/>
            <w:vAlign w:val="bottom"/>
          </w:tcPr>
          <w:p>
            <w:pPr>
              <w:pStyle w:val="TableContents"/>
              <w:spacing w:before="0" w:after="283"/>
              <w:jc w:val="left"/>
              <w:rPr/>
            </w:pPr>
            <w:r>
              <w:rPr/>
              <w:t> </w:t>
            </w:r>
          </w:p>
        </w:tc>
      </w:tr>
      <w:tr>
        <w:trPr/>
        <w:tc>
          <w:tcPr>
            <w:tcW w:w="2574" w:type="dxa"/>
            <w:tcBorders/>
            <w:shd w:fill="CCEEFF" w:val="clear"/>
            <w:vAlign w:val="bottom"/>
          </w:tcPr>
          <w:p>
            <w:pPr>
              <w:pStyle w:val="TableContents"/>
              <w:spacing w:before="0" w:after="0"/>
              <w:ind w:left="0" w:right="0" w:hanging="0"/>
              <w:jc w:val="left"/>
              <w:rPr>
                <w:rFonts w:ascii="helvetica" w:hAnsi="helvetica"/>
                <w:b/>
                <w:sz w:val="20"/>
              </w:rPr>
            </w:pPr>
            <w:r>
              <w:rPr>
                <w:rFonts w:ascii="helvetica" w:hAnsi="helvetica"/>
                <w:b/>
                <w:sz w:val="20"/>
              </w:rPr>
              <w:t>Research and development</w:t>
            </w:r>
          </w:p>
        </w:tc>
        <w:tc>
          <w:tcPr>
            <w:tcW w:w="98" w:type="dxa"/>
            <w:tcBorders/>
            <w:shd w:fill="CCEEFF" w:val="clear"/>
            <w:vAlign w:val="bottom"/>
          </w:tcPr>
          <w:p>
            <w:pPr>
              <w:pStyle w:val="TableContents"/>
              <w:spacing w:before="0" w:after="283"/>
              <w:rPr/>
            </w:pPr>
            <w:r>
              <w:rPr/>
              <w:t> </w:t>
            </w:r>
          </w:p>
        </w:tc>
        <w:tc>
          <w:tcPr>
            <w:tcW w:w="125" w:type="dxa"/>
            <w:tcBorders>
              <w:bottom w:val="double" w:sz="8" w:space="0" w:color="000000"/>
            </w:tcBorders>
            <w:shd w:fill="CCEEFF" w:val="clear"/>
            <w:tcMar>
              <w:bottom w:w="28" w:type="dxa"/>
            </w:tcMar>
            <w:vAlign w:val="bottom"/>
          </w:tcPr>
          <w:p>
            <w:pPr>
              <w:pStyle w:val="TableContents"/>
              <w:spacing w:before="0" w:after="283"/>
              <w:jc w:val="left"/>
              <w:rPr>
                <w:rFonts w:ascii="helvetica" w:hAnsi="helvetica"/>
                <w:sz w:val="20"/>
              </w:rPr>
            </w:pPr>
            <w:r>
              <w:rPr>
                <w:rFonts w:ascii="helvetica" w:hAnsi="helvetica"/>
                <w:sz w:val="20"/>
              </w:rPr>
              <w:t>$</w:t>
            </w:r>
          </w:p>
        </w:tc>
        <w:tc>
          <w:tcPr>
            <w:tcW w:w="955" w:type="dxa"/>
            <w:tcBorders>
              <w:bottom w:val="double" w:sz="8" w:space="0" w:color="000000"/>
            </w:tcBorders>
            <w:shd w:fill="CCEE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133,611</w:t>
            </w:r>
          </w:p>
        </w:tc>
        <w:tc>
          <w:tcPr>
            <w:tcW w:w="98" w:type="dxa"/>
            <w:tcBorders/>
            <w:shd w:fill="CCEEFF" w:val="clear"/>
            <w:vAlign w:val="bottom"/>
          </w:tcPr>
          <w:p>
            <w:pPr>
              <w:pStyle w:val="TableContents"/>
              <w:spacing w:before="0" w:after="283"/>
              <w:jc w:val="left"/>
              <w:rPr/>
            </w:pPr>
            <w:r>
              <w:rPr/>
              <w:t> </w:t>
            </w:r>
          </w:p>
        </w:tc>
        <w:tc>
          <w:tcPr>
            <w:tcW w:w="98" w:type="dxa"/>
            <w:tcBorders/>
            <w:shd w:fill="CCEEFF" w:val="clear"/>
            <w:vAlign w:val="bottom"/>
          </w:tcPr>
          <w:p>
            <w:pPr>
              <w:pStyle w:val="TableContents"/>
              <w:spacing w:before="0" w:after="283"/>
              <w:rPr/>
            </w:pPr>
            <w:r>
              <w:rPr/>
              <w:t> </w:t>
            </w:r>
          </w:p>
        </w:tc>
        <w:tc>
          <w:tcPr>
            <w:tcW w:w="125" w:type="dxa"/>
            <w:tcBorders>
              <w:bottom w:val="double" w:sz="8" w:space="0" w:color="000000"/>
            </w:tcBorders>
            <w:shd w:fill="CCEEFF" w:val="clear"/>
            <w:tcMar>
              <w:bottom w:w="28" w:type="dxa"/>
            </w:tcMar>
            <w:vAlign w:val="bottom"/>
          </w:tcPr>
          <w:p>
            <w:pPr>
              <w:pStyle w:val="TableContents"/>
              <w:spacing w:before="0" w:after="283"/>
              <w:jc w:val="left"/>
              <w:rPr>
                <w:rFonts w:ascii="helvetica" w:hAnsi="helvetica"/>
                <w:sz w:val="20"/>
              </w:rPr>
            </w:pPr>
            <w:r>
              <w:rPr>
                <w:rFonts w:ascii="helvetica" w:hAnsi="helvetica"/>
                <w:sz w:val="20"/>
              </w:rPr>
              <w:t>$</w:t>
            </w:r>
          </w:p>
        </w:tc>
        <w:tc>
          <w:tcPr>
            <w:tcW w:w="912" w:type="dxa"/>
            <w:tcBorders>
              <w:bottom w:val="double" w:sz="8" w:space="0" w:color="000000"/>
            </w:tcBorders>
            <w:shd w:fill="CCEE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24,338</w:t>
            </w:r>
          </w:p>
        </w:tc>
        <w:tc>
          <w:tcPr>
            <w:tcW w:w="98" w:type="dxa"/>
            <w:tcBorders/>
            <w:shd w:fill="CCEEFF" w:val="clear"/>
            <w:vAlign w:val="bottom"/>
          </w:tcPr>
          <w:p>
            <w:pPr>
              <w:pStyle w:val="TableContents"/>
              <w:spacing w:before="0" w:after="283"/>
              <w:jc w:val="left"/>
              <w:rPr/>
            </w:pPr>
            <w:r>
              <w:rPr/>
              <w:t> </w:t>
            </w:r>
          </w:p>
        </w:tc>
        <w:tc>
          <w:tcPr>
            <w:tcW w:w="98"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rFonts w:ascii="helvetica" w:hAnsi="helvetica"/>
                <w:sz w:val="20"/>
              </w:rPr>
            </w:pPr>
            <w:r>
              <w:rPr>
                <w:rFonts w:ascii="helvetica" w:hAnsi="helvetica"/>
                <w:sz w:val="20"/>
              </w:rPr>
              <w:t>$</w:t>
            </w:r>
          </w:p>
        </w:tc>
        <w:tc>
          <w:tcPr>
            <w:tcW w:w="954"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109,273</w:t>
            </w:r>
          </w:p>
        </w:tc>
        <w:tc>
          <w:tcPr>
            <w:tcW w:w="98" w:type="dxa"/>
            <w:tcBorders/>
            <w:shd w:fill="CCEEFF" w:val="clear"/>
            <w:vAlign w:val="bottom"/>
          </w:tcPr>
          <w:p>
            <w:pPr>
              <w:pStyle w:val="TableContents"/>
              <w:spacing w:before="0" w:after="283"/>
              <w:jc w:val="left"/>
              <w:rPr/>
            </w:pPr>
            <w:r>
              <w:rPr/>
              <w:t> </w:t>
            </w:r>
          </w:p>
        </w:tc>
        <w:tc>
          <w:tcPr>
            <w:tcW w:w="98" w:type="dxa"/>
            <w:tcBorders/>
            <w:shd w:fill="CCEEFF" w:val="clear"/>
            <w:vAlign w:val="bottom"/>
          </w:tcPr>
          <w:p>
            <w:pPr>
              <w:pStyle w:val="TableContents"/>
              <w:spacing w:before="0" w:after="283"/>
              <w:rPr/>
            </w:pPr>
            <w:r>
              <w:rPr/>
              <w:t> </w:t>
            </w:r>
          </w:p>
        </w:tc>
        <w:tc>
          <w:tcPr>
            <w:tcW w:w="125" w:type="dxa"/>
            <w:tcBorders>
              <w:bottom w:val="double" w:sz="8" w:space="0" w:color="000000"/>
            </w:tcBorders>
            <w:shd w:fill="CCEEFF" w:val="clear"/>
            <w:tcMar>
              <w:bottom w:w="28" w:type="dxa"/>
            </w:tcMar>
            <w:vAlign w:val="bottom"/>
          </w:tcPr>
          <w:p>
            <w:pPr>
              <w:pStyle w:val="TableContents"/>
              <w:spacing w:before="0" w:after="283"/>
              <w:jc w:val="left"/>
              <w:rPr>
                <w:rFonts w:ascii="helvetica" w:hAnsi="helvetica"/>
                <w:sz w:val="20"/>
              </w:rPr>
            </w:pPr>
            <w:r>
              <w:rPr>
                <w:rFonts w:ascii="helvetica" w:hAnsi="helvetica"/>
                <w:sz w:val="20"/>
              </w:rPr>
              <w:t>$</w:t>
            </w:r>
          </w:p>
        </w:tc>
        <w:tc>
          <w:tcPr>
            <w:tcW w:w="955" w:type="dxa"/>
            <w:tcBorders>
              <w:bottom w:val="double" w:sz="8" w:space="0" w:color="000000"/>
            </w:tcBorders>
            <w:shd w:fill="CCEE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276,574</w:t>
            </w:r>
          </w:p>
        </w:tc>
        <w:tc>
          <w:tcPr>
            <w:tcW w:w="98" w:type="dxa"/>
            <w:tcBorders/>
            <w:shd w:fill="CCEEFF" w:val="clear"/>
            <w:vAlign w:val="bottom"/>
          </w:tcPr>
          <w:p>
            <w:pPr>
              <w:pStyle w:val="TableContents"/>
              <w:spacing w:before="0" w:after="283"/>
              <w:jc w:val="left"/>
              <w:rPr/>
            </w:pPr>
            <w:r>
              <w:rPr/>
              <w:t> </w:t>
            </w:r>
          </w:p>
        </w:tc>
        <w:tc>
          <w:tcPr>
            <w:tcW w:w="98" w:type="dxa"/>
            <w:tcBorders/>
            <w:shd w:fill="CCEEFF" w:val="clear"/>
            <w:vAlign w:val="bottom"/>
          </w:tcPr>
          <w:p>
            <w:pPr>
              <w:pStyle w:val="TableContents"/>
              <w:spacing w:before="0" w:after="283"/>
              <w:rPr/>
            </w:pPr>
            <w:r>
              <w:rPr/>
              <w:t> </w:t>
            </w:r>
          </w:p>
        </w:tc>
        <w:tc>
          <w:tcPr>
            <w:tcW w:w="125" w:type="dxa"/>
            <w:tcBorders>
              <w:bottom w:val="double" w:sz="8" w:space="0" w:color="000000"/>
            </w:tcBorders>
            <w:shd w:fill="CCEEFF" w:val="clear"/>
            <w:tcMar>
              <w:bottom w:w="28" w:type="dxa"/>
            </w:tcMar>
            <w:vAlign w:val="bottom"/>
          </w:tcPr>
          <w:p>
            <w:pPr>
              <w:pStyle w:val="TableContents"/>
              <w:spacing w:before="0" w:after="283"/>
              <w:jc w:val="left"/>
              <w:rPr>
                <w:rFonts w:ascii="helvetica" w:hAnsi="helvetica"/>
                <w:sz w:val="20"/>
              </w:rPr>
            </w:pPr>
            <w:r>
              <w:rPr>
                <w:rFonts w:ascii="helvetica" w:hAnsi="helvetica"/>
                <w:sz w:val="20"/>
              </w:rPr>
              <w:t>$</w:t>
            </w:r>
          </w:p>
        </w:tc>
        <w:tc>
          <w:tcPr>
            <w:tcW w:w="955" w:type="dxa"/>
            <w:tcBorders>
              <w:bottom w:val="double" w:sz="8" w:space="0" w:color="000000"/>
            </w:tcBorders>
            <w:shd w:fill="CCEE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111,554</w:t>
            </w:r>
          </w:p>
        </w:tc>
        <w:tc>
          <w:tcPr>
            <w:tcW w:w="98" w:type="dxa"/>
            <w:tcBorders/>
            <w:shd w:fill="CCEEFF" w:val="clear"/>
            <w:vAlign w:val="bottom"/>
          </w:tcPr>
          <w:p>
            <w:pPr>
              <w:pStyle w:val="TableContents"/>
              <w:spacing w:before="0" w:after="283"/>
              <w:jc w:val="left"/>
              <w:rPr/>
            </w:pPr>
            <w:r>
              <w:rPr/>
              <w:t> </w:t>
            </w:r>
          </w:p>
        </w:tc>
        <w:tc>
          <w:tcPr>
            <w:tcW w:w="98"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rFonts w:ascii="helvetica" w:hAnsi="helvetica"/>
                <w:sz w:val="20"/>
              </w:rPr>
            </w:pPr>
            <w:r>
              <w:rPr>
                <w:rFonts w:ascii="helvetica" w:hAnsi="helvetica"/>
                <w:sz w:val="20"/>
              </w:rPr>
              <w:t>$</w:t>
            </w:r>
          </w:p>
        </w:tc>
        <w:tc>
          <w:tcPr>
            <w:tcW w:w="954"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165,020</w:t>
            </w:r>
          </w:p>
        </w:tc>
        <w:tc>
          <w:tcPr>
            <w:tcW w:w="118" w:type="dxa"/>
            <w:tcBorders/>
            <w:shd w:fill="CCEEFF" w:val="clear"/>
            <w:vAlign w:val="bottom"/>
          </w:tcPr>
          <w:p>
            <w:pPr>
              <w:pStyle w:val="TableContents"/>
              <w:spacing w:before="0" w:after="283"/>
              <w:jc w:val="left"/>
              <w:rPr/>
            </w:pPr>
            <w:r>
              <w:rPr/>
              <w:t> </w:t>
            </w:r>
          </w:p>
        </w:tc>
      </w:tr>
    </w:tbl>
    <w:p>
      <w:pPr>
        <w:pStyle w:val="TextBody"/>
        <w:spacing w:before="0" w:after="0"/>
        <w:ind w:left="0" w:right="0" w:hanging="0"/>
        <w:jc w:val="both"/>
        <w:rPr/>
      </w:pPr>
      <w:r>
        <w:rPr/>
        <w:t> </w:t>
      </w:r>
    </w:p>
    <w:p>
      <w:pPr>
        <w:pStyle w:val="TextBody"/>
        <w:spacing w:before="0" w:after="0"/>
        <w:ind w:left="0" w:right="0" w:firstLine="720"/>
        <w:jc w:val="both"/>
        <w:rPr>
          <w:rFonts w:ascii="helvetica" w:hAnsi="helvetica"/>
          <w:sz w:val="20"/>
        </w:rPr>
      </w:pPr>
      <w:r>
        <w:rPr>
          <w:rFonts w:ascii="helvetica" w:hAnsi="helvetica"/>
          <w:sz w:val="20"/>
        </w:rPr>
        <w:t>For the three and six months ended June 30, 2012, there was an increase of $109,273 and $165,020, respectively, in research and development expense as compared to the same periods in the prior year. The increase was primarily related to the hiring of new personnel and consultants in 2012 for the planning and development of additional Phase 3 studies of our Impracor clinical program.  A significant portion of the increase in research and development personnel costs is associated with stock-based compensation for the three and six months ended June 30, 2012, which increased $21,478 and $44,658, respectively, as compared to the same periods in the prior year.</w:t>
      </w:r>
    </w:p>
    <w:p>
      <w:pPr>
        <w:pStyle w:val="TextBody"/>
        <w:spacing w:before="0" w:after="0"/>
        <w:ind w:left="0" w:right="0" w:hanging="0"/>
        <w:jc w:val="both"/>
        <w:rPr/>
      </w:pPr>
      <w:r>
        <w:rPr/>
        <w:t> </w:t>
      </w:r>
    </w:p>
    <w:p>
      <w:pPr>
        <w:pStyle w:val="TextBody"/>
        <w:spacing w:before="0" w:after="0"/>
        <w:ind w:left="0" w:right="0" w:hanging="0"/>
        <w:jc w:val="both"/>
        <w:rPr>
          <w:rFonts w:ascii="helvetica" w:hAnsi="helvetica"/>
          <w:b/>
          <w:sz w:val="20"/>
        </w:rPr>
      </w:pPr>
      <w:r>
        <w:rPr>
          <w:rFonts w:ascii="helvetica" w:hAnsi="helvetica"/>
          <w:b/>
          <w:sz w:val="20"/>
        </w:rPr>
        <w:t>Interest Expense</w:t>
      </w:r>
    </w:p>
    <w:p>
      <w:pPr>
        <w:pStyle w:val="TextBody"/>
        <w:spacing w:before="0" w:after="0"/>
        <w:ind w:left="0" w:right="0" w:hanging="0"/>
        <w:jc w:val="both"/>
        <w:rPr/>
      </w:pPr>
      <w:r>
        <w:rPr/>
        <w:t> </w:t>
      </w:r>
    </w:p>
    <w:p>
      <w:pPr>
        <w:pStyle w:val="TextBody"/>
        <w:spacing w:before="0" w:after="0"/>
        <w:ind w:left="0" w:right="0" w:firstLine="720"/>
        <w:jc w:val="both"/>
        <w:rPr>
          <w:rFonts w:ascii="helvetica" w:hAnsi="helvetica"/>
          <w:sz w:val="20"/>
        </w:rPr>
      </w:pPr>
      <w:r>
        <w:rPr>
          <w:rFonts w:ascii="helvetica" w:hAnsi="helvetica"/>
          <w:sz w:val="20"/>
        </w:rPr>
        <w:t>Interest expense was $3,576 and $24,658 for the three and six months ended June 30, 2012, respectively, compared to $18,698 and $37,191 for the three and six months ended June 30, 2011, respectively.  The 10% promissory notes issued under our Line of Credit Agreement with DermaStar accounted for $3,576 and $12,535 of interest expense during the three and six months ended June 30, 2012, respectively, and $0 during the same periods in the prior year.  The 7.5% Convertible Note with a principal balance of $1,000,000, issued in April 2010 (and converted to shares of our common stock in February 2012) accounted for $0 and $12,123 of interest expense during the three and six months ended June 30, 2012, respectively, and $18,698 and $37,191 during the three and six months ended June 30, 2011, respectively.</w:t>
      </w:r>
    </w:p>
    <w:p>
      <w:pPr>
        <w:pStyle w:val="TextBody"/>
        <w:spacing w:before="0" w:after="0"/>
        <w:ind w:left="0" w:right="0" w:hanging="0"/>
        <w:jc w:val="both"/>
        <w:rPr/>
      </w:pPr>
      <w:r>
        <w:rPr/>
        <w:t> </w:t>
      </w:r>
    </w:p>
    <w:p>
      <w:pPr>
        <w:pStyle w:val="TextBody"/>
        <w:spacing w:before="0" w:after="0"/>
        <w:ind w:left="0" w:right="0" w:hanging="0"/>
        <w:jc w:val="both"/>
        <w:rPr>
          <w:rFonts w:ascii="helvetica" w:hAnsi="helvetica"/>
          <w:b/>
          <w:sz w:val="20"/>
        </w:rPr>
      </w:pPr>
      <w:r>
        <w:rPr>
          <w:rFonts w:ascii="helvetica" w:hAnsi="helvetica"/>
          <w:b/>
          <w:sz w:val="20"/>
        </w:rPr>
        <w:t>Loss on Extinguishment of Debt</w:t>
      </w:r>
    </w:p>
    <w:p>
      <w:pPr>
        <w:pStyle w:val="TextBody"/>
        <w:spacing w:before="0" w:after="0"/>
        <w:ind w:left="0" w:right="0" w:hanging="0"/>
        <w:jc w:val="both"/>
        <w:rPr/>
      </w:pPr>
      <w:r>
        <w:rPr/>
        <w:t> </w:t>
      </w:r>
    </w:p>
    <w:p>
      <w:pPr>
        <w:pStyle w:val="TextBody"/>
        <w:spacing w:before="0" w:after="0"/>
        <w:ind w:left="0" w:right="0" w:firstLine="720"/>
        <w:jc w:val="both"/>
        <w:rPr>
          <w:rFonts w:ascii="helvetica" w:hAnsi="helvetica"/>
          <w:sz w:val="20"/>
        </w:rPr>
      </w:pPr>
      <w:r>
        <w:rPr>
          <w:rFonts w:ascii="helvetica" w:hAnsi="helvetica"/>
          <w:sz w:val="20"/>
        </w:rPr>
        <w:t>Loss from extinguishment of debt was $189,323 and $1,195,410 for the three and six months ended June 30, 2012, respectively.  As further described above under the heading “Recent Developments”, effective as of January 25, 2012, we entered into separate waiver and settlement agreements with DermaStar and Alexej Ladonnikov, the two holders of the Convertible Note.  Pursuant to the waiver and settlement agreements, on February 28, 2012, the entire outstanding balance and all accrued but unpaid interest owing under the Convertible Note and the accounts payable held by DermaStar were converted into an aggregate of 1,835,830 shares of our common stock, and the Convertible Note was terminated. On February 28, 2012, we received payment from Mr. Ladonnikov of $50,000 and issued 380,868 shares of common stock to Mr. Ladonnikov as payment in full for his 20% ownership of the Convertible Note ($200,000) and its related accrued interest ($28,521).  We determined this to be a substantial modification to the debt instrument and applied debt extinguishment accounting to record a loss on extinguishment of debt of $150,000 ($200,000 Note principal balance less $50,000 cash payment) for the six months ended June 30, 2012.  On February 28, 2012, we issued 1,454,962 shares of our common stock to DermaStar as payment in full for its 80% ownership of the Convertible Note ($800,000), its related accrued interest ($114,082) and $56,087 in accounts payable.  We determined this to be a substantial modification to the debt instrument and applied debt extinguishment accounting to record a loss on extinguishment of debt of $856,087 for the six months ended June 30, 2012.</w:t>
      </w:r>
    </w:p>
    <w:p>
      <w:pPr>
        <w:pStyle w:val="TextBody"/>
        <w:spacing w:before="0" w:after="0"/>
        <w:ind w:left="0" w:right="0" w:hanging="0"/>
        <w:jc w:val="both"/>
        <w:rPr/>
      </w:pPr>
      <w:r>
        <w:rPr/>
        <w:t> </w:t>
      </w:r>
    </w:p>
    <w:p>
      <w:pPr>
        <w:pStyle w:val="TextBody"/>
        <w:spacing w:before="0" w:after="0"/>
        <w:ind w:left="0" w:right="0" w:firstLine="720"/>
        <w:jc w:val="both"/>
        <w:rPr>
          <w:rFonts w:ascii="helvetica" w:hAnsi="helvetica"/>
          <w:sz w:val="20"/>
        </w:rPr>
      </w:pPr>
      <w:r>
        <w:rPr>
          <w:rFonts w:ascii="helvetica" w:hAnsi="helvetica"/>
          <w:sz w:val="20"/>
        </w:rPr>
        <w:t>As further described above under the heading “Recent Developments”, on April 20, 2012, DermaStar agreed to convert the promissory notes issued under the Line of Credit Agreement and their related accrued interest, totaling $762,534, into 193,047 shares of our common stock and a related warrant to purchase up to an additional 48,262 shares of our common stock at an exercise price of $5.925 per share. We determined this to be a substantial modification to the debt instrument and applied debt extinguishment accounting to record a loss on extinguishment of debt of $189,323 for the three and six months ended June 30, 2012.</w:t>
      </w:r>
    </w:p>
    <w:p>
      <w:pPr>
        <w:pStyle w:val="TextBody"/>
        <w:spacing w:before="0" w:after="0"/>
        <w:ind w:left="0" w:right="0" w:hanging="0"/>
        <w:jc w:val="both"/>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587" w:name="PGBRK44"/>
      <w:bookmarkStart w:id="588" w:name="PGBRK44"/>
      <w:bookmarkEnd w:id="58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589" w:name="FTR44"/>
      <w:bookmarkStart w:id="590" w:name="FTR44"/>
      <w:bookmarkEnd w:id="59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591" w:name="GLFTR43"/>
      <w:bookmarkEnd w:id="591"/>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helvetica" w:hAnsi="helvetica"/>
          <w:sz w:val="20"/>
        </w:rPr>
      </w:pPr>
      <w:bookmarkStart w:id="592" w:name="PN43"/>
      <w:bookmarkEnd w:id="592"/>
      <w:r>
        <w:rPr>
          <w:rFonts w:ascii="helvetica" w:hAnsi="helvetica"/>
          <w:sz w:val="20"/>
        </w:rPr>
        <w:t>42</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593" w:name="HDR43"/>
      <w:bookmarkStart w:id="594" w:name="HDR43"/>
      <w:bookmarkEnd w:id="59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595" w:name="GLHDR43"/>
      <w:bookmarkEnd w:id="595"/>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left"/>
        <w:rPr/>
      </w:pPr>
      <w:r>
        <w:rPr/>
        <w:t> </w:t>
      </w:r>
    </w:p>
    <w:p>
      <w:pPr>
        <w:pStyle w:val="TextBody"/>
        <w:spacing w:before="0" w:after="0"/>
        <w:ind w:left="0" w:right="0" w:hanging="0"/>
        <w:jc w:val="left"/>
        <w:rPr>
          <w:rFonts w:ascii="helvetica" w:hAnsi="helvetica"/>
          <w:b/>
          <w:sz w:val="20"/>
        </w:rPr>
      </w:pPr>
      <w:r>
        <w:rPr>
          <w:rFonts w:ascii="helvetica" w:hAnsi="helvetica"/>
          <w:b/>
          <w:sz w:val="20"/>
        </w:rPr>
        <w:t>Net Loss</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r>
        <w:rPr>
          <w:rFonts w:ascii="helvetica" w:hAnsi="helvetica"/>
          <w:sz w:val="20"/>
        </w:rPr>
        <w:t>Net losses attributable to common stockholders for the three and six months ended June 30, 2012, were $1,505,593 and $2,884,681, respectively, or $(0.39) and $(1.17), respectively, per basic and diluted share, compared to net losses attributable to common stockholders for the three and six months ended June 30, 2011 of $164,465 and $596,778, respectively, or $(0.41) and $(1.55), respectively, per basic and diluted share.</w:t>
      </w:r>
    </w:p>
    <w:p>
      <w:pPr>
        <w:pStyle w:val="TextBody"/>
        <w:spacing w:before="0" w:after="0"/>
        <w:ind w:left="0" w:right="0" w:hanging="0"/>
        <w:jc w:val="both"/>
        <w:rPr/>
      </w:pPr>
      <w:r>
        <w:rPr/>
        <w:t> </w:t>
      </w:r>
    </w:p>
    <w:p>
      <w:pPr>
        <w:pStyle w:val="TextBody"/>
        <w:spacing w:before="0" w:after="0"/>
        <w:ind w:left="0" w:right="0" w:hanging="0"/>
        <w:jc w:val="left"/>
        <w:rPr>
          <w:rFonts w:ascii="helvetica" w:hAnsi="helvetica"/>
          <w:b/>
          <w:i/>
          <w:sz w:val="20"/>
        </w:rPr>
      </w:pPr>
      <w:r>
        <w:rPr>
          <w:rFonts w:ascii="helvetica" w:hAnsi="helvetica"/>
          <w:b/>
          <w:i/>
          <w:sz w:val="20"/>
        </w:rPr>
        <w:t>Fiscal Year Ended December 31, 2011 Compared to Fiscal Year Ended December 31, 2010</w:t>
      </w:r>
    </w:p>
    <w:p>
      <w:pPr>
        <w:pStyle w:val="TextBody"/>
        <w:spacing w:before="0" w:after="0"/>
        <w:ind w:left="0" w:right="0" w:hanging="0"/>
        <w:jc w:val="both"/>
        <w:rPr/>
      </w:pPr>
      <w:r>
        <w:rPr/>
        <w:t> </w:t>
      </w:r>
    </w:p>
    <w:p>
      <w:pPr>
        <w:pStyle w:val="TextBody"/>
        <w:spacing w:before="0" w:after="0"/>
        <w:ind w:left="0" w:right="0" w:hanging="0"/>
        <w:jc w:val="left"/>
        <w:rPr>
          <w:rFonts w:ascii="helvetica" w:hAnsi="helvetica"/>
          <w:b/>
          <w:sz w:val="20"/>
        </w:rPr>
      </w:pPr>
      <w:r>
        <w:rPr>
          <w:rFonts w:ascii="helvetica" w:hAnsi="helvetica"/>
          <w:b/>
          <w:sz w:val="20"/>
        </w:rPr>
        <w:t>Selling, General and Administrative Expenses</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r>
        <w:rPr>
          <w:rFonts w:ascii="helvetica" w:hAnsi="helvetica"/>
          <w:sz w:val="20"/>
        </w:rPr>
        <w:t>Our selling, general and administrative expenses include personnel costs including wages and stock-based compensation, corporate facility expenses, investor relations, consulting, insurance, legal and accounting expenses.</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r>
        <w:rPr>
          <w:rFonts w:ascii="helvetica" w:hAnsi="helvetica"/>
          <w:sz w:val="20"/>
        </w:rPr>
        <w:t>The table below provides information regarding selling, general and administrative expenses:</w:t>
      </w:r>
    </w:p>
    <w:p>
      <w:pPr>
        <w:pStyle w:val="TextBody"/>
        <w:spacing w:before="0" w:after="0"/>
        <w:ind w:left="0" w:right="0" w:hanging="0"/>
        <w:jc w:val="both"/>
        <w:rPr/>
      </w:pPr>
      <w:r>
        <w:rPr/>
        <w:t> </w:t>
      </w:r>
    </w:p>
    <w:tbl>
      <w:tblPr>
        <w:tblW w:w="5000" w:type="pct"/>
        <w:jc w:val="left"/>
        <w:tblInd w:w="0" w:type="dxa"/>
        <w:tblCellMar>
          <w:top w:w="0" w:type="dxa"/>
          <w:left w:w="0" w:type="dxa"/>
          <w:bottom w:w="0" w:type="dxa"/>
          <w:right w:w="0" w:type="dxa"/>
        </w:tblCellMar>
      </w:tblPr>
      <w:tblGrid>
        <w:gridCol w:w="6054"/>
        <w:gridCol w:w="105"/>
        <w:gridCol w:w="125"/>
        <w:gridCol w:w="1004"/>
        <w:gridCol w:w="105"/>
        <w:gridCol w:w="105"/>
        <w:gridCol w:w="125"/>
        <w:gridCol w:w="1053"/>
        <w:gridCol w:w="105"/>
        <w:gridCol w:w="105"/>
        <w:gridCol w:w="125"/>
        <w:gridCol w:w="1071"/>
        <w:gridCol w:w="123"/>
      </w:tblGrid>
      <w:tr>
        <w:trPr/>
        <w:tc>
          <w:tcPr>
            <w:tcW w:w="6054" w:type="dxa"/>
            <w:tcBorders/>
            <w:shd w:fill="auto" w:val="clear"/>
            <w:vAlign w:val="bottom"/>
          </w:tcPr>
          <w:p>
            <w:pPr>
              <w:pStyle w:val="TableContents"/>
              <w:spacing w:before="0" w:after="283"/>
              <w:rPr/>
            </w:pPr>
            <w:r>
              <w:rPr/>
              <w:t xml:space="preserve">  </w:t>
            </w:r>
          </w:p>
        </w:tc>
        <w:tc>
          <w:tcPr>
            <w:tcW w:w="105" w:type="dxa"/>
            <w:tcBorders/>
            <w:shd w:fill="auto" w:val="clear"/>
            <w:vAlign w:val="bottom"/>
          </w:tcPr>
          <w:p>
            <w:pPr>
              <w:pStyle w:val="TableContents"/>
              <w:spacing w:before="0" w:after="283"/>
              <w:ind w:left="0" w:right="0" w:hanging="0"/>
              <w:rPr/>
            </w:pPr>
            <w:r>
              <w:rPr/>
              <w:t> </w:t>
            </w:r>
          </w:p>
        </w:tc>
        <w:tc>
          <w:tcPr>
            <w:tcW w:w="2517" w:type="dxa"/>
            <w:gridSpan w:val="6"/>
            <w:tcBorders>
              <w:bottom w:val="single" w:sz="12" w:space="0" w:color="000000"/>
            </w:tcBorders>
            <w:shd w:fill="auto" w:val="clear"/>
            <w:tcMar>
              <w:bottom w:w="28" w:type="dxa"/>
            </w:tcMar>
            <w:vAlign w:val="bottom"/>
          </w:tcPr>
          <w:p>
            <w:pPr>
              <w:pStyle w:val="TableContents"/>
              <w:spacing w:before="0" w:after="0"/>
              <w:ind w:left="0" w:right="0" w:hanging="0"/>
              <w:jc w:val="center"/>
              <w:rPr>
                <w:rFonts w:ascii="helvetica" w:hAnsi="helvetica"/>
                <w:b/>
                <w:sz w:val="16"/>
              </w:rPr>
            </w:pPr>
            <w:r>
              <w:rPr>
                <w:rFonts w:ascii="helvetica" w:hAnsi="helvetica"/>
                <w:b/>
                <w:sz w:val="16"/>
              </w:rPr>
              <w:t>Year ended December 31,</w:t>
            </w:r>
          </w:p>
        </w:tc>
        <w:tc>
          <w:tcPr>
            <w:tcW w:w="105" w:type="dxa"/>
            <w:tcBorders/>
            <w:shd w:fill="auto" w:val="clear"/>
            <w:vAlign w:val="bottom"/>
          </w:tcPr>
          <w:p>
            <w:pPr>
              <w:pStyle w:val="TableContents"/>
              <w:spacing w:before="0" w:after="283"/>
              <w:ind w:left="0" w:right="0" w:hanging="0"/>
              <w:jc w:val="center"/>
              <w:rPr/>
            </w:pPr>
            <w:r>
              <w:rPr/>
              <w:t> </w:t>
            </w:r>
          </w:p>
        </w:tc>
        <w:tc>
          <w:tcPr>
            <w:tcW w:w="1301" w:type="dxa"/>
            <w:gridSpan w:val="3"/>
            <w:tcBorders/>
            <w:shd w:fill="auto" w:val="clear"/>
            <w:vAlign w:val="bottom"/>
          </w:tcPr>
          <w:p>
            <w:pPr>
              <w:pStyle w:val="TableContents"/>
              <w:spacing w:before="0" w:after="283"/>
              <w:ind w:left="0" w:right="0" w:hanging="0"/>
              <w:jc w:val="center"/>
              <w:rPr/>
            </w:pPr>
            <w:r>
              <w:rPr>
                <w:rFonts w:ascii="helvetica" w:hAnsi="helvetica"/>
                <w:b/>
                <w:sz w:val="16"/>
              </w:rPr>
              <w:t>$</w:t>
            </w:r>
            <w:r>
              <w:rPr/>
              <w:t xml:space="preserve"> </w:t>
            </w:r>
          </w:p>
        </w:tc>
        <w:tc>
          <w:tcPr>
            <w:tcW w:w="123" w:type="dxa"/>
            <w:tcBorders/>
            <w:shd w:fill="auto" w:val="clear"/>
            <w:vAlign w:val="bottom"/>
          </w:tcPr>
          <w:p>
            <w:pPr>
              <w:pStyle w:val="TableContents"/>
              <w:spacing w:before="0" w:after="283"/>
              <w:ind w:left="0" w:right="0" w:hanging="0"/>
              <w:jc w:val="center"/>
              <w:rPr/>
            </w:pPr>
            <w:r>
              <w:rPr/>
              <w:t> </w:t>
            </w:r>
          </w:p>
        </w:tc>
      </w:tr>
      <w:tr>
        <w:trPr/>
        <w:tc>
          <w:tcPr>
            <w:tcW w:w="6054" w:type="dxa"/>
            <w:tcBorders/>
            <w:shd w:fill="auto" w:val="clear"/>
            <w:vAlign w:val="bottom"/>
          </w:tcPr>
          <w:p>
            <w:pPr>
              <w:pStyle w:val="TableContents"/>
              <w:spacing w:before="0" w:after="283"/>
              <w:ind w:left="0" w:right="0" w:hanging="0"/>
              <w:jc w:val="center"/>
              <w:rPr/>
            </w:pPr>
            <w:r>
              <w:rPr/>
              <w:t xml:space="preserve">  </w:t>
            </w:r>
          </w:p>
        </w:tc>
        <w:tc>
          <w:tcPr>
            <w:tcW w:w="105" w:type="dxa"/>
            <w:tcBorders/>
            <w:shd w:fill="auto" w:val="clear"/>
            <w:vAlign w:val="bottom"/>
          </w:tcPr>
          <w:p>
            <w:pPr>
              <w:pStyle w:val="TableContents"/>
              <w:spacing w:before="0" w:after="283"/>
              <w:ind w:left="0" w:right="0" w:hanging="0"/>
              <w:jc w:val="center"/>
              <w:rPr/>
            </w:pPr>
            <w:r>
              <w:rPr/>
              <w:t> </w:t>
            </w:r>
          </w:p>
        </w:tc>
        <w:tc>
          <w:tcPr>
            <w:tcW w:w="1129"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helvetica" w:hAnsi="helvetica"/>
                <w:b/>
                <w:sz w:val="16"/>
              </w:rPr>
            </w:pPr>
            <w:r>
              <w:rPr>
                <w:rFonts w:ascii="helvetica" w:hAnsi="helvetica"/>
                <w:b/>
                <w:sz w:val="16"/>
              </w:rPr>
              <w:t>2011</w:t>
            </w:r>
          </w:p>
        </w:tc>
        <w:tc>
          <w:tcPr>
            <w:tcW w:w="105" w:type="dxa"/>
            <w:tcBorders/>
            <w:shd w:fill="auto" w:val="clear"/>
            <w:vAlign w:val="bottom"/>
          </w:tcPr>
          <w:p>
            <w:pPr>
              <w:pStyle w:val="TableContents"/>
              <w:spacing w:before="0" w:after="283"/>
              <w:ind w:left="0" w:right="0" w:hanging="0"/>
              <w:jc w:val="center"/>
              <w:rPr/>
            </w:pPr>
            <w:r>
              <w:rPr/>
              <w:t> </w:t>
            </w:r>
          </w:p>
        </w:tc>
        <w:tc>
          <w:tcPr>
            <w:tcW w:w="105" w:type="dxa"/>
            <w:tcBorders/>
            <w:shd w:fill="auto" w:val="clear"/>
            <w:vAlign w:val="bottom"/>
          </w:tcPr>
          <w:p>
            <w:pPr>
              <w:pStyle w:val="TableContents"/>
              <w:spacing w:before="0" w:after="283"/>
              <w:ind w:left="0" w:right="0" w:hanging="0"/>
              <w:jc w:val="center"/>
              <w:rPr/>
            </w:pPr>
            <w:r>
              <w:rPr/>
              <w:t> </w:t>
            </w:r>
          </w:p>
        </w:tc>
        <w:tc>
          <w:tcPr>
            <w:tcW w:w="1178"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helvetica" w:hAnsi="helvetica"/>
                <w:b/>
                <w:sz w:val="16"/>
              </w:rPr>
            </w:pPr>
            <w:r>
              <w:rPr>
                <w:rFonts w:ascii="helvetica" w:hAnsi="helvetica"/>
                <w:b/>
                <w:sz w:val="16"/>
              </w:rPr>
              <w:t>2010</w:t>
            </w:r>
          </w:p>
        </w:tc>
        <w:tc>
          <w:tcPr>
            <w:tcW w:w="105" w:type="dxa"/>
            <w:tcBorders/>
            <w:shd w:fill="auto" w:val="clear"/>
            <w:vAlign w:val="bottom"/>
          </w:tcPr>
          <w:p>
            <w:pPr>
              <w:pStyle w:val="TableContents"/>
              <w:spacing w:before="0" w:after="283"/>
              <w:ind w:left="0" w:right="0" w:hanging="0"/>
              <w:jc w:val="center"/>
              <w:rPr/>
            </w:pPr>
            <w:r>
              <w:rPr/>
              <w:t> </w:t>
            </w:r>
          </w:p>
        </w:tc>
        <w:tc>
          <w:tcPr>
            <w:tcW w:w="1301" w:type="dxa"/>
            <w:gridSpan w:val="3"/>
            <w:tcBorders>
              <w:bottom w:val="single" w:sz="12" w:space="0" w:color="000000"/>
            </w:tcBorders>
            <w:shd w:fill="auto" w:val="clear"/>
            <w:tcMar>
              <w:bottom w:w="28" w:type="dxa"/>
            </w:tcMar>
            <w:vAlign w:val="bottom"/>
          </w:tcPr>
          <w:p>
            <w:pPr>
              <w:pStyle w:val="TableContents"/>
              <w:spacing w:before="0" w:after="0"/>
              <w:ind w:left="0" w:right="0" w:hanging="0"/>
              <w:jc w:val="center"/>
              <w:rPr>
                <w:rFonts w:ascii="helvetica" w:hAnsi="helvetica"/>
                <w:b/>
                <w:sz w:val="16"/>
              </w:rPr>
            </w:pPr>
            <w:r>
              <w:rPr>
                <w:rFonts w:ascii="helvetica" w:hAnsi="helvetica"/>
                <w:b/>
                <w:sz w:val="16"/>
              </w:rPr>
              <w:t>Variance</w:t>
            </w:r>
          </w:p>
        </w:tc>
        <w:tc>
          <w:tcPr>
            <w:tcW w:w="123" w:type="dxa"/>
            <w:tcBorders/>
            <w:shd w:fill="auto" w:val="clear"/>
            <w:vAlign w:val="bottom"/>
          </w:tcPr>
          <w:p>
            <w:pPr>
              <w:pStyle w:val="TableContents"/>
              <w:spacing w:before="0" w:after="283"/>
              <w:jc w:val="left"/>
              <w:rPr/>
            </w:pPr>
            <w:r>
              <w:rPr/>
              <w:t> </w:t>
            </w:r>
          </w:p>
        </w:tc>
      </w:tr>
      <w:tr>
        <w:trPr/>
        <w:tc>
          <w:tcPr>
            <w:tcW w:w="6054" w:type="dxa"/>
            <w:tcBorders/>
            <w:shd w:fill="CCEEFF" w:val="clear"/>
            <w:vAlign w:val="bottom"/>
          </w:tcPr>
          <w:p>
            <w:pPr>
              <w:pStyle w:val="TableContents"/>
              <w:spacing w:before="0" w:after="0"/>
              <w:ind w:left="0" w:right="0" w:hanging="0"/>
              <w:jc w:val="left"/>
              <w:rPr>
                <w:rFonts w:ascii="helvetica" w:hAnsi="helvetica"/>
                <w:b/>
                <w:sz w:val="20"/>
              </w:rPr>
            </w:pPr>
            <w:r>
              <w:rPr>
                <w:rFonts w:ascii="helvetica" w:hAnsi="helvetica"/>
                <w:b/>
                <w:sz w:val="20"/>
              </w:rPr>
              <w:t>Selling, general and administrative</w:t>
            </w:r>
          </w:p>
        </w:tc>
        <w:tc>
          <w:tcPr>
            <w:tcW w:w="105" w:type="dxa"/>
            <w:tcBorders/>
            <w:shd w:fill="CCEEFF" w:val="clear"/>
            <w:vAlign w:val="bottom"/>
          </w:tcPr>
          <w:p>
            <w:pPr>
              <w:pStyle w:val="TableContents"/>
              <w:spacing w:before="0" w:after="283"/>
              <w:jc w:val="left"/>
              <w:rPr/>
            </w:pPr>
            <w:r>
              <w:rPr/>
              <w:t> </w:t>
            </w:r>
          </w:p>
        </w:tc>
        <w:tc>
          <w:tcPr>
            <w:tcW w:w="125" w:type="dxa"/>
            <w:tcBorders>
              <w:bottom w:val="double" w:sz="8" w:space="0" w:color="000000"/>
            </w:tcBorders>
            <w:shd w:fill="CCEEFF" w:val="clear"/>
            <w:tcMar>
              <w:bottom w:w="28" w:type="dxa"/>
            </w:tcMar>
            <w:vAlign w:val="bottom"/>
          </w:tcPr>
          <w:p>
            <w:pPr>
              <w:pStyle w:val="TableContents"/>
              <w:spacing w:before="0" w:after="283"/>
              <w:jc w:val="left"/>
              <w:rPr>
                <w:rFonts w:ascii="helvetica" w:hAnsi="helvetica"/>
                <w:sz w:val="20"/>
              </w:rPr>
            </w:pPr>
            <w:r>
              <w:rPr>
                <w:rFonts w:ascii="helvetica" w:hAnsi="helvetica"/>
                <w:sz w:val="20"/>
              </w:rPr>
              <w:t>$</w:t>
            </w:r>
          </w:p>
        </w:tc>
        <w:tc>
          <w:tcPr>
            <w:tcW w:w="1004" w:type="dxa"/>
            <w:tcBorders>
              <w:bottom w:val="double" w:sz="8" w:space="0" w:color="000000"/>
            </w:tcBorders>
            <w:shd w:fill="CCEE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827,674</w:t>
            </w:r>
          </w:p>
        </w:tc>
        <w:tc>
          <w:tcPr>
            <w:tcW w:w="105" w:type="dxa"/>
            <w:tcBorders/>
            <w:shd w:fill="CCEEFF" w:val="clear"/>
            <w:vAlign w:val="bottom"/>
          </w:tcPr>
          <w:p>
            <w:pPr>
              <w:pStyle w:val="TableContents"/>
              <w:spacing w:before="0" w:after="283"/>
              <w:jc w:val="left"/>
              <w:rPr/>
            </w:pPr>
            <w:r>
              <w:rPr/>
              <w:t> </w:t>
            </w:r>
          </w:p>
        </w:tc>
        <w:tc>
          <w:tcPr>
            <w:tcW w:w="105" w:type="dxa"/>
            <w:tcBorders/>
            <w:shd w:fill="CCEEFF" w:val="clear"/>
            <w:vAlign w:val="bottom"/>
          </w:tcPr>
          <w:p>
            <w:pPr>
              <w:pStyle w:val="TableContents"/>
              <w:spacing w:before="0" w:after="283"/>
              <w:jc w:val="left"/>
              <w:rPr/>
            </w:pPr>
            <w:r>
              <w:rPr/>
              <w:t> </w:t>
            </w:r>
          </w:p>
        </w:tc>
        <w:tc>
          <w:tcPr>
            <w:tcW w:w="125" w:type="dxa"/>
            <w:tcBorders>
              <w:bottom w:val="double" w:sz="8" w:space="0" w:color="000000"/>
            </w:tcBorders>
            <w:shd w:fill="CCEEFF" w:val="clear"/>
            <w:tcMar>
              <w:bottom w:w="28" w:type="dxa"/>
            </w:tcMar>
            <w:vAlign w:val="bottom"/>
          </w:tcPr>
          <w:p>
            <w:pPr>
              <w:pStyle w:val="TableContents"/>
              <w:spacing w:before="0" w:after="283"/>
              <w:jc w:val="left"/>
              <w:rPr>
                <w:rFonts w:ascii="helvetica" w:hAnsi="helvetica"/>
                <w:sz w:val="20"/>
              </w:rPr>
            </w:pPr>
            <w:r>
              <w:rPr>
                <w:rFonts w:ascii="helvetica" w:hAnsi="helvetica"/>
                <w:sz w:val="20"/>
              </w:rPr>
              <w:t>$</w:t>
            </w:r>
          </w:p>
        </w:tc>
        <w:tc>
          <w:tcPr>
            <w:tcW w:w="1053" w:type="dxa"/>
            <w:tcBorders>
              <w:bottom w:val="double" w:sz="8" w:space="0" w:color="000000"/>
            </w:tcBorders>
            <w:shd w:fill="CCEE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2,307,972</w:t>
            </w:r>
          </w:p>
        </w:tc>
        <w:tc>
          <w:tcPr>
            <w:tcW w:w="105" w:type="dxa"/>
            <w:tcBorders/>
            <w:shd w:fill="CCEEFF" w:val="clear"/>
            <w:vAlign w:val="bottom"/>
          </w:tcPr>
          <w:p>
            <w:pPr>
              <w:pStyle w:val="TableContents"/>
              <w:spacing w:before="0" w:after="283"/>
              <w:jc w:val="left"/>
              <w:rPr/>
            </w:pPr>
            <w:r>
              <w:rPr/>
              <w:t> </w:t>
            </w:r>
          </w:p>
        </w:tc>
        <w:tc>
          <w:tcPr>
            <w:tcW w:w="105" w:type="dxa"/>
            <w:tcBorders/>
            <w:shd w:fill="CCEEFF" w:val="clear"/>
            <w:vAlign w:val="bottom"/>
          </w:tcPr>
          <w:p>
            <w:pPr>
              <w:pStyle w:val="TableContents"/>
              <w:spacing w:before="0" w:after="283"/>
              <w:jc w:val="left"/>
              <w:rPr/>
            </w:pPr>
            <w:r>
              <w:rPr/>
              <w:t> </w:t>
            </w:r>
          </w:p>
        </w:tc>
        <w:tc>
          <w:tcPr>
            <w:tcW w:w="125" w:type="dxa"/>
            <w:tcBorders/>
            <w:shd w:fill="CCEEFF" w:val="clear"/>
            <w:vAlign w:val="bottom"/>
          </w:tcPr>
          <w:p>
            <w:pPr>
              <w:pStyle w:val="TableContents"/>
              <w:spacing w:before="0" w:after="283"/>
              <w:jc w:val="left"/>
              <w:rPr>
                <w:rFonts w:ascii="helvetica" w:hAnsi="helvetica"/>
                <w:sz w:val="20"/>
              </w:rPr>
            </w:pPr>
            <w:r>
              <w:rPr>
                <w:rFonts w:ascii="helvetica" w:hAnsi="helvetica"/>
                <w:sz w:val="20"/>
              </w:rPr>
              <w:t>$</w:t>
            </w:r>
          </w:p>
        </w:tc>
        <w:tc>
          <w:tcPr>
            <w:tcW w:w="1071"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(1,480,298</w:t>
            </w:r>
          </w:p>
        </w:tc>
        <w:tc>
          <w:tcPr>
            <w:tcW w:w="123" w:type="dxa"/>
            <w:tcBorders/>
            <w:shd w:fill="CCEEFF" w:val="clear"/>
            <w:vAlign w:val="bottom"/>
          </w:tcPr>
          <w:p>
            <w:pPr>
              <w:pStyle w:val="TableContents"/>
              <w:spacing w:before="0" w:after="283"/>
              <w:jc w:val="left"/>
              <w:rPr>
                <w:rFonts w:ascii="helvetica" w:hAnsi="helvetica"/>
                <w:sz w:val="20"/>
              </w:rPr>
            </w:pPr>
            <w:r>
              <w:rPr>
                <w:rFonts w:ascii="helvetica" w:hAnsi="helvetica"/>
                <w:sz w:val="20"/>
              </w:rPr>
              <w:t>)</w:t>
            </w:r>
          </w:p>
        </w:tc>
      </w:tr>
    </w:tbl>
    <w:p>
      <w:pPr>
        <w:pStyle w:val="TextBody"/>
        <w:spacing w:before="0" w:after="0"/>
        <w:ind w:left="0" w:right="0" w:hanging="0"/>
        <w:rPr/>
      </w:pPr>
      <w:r>
        <w:rPr/>
        <w:t> </w:t>
      </w:r>
    </w:p>
    <w:p>
      <w:pPr>
        <w:pStyle w:val="TextBody"/>
        <w:spacing w:before="0" w:after="0"/>
        <w:ind w:left="0" w:right="0" w:firstLine="720"/>
        <w:jc w:val="left"/>
        <w:rPr>
          <w:rFonts w:ascii="helvetica" w:hAnsi="helvetica"/>
          <w:sz w:val="20"/>
        </w:rPr>
      </w:pPr>
      <w:r>
        <w:rPr>
          <w:rFonts w:ascii="helvetica" w:hAnsi="helvetica"/>
          <w:sz w:val="20"/>
        </w:rPr>
        <w:t>For the fiscal year ended December 31, 2011, the decrease of $1,480,298 in selling, general and administrative expense, as compared to the prior year, was primarily a result of the suspension of payroll and primary business operations at and about March 1, 2011. In addition, we recognized an aggregate one-time expense of approximately $416,000 during the same period in 2010 related to the separation agreement with our former Chief Executive Officer. This amount was comprised of approximately $242,000 related to the accrual of continued salary and medical benefits to be provided for a period of one year after the separation date of February 17, 2010 and approximately $174,000 of stock-based compensation expense related to the modification of terms for the former Chief Executive Officer’s stock options.</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b/>
          <w:sz w:val="20"/>
        </w:rPr>
      </w:pPr>
      <w:r>
        <w:rPr>
          <w:rFonts w:ascii="helvetica" w:hAnsi="helvetica"/>
          <w:b/>
          <w:sz w:val="20"/>
        </w:rPr>
        <w:t>Research and Development Expenses</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r>
        <w:rPr>
          <w:rFonts w:ascii="helvetica" w:hAnsi="helvetica"/>
          <w:sz w:val="20"/>
        </w:rPr>
        <w:t>Our research and development expenses primarily include costs for the Accudel clinical program. These costs are comprised of expenses for our current Phase 3 study, including costs for our contract research organization and investigator payments to the clinical sites participating in the study. Other expenses are personnel costs including wages and stock-based compensation, contract manufacturing, non-clinical studies, consulting and other costs related to the clinical program.</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r>
        <w:rPr>
          <w:rFonts w:ascii="helvetica" w:hAnsi="helvetica"/>
          <w:sz w:val="20"/>
        </w:rPr>
        <w:t>The table below provides information regarding research and development expenses:</w:t>
      </w:r>
    </w:p>
    <w:p>
      <w:pPr>
        <w:pStyle w:val="TextBody"/>
        <w:spacing w:before="0" w:after="0"/>
        <w:ind w:left="0" w:right="0" w:hanging="0"/>
        <w:jc w:val="both"/>
        <w:rPr/>
      </w:pPr>
      <w:r>
        <w:rPr/>
        <w:t> </w:t>
      </w:r>
    </w:p>
    <w:tbl>
      <w:tblPr>
        <w:tblW w:w="5000" w:type="pct"/>
        <w:jc w:val="left"/>
        <w:tblInd w:w="0" w:type="dxa"/>
        <w:tblCellMar>
          <w:top w:w="0" w:type="dxa"/>
          <w:left w:w="0" w:type="dxa"/>
          <w:bottom w:w="0" w:type="dxa"/>
          <w:right w:w="0" w:type="dxa"/>
        </w:tblCellMar>
      </w:tblPr>
      <w:tblGrid>
        <w:gridCol w:w="6125"/>
        <w:gridCol w:w="107"/>
        <w:gridCol w:w="126"/>
        <w:gridCol w:w="1019"/>
        <w:gridCol w:w="107"/>
        <w:gridCol w:w="107"/>
        <w:gridCol w:w="126"/>
        <w:gridCol w:w="1019"/>
        <w:gridCol w:w="107"/>
        <w:gridCol w:w="107"/>
        <w:gridCol w:w="126"/>
        <w:gridCol w:w="1006"/>
        <w:gridCol w:w="123"/>
      </w:tblGrid>
      <w:tr>
        <w:trPr/>
        <w:tc>
          <w:tcPr>
            <w:tcW w:w="6125" w:type="dxa"/>
            <w:tcBorders/>
            <w:shd w:fill="auto" w:val="clear"/>
            <w:vAlign w:val="bottom"/>
          </w:tcPr>
          <w:p>
            <w:pPr>
              <w:pStyle w:val="TableContents"/>
              <w:spacing w:before="0" w:after="283"/>
              <w:rPr/>
            </w:pPr>
            <w:r>
              <w:rPr/>
              <w:t> </w:t>
            </w:r>
          </w:p>
        </w:tc>
        <w:tc>
          <w:tcPr>
            <w:tcW w:w="107" w:type="dxa"/>
            <w:tcBorders/>
            <w:shd w:fill="auto" w:val="clear"/>
            <w:vAlign w:val="bottom"/>
          </w:tcPr>
          <w:p>
            <w:pPr>
              <w:pStyle w:val="TableContents"/>
              <w:spacing w:before="0" w:after="283"/>
              <w:rPr/>
            </w:pPr>
            <w:r>
              <w:rPr/>
              <w:t> </w:t>
            </w:r>
          </w:p>
        </w:tc>
        <w:tc>
          <w:tcPr>
            <w:tcW w:w="2504" w:type="dxa"/>
            <w:gridSpan w:val="6"/>
            <w:tcBorders>
              <w:bottom w:val="single" w:sz="12" w:space="0" w:color="000000"/>
            </w:tcBorders>
            <w:shd w:fill="auto" w:val="clear"/>
            <w:tcMar>
              <w:bottom w:w="28" w:type="dxa"/>
            </w:tcMar>
            <w:vAlign w:val="bottom"/>
          </w:tcPr>
          <w:p>
            <w:pPr>
              <w:pStyle w:val="TableContents"/>
              <w:spacing w:before="0" w:after="283"/>
              <w:jc w:val="center"/>
              <w:rPr>
                <w:rFonts w:ascii="helvetica" w:hAnsi="helvetica"/>
                <w:b/>
                <w:sz w:val="16"/>
              </w:rPr>
            </w:pPr>
            <w:r>
              <w:rPr>
                <w:rFonts w:ascii="helvetica" w:hAnsi="helvetica"/>
                <w:b/>
                <w:sz w:val="16"/>
              </w:rPr>
              <w:t>Year ended December 31,</w:t>
            </w:r>
          </w:p>
        </w:tc>
        <w:tc>
          <w:tcPr>
            <w:tcW w:w="107" w:type="dxa"/>
            <w:tcBorders/>
            <w:shd w:fill="auto" w:val="clear"/>
            <w:vAlign w:val="bottom"/>
          </w:tcPr>
          <w:p>
            <w:pPr>
              <w:pStyle w:val="TableContents"/>
              <w:spacing w:before="0" w:after="283"/>
              <w:jc w:val="center"/>
              <w:rPr/>
            </w:pPr>
            <w:r>
              <w:rPr/>
              <w:t> </w:t>
            </w:r>
          </w:p>
        </w:tc>
        <w:tc>
          <w:tcPr>
            <w:tcW w:w="107" w:type="dxa"/>
            <w:tcBorders/>
            <w:shd w:fill="auto" w:val="clear"/>
            <w:vAlign w:val="bottom"/>
          </w:tcPr>
          <w:p>
            <w:pPr>
              <w:pStyle w:val="TableContents"/>
              <w:spacing w:before="0" w:after="283"/>
              <w:jc w:val="center"/>
              <w:rPr/>
            </w:pPr>
            <w:r>
              <w:rPr/>
              <w:t> </w:t>
            </w:r>
          </w:p>
        </w:tc>
        <w:tc>
          <w:tcPr>
            <w:tcW w:w="1132" w:type="dxa"/>
            <w:gridSpan w:val="2"/>
            <w:tcBorders/>
            <w:shd w:fill="auto" w:val="clear"/>
            <w:vAlign w:val="bottom"/>
          </w:tcPr>
          <w:p>
            <w:pPr>
              <w:pStyle w:val="TableContents"/>
              <w:spacing w:before="0" w:after="283"/>
              <w:jc w:val="center"/>
              <w:rPr/>
            </w:pPr>
            <w:r>
              <w:rPr>
                <w:rFonts w:ascii="helvetica" w:hAnsi="helvetica"/>
                <w:b/>
                <w:sz w:val="16"/>
              </w:rPr>
              <w:t>$</w:t>
            </w:r>
            <w:r>
              <w:rPr/>
              <w:t xml:space="preserve"> </w:t>
            </w:r>
          </w:p>
        </w:tc>
        <w:tc>
          <w:tcPr>
            <w:tcW w:w="123" w:type="dxa"/>
            <w:tcBorders/>
            <w:shd w:fill="auto" w:val="clear"/>
            <w:vAlign w:val="bottom"/>
          </w:tcPr>
          <w:p>
            <w:pPr>
              <w:pStyle w:val="TableContents"/>
              <w:spacing w:before="0" w:after="283"/>
              <w:jc w:val="center"/>
              <w:rPr/>
            </w:pPr>
            <w:r>
              <w:rPr/>
              <w:t> </w:t>
            </w:r>
          </w:p>
        </w:tc>
      </w:tr>
      <w:tr>
        <w:trPr/>
        <w:tc>
          <w:tcPr>
            <w:tcW w:w="6125" w:type="dxa"/>
            <w:tcBorders/>
            <w:shd w:fill="auto" w:val="clear"/>
            <w:vAlign w:val="bottom"/>
          </w:tcPr>
          <w:p>
            <w:pPr>
              <w:pStyle w:val="TableContents"/>
              <w:spacing w:before="0" w:after="283"/>
              <w:jc w:val="center"/>
              <w:rPr/>
            </w:pPr>
            <w:r>
              <w:rPr/>
              <w:t xml:space="preserve">  </w:t>
            </w:r>
          </w:p>
        </w:tc>
        <w:tc>
          <w:tcPr>
            <w:tcW w:w="107" w:type="dxa"/>
            <w:tcBorders/>
            <w:shd w:fill="auto" w:val="clear"/>
            <w:vAlign w:val="bottom"/>
          </w:tcPr>
          <w:p>
            <w:pPr>
              <w:pStyle w:val="TableContents"/>
              <w:spacing w:before="0" w:after="283"/>
              <w:jc w:val="center"/>
              <w:rPr/>
            </w:pPr>
            <w:r>
              <w:rPr/>
              <w:t> </w:t>
            </w:r>
          </w:p>
        </w:tc>
        <w:tc>
          <w:tcPr>
            <w:tcW w:w="1145"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helvetica" w:hAnsi="helvetica"/>
                <w:b/>
                <w:sz w:val="16"/>
              </w:rPr>
            </w:pPr>
            <w:r>
              <w:rPr>
                <w:rFonts w:ascii="helvetica" w:hAnsi="helvetica"/>
                <w:b/>
                <w:sz w:val="16"/>
              </w:rPr>
              <w:t>2011</w:t>
            </w:r>
          </w:p>
        </w:tc>
        <w:tc>
          <w:tcPr>
            <w:tcW w:w="107" w:type="dxa"/>
            <w:tcBorders/>
            <w:shd w:fill="auto" w:val="clear"/>
            <w:vAlign w:val="bottom"/>
          </w:tcPr>
          <w:p>
            <w:pPr>
              <w:pStyle w:val="TableContents"/>
              <w:spacing w:before="0" w:after="283"/>
              <w:jc w:val="center"/>
              <w:rPr/>
            </w:pPr>
            <w:r>
              <w:rPr/>
              <w:t> </w:t>
            </w:r>
          </w:p>
        </w:tc>
        <w:tc>
          <w:tcPr>
            <w:tcW w:w="107" w:type="dxa"/>
            <w:tcBorders/>
            <w:shd w:fill="auto" w:val="clear"/>
            <w:vAlign w:val="bottom"/>
          </w:tcPr>
          <w:p>
            <w:pPr>
              <w:pStyle w:val="TableContents"/>
              <w:spacing w:before="0" w:after="283"/>
              <w:jc w:val="center"/>
              <w:rPr/>
            </w:pPr>
            <w:r>
              <w:rPr/>
              <w:t> </w:t>
            </w:r>
          </w:p>
        </w:tc>
        <w:tc>
          <w:tcPr>
            <w:tcW w:w="1145"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helvetica" w:hAnsi="helvetica"/>
                <w:b/>
                <w:sz w:val="16"/>
              </w:rPr>
            </w:pPr>
            <w:r>
              <w:rPr>
                <w:rFonts w:ascii="helvetica" w:hAnsi="helvetica"/>
                <w:b/>
                <w:sz w:val="16"/>
              </w:rPr>
              <w:t>2010</w:t>
            </w:r>
          </w:p>
        </w:tc>
        <w:tc>
          <w:tcPr>
            <w:tcW w:w="107" w:type="dxa"/>
            <w:tcBorders/>
            <w:shd w:fill="auto" w:val="clear"/>
            <w:vAlign w:val="bottom"/>
          </w:tcPr>
          <w:p>
            <w:pPr>
              <w:pStyle w:val="TableContents"/>
              <w:spacing w:before="0" w:after="283"/>
              <w:jc w:val="center"/>
              <w:rPr/>
            </w:pPr>
            <w:r>
              <w:rPr/>
              <w:t> </w:t>
            </w:r>
          </w:p>
        </w:tc>
        <w:tc>
          <w:tcPr>
            <w:tcW w:w="107" w:type="dxa"/>
            <w:tcBorders/>
            <w:shd w:fill="auto" w:val="clear"/>
            <w:vAlign w:val="bottom"/>
          </w:tcPr>
          <w:p>
            <w:pPr>
              <w:pStyle w:val="TableContents"/>
              <w:spacing w:before="0" w:after="283"/>
              <w:jc w:val="center"/>
              <w:rPr/>
            </w:pPr>
            <w:r>
              <w:rPr/>
              <w:t> </w:t>
            </w:r>
          </w:p>
        </w:tc>
        <w:tc>
          <w:tcPr>
            <w:tcW w:w="1132"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helvetica" w:hAnsi="helvetica"/>
                <w:b/>
                <w:sz w:val="16"/>
              </w:rPr>
            </w:pPr>
            <w:r>
              <w:rPr>
                <w:rFonts w:ascii="helvetica" w:hAnsi="helvetica"/>
                <w:b/>
                <w:sz w:val="16"/>
              </w:rPr>
              <w:t>Variance</w:t>
            </w:r>
          </w:p>
        </w:tc>
        <w:tc>
          <w:tcPr>
            <w:tcW w:w="123" w:type="dxa"/>
            <w:tcBorders/>
            <w:shd w:fill="auto" w:val="clear"/>
            <w:vAlign w:val="bottom"/>
          </w:tcPr>
          <w:p>
            <w:pPr>
              <w:pStyle w:val="TableContents"/>
              <w:spacing w:before="0" w:after="283"/>
              <w:jc w:val="left"/>
              <w:rPr/>
            </w:pPr>
            <w:r>
              <w:rPr/>
              <w:t> </w:t>
            </w:r>
          </w:p>
        </w:tc>
      </w:tr>
      <w:tr>
        <w:trPr/>
        <w:tc>
          <w:tcPr>
            <w:tcW w:w="6125" w:type="dxa"/>
            <w:tcBorders/>
            <w:shd w:fill="CCEEFF" w:val="clear"/>
            <w:vAlign w:val="bottom"/>
          </w:tcPr>
          <w:p>
            <w:pPr>
              <w:pStyle w:val="TableContents"/>
              <w:spacing w:before="0" w:after="0"/>
              <w:ind w:left="0" w:right="0" w:hanging="0"/>
              <w:jc w:val="left"/>
              <w:rPr>
                <w:rFonts w:ascii="helvetica" w:hAnsi="helvetica"/>
                <w:b/>
                <w:sz w:val="20"/>
              </w:rPr>
            </w:pPr>
            <w:r>
              <w:rPr>
                <w:rFonts w:ascii="helvetica" w:hAnsi="helvetica"/>
                <w:b/>
                <w:sz w:val="20"/>
              </w:rPr>
              <w:t>Research and development</w:t>
            </w:r>
          </w:p>
        </w:tc>
        <w:tc>
          <w:tcPr>
            <w:tcW w:w="107" w:type="dxa"/>
            <w:tcBorders/>
            <w:shd w:fill="CCEEFF" w:val="clear"/>
            <w:vAlign w:val="bottom"/>
          </w:tcPr>
          <w:p>
            <w:pPr>
              <w:pStyle w:val="TableContents"/>
              <w:spacing w:before="0" w:after="283"/>
              <w:jc w:val="right"/>
              <w:rPr/>
            </w:pPr>
            <w:r>
              <w:rPr/>
              <w:t> </w:t>
            </w:r>
          </w:p>
        </w:tc>
        <w:tc>
          <w:tcPr>
            <w:tcW w:w="126" w:type="dxa"/>
            <w:tcBorders>
              <w:bottom w:val="double" w:sz="8" w:space="0" w:color="000000"/>
            </w:tcBorders>
            <w:shd w:fill="CCEEFF" w:val="clear"/>
            <w:tcMar>
              <w:bottom w:w="28" w:type="dxa"/>
            </w:tcMar>
            <w:vAlign w:val="bottom"/>
          </w:tcPr>
          <w:p>
            <w:pPr>
              <w:pStyle w:val="TableContents"/>
              <w:spacing w:before="0" w:after="283"/>
              <w:jc w:val="left"/>
              <w:rPr>
                <w:rFonts w:ascii="helvetica" w:hAnsi="helvetica"/>
                <w:sz w:val="20"/>
              </w:rPr>
            </w:pPr>
            <w:r>
              <w:rPr>
                <w:rFonts w:ascii="helvetica" w:hAnsi="helvetica"/>
                <w:sz w:val="20"/>
              </w:rPr>
              <w:t>$</w:t>
            </w:r>
          </w:p>
        </w:tc>
        <w:tc>
          <w:tcPr>
            <w:tcW w:w="1019" w:type="dxa"/>
            <w:tcBorders>
              <w:bottom w:val="double" w:sz="8" w:space="0" w:color="000000"/>
            </w:tcBorders>
            <w:shd w:fill="CCEE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111,554</w:t>
            </w:r>
          </w:p>
        </w:tc>
        <w:tc>
          <w:tcPr>
            <w:tcW w:w="107" w:type="dxa"/>
            <w:tcBorders/>
            <w:shd w:fill="CCEEFF" w:val="clear"/>
            <w:vAlign w:val="bottom"/>
          </w:tcPr>
          <w:p>
            <w:pPr>
              <w:pStyle w:val="TableContents"/>
              <w:spacing w:before="0" w:after="283"/>
              <w:jc w:val="left"/>
              <w:rPr/>
            </w:pPr>
            <w:r>
              <w:rPr/>
              <w:t> </w:t>
            </w:r>
          </w:p>
        </w:tc>
        <w:tc>
          <w:tcPr>
            <w:tcW w:w="107" w:type="dxa"/>
            <w:tcBorders/>
            <w:shd w:fill="CCEEFF" w:val="clear"/>
            <w:vAlign w:val="bottom"/>
          </w:tcPr>
          <w:p>
            <w:pPr>
              <w:pStyle w:val="TableContents"/>
              <w:spacing w:before="0" w:after="283"/>
              <w:jc w:val="right"/>
              <w:rPr/>
            </w:pPr>
            <w:r>
              <w:rPr/>
              <w:t> </w:t>
            </w:r>
          </w:p>
        </w:tc>
        <w:tc>
          <w:tcPr>
            <w:tcW w:w="126" w:type="dxa"/>
            <w:tcBorders>
              <w:bottom w:val="double" w:sz="8" w:space="0" w:color="000000"/>
            </w:tcBorders>
            <w:shd w:fill="CCEEFF" w:val="clear"/>
            <w:tcMar>
              <w:bottom w:w="28" w:type="dxa"/>
            </w:tcMar>
            <w:vAlign w:val="bottom"/>
          </w:tcPr>
          <w:p>
            <w:pPr>
              <w:pStyle w:val="TableContents"/>
              <w:spacing w:before="0" w:after="283"/>
              <w:jc w:val="left"/>
              <w:rPr>
                <w:rFonts w:ascii="helvetica" w:hAnsi="helvetica"/>
                <w:sz w:val="20"/>
              </w:rPr>
            </w:pPr>
            <w:r>
              <w:rPr>
                <w:rFonts w:ascii="helvetica" w:hAnsi="helvetica"/>
                <w:sz w:val="20"/>
              </w:rPr>
              <w:t>$</w:t>
            </w:r>
          </w:p>
        </w:tc>
        <w:tc>
          <w:tcPr>
            <w:tcW w:w="1019" w:type="dxa"/>
            <w:tcBorders>
              <w:bottom w:val="double" w:sz="8" w:space="0" w:color="000000"/>
            </w:tcBorders>
            <w:shd w:fill="CCEE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194,588</w:t>
            </w:r>
          </w:p>
        </w:tc>
        <w:tc>
          <w:tcPr>
            <w:tcW w:w="107" w:type="dxa"/>
            <w:tcBorders/>
            <w:shd w:fill="CCEEFF" w:val="clear"/>
            <w:vAlign w:val="bottom"/>
          </w:tcPr>
          <w:p>
            <w:pPr>
              <w:pStyle w:val="TableContents"/>
              <w:spacing w:before="0" w:after="283"/>
              <w:jc w:val="left"/>
              <w:rPr/>
            </w:pPr>
            <w:r>
              <w:rPr/>
              <w:t> </w:t>
            </w:r>
          </w:p>
        </w:tc>
        <w:tc>
          <w:tcPr>
            <w:tcW w:w="107" w:type="dxa"/>
            <w:tcBorders/>
            <w:shd w:fill="CCEEFF" w:val="clear"/>
            <w:vAlign w:val="bottom"/>
          </w:tcPr>
          <w:p>
            <w:pPr>
              <w:pStyle w:val="TableContents"/>
              <w:spacing w:before="0" w:after="283"/>
              <w:jc w:val="right"/>
              <w:rPr/>
            </w:pPr>
            <w:r>
              <w:rPr/>
              <w:t> </w:t>
            </w:r>
          </w:p>
        </w:tc>
        <w:tc>
          <w:tcPr>
            <w:tcW w:w="126" w:type="dxa"/>
            <w:tcBorders/>
            <w:shd w:fill="CCEEFF" w:val="clear"/>
            <w:vAlign w:val="bottom"/>
          </w:tcPr>
          <w:p>
            <w:pPr>
              <w:pStyle w:val="TableContents"/>
              <w:spacing w:before="0" w:after="283"/>
              <w:jc w:val="left"/>
              <w:rPr>
                <w:rFonts w:ascii="helvetica" w:hAnsi="helvetica"/>
                <w:sz w:val="20"/>
              </w:rPr>
            </w:pPr>
            <w:r>
              <w:rPr>
                <w:rFonts w:ascii="helvetica" w:hAnsi="helvetica"/>
                <w:sz w:val="20"/>
              </w:rPr>
              <w:t>$</w:t>
            </w:r>
          </w:p>
        </w:tc>
        <w:tc>
          <w:tcPr>
            <w:tcW w:w="1006"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 xml:space="preserve">(83,034 </w:t>
            </w:r>
          </w:p>
        </w:tc>
        <w:tc>
          <w:tcPr>
            <w:tcW w:w="123" w:type="dxa"/>
            <w:tcBorders/>
            <w:shd w:fill="CCEEFF" w:val="clear"/>
            <w:vAlign w:val="bottom"/>
          </w:tcPr>
          <w:p>
            <w:pPr>
              <w:pStyle w:val="TableContents"/>
              <w:spacing w:before="0" w:after="283"/>
              <w:jc w:val="left"/>
              <w:rPr>
                <w:rFonts w:ascii="helvetica" w:hAnsi="helvetica"/>
                <w:sz w:val="20"/>
              </w:rPr>
            </w:pPr>
            <w:r>
              <w:rPr>
                <w:rFonts w:ascii="helvetica" w:hAnsi="helvetica"/>
                <w:sz w:val="20"/>
              </w:rPr>
              <w:t>)</w:t>
            </w:r>
          </w:p>
        </w:tc>
      </w:tr>
    </w:tbl>
    <w:p>
      <w:pPr>
        <w:pStyle w:val="TextBody"/>
        <w:spacing w:before="0" w:after="0"/>
        <w:ind w:left="0" w:right="0" w:hanging="0"/>
        <w:rPr/>
      </w:pPr>
      <w:r>
        <w:rPr/>
        <w:t> </w:t>
      </w:r>
    </w:p>
    <w:p>
      <w:pPr>
        <w:pStyle w:val="TextBody"/>
        <w:spacing w:before="0" w:after="0"/>
        <w:ind w:left="0" w:right="0" w:firstLine="720"/>
        <w:jc w:val="left"/>
        <w:rPr>
          <w:rFonts w:ascii="helvetica" w:hAnsi="helvetica"/>
          <w:sz w:val="20"/>
        </w:rPr>
      </w:pPr>
      <w:r>
        <w:rPr>
          <w:rFonts w:ascii="helvetica" w:hAnsi="helvetica"/>
          <w:sz w:val="20"/>
        </w:rPr>
        <w:t>For the fiscal year ended December 31, 2011, the decrease of $83,034 in research and development expense, as compared to the prior year, was primarily related to a decrease of activities for the Phase 3 study, clinical trials and staff/consulting expenses as a result of the suspension of our operations in March 2011. In November 2010, we received a Federal grant amount of $244,479 under the Qualifying Therapeutic Discovery Project that is part of the Patient Protection and Affordable Care Act and was accounted for as a reduction to research and development expenses during the year ended December 31, 2010. The funds were awarded in support of Impracor, our late-stage topical NSAID for the treatment of acute soft tissue injuries.</w:t>
      </w:r>
    </w:p>
    <w:p>
      <w:pPr>
        <w:pStyle w:val="TextBody"/>
        <w:spacing w:before="0" w:after="0"/>
        <w:ind w:left="0" w:right="0" w:hanging="0"/>
        <w:jc w:val="both"/>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596" w:name="PGBRK45"/>
      <w:bookmarkStart w:id="597" w:name="PGBRK45"/>
      <w:bookmarkEnd w:id="59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598" w:name="FTR45"/>
      <w:bookmarkStart w:id="599" w:name="FTR45"/>
      <w:bookmarkEnd w:id="59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600" w:name="GLFTR44"/>
      <w:bookmarkEnd w:id="600"/>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helvetica" w:hAnsi="helvetica"/>
          <w:sz w:val="20"/>
        </w:rPr>
      </w:pPr>
      <w:bookmarkStart w:id="601" w:name="PN44"/>
      <w:bookmarkEnd w:id="601"/>
      <w:r>
        <w:rPr>
          <w:rFonts w:ascii="helvetica" w:hAnsi="helvetica"/>
          <w:sz w:val="20"/>
        </w:rPr>
        <w:t>43</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602" w:name="HDR44"/>
      <w:bookmarkStart w:id="603" w:name="HDR44"/>
      <w:bookmarkEnd w:id="60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604" w:name="GLHDR44"/>
      <w:bookmarkEnd w:id="604"/>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firstLine="720"/>
        <w:jc w:val="left"/>
        <w:rPr>
          <w:rFonts w:ascii="helvetica" w:hAnsi="helvetica"/>
          <w:b/>
          <w:sz w:val="20"/>
        </w:rPr>
      </w:pPr>
      <w:r>
        <w:rPr>
          <w:rFonts w:ascii="helvetica" w:hAnsi="helvetica"/>
          <w:b/>
          <w:sz w:val="20"/>
        </w:rPr>
        <w:t>Interest Income</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r>
        <w:rPr>
          <w:rFonts w:ascii="helvetica" w:hAnsi="helvetica"/>
          <w:sz w:val="20"/>
        </w:rPr>
        <w:t>Interest income was $0 and $512, for the years ended December 31, 2011 and 2010, respectively. The decrease was due to a lower average cash balance and lower interest rates during fiscal year 2011 as compared to fiscal year 2010</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b/>
          <w:sz w:val="20"/>
        </w:rPr>
      </w:pPr>
      <w:r>
        <w:rPr>
          <w:rFonts w:ascii="helvetica" w:hAnsi="helvetica"/>
          <w:b/>
          <w:sz w:val="20"/>
        </w:rPr>
        <w:t>Interest Expense</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r>
        <w:rPr>
          <w:rFonts w:ascii="helvetica" w:hAnsi="helvetica"/>
          <w:sz w:val="20"/>
        </w:rPr>
        <w:t>In April 2010, we issued a senior convertible promissory note to an existing investor through a private placement. The note accrues interest at an annual interest rate of 7.5%.  Interest expense on the note was $75,000 and $55,479 for the years ended December 31, 2011 and 2010, respectively.</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b/>
          <w:sz w:val="20"/>
        </w:rPr>
      </w:pPr>
      <w:r>
        <w:rPr>
          <w:rFonts w:ascii="helvetica" w:hAnsi="helvetica"/>
          <w:b/>
          <w:sz w:val="20"/>
        </w:rPr>
        <w:t>Forgiveness of Liabilities</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r>
        <w:rPr>
          <w:rFonts w:ascii="helvetica" w:hAnsi="helvetica"/>
          <w:sz w:val="20"/>
        </w:rPr>
        <w:t>On October 5, 2011, priority claims of former employees (the “Priority Claimants”) in the amount of $119,667 originating as a result of the Chapter 11 Case, were settled and paid by the Company. These amounts consisted of accrued and owed payroll amounts, accrued vacation and any other claims held against the Company at October 5, 2011. The Priority Claimants were given cash in the amount $47,975 and 60,000 stock options valued at $11,400 (using the Black-Scholes option pricing model to estimate the grant-date fair value) and the difference of $60,292 was recognized as a gain on forgiveness of liabilities during the year ended December 31, 2011.</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r>
        <w:rPr>
          <w:rFonts w:ascii="helvetica" w:hAnsi="helvetica"/>
          <w:sz w:val="20"/>
        </w:rPr>
        <w:t>On October 2, 2008, we entered into a payment agreement with a vendor, settling a balance of $52,598, pursuant to which we agreed that 50% of the amount owed, or $26,299 would be forgiven and the remainder would be paid in two installments of $13,150 upon execution of the payment agreement and $13,149 upon an infusion of capital into the Company. Since the inception of the payment agreement, the amount to be forgiven, $26,299, continued to be recorded as an accounts payable up until the infusion of $1,000,000 from the issuance of the convertible note in April 2010. When the note was issued, the final installment payment of $13,149 was paid and the $26,299 was recognized as a gain by the Company during the year ended December 31, 2010.</w:t>
      </w:r>
    </w:p>
    <w:p>
      <w:pPr>
        <w:pStyle w:val="TextBody"/>
        <w:spacing w:before="0" w:after="0"/>
        <w:ind w:left="0" w:right="0" w:hanging="0"/>
        <w:jc w:val="both"/>
        <w:rPr/>
      </w:pPr>
      <w:r>
        <w:rPr/>
        <w:t> </w:t>
      </w:r>
    </w:p>
    <w:p>
      <w:pPr>
        <w:pStyle w:val="TextBody"/>
        <w:spacing w:before="0" w:after="0"/>
        <w:ind w:left="0" w:right="0" w:hanging="0"/>
        <w:jc w:val="left"/>
        <w:rPr>
          <w:rFonts w:ascii="helvetica" w:hAnsi="helvetica"/>
          <w:b/>
          <w:sz w:val="20"/>
        </w:rPr>
      </w:pPr>
      <w:r>
        <w:rPr>
          <w:rFonts w:ascii="helvetica" w:hAnsi="helvetica"/>
          <w:b/>
          <w:sz w:val="20"/>
        </w:rPr>
        <w:t>Liquidity and Capital Resources</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r>
        <w:rPr>
          <w:rFonts w:ascii="helvetica" w:hAnsi="helvetica"/>
          <w:sz w:val="20"/>
        </w:rPr>
        <w:t>Our cash on hand at June 30, 2012 was $7,717,292 as compared to $5,553 at June 30, 2011.  The increase in cash on hand is primarily attributable to aggregate net proceeds of approximately $7,930,000 received from our April Private Placement and the $750,000 drawn under our Line of Credit Agreement with DermaStar between December 2011 and April 2012.</w:t>
      </w:r>
      <w:r>
        <w:rPr>
          <w:rFonts w:ascii="times new roman" w:hAnsi="times new roman"/>
          <w:sz w:val="20"/>
        </w:rPr>
        <w:t xml:space="preserve"> </w:t>
      </w:r>
      <w:r>
        <w:rPr>
          <w:rFonts w:ascii="helvetica" w:hAnsi="helvetica"/>
          <w:sz w:val="20"/>
        </w:rPr>
        <w:t>From inception through June 30, 2012, we have incurred aggregate losses of approximately $(21,405,414). These losses are primarily due to selling, general and administrative and research and development expenses incurred in connection with developing and seeking regulatory approval for our lead drug, Impracor. Historically, our operations have been financed through capital contributions and debt and equity financings.</w:t>
      </w:r>
    </w:p>
    <w:p>
      <w:pPr>
        <w:pStyle w:val="TextBody"/>
        <w:spacing w:before="0" w:after="0"/>
        <w:ind w:left="0" w:right="0" w:hanging="0"/>
        <w:jc w:val="both"/>
        <w:rPr/>
      </w:pPr>
      <w:r>
        <w:rPr/>
        <w:t> </w:t>
      </w:r>
    </w:p>
    <w:p>
      <w:pPr>
        <w:pStyle w:val="TextBody"/>
        <w:spacing w:before="0" w:after="0"/>
        <w:ind w:left="0" w:right="0" w:firstLine="720"/>
        <w:jc w:val="left"/>
        <w:rPr/>
      </w:pPr>
      <w:r>
        <w:rPr/>
        <w:t> </w:t>
      </w:r>
      <w:r>
        <w:rPr>
          <w:rFonts w:ascii="helvetica" w:hAnsi="helvetica"/>
          <w:sz w:val="20"/>
        </w:rPr>
        <w:t>As we described in more detail above under the heading “Recent Developments,” on June 26, 2011 we filed a voluntary petition for reorganization relief under Chapter 11 of the U.S. Bankruptcy Code. Thereafter, we suspended our operations and terminated almost all of our employees.  After receiving certain commitments from DermaStar to provide funding to us under a secured line of credit (as described above under the heading "Recent Developments" and below), on November 21, 2011 we requested that the Bankruptcy Court dismiss the Chapter 11 Case. The Bankruptcy Court entered an order dismissing the Chapter 11 Case on December 8, 2011.  Since December 9, 2011, we have focused on resuming the operation of our business, including assembling a management team and hiring employees.</w:t>
      </w:r>
    </w:p>
    <w:p>
      <w:pPr>
        <w:pStyle w:val="TextBody"/>
        <w:spacing w:before="0" w:after="0"/>
        <w:ind w:left="0" w:right="0" w:hanging="0"/>
        <w:jc w:val="both"/>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605" w:name="PGBRK46"/>
      <w:bookmarkStart w:id="606" w:name="PGBRK46"/>
      <w:bookmarkEnd w:id="60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607" w:name="FTR46"/>
      <w:bookmarkStart w:id="608" w:name="FTR46"/>
      <w:bookmarkEnd w:id="60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609" w:name="GLFTR45"/>
      <w:bookmarkEnd w:id="609"/>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helvetica" w:hAnsi="helvetica"/>
          <w:sz w:val="20"/>
        </w:rPr>
      </w:pPr>
      <w:bookmarkStart w:id="610" w:name="PN45"/>
      <w:bookmarkEnd w:id="610"/>
      <w:r>
        <w:rPr>
          <w:rFonts w:ascii="helvetica" w:hAnsi="helvetica"/>
          <w:sz w:val="20"/>
        </w:rPr>
        <w:t>44</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611" w:name="HDR45"/>
      <w:bookmarkStart w:id="612" w:name="HDR45"/>
      <w:bookmarkEnd w:id="61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613" w:name="GLHDR45"/>
      <w:bookmarkEnd w:id="613"/>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left"/>
        <w:rPr/>
      </w:pPr>
      <w:r>
        <w:rPr/>
        <w:t> </w:t>
      </w:r>
    </w:p>
    <w:p>
      <w:pPr>
        <w:pStyle w:val="TextBody"/>
        <w:spacing w:before="0" w:after="0"/>
        <w:ind w:left="0" w:right="0" w:hanging="0"/>
        <w:jc w:val="left"/>
        <w:rPr>
          <w:rFonts w:ascii="helvetica" w:hAnsi="helvetica"/>
          <w:b/>
          <w:i/>
          <w:sz w:val="20"/>
        </w:rPr>
      </w:pPr>
      <w:r>
        <w:rPr>
          <w:rFonts w:ascii="helvetica" w:hAnsi="helvetica"/>
          <w:b/>
          <w:i/>
          <w:sz w:val="20"/>
        </w:rPr>
        <w:t>Convertible Note</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r>
        <w:rPr>
          <w:rFonts w:ascii="helvetica" w:hAnsi="helvetica"/>
          <w:sz w:val="20"/>
        </w:rPr>
        <w:t>As we described in more detail above under the heading “Recent Developments,” on April 5, 2010 we issued a $1,000,000 7.5% Convertible Promissory Note.  Effective as of January 25, 2012, we entered into separate waiver and settlement agreements with DermaStar and Alexej Ladonnikov, the two holders of the Convertible Note.  Pursuant to the waiver and settlement agreements, on February 28, 2012, the entire outstanding balance and all accrued but unpaid interest owing under the Convertible Note and $56,087 in accounts payable held by DermaStar were converted into 1,835,830 shares of common stock, and the Convertible Note was terminated. In addition, Mr. Ladonnikov made a one-time payment of $50,000 to us at the time of the conversion.</w:t>
      </w:r>
    </w:p>
    <w:p>
      <w:pPr>
        <w:pStyle w:val="TextBody"/>
        <w:spacing w:before="0" w:after="0"/>
        <w:ind w:left="0" w:right="0" w:hanging="0"/>
        <w:jc w:val="both"/>
        <w:rPr/>
      </w:pPr>
      <w:r>
        <w:rPr/>
        <w:t> </w:t>
      </w:r>
    </w:p>
    <w:p>
      <w:pPr>
        <w:pStyle w:val="TextBody"/>
        <w:spacing w:before="0" w:after="0"/>
        <w:ind w:left="0" w:right="0" w:hanging="0"/>
        <w:jc w:val="left"/>
        <w:rPr>
          <w:rFonts w:ascii="helvetica" w:hAnsi="helvetica"/>
          <w:b/>
          <w:i/>
          <w:sz w:val="20"/>
        </w:rPr>
      </w:pPr>
      <w:r>
        <w:rPr>
          <w:rFonts w:ascii="helvetica" w:hAnsi="helvetica"/>
          <w:b/>
          <w:i/>
          <w:sz w:val="20"/>
        </w:rPr>
        <w:t>Line of Credit</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r>
        <w:rPr>
          <w:rFonts w:ascii="helvetica" w:hAnsi="helvetica"/>
          <w:sz w:val="20"/>
        </w:rPr>
        <w:t>As further described above under the heading “Recent Developments,” on November 21, 2011 we entered into the Line of Credit Agreement with DermaStar.  The Line of Credit Agreement provided for advances of up to an aggregate of $750,000, subject to the satisfaction by us of certain conditions in connection with each advance.  Interest under the line of credit accrued at 10% per annum.  As of December 31, 2011 and up to April 25, 2012 (the date of the conversion thereof), we had requested advances of $300,000 and $750,000, respectively, under the line of credit.  On April 25, 2012, the entire outstanding principal balance and all accrued and unpaid interest under the line of credit, an aggregate of $762,534, was converted into 193,047 shares of common stock and warrants to purchase 48,262 shares of our common stock.  The line of credit was terminated upon the completion of the conversion.</w:t>
      </w:r>
    </w:p>
    <w:p>
      <w:pPr>
        <w:pStyle w:val="TextBody"/>
        <w:spacing w:before="0" w:after="0"/>
        <w:ind w:left="0" w:right="0" w:hanging="0"/>
        <w:jc w:val="both"/>
        <w:rPr/>
      </w:pPr>
      <w:r>
        <w:rPr/>
        <w:t> </w:t>
      </w:r>
    </w:p>
    <w:p>
      <w:pPr>
        <w:pStyle w:val="TextBody"/>
        <w:spacing w:before="0" w:after="0"/>
        <w:ind w:left="0" w:right="0" w:hanging="0"/>
        <w:jc w:val="left"/>
        <w:rPr>
          <w:rFonts w:ascii="helvetica" w:hAnsi="helvetica"/>
          <w:b/>
          <w:i/>
          <w:sz w:val="20"/>
        </w:rPr>
      </w:pPr>
      <w:r>
        <w:rPr>
          <w:rFonts w:ascii="helvetica" w:hAnsi="helvetica"/>
          <w:b/>
          <w:i/>
          <w:sz w:val="20"/>
        </w:rPr>
        <w:t>April Private Placement</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r>
        <w:rPr>
          <w:rFonts w:ascii="helvetica" w:hAnsi="helvetica"/>
          <w:sz w:val="20"/>
        </w:rPr>
        <w:t>As further described above under the heading “Recent Developments,” on April 25, 2012 we closed a private placement of securities with certain accredited investors for the sale and issuance of 2,011,691 shares of common stock and warrants to purchase up to 502,928 shares of common stock at an exercise price of $5.925 per share, for aggregate proceeds, net of offering costs, to us of approximately $7,930,000.</w:t>
      </w:r>
    </w:p>
    <w:p>
      <w:pPr>
        <w:pStyle w:val="TextBody"/>
        <w:spacing w:before="0" w:after="0"/>
        <w:ind w:left="0" w:right="0" w:hanging="0"/>
        <w:jc w:val="both"/>
        <w:rPr/>
      </w:pPr>
      <w:r>
        <w:rPr/>
        <w:t> </w:t>
      </w:r>
    </w:p>
    <w:p>
      <w:pPr>
        <w:pStyle w:val="TextBody"/>
        <w:spacing w:before="0" w:after="0"/>
        <w:ind w:left="0" w:right="0" w:hanging="0"/>
        <w:jc w:val="left"/>
        <w:rPr>
          <w:rFonts w:ascii="helvetica" w:hAnsi="helvetica"/>
          <w:b/>
          <w:i/>
          <w:sz w:val="20"/>
        </w:rPr>
      </w:pPr>
      <w:r>
        <w:rPr>
          <w:rFonts w:ascii="helvetica" w:hAnsi="helvetica"/>
          <w:b/>
          <w:i/>
          <w:sz w:val="20"/>
        </w:rPr>
        <w:t xml:space="preserve">PCCA Transaction </w:t>
      </w:r>
    </w:p>
    <w:p>
      <w:pPr>
        <w:pStyle w:val="TextBody"/>
        <w:spacing w:before="0" w:after="0"/>
        <w:ind w:left="0" w:right="0" w:hanging="0"/>
        <w:jc w:val="left"/>
        <w:rPr/>
      </w:pPr>
      <w:r>
        <w:rPr/>
        <w:t> </w:t>
      </w:r>
    </w:p>
    <w:p>
      <w:pPr>
        <w:pStyle w:val="TextBody"/>
        <w:spacing w:before="0" w:after="0"/>
        <w:ind w:left="0" w:right="0" w:firstLine="720"/>
        <w:jc w:val="left"/>
        <w:rPr/>
      </w:pPr>
      <w:r>
        <w:rPr>
          <w:rFonts w:ascii="helvetica" w:hAnsi="helvetica"/>
          <w:b w:val="false"/>
          <w:i w:val="false"/>
          <w:caps w:val="false"/>
          <w:smallCaps w:val="false"/>
          <w:sz w:val="20"/>
        </w:rPr>
        <w:t>Pursuant to the terms of the PCCA Purchase Agreement that we entered into with PCCA in connection with the PCCA Transaction, on August 31, 2012, we issued and sold to PCCA 832,683 shares of our common stock at a per share purchase price of $4.8038, for aggregate gross proceeds to us of $4,000,000.</w:t>
      </w:r>
      <w:r>
        <w:rPr/>
        <w:t xml:space="preserve"> </w:t>
      </w:r>
    </w:p>
    <w:p>
      <w:pPr>
        <w:pStyle w:val="TextBody"/>
        <w:spacing w:before="0" w:after="0"/>
        <w:ind w:left="0" w:right="0" w:hanging="0"/>
        <w:jc w:val="left"/>
        <w:rPr/>
      </w:pPr>
      <w:r>
        <w:rPr/>
        <w:t> </w:t>
      </w:r>
    </w:p>
    <w:p>
      <w:pPr>
        <w:pStyle w:val="TextBody"/>
        <w:spacing w:before="0" w:after="0"/>
        <w:ind w:left="0" w:right="0" w:hanging="0"/>
        <w:jc w:val="left"/>
        <w:rPr>
          <w:rFonts w:ascii="helvetica" w:hAnsi="helvetica"/>
          <w:b/>
          <w:i/>
          <w:sz w:val="20"/>
        </w:rPr>
      </w:pPr>
      <w:r>
        <w:rPr>
          <w:rFonts w:ascii="helvetica" w:hAnsi="helvetica"/>
          <w:b/>
          <w:i/>
          <w:sz w:val="20"/>
        </w:rPr>
        <w:t>Net Cash Flow</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r>
        <w:rPr>
          <w:rFonts w:ascii="helvetica" w:hAnsi="helvetica"/>
          <w:sz w:val="20"/>
        </w:rPr>
        <w:t>The following table provides detailed information about our net cash flow for the six months ended June 30, 2012 and 2011.</w:t>
      </w:r>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7355"/>
        <w:gridCol w:w="109"/>
        <w:gridCol w:w="127"/>
        <w:gridCol w:w="1084"/>
        <w:gridCol w:w="115"/>
        <w:gridCol w:w="109"/>
        <w:gridCol w:w="127"/>
        <w:gridCol w:w="1054"/>
        <w:gridCol w:w="125"/>
      </w:tblGrid>
      <w:tr>
        <w:trPr/>
        <w:tc>
          <w:tcPr>
            <w:tcW w:w="7355" w:type="dxa"/>
            <w:tcBorders/>
            <w:shd w:fill="auto" w:val="clear"/>
            <w:vAlign w:val="bottom"/>
          </w:tcPr>
          <w:p>
            <w:pPr>
              <w:pStyle w:val="TableContents"/>
              <w:spacing w:before="0" w:after="0"/>
              <w:ind w:left="0" w:right="0" w:hanging="0"/>
              <w:jc w:val="both"/>
              <w:rPr>
                <w:rFonts w:ascii="helvetica" w:hAnsi="helvetica"/>
                <w:b/>
                <w:sz w:val="20"/>
              </w:rPr>
            </w:pPr>
            <w:r>
              <w:rPr>
                <w:rFonts w:ascii="helvetica" w:hAnsi="helvetica"/>
                <w:b/>
                <w:sz w:val="20"/>
              </w:rPr>
              <w:t>Cash Flow</w:t>
            </w:r>
          </w:p>
        </w:tc>
        <w:tc>
          <w:tcPr>
            <w:tcW w:w="109" w:type="dxa"/>
            <w:tcBorders/>
            <w:shd w:fill="auto" w:val="clear"/>
            <w:vAlign w:val="bottom"/>
          </w:tcPr>
          <w:p>
            <w:pPr>
              <w:pStyle w:val="TableContents"/>
              <w:spacing w:before="0" w:after="283"/>
              <w:rPr/>
            </w:pPr>
            <w:r>
              <w:rPr/>
              <w:t> </w:t>
            </w:r>
          </w:p>
        </w:tc>
        <w:tc>
          <w:tcPr>
            <w:tcW w:w="2616" w:type="dxa"/>
            <w:gridSpan w:val="6"/>
            <w:tcBorders>
              <w:bottom w:val="single" w:sz="12" w:space="0" w:color="000000"/>
            </w:tcBorders>
            <w:shd w:fill="auto" w:val="clear"/>
            <w:tcMar>
              <w:bottom w:w="28" w:type="dxa"/>
            </w:tcMar>
            <w:vAlign w:val="bottom"/>
          </w:tcPr>
          <w:p>
            <w:pPr>
              <w:pStyle w:val="TableContents"/>
              <w:spacing w:before="0" w:after="0"/>
              <w:ind w:left="0" w:right="0" w:hanging="0"/>
              <w:jc w:val="center"/>
              <w:rPr>
                <w:rFonts w:ascii="helvetica" w:hAnsi="helvetica"/>
                <w:b/>
                <w:sz w:val="16"/>
              </w:rPr>
            </w:pPr>
            <w:r>
              <w:rPr>
                <w:rFonts w:ascii="helvetica" w:hAnsi="helvetica"/>
                <w:b/>
                <w:sz w:val="16"/>
              </w:rPr>
              <w:t>The Six Months Ended</w:t>
              <w:br/>
              <w:t>June 30,</w:t>
            </w:r>
          </w:p>
        </w:tc>
        <w:tc>
          <w:tcPr>
            <w:tcW w:w="125" w:type="dxa"/>
            <w:tcBorders/>
            <w:shd w:fill="auto" w:val="clear"/>
            <w:vAlign w:val="bottom"/>
          </w:tcPr>
          <w:p>
            <w:pPr>
              <w:pStyle w:val="TableContents"/>
              <w:spacing w:before="0" w:after="283"/>
              <w:jc w:val="left"/>
              <w:rPr/>
            </w:pPr>
            <w:r>
              <w:rPr/>
              <w:t> </w:t>
            </w:r>
          </w:p>
        </w:tc>
      </w:tr>
      <w:tr>
        <w:trPr/>
        <w:tc>
          <w:tcPr>
            <w:tcW w:w="7355" w:type="dxa"/>
            <w:tcBorders/>
            <w:shd w:fill="auto" w:val="clear"/>
            <w:vAlign w:val="bottom"/>
          </w:tcPr>
          <w:p>
            <w:pPr>
              <w:pStyle w:val="TableContents"/>
              <w:spacing w:before="0" w:after="283"/>
              <w:rPr/>
            </w:pPr>
            <w:r>
              <w:rPr/>
              <w:t xml:space="preserve">  </w:t>
            </w:r>
          </w:p>
        </w:tc>
        <w:tc>
          <w:tcPr>
            <w:tcW w:w="109" w:type="dxa"/>
            <w:tcBorders/>
            <w:shd w:fill="auto" w:val="clear"/>
            <w:vAlign w:val="bottom"/>
          </w:tcPr>
          <w:p>
            <w:pPr>
              <w:pStyle w:val="TableContents"/>
              <w:spacing w:before="0" w:after="283"/>
              <w:rPr/>
            </w:pPr>
            <w:r>
              <w:rPr/>
              <w:t> </w:t>
            </w:r>
          </w:p>
        </w:tc>
        <w:tc>
          <w:tcPr>
            <w:tcW w:w="1211"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helvetica" w:hAnsi="helvetica"/>
                <w:b/>
                <w:sz w:val="16"/>
              </w:rPr>
            </w:pPr>
            <w:r>
              <w:rPr>
                <w:rFonts w:ascii="helvetica" w:hAnsi="helvetica"/>
                <w:b/>
                <w:sz w:val="16"/>
              </w:rPr>
              <w:t>2012</w:t>
            </w:r>
          </w:p>
        </w:tc>
        <w:tc>
          <w:tcPr>
            <w:tcW w:w="115" w:type="dxa"/>
            <w:tcBorders/>
            <w:shd w:fill="auto" w:val="clear"/>
            <w:vAlign w:val="bottom"/>
          </w:tcPr>
          <w:p>
            <w:pPr>
              <w:pStyle w:val="TableContents"/>
              <w:spacing w:before="0" w:after="283"/>
              <w:jc w:val="left"/>
              <w:rPr/>
            </w:pPr>
            <w:r>
              <w:rPr/>
              <w:t> </w:t>
            </w:r>
          </w:p>
        </w:tc>
        <w:tc>
          <w:tcPr>
            <w:tcW w:w="109" w:type="dxa"/>
            <w:tcBorders/>
            <w:shd w:fill="auto" w:val="clear"/>
            <w:vAlign w:val="bottom"/>
          </w:tcPr>
          <w:p>
            <w:pPr>
              <w:pStyle w:val="TableContents"/>
              <w:spacing w:before="0" w:after="283"/>
              <w:rPr/>
            </w:pPr>
            <w:r>
              <w:rPr/>
              <w:t> </w:t>
            </w:r>
          </w:p>
        </w:tc>
        <w:tc>
          <w:tcPr>
            <w:tcW w:w="1181"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helvetica" w:hAnsi="helvetica"/>
                <w:b/>
                <w:sz w:val="16"/>
              </w:rPr>
            </w:pPr>
            <w:r>
              <w:rPr>
                <w:rFonts w:ascii="helvetica" w:hAnsi="helvetica"/>
                <w:b/>
                <w:sz w:val="16"/>
              </w:rPr>
              <w:t>2011</w:t>
            </w:r>
          </w:p>
        </w:tc>
        <w:tc>
          <w:tcPr>
            <w:tcW w:w="125" w:type="dxa"/>
            <w:tcBorders/>
            <w:shd w:fill="auto" w:val="clear"/>
            <w:vAlign w:val="bottom"/>
          </w:tcPr>
          <w:p>
            <w:pPr>
              <w:pStyle w:val="TableContents"/>
              <w:spacing w:before="0" w:after="283"/>
              <w:jc w:val="left"/>
              <w:rPr/>
            </w:pPr>
            <w:r>
              <w:rPr/>
              <w:t> </w:t>
            </w:r>
          </w:p>
        </w:tc>
      </w:tr>
      <w:tr>
        <w:trPr/>
        <w:tc>
          <w:tcPr>
            <w:tcW w:w="7355" w:type="dxa"/>
            <w:tcBorders/>
            <w:shd w:fill="CCEEFF" w:val="clear"/>
            <w:vAlign w:val="bottom"/>
          </w:tcPr>
          <w:p>
            <w:pPr>
              <w:pStyle w:val="TableContents"/>
              <w:spacing w:before="0" w:after="0"/>
              <w:ind w:left="0" w:right="0" w:hanging="0"/>
              <w:jc w:val="both"/>
              <w:rPr>
                <w:rFonts w:ascii="helvetica" w:hAnsi="helvetica"/>
                <w:sz w:val="20"/>
              </w:rPr>
            </w:pPr>
            <w:r>
              <w:rPr>
                <w:rFonts w:ascii="helvetica" w:hAnsi="helvetica"/>
                <w:sz w:val="20"/>
              </w:rPr>
              <w:t>Net cash used in operating activities</w:t>
            </w:r>
          </w:p>
        </w:tc>
        <w:tc>
          <w:tcPr>
            <w:tcW w:w="109" w:type="dxa"/>
            <w:tcBorders/>
            <w:shd w:fill="CCEEFF" w:val="clear"/>
            <w:vAlign w:val="bottom"/>
          </w:tcPr>
          <w:p>
            <w:pPr>
              <w:pStyle w:val="TableContents"/>
              <w:spacing w:before="0" w:after="283"/>
              <w:rPr/>
            </w:pPr>
            <w:r>
              <w:rPr/>
              <w:t> </w:t>
            </w:r>
          </w:p>
        </w:tc>
        <w:tc>
          <w:tcPr>
            <w:tcW w:w="127" w:type="dxa"/>
            <w:tcBorders/>
            <w:shd w:fill="CCEEFF" w:val="clear"/>
            <w:vAlign w:val="bottom"/>
          </w:tcPr>
          <w:p>
            <w:pPr>
              <w:pStyle w:val="TableContents"/>
              <w:spacing w:before="0" w:after="283"/>
              <w:jc w:val="left"/>
              <w:rPr>
                <w:rFonts w:ascii="helvetica" w:hAnsi="helvetica"/>
                <w:sz w:val="20"/>
              </w:rPr>
            </w:pPr>
            <w:r>
              <w:rPr>
                <w:rFonts w:ascii="helvetica" w:hAnsi="helvetica"/>
                <w:sz w:val="20"/>
              </w:rPr>
              <w:t>$</w:t>
            </w:r>
          </w:p>
        </w:tc>
        <w:tc>
          <w:tcPr>
            <w:tcW w:w="1084"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(617,405</w:t>
            </w:r>
          </w:p>
        </w:tc>
        <w:tc>
          <w:tcPr>
            <w:tcW w:w="115" w:type="dxa"/>
            <w:tcBorders/>
            <w:shd w:fill="CCEEFF" w:val="clear"/>
            <w:vAlign w:val="bottom"/>
          </w:tcPr>
          <w:p>
            <w:pPr>
              <w:pStyle w:val="TableContents"/>
              <w:spacing w:before="0" w:after="283"/>
              <w:jc w:val="left"/>
              <w:rPr>
                <w:rFonts w:ascii="helvetica" w:hAnsi="helvetica"/>
                <w:sz w:val="20"/>
              </w:rPr>
            </w:pPr>
            <w:r>
              <w:rPr>
                <w:rFonts w:ascii="helvetica" w:hAnsi="helvetica"/>
                <w:sz w:val="20"/>
              </w:rPr>
              <w:t>)</w:t>
            </w:r>
          </w:p>
        </w:tc>
        <w:tc>
          <w:tcPr>
            <w:tcW w:w="109" w:type="dxa"/>
            <w:tcBorders/>
            <w:shd w:fill="CCEEFF" w:val="clear"/>
            <w:vAlign w:val="bottom"/>
          </w:tcPr>
          <w:p>
            <w:pPr>
              <w:pStyle w:val="TableContents"/>
              <w:spacing w:before="0" w:after="283"/>
              <w:rPr/>
            </w:pPr>
            <w:r>
              <w:rPr/>
              <w:t> </w:t>
            </w:r>
          </w:p>
        </w:tc>
        <w:tc>
          <w:tcPr>
            <w:tcW w:w="127" w:type="dxa"/>
            <w:tcBorders/>
            <w:shd w:fill="CCEEFF" w:val="clear"/>
            <w:vAlign w:val="bottom"/>
          </w:tcPr>
          <w:p>
            <w:pPr>
              <w:pStyle w:val="TableContents"/>
              <w:spacing w:before="0" w:after="283"/>
              <w:jc w:val="left"/>
              <w:rPr>
                <w:rFonts w:ascii="helvetica" w:hAnsi="helvetica"/>
                <w:sz w:val="20"/>
              </w:rPr>
            </w:pPr>
            <w:r>
              <w:rPr>
                <w:rFonts w:ascii="helvetica" w:hAnsi="helvetica"/>
                <w:sz w:val="20"/>
              </w:rPr>
              <w:t>$</w:t>
            </w:r>
          </w:p>
        </w:tc>
        <w:tc>
          <w:tcPr>
            <w:tcW w:w="1054"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(285,909</w:t>
            </w:r>
          </w:p>
        </w:tc>
        <w:tc>
          <w:tcPr>
            <w:tcW w:w="125" w:type="dxa"/>
            <w:tcBorders/>
            <w:shd w:fill="CCEEFF" w:val="clear"/>
            <w:vAlign w:val="bottom"/>
          </w:tcPr>
          <w:p>
            <w:pPr>
              <w:pStyle w:val="TableContents"/>
              <w:spacing w:before="0" w:after="283"/>
              <w:jc w:val="left"/>
              <w:rPr>
                <w:rFonts w:ascii="helvetica" w:hAnsi="helvetica"/>
                <w:sz w:val="20"/>
              </w:rPr>
            </w:pPr>
            <w:r>
              <w:rPr>
                <w:rFonts w:ascii="helvetica" w:hAnsi="helvetica"/>
                <w:sz w:val="20"/>
              </w:rPr>
              <w:t>)</w:t>
            </w:r>
          </w:p>
        </w:tc>
      </w:tr>
      <w:tr>
        <w:trPr/>
        <w:tc>
          <w:tcPr>
            <w:tcW w:w="7355" w:type="dxa"/>
            <w:tcBorders/>
            <w:shd w:fill="FFFFFF" w:val="clear"/>
            <w:vAlign w:val="bottom"/>
          </w:tcPr>
          <w:p>
            <w:pPr>
              <w:pStyle w:val="TableContents"/>
              <w:spacing w:before="0" w:after="0"/>
              <w:ind w:left="0" w:right="0" w:hanging="0"/>
              <w:jc w:val="both"/>
              <w:rPr>
                <w:rFonts w:ascii="helvetica" w:hAnsi="helvetica"/>
                <w:sz w:val="20"/>
              </w:rPr>
            </w:pPr>
            <w:r>
              <w:rPr>
                <w:rFonts w:ascii="helvetica" w:hAnsi="helvetica"/>
                <w:sz w:val="20"/>
              </w:rPr>
              <w:t>Net cash used in investing activities</w:t>
            </w:r>
          </w:p>
        </w:tc>
        <w:tc>
          <w:tcPr>
            <w:tcW w:w="109" w:type="dxa"/>
            <w:tcBorders/>
            <w:shd w:fill="FFFFFF" w:val="clear"/>
            <w:vAlign w:val="bottom"/>
          </w:tcPr>
          <w:p>
            <w:pPr>
              <w:pStyle w:val="TableContents"/>
              <w:spacing w:before="0" w:after="283"/>
              <w:rPr/>
            </w:pPr>
            <w:r>
              <w:rPr/>
              <w:t> </w:t>
            </w:r>
          </w:p>
        </w:tc>
        <w:tc>
          <w:tcPr>
            <w:tcW w:w="127" w:type="dxa"/>
            <w:tcBorders/>
            <w:shd w:fill="FFFFFF" w:val="clear"/>
            <w:vAlign w:val="bottom"/>
          </w:tcPr>
          <w:p>
            <w:pPr>
              <w:pStyle w:val="TableContents"/>
              <w:spacing w:before="0" w:after="283"/>
              <w:jc w:val="left"/>
              <w:rPr/>
            </w:pPr>
            <w:r>
              <w:rPr/>
              <w:t> </w:t>
            </w:r>
          </w:p>
        </w:tc>
        <w:tc>
          <w:tcPr>
            <w:tcW w:w="1084"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(15,308</w:t>
            </w:r>
          </w:p>
        </w:tc>
        <w:tc>
          <w:tcPr>
            <w:tcW w:w="115" w:type="dxa"/>
            <w:tcBorders/>
            <w:shd w:fill="FFFFFF" w:val="clear"/>
            <w:vAlign w:val="bottom"/>
          </w:tcPr>
          <w:p>
            <w:pPr>
              <w:pStyle w:val="TableContents"/>
              <w:spacing w:before="0" w:after="283"/>
              <w:jc w:val="left"/>
              <w:rPr>
                <w:rFonts w:ascii="helvetica" w:hAnsi="helvetica"/>
                <w:sz w:val="20"/>
              </w:rPr>
            </w:pPr>
            <w:r>
              <w:rPr>
                <w:rFonts w:ascii="helvetica" w:hAnsi="helvetica"/>
                <w:sz w:val="20"/>
              </w:rPr>
              <w:t>)</w:t>
            </w:r>
          </w:p>
        </w:tc>
        <w:tc>
          <w:tcPr>
            <w:tcW w:w="109" w:type="dxa"/>
            <w:tcBorders/>
            <w:shd w:fill="FFFFFF" w:val="clear"/>
            <w:vAlign w:val="bottom"/>
          </w:tcPr>
          <w:p>
            <w:pPr>
              <w:pStyle w:val="TableContents"/>
              <w:spacing w:before="0" w:after="283"/>
              <w:rPr/>
            </w:pPr>
            <w:r>
              <w:rPr/>
              <w:t> </w:t>
            </w:r>
          </w:p>
        </w:tc>
        <w:tc>
          <w:tcPr>
            <w:tcW w:w="127" w:type="dxa"/>
            <w:tcBorders/>
            <w:shd w:fill="FFFFFF" w:val="clear"/>
            <w:vAlign w:val="bottom"/>
          </w:tcPr>
          <w:p>
            <w:pPr>
              <w:pStyle w:val="TableContents"/>
              <w:spacing w:before="0" w:after="283"/>
              <w:jc w:val="left"/>
              <w:rPr/>
            </w:pPr>
            <w:r>
              <w:rPr/>
              <w:t> </w:t>
            </w:r>
          </w:p>
        </w:tc>
        <w:tc>
          <w:tcPr>
            <w:tcW w:w="1054"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w:t>
            </w:r>
          </w:p>
        </w:tc>
        <w:tc>
          <w:tcPr>
            <w:tcW w:w="125" w:type="dxa"/>
            <w:tcBorders/>
            <w:shd w:fill="FFFFFF" w:val="clear"/>
            <w:vAlign w:val="bottom"/>
          </w:tcPr>
          <w:p>
            <w:pPr>
              <w:pStyle w:val="TableContents"/>
              <w:spacing w:before="0" w:after="283"/>
              <w:jc w:val="left"/>
              <w:rPr/>
            </w:pPr>
            <w:r>
              <w:rPr/>
              <w:t> </w:t>
            </w:r>
          </w:p>
        </w:tc>
      </w:tr>
      <w:tr>
        <w:trPr/>
        <w:tc>
          <w:tcPr>
            <w:tcW w:w="7355" w:type="dxa"/>
            <w:tcBorders/>
            <w:shd w:fill="CCEEFF" w:val="clear"/>
            <w:vAlign w:val="bottom"/>
          </w:tcPr>
          <w:p>
            <w:pPr>
              <w:pStyle w:val="TableContents"/>
              <w:spacing w:before="0" w:after="0"/>
              <w:ind w:left="0" w:right="0" w:hanging="0"/>
              <w:jc w:val="both"/>
              <w:rPr>
                <w:rFonts w:ascii="helvetica" w:hAnsi="helvetica"/>
                <w:sz w:val="20"/>
              </w:rPr>
            </w:pPr>
            <w:r>
              <w:rPr>
                <w:rFonts w:ascii="helvetica" w:hAnsi="helvetica"/>
                <w:sz w:val="20"/>
              </w:rPr>
              <w:t>Net cash provided by financing activities</w:t>
            </w:r>
          </w:p>
        </w:tc>
        <w:tc>
          <w:tcPr>
            <w:tcW w:w="109" w:type="dxa"/>
            <w:tcBorders/>
            <w:shd w:fill="CCEEFF" w:val="clear"/>
            <w:vAlign w:val="bottom"/>
          </w:tcPr>
          <w:p>
            <w:pPr>
              <w:pStyle w:val="TableContents"/>
              <w:spacing w:before="0" w:after="283"/>
              <w:rPr/>
            </w:pPr>
            <w:r>
              <w:rPr/>
              <w:t> </w:t>
            </w:r>
          </w:p>
        </w:tc>
        <w:tc>
          <w:tcPr>
            <w:tcW w:w="127" w:type="dxa"/>
            <w:tcBorders/>
            <w:shd w:fill="CCEEFF" w:val="clear"/>
            <w:vAlign w:val="bottom"/>
          </w:tcPr>
          <w:p>
            <w:pPr>
              <w:pStyle w:val="TableContents"/>
              <w:spacing w:before="0" w:after="283"/>
              <w:jc w:val="left"/>
              <w:rPr/>
            </w:pPr>
            <w:r>
              <w:rPr/>
              <w:t> </w:t>
            </w:r>
          </w:p>
        </w:tc>
        <w:tc>
          <w:tcPr>
            <w:tcW w:w="1084"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8,203,845</w:t>
            </w:r>
          </w:p>
        </w:tc>
        <w:tc>
          <w:tcPr>
            <w:tcW w:w="115" w:type="dxa"/>
            <w:tcBorders/>
            <w:shd w:fill="CCEEFF" w:val="clear"/>
            <w:vAlign w:val="bottom"/>
          </w:tcPr>
          <w:p>
            <w:pPr>
              <w:pStyle w:val="TableContents"/>
              <w:spacing w:before="0" w:after="283"/>
              <w:jc w:val="left"/>
              <w:rPr/>
            </w:pPr>
            <w:r>
              <w:rPr/>
              <w:t> </w:t>
            </w:r>
          </w:p>
        </w:tc>
        <w:tc>
          <w:tcPr>
            <w:tcW w:w="109" w:type="dxa"/>
            <w:tcBorders/>
            <w:shd w:fill="CCEEFF" w:val="clear"/>
            <w:vAlign w:val="bottom"/>
          </w:tcPr>
          <w:p>
            <w:pPr>
              <w:pStyle w:val="TableContents"/>
              <w:spacing w:before="0" w:after="283"/>
              <w:rPr/>
            </w:pPr>
            <w:r>
              <w:rPr/>
              <w:t> </w:t>
            </w:r>
          </w:p>
        </w:tc>
        <w:tc>
          <w:tcPr>
            <w:tcW w:w="127" w:type="dxa"/>
            <w:tcBorders/>
            <w:shd w:fill="CCEEFF" w:val="clear"/>
            <w:vAlign w:val="bottom"/>
          </w:tcPr>
          <w:p>
            <w:pPr>
              <w:pStyle w:val="TableContents"/>
              <w:spacing w:before="0" w:after="283"/>
              <w:jc w:val="left"/>
              <w:rPr/>
            </w:pPr>
            <w:r>
              <w:rPr/>
              <w:t> </w:t>
            </w:r>
          </w:p>
        </w:tc>
        <w:tc>
          <w:tcPr>
            <w:tcW w:w="1054"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w:t>
            </w:r>
          </w:p>
        </w:tc>
        <w:tc>
          <w:tcPr>
            <w:tcW w:w="125" w:type="dxa"/>
            <w:tcBorders/>
            <w:shd w:fill="CCEEFF" w:val="clear"/>
            <w:vAlign w:val="bottom"/>
          </w:tcPr>
          <w:p>
            <w:pPr>
              <w:pStyle w:val="TableContents"/>
              <w:spacing w:before="0" w:after="283"/>
              <w:jc w:val="left"/>
              <w:rPr/>
            </w:pPr>
            <w:r>
              <w:rPr/>
              <w:t> </w:t>
            </w:r>
          </w:p>
        </w:tc>
      </w:tr>
      <w:tr>
        <w:trPr/>
        <w:tc>
          <w:tcPr>
            <w:tcW w:w="7355" w:type="dxa"/>
            <w:tcBorders/>
            <w:shd w:fill="FFFFFF" w:val="clear"/>
            <w:vAlign w:val="bottom"/>
          </w:tcPr>
          <w:p>
            <w:pPr>
              <w:pStyle w:val="TableContents"/>
              <w:spacing w:before="0" w:after="283"/>
              <w:rPr/>
            </w:pPr>
            <w:r>
              <w:rPr/>
              <w:t xml:space="preserve">  </w:t>
            </w:r>
          </w:p>
        </w:tc>
        <w:tc>
          <w:tcPr>
            <w:tcW w:w="109" w:type="dxa"/>
            <w:tcBorders/>
            <w:shd w:fill="FFFFFF" w:val="clear"/>
            <w:vAlign w:val="bottom"/>
          </w:tcPr>
          <w:p>
            <w:pPr>
              <w:pStyle w:val="TableContents"/>
              <w:spacing w:before="0" w:after="283"/>
              <w:rPr/>
            </w:pPr>
            <w:r>
              <w:rPr/>
              <w:t> </w:t>
            </w:r>
          </w:p>
        </w:tc>
        <w:tc>
          <w:tcPr>
            <w:tcW w:w="127" w:type="dxa"/>
            <w:tcBorders/>
            <w:shd w:fill="FFFFFF" w:val="clear"/>
            <w:vAlign w:val="bottom"/>
          </w:tcPr>
          <w:p>
            <w:pPr>
              <w:pStyle w:val="TableContents"/>
              <w:spacing w:before="0" w:after="283"/>
              <w:jc w:val="left"/>
              <w:rPr/>
            </w:pPr>
            <w:r>
              <w:rPr/>
              <w:t> </w:t>
            </w:r>
          </w:p>
        </w:tc>
        <w:tc>
          <w:tcPr>
            <w:tcW w:w="1084" w:type="dxa"/>
            <w:tcBorders/>
            <w:shd w:fill="FFFFFF" w:val="clear"/>
            <w:vAlign w:val="bottom"/>
          </w:tcPr>
          <w:p>
            <w:pPr>
              <w:pStyle w:val="TableContents"/>
              <w:spacing w:before="0" w:after="283"/>
              <w:jc w:val="right"/>
              <w:rPr/>
            </w:pPr>
            <w:r>
              <w:rPr/>
              <w:t> </w:t>
            </w:r>
          </w:p>
        </w:tc>
        <w:tc>
          <w:tcPr>
            <w:tcW w:w="115" w:type="dxa"/>
            <w:tcBorders/>
            <w:shd w:fill="FFFFFF" w:val="clear"/>
            <w:vAlign w:val="bottom"/>
          </w:tcPr>
          <w:p>
            <w:pPr>
              <w:pStyle w:val="TableContents"/>
              <w:spacing w:before="0" w:after="283"/>
              <w:jc w:val="left"/>
              <w:rPr/>
            </w:pPr>
            <w:r>
              <w:rPr/>
              <w:t> </w:t>
            </w:r>
          </w:p>
        </w:tc>
        <w:tc>
          <w:tcPr>
            <w:tcW w:w="109" w:type="dxa"/>
            <w:tcBorders/>
            <w:shd w:fill="FFFFFF" w:val="clear"/>
            <w:vAlign w:val="bottom"/>
          </w:tcPr>
          <w:p>
            <w:pPr>
              <w:pStyle w:val="TableContents"/>
              <w:spacing w:before="0" w:after="283"/>
              <w:rPr/>
            </w:pPr>
            <w:r>
              <w:rPr/>
              <w:t> </w:t>
            </w:r>
          </w:p>
        </w:tc>
        <w:tc>
          <w:tcPr>
            <w:tcW w:w="127" w:type="dxa"/>
            <w:tcBorders/>
            <w:shd w:fill="FFFFFF" w:val="clear"/>
            <w:vAlign w:val="bottom"/>
          </w:tcPr>
          <w:p>
            <w:pPr>
              <w:pStyle w:val="TableContents"/>
              <w:spacing w:before="0" w:after="283"/>
              <w:jc w:val="left"/>
              <w:rPr/>
            </w:pPr>
            <w:r>
              <w:rPr/>
              <w:t> </w:t>
            </w:r>
          </w:p>
        </w:tc>
        <w:tc>
          <w:tcPr>
            <w:tcW w:w="1054"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r>
      <w:tr>
        <w:trPr/>
        <w:tc>
          <w:tcPr>
            <w:tcW w:w="7355" w:type="dxa"/>
            <w:tcBorders/>
            <w:shd w:fill="CCEEFF" w:val="clear"/>
            <w:vAlign w:val="bottom"/>
          </w:tcPr>
          <w:p>
            <w:pPr>
              <w:pStyle w:val="TableContents"/>
              <w:spacing w:before="0" w:after="0"/>
              <w:ind w:left="0" w:right="0" w:hanging="0"/>
              <w:jc w:val="both"/>
              <w:rPr>
                <w:rFonts w:ascii="helvetica" w:hAnsi="helvetica"/>
                <w:sz w:val="20"/>
              </w:rPr>
            </w:pPr>
            <w:r>
              <w:rPr>
                <w:rFonts w:ascii="helvetica" w:hAnsi="helvetica"/>
                <w:sz w:val="20"/>
              </w:rPr>
              <w:t>Net Increase (Decrease) in Cash and Cash Equivalents</w:t>
            </w:r>
          </w:p>
        </w:tc>
        <w:tc>
          <w:tcPr>
            <w:tcW w:w="109" w:type="dxa"/>
            <w:tcBorders/>
            <w:shd w:fill="CCEEFF" w:val="clear"/>
            <w:vAlign w:val="bottom"/>
          </w:tcPr>
          <w:p>
            <w:pPr>
              <w:pStyle w:val="TableContents"/>
              <w:spacing w:before="0" w:after="283"/>
              <w:rPr/>
            </w:pPr>
            <w:r>
              <w:rPr/>
              <w:t> </w:t>
            </w:r>
          </w:p>
        </w:tc>
        <w:tc>
          <w:tcPr>
            <w:tcW w:w="127" w:type="dxa"/>
            <w:tcBorders/>
            <w:shd w:fill="CCEEFF" w:val="clear"/>
            <w:vAlign w:val="bottom"/>
          </w:tcPr>
          <w:p>
            <w:pPr>
              <w:pStyle w:val="TableContents"/>
              <w:spacing w:before="0" w:after="283"/>
              <w:jc w:val="left"/>
              <w:rPr/>
            </w:pPr>
            <w:r>
              <w:rPr/>
              <w:t> </w:t>
            </w:r>
          </w:p>
        </w:tc>
        <w:tc>
          <w:tcPr>
            <w:tcW w:w="1084"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7,571,132</w:t>
            </w:r>
          </w:p>
        </w:tc>
        <w:tc>
          <w:tcPr>
            <w:tcW w:w="115" w:type="dxa"/>
            <w:tcBorders/>
            <w:shd w:fill="CCEEFF" w:val="clear"/>
            <w:vAlign w:val="bottom"/>
          </w:tcPr>
          <w:p>
            <w:pPr>
              <w:pStyle w:val="TableContents"/>
              <w:spacing w:before="0" w:after="283"/>
              <w:jc w:val="left"/>
              <w:rPr/>
            </w:pPr>
            <w:r>
              <w:rPr/>
              <w:t> </w:t>
            </w:r>
          </w:p>
        </w:tc>
        <w:tc>
          <w:tcPr>
            <w:tcW w:w="109" w:type="dxa"/>
            <w:tcBorders/>
            <w:shd w:fill="CCEEFF" w:val="clear"/>
            <w:vAlign w:val="bottom"/>
          </w:tcPr>
          <w:p>
            <w:pPr>
              <w:pStyle w:val="TableContents"/>
              <w:spacing w:before="0" w:after="283"/>
              <w:rPr/>
            </w:pPr>
            <w:r>
              <w:rPr/>
              <w:t> </w:t>
            </w:r>
          </w:p>
        </w:tc>
        <w:tc>
          <w:tcPr>
            <w:tcW w:w="127" w:type="dxa"/>
            <w:tcBorders/>
            <w:shd w:fill="CCEEFF" w:val="clear"/>
            <w:vAlign w:val="bottom"/>
          </w:tcPr>
          <w:p>
            <w:pPr>
              <w:pStyle w:val="TableContents"/>
              <w:spacing w:before="0" w:after="283"/>
              <w:jc w:val="left"/>
              <w:rPr/>
            </w:pPr>
            <w:r>
              <w:rPr/>
              <w:t> </w:t>
            </w:r>
          </w:p>
        </w:tc>
        <w:tc>
          <w:tcPr>
            <w:tcW w:w="1054"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(285,909</w:t>
            </w:r>
          </w:p>
        </w:tc>
        <w:tc>
          <w:tcPr>
            <w:tcW w:w="125" w:type="dxa"/>
            <w:tcBorders/>
            <w:shd w:fill="CCEEFF" w:val="clear"/>
            <w:vAlign w:val="bottom"/>
          </w:tcPr>
          <w:p>
            <w:pPr>
              <w:pStyle w:val="TableContents"/>
              <w:spacing w:before="0" w:after="283"/>
              <w:jc w:val="left"/>
              <w:rPr>
                <w:rFonts w:ascii="helvetica" w:hAnsi="helvetica"/>
                <w:sz w:val="20"/>
              </w:rPr>
            </w:pPr>
            <w:r>
              <w:rPr>
                <w:rFonts w:ascii="helvetica" w:hAnsi="helvetica"/>
                <w:sz w:val="20"/>
              </w:rPr>
              <w:t>)</w:t>
            </w:r>
          </w:p>
        </w:tc>
      </w:tr>
      <w:tr>
        <w:trPr/>
        <w:tc>
          <w:tcPr>
            <w:tcW w:w="7355" w:type="dxa"/>
            <w:tcBorders/>
            <w:shd w:fill="FFFFFF" w:val="clear"/>
            <w:vAlign w:val="bottom"/>
          </w:tcPr>
          <w:p>
            <w:pPr>
              <w:pStyle w:val="TableContents"/>
              <w:spacing w:before="0" w:after="0"/>
              <w:ind w:left="0" w:right="0" w:hanging="0"/>
              <w:jc w:val="both"/>
              <w:rPr>
                <w:rFonts w:ascii="helvetica" w:hAnsi="helvetica"/>
                <w:sz w:val="20"/>
              </w:rPr>
            </w:pPr>
            <w:r>
              <w:rPr>
                <w:rFonts w:ascii="helvetica" w:hAnsi="helvetica"/>
                <w:sz w:val="20"/>
              </w:rPr>
              <w:t>Cash and Cash Equivalents at Beginning of the Period</w:t>
            </w:r>
          </w:p>
        </w:tc>
        <w:tc>
          <w:tcPr>
            <w:tcW w:w="109" w:type="dxa"/>
            <w:tcBorders/>
            <w:shd w:fill="FFFFFF" w:val="clear"/>
            <w:vAlign w:val="bottom"/>
          </w:tcPr>
          <w:p>
            <w:pPr>
              <w:pStyle w:val="TableContents"/>
              <w:spacing w:before="0" w:after="283"/>
              <w:rPr/>
            </w:pPr>
            <w:r>
              <w:rPr/>
              <w:t> </w:t>
            </w:r>
          </w:p>
        </w:tc>
        <w:tc>
          <w:tcPr>
            <w:tcW w:w="127" w:type="dxa"/>
            <w:tcBorders/>
            <w:shd w:fill="FFFFFF" w:val="clear"/>
            <w:vAlign w:val="bottom"/>
          </w:tcPr>
          <w:p>
            <w:pPr>
              <w:pStyle w:val="TableContents"/>
              <w:spacing w:before="0" w:after="283"/>
              <w:jc w:val="left"/>
              <w:rPr/>
            </w:pPr>
            <w:r>
              <w:rPr/>
              <w:t> </w:t>
            </w:r>
          </w:p>
        </w:tc>
        <w:tc>
          <w:tcPr>
            <w:tcW w:w="1084"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146,160</w:t>
            </w:r>
          </w:p>
        </w:tc>
        <w:tc>
          <w:tcPr>
            <w:tcW w:w="115" w:type="dxa"/>
            <w:tcBorders/>
            <w:shd w:fill="FFFFFF" w:val="clear"/>
            <w:vAlign w:val="bottom"/>
          </w:tcPr>
          <w:p>
            <w:pPr>
              <w:pStyle w:val="TableContents"/>
              <w:spacing w:before="0" w:after="283"/>
              <w:jc w:val="left"/>
              <w:rPr/>
            </w:pPr>
            <w:r>
              <w:rPr/>
              <w:t> </w:t>
            </w:r>
          </w:p>
        </w:tc>
        <w:tc>
          <w:tcPr>
            <w:tcW w:w="109" w:type="dxa"/>
            <w:tcBorders/>
            <w:shd w:fill="FFFFFF" w:val="clear"/>
            <w:vAlign w:val="bottom"/>
          </w:tcPr>
          <w:p>
            <w:pPr>
              <w:pStyle w:val="TableContents"/>
              <w:spacing w:before="0" w:after="283"/>
              <w:rPr/>
            </w:pPr>
            <w:r>
              <w:rPr/>
              <w:t> </w:t>
            </w:r>
          </w:p>
        </w:tc>
        <w:tc>
          <w:tcPr>
            <w:tcW w:w="127" w:type="dxa"/>
            <w:tcBorders/>
            <w:shd w:fill="FFFFFF" w:val="clear"/>
            <w:vAlign w:val="bottom"/>
          </w:tcPr>
          <w:p>
            <w:pPr>
              <w:pStyle w:val="TableContents"/>
              <w:spacing w:before="0" w:after="283"/>
              <w:jc w:val="left"/>
              <w:rPr/>
            </w:pPr>
            <w:r>
              <w:rPr/>
              <w:t> </w:t>
            </w:r>
          </w:p>
        </w:tc>
        <w:tc>
          <w:tcPr>
            <w:tcW w:w="1054"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291,462</w:t>
            </w:r>
          </w:p>
        </w:tc>
        <w:tc>
          <w:tcPr>
            <w:tcW w:w="125" w:type="dxa"/>
            <w:tcBorders/>
            <w:shd w:fill="FFFFFF" w:val="clear"/>
            <w:vAlign w:val="bottom"/>
          </w:tcPr>
          <w:p>
            <w:pPr>
              <w:pStyle w:val="TableContents"/>
              <w:spacing w:before="0" w:after="283"/>
              <w:jc w:val="left"/>
              <w:rPr/>
            </w:pPr>
            <w:r>
              <w:rPr/>
              <w:t> </w:t>
            </w:r>
          </w:p>
        </w:tc>
      </w:tr>
      <w:tr>
        <w:trPr/>
        <w:tc>
          <w:tcPr>
            <w:tcW w:w="7355" w:type="dxa"/>
            <w:tcBorders/>
            <w:shd w:fill="CCEEFF" w:val="clear"/>
            <w:vAlign w:val="bottom"/>
          </w:tcPr>
          <w:p>
            <w:pPr>
              <w:pStyle w:val="TableContents"/>
              <w:spacing w:before="0" w:after="0"/>
              <w:ind w:left="0" w:right="0" w:hanging="0"/>
              <w:jc w:val="both"/>
              <w:rPr>
                <w:rFonts w:ascii="helvetica" w:hAnsi="helvetica"/>
                <w:sz w:val="20"/>
              </w:rPr>
            </w:pPr>
            <w:r>
              <w:rPr>
                <w:rFonts w:ascii="helvetica" w:hAnsi="helvetica"/>
                <w:sz w:val="20"/>
              </w:rPr>
              <w:t>Cash and Cash Equivalents at End of the Period</w:t>
            </w:r>
          </w:p>
        </w:tc>
        <w:tc>
          <w:tcPr>
            <w:tcW w:w="109" w:type="dxa"/>
            <w:tcBorders/>
            <w:shd w:fill="CCEEFF" w:val="clear"/>
            <w:vAlign w:val="bottom"/>
          </w:tcPr>
          <w:p>
            <w:pPr>
              <w:pStyle w:val="TableContents"/>
              <w:spacing w:before="0" w:after="283"/>
              <w:rPr/>
            </w:pPr>
            <w:r>
              <w:rPr/>
              <w:t> </w:t>
            </w:r>
          </w:p>
        </w:tc>
        <w:tc>
          <w:tcPr>
            <w:tcW w:w="127" w:type="dxa"/>
            <w:tcBorders/>
            <w:shd w:fill="CCEEFF" w:val="clear"/>
            <w:vAlign w:val="bottom"/>
          </w:tcPr>
          <w:p>
            <w:pPr>
              <w:pStyle w:val="TableContents"/>
              <w:spacing w:before="0" w:after="283"/>
              <w:jc w:val="left"/>
              <w:rPr>
                <w:rFonts w:ascii="helvetica" w:hAnsi="helvetica"/>
                <w:sz w:val="20"/>
              </w:rPr>
            </w:pPr>
            <w:r>
              <w:rPr>
                <w:rFonts w:ascii="helvetica" w:hAnsi="helvetica"/>
                <w:sz w:val="20"/>
              </w:rPr>
              <w:t>$</w:t>
            </w:r>
          </w:p>
        </w:tc>
        <w:tc>
          <w:tcPr>
            <w:tcW w:w="1084"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7,717,292</w:t>
            </w:r>
          </w:p>
        </w:tc>
        <w:tc>
          <w:tcPr>
            <w:tcW w:w="115" w:type="dxa"/>
            <w:tcBorders/>
            <w:shd w:fill="CCEEFF" w:val="clear"/>
            <w:vAlign w:val="bottom"/>
          </w:tcPr>
          <w:p>
            <w:pPr>
              <w:pStyle w:val="TableContents"/>
              <w:spacing w:before="0" w:after="283"/>
              <w:jc w:val="left"/>
              <w:rPr/>
            </w:pPr>
            <w:r>
              <w:rPr/>
              <w:t> </w:t>
            </w:r>
          </w:p>
        </w:tc>
        <w:tc>
          <w:tcPr>
            <w:tcW w:w="109" w:type="dxa"/>
            <w:tcBorders/>
            <w:shd w:fill="CCEEFF" w:val="clear"/>
            <w:vAlign w:val="bottom"/>
          </w:tcPr>
          <w:p>
            <w:pPr>
              <w:pStyle w:val="TableContents"/>
              <w:spacing w:before="0" w:after="283"/>
              <w:rPr/>
            </w:pPr>
            <w:r>
              <w:rPr/>
              <w:t> </w:t>
            </w:r>
          </w:p>
        </w:tc>
        <w:tc>
          <w:tcPr>
            <w:tcW w:w="127" w:type="dxa"/>
            <w:tcBorders/>
            <w:shd w:fill="CCEEFF" w:val="clear"/>
            <w:vAlign w:val="bottom"/>
          </w:tcPr>
          <w:p>
            <w:pPr>
              <w:pStyle w:val="TableContents"/>
              <w:spacing w:before="0" w:after="283"/>
              <w:jc w:val="left"/>
              <w:rPr>
                <w:rFonts w:ascii="helvetica" w:hAnsi="helvetica"/>
                <w:sz w:val="20"/>
              </w:rPr>
            </w:pPr>
            <w:r>
              <w:rPr>
                <w:rFonts w:ascii="helvetica" w:hAnsi="helvetica"/>
                <w:sz w:val="20"/>
              </w:rPr>
              <w:t>$</w:t>
            </w:r>
          </w:p>
        </w:tc>
        <w:tc>
          <w:tcPr>
            <w:tcW w:w="1054" w:type="dxa"/>
            <w:tcBorders/>
            <w:shd w:fill="CCEEFF" w:val="clear"/>
            <w:vAlign w:val="bottom"/>
          </w:tcPr>
          <w:p>
            <w:pPr>
              <w:pStyle w:val="TableContents"/>
              <w:spacing w:before="0" w:after="283"/>
              <w:jc w:val="right"/>
              <w:rPr>
                <w:rFonts w:ascii="times new roman" w:hAnsi="times new roman"/>
                <w:sz w:val="20"/>
              </w:rPr>
            </w:pPr>
            <w:r>
              <w:rPr>
                <w:rFonts w:ascii="helvetica" w:hAnsi="helvetica"/>
                <w:sz w:val="20"/>
              </w:rPr>
              <w:t>5,5</w:t>
            </w:r>
            <w:r>
              <w:rPr>
                <w:rFonts w:ascii="times new roman" w:hAnsi="times new roman"/>
                <w:sz w:val="20"/>
              </w:rPr>
              <w:t>53</w:t>
            </w:r>
          </w:p>
        </w:tc>
        <w:tc>
          <w:tcPr>
            <w:tcW w:w="125" w:type="dxa"/>
            <w:tcBorders/>
            <w:shd w:fill="CCEEFF" w:val="clear"/>
            <w:vAlign w:val="bottom"/>
          </w:tcPr>
          <w:p>
            <w:pPr>
              <w:pStyle w:val="TableContents"/>
              <w:spacing w:before="0" w:after="283"/>
              <w:jc w:val="left"/>
              <w:rPr/>
            </w:pPr>
            <w:r>
              <w:rPr/>
              <w:t> </w:t>
            </w:r>
          </w:p>
        </w:tc>
      </w:tr>
    </w:tbl>
    <w:p>
      <w:pPr>
        <w:pStyle w:val="TextBody"/>
        <w:spacing w:before="0" w:after="0"/>
        <w:ind w:left="0" w:right="0" w:hanging="0"/>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614" w:name="PGBRK47"/>
      <w:bookmarkStart w:id="615" w:name="PGBRK47"/>
      <w:bookmarkEnd w:id="61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616" w:name="FTR47"/>
      <w:bookmarkStart w:id="617" w:name="FTR47"/>
      <w:bookmarkEnd w:id="61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618" w:name="GLFTR46"/>
      <w:bookmarkEnd w:id="618"/>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helvetica" w:hAnsi="helvetica"/>
          <w:sz w:val="20"/>
        </w:rPr>
      </w:pPr>
      <w:bookmarkStart w:id="619" w:name="PN46"/>
      <w:bookmarkEnd w:id="619"/>
      <w:r>
        <w:rPr>
          <w:rFonts w:ascii="helvetica" w:hAnsi="helvetica"/>
          <w:sz w:val="20"/>
        </w:rPr>
        <w:t>45</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620" w:name="HDR46"/>
      <w:bookmarkStart w:id="621" w:name="HDR46"/>
      <w:bookmarkEnd w:id="62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622" w:name="GLHDR46"/>
      <w:bookmarkEnd w:id="622"/>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firstLine="720"/>
        <w:jc w:val="left"/>
        <w:rPr>
          <w:rFonts w:ascii="helvetica" w:hAnsi="helvetica"/>
          <w:sz w:val="20"/>
        </w:rPr>
      </w:pPr>
      <w:r>
        <w:rPr>
          <w:rFonts w:ascii="helvetica" w:hAnsi="helvetica"/>
          <w:sz w:val="20"/>
        </w:rPr>
        <w:t>The following table provides detailed information about our net cash flow for the fiscal years ended December 31, 2011 and 2010:</w:t>
      </w:r>
    </w:p>
    <w:p>
      <w:pPr>
        <w:pStyle w:val="TextBody"/>
        <w:spacing w:before="0" w:after="0"/>
        <w:ind w:left="0" w:right="0" w:hanging="0"/>
        <w:jc w:val="both"/>
        <w:rPr/>
      </w:pPr>
      <w:r>
        <w:rPr/>
        <w:t> </w:t>
      </w:r>
    </w:p>
    <w:tbl>
      <w:tblPr>
        <w:tblW w:w="5000" w:type="pct"/>
        <w:jc w:val="left"/>
        <w:tblInd w:w="0" w:type="dxa"/>
        <w:tblCellMar>
          <w:top w:w="0" w:type="dxa"/>
          <w:left w:w="0" w:type="dxa"/>
          <w:bottom w:w="0" w:type="dxa"/>
          <w:right w:w="0" w:type="dxa"/>
        </w:tblCellMar>
      </w:tblPr>
      <w:tblGrid>
        <w:gridCol w:w="7367"/>
        <w:gridCol w:w="109"/>
        <w:gridCol w:w="126"/>
        <w:gridCol w:w="1044"/>
        <w:gridCol w:w="114"/>
        <w:gridCol w:w="109"/>
        <w:gridCol w:w="126"/>
        <w:gridCol w:w="1088"/>
        <w:gridCol w:w="122"/>
      </w:tblGrid>
      <w:tr>
        <w:trPr/>
        <w:tc>
          <w:tcPr>
            <w:tcW w:w="7367" w:type="dxa"/>
            <w:tcBorders/>
            <w:shd w:fill="auto" w:val="clear"/>
            <w:vAlign w:val="bottom"/>
          </w:tcPr>
          <w:p>
            <w:pPr>
              <w:pStyle w:val="TableContents"/>
              <w:spacing w:before="0" w:after="0"/>
              <w:ind w:left="0" w:right="0" w:hanging="0"/>
              <w:jc w:val="left"/>
              <w:rPr>
                <w:rFonts w:ascii="helvetica" w:hAnsi="helvetica"/>
                <w:sz w:val="16"/>
              </w:rPr>
            </w:pPr>
            <w:r>
              <w:rPr>
                <w:rFonts w:ascii="helvetica" w:hAnsi="helvetica"/>
                <w:b/>
                <w:sz w:val="16"/>
              </w:rPr>
              <w:t xml:space="preserve">Cash Flow </w:t>
            </w:r>
            <w:r>
              <w:rPr>
                <w:rFonts w:ascii="helvetica" w:hAnsi="helvetica"/>
                <w:sz w:val="16"/>
              </w:rPr>
              <w:t>(All amounts in U.S. dollars)</w:t>
            </w:r>
          </w:p>
        </w:tc>
        <w:tc>
          <w:tcPr>
            <w:tcW w:w="109" w:type="dxa"/>
            <w:tcBorders/>
            <w:shd w:fill="auto" w:val="clear"/>
            <w:vAlign w:val="bottom"/>
          </w:tcPr>
          <w:p>
            <w:pPr>
              <w:pStyle w:val="TableContents"/>
              <w:spacing w:before="0" w:after="283"/>
              <w:rPr/>
            </w:pPr>
            <w:r>
              <w:rPr/>
              <w:t xml:space="preserve">  </w:t>
            </w:r>
          </w:p>
        </w:tc>
        <w:tc>
          <w:tcPr>
            <w:tcW w:w="2607" w:type="dxa"/>
            <w:gridSpan w:val="6"/>
            <w:tcBorders>
              <w:bottom w:val="single" w:sz="12" w:space="0" w:color="000000"/>
            </w:tcBorders>
            <w:shd w:fill="auto" w:val="clear"/>
            <w:tcMar>
              <w:bottom w:w="28" w:type="dxa"/>
            </w:tcMar>
            <w:vAlign w:val="bottom"/>
          </w:tcPr>
          <w:p>
            <w:pPr>
              <w:pStyle w:val="TableContents"/>
              <w:spacing w:before="0" w:after="0"/>
              <w:ind w:left="0" w:right="0" w:hanging="0"/>
              <w:jc w:val="center"/>
              <w:rPr>
                <w:rFonts w:ascii="helvetica" w:hAnsi="helvetica"/>
                <w:b/>
                <w:sz w:val="16"/>
              </w:rPr>
            </w:pPr>
            <w:r>
              <w:rPr>
                <w:rFonts w:ascii="helvetica" w:hAnsi="helvetica"/>
                <w:b/>
                <w:sz w:val="16"/>
              </w:rPr>
              <w:t>For The Years Ended</w:t>
            </w:r>
          </w:p>
          <w:p>
            <w:pPr>
              <w:pStyle w:val="TableContents"/>
              <w:spacing w:before="0" w:after="0"/>
              <w:ind w:left="0" w:right="0" w:hanging="0"/>
              <w:jc w:val="center"/>
              <w:rPr>
                <w:rFonts w:ascii="helvetica" w:hAnsi="helvetica"/>
                <w:b/>
                <w:sz w:val="16"/>
              </w:rPr>
            </w:pPr>
            <w:r>
              <w:rPr>
                <w:rFonts w:ascii="helvetica" w:hAnsi="helvetica"/>
                <w:b/>
                <w:sz w:val="16"/>
              </w:rPr>
              <w:t>December 31,</w:t>
            </w:r>
          </w:p>
        </w:tc>
        <w:tc>
          <w:tcPr>
            <w:tcW w:w="122" w:type="dxa"/>
            <w:tcBorders/>
            <w:shd w:fill="auto" w:val="clear"/>
            <w:vAlign w:val="bottom"/>
          </w:tcPr>
          <w:p>
            <w:pPr>
              <w:pStyle w:val="TableContents"/>
              <w:spacing w:before="0" w:after="283"/>
              <w:rPr/>
            </w:pPr>
            <w:r>
              <w:rPr/>
              <w:t xml:space="preserve">  </w:t>
            </w:r>
          </w:p>
        </w:tc>
      </w:tr>
      <w:tr>
        <w:trPr/>
        <w:tc>
          <w:tcPr>
            <w:tcW w:w="7367" w:type="dxa"/>
            <w:tcBorders/>
            <w:shd w:fill="auto" w:val="clear"/>
            <w:vAlign w:val="bottom"/>
          </w:tcPr>
          <w:p>
            <w:pPr>
              <w:pStyle w:val="TableContents"/>
              <w:spacing w:before="0" w:after="283"/>
              <w:rPr/>
            </w:pPr>
            <w:r>
              <w:rPr/>
              <w:t xml:space="preserve">  </w:t>
            </w:r>
          </w:p>
        </w:tc>
        <w:tc>
          <w:tcPr>
            <w:tcW w:w="109" w:type="dxa"/>
            <w:tcBorders/>
            <w:shd w:fill="auto" w:val="clear"/>
            <w:vAlign w:val="bottom"/>
          </w:tcPr>
          <w:p>
            <w:pPr>
              <w:pStyle w:val="TableContents"/>
              <w:spacing w:before="0" w:after="283"/>
              <w:rPr/>
            </w:pPr>
            <w:r>
              <w:rPr/>
              <w:t xml:space="preserve">  </w:t>
            </w:r>
          </w:p>
        </w:tc>
        <w:tc>
          <w:tcPr>
            <w:tcW w:w="1170"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helvetica" w:hAnsi="helvetica"/>
                <w:b/>
                <w:sz w:val="16"/>
              </w:rPr>
            </w:pPr>
            <w:r>
              <w:rPr>
                <w:rFonts w:ascii="helvetica" w:hAnsi="helvetica"/>
                <w:b/>
                <w:sz w:val="16"/>
              </w:rPr>
              <w:t>2011</w:t>
            </w:r>
          </w:p>
        </w:tc>
        <w:tc>
          <w:tcPr>
            <w:tcW w:w="114" w:type="dxa"/>
            <w:tcBorders/>
            <w:shd w:fill="auto" w:val="clear"/>
            <w:vAlign w:val="bottom"/>
          </w:tcPr>
          <w:p>
            <w:pPr>
              <w:pStyle w:val="TableContents"/>
              <w:spacing w:before="0" w:after="283"/>
              <w:rPr/>
            </w:pPr>
            <w:r>
              <w:rPr/>
              <w:t xml:space="preserve">  </w:t>
            </w:r>
          </w:p>
        </w:tc>
        <w:tc>
          <w:tcPr>
            <w:tcW w:w="109" w:type="dxa"/>
            <w:tcBorders/>
            <w:shd w:fill="auto" w:val="clear"/>
            <w:vAlign w:val="bottom"/>
          </w:tcPr>
          <w:p>
            <w:pPr>
              <w:pStyle w:val="TableContents"/>
              <w:spacing w:before="0" w:after="283"/>
              <w:rPr/>
            </w:pPr>
            <w:r>
              <w:rPr/>
              <w:t xml:space="preserve">  </w:t>
            </w:r>
          </w:p>
        </w:tc>
        <w:tc>
          <w:tcPr>
            <w:tcW w:w="1214"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helvetica" w:hAnsi="helvetica"/>
                <w:b/>
                <w:sz w:val="16"/>
              </w:rPr>
            </w:pPr>
            <w:r>
              <w:rPr>
                <w:rFonts w:ascii="helvetica" w:hAnsi="helvetica"/>
                <w:b/>
                <w:sz w:val="16"/>
              </w:rPr>
              <w:t>2010</w:t>
            </w:r>
          </w:p>
        </w:tc>
        <w:tc>
          <w:tcPr>
            <w:tcW w:w="122" w:type="dxa"/>
            <w:tcBorders/>
            <w:shd w:fill="auto" w:val="clear"/>
            <w:vAlign w:val="bottom"/>
          </w:tcPr>
          <w:p>
            <w:pPr>
              <w:pStyle w:val="TableContents"/>
              <w:spacing w:before="0" w:after="283"/>
              <w:rPr/>
            </w:pPr>
            <w:r>
              <w:rPr/>
              <w:t xml:space="preserve">  </w:t>
            </w:r>
          </w:p>
        </w:tc>
      </w:tr>
      <w:tr>
        <w:trPr/>
        <w:tc>
          <w:tcPr>
            <w:tcW w:w="7367" w:type="dxa"/>
            <w:tcBorders/>
            <w:shd w:fill="CCEEFF" w:val="clear"/>
            <w:vAlign w:val="bottom"/>
          </w:tcPr>
          <w:p>
            <w:pPr>
              <w:pStyle w:val="TableContents"/>
              <w:spacing w:before="0" w:after="0"/>
              <w:ind w:left="0" w:right="0" w:hanging="0"/>
              <w:jc w:val="left"/>
              <w:rPr>
                <w:rFonts w:ascii="helvetica" w:hAnsi="helvetica"/>
                <w:sz w:val="20"/>
              </w:rPr>
            </w:pPr>
            <w:r>
              <w:rPr>
                <w:rFonts w:ascii="helvetica" w:hAnsi="helvetica"/>
                <w:sz w:val="20"/>
              </w:rPr>
              <w:t>Net cash used in operating activities</w:t>
            </w:r>
          </w:p>
        </w:tc>
        <w:tc>
          <w:tcPr>
            <w:tcW w:w="109" w:type="dxa"/>
            <w:tcBorders/>
            <w:shd w:fill="CCEEFF" w:val="clear"/>
            <w:vAlign w:val="bottom"/>
          </w:tcPr>
          <w:p>
            <w:pPr>
              <w:pStyle w:val="TableContents"/>
              <w:spacing w:before="0" w:after="283"/>
              <w:rPr/>
            </w:pPr>
            <w:r>
              <w:rPr/>
              <w:t xml:space="preserve">  </w:t>
            </w:r>
          </w:p>
        </w:tc>
        <w:tc>
          <w:tcPr>
            <w:tcW w:w="126" w:type="dxa"/>
            <w:tcBorders/>
            <w:shd w:fill="CCEEFF" w:val="clear"/>
            <w:vAlign w:val="bottom"/>
          </w:tcPr>
          <w:p>
            <w:pPr>
              <w:pStyle w:val="TableContents"/>
              <w:spacing w:before="0" w:after="0"/>
              <w:ind w:left="0" w:right="0" w:hanging="0"/>
              <w:jc w:val="left"/>
              <w:rPr>
                <w:rFonts w:ascii="helvetica" w:hAnsi="helvetica"/>
                <w:sz w:val="20"/>
              </w:rPr>
            </w:pPr>
            <w:r>
              <w:rPr>
                <w:rFonts w:ascii="helvetica" w:hAnsi="helvetica"/>
                <w:sz w:val="20"/>
              </w:rPr>
              <w:t>$</w:t>
            </w:r>
          </w:p>
        </w:tc>
        <w:tc>
          <w:tcPr>
            <w:tcW w:w="1044" w:type="dxa"/>
            <w:tcBorders/>
            <w:shd w:fill="CCEEFF" w:val="clear"/>
            <w:vAlign w:val="bottom"/>
          </w:tcPr>
          <w:p>
            <w:pPr>
              <w:pStyle w:val="TableContents"/>
              <w:spacing w:before="0" w:after="0"/>
              <w:ind w:left="0" w:right="0" w:hanging="0"/>
              <w:jc w:val="right"/>
              <w:rPr>
                <w:rFonts w:ascii="helvetica" w:hAnsi="helvetica"/>
                <w:sz w:val="20"/>
              </w:rPr>
            </w:pPr>
            <w:r>
              <w:rPr>
                <w:rFonts w:ascii="helvetica" w:hAnsi="helvetica"/>
                <w:sz w:val="20"/>
              </w:rPr>
              <w:t>(291,160</w:t>
            </w:r>
          </w:p>
        </w:tc>
        <w:tc>
          <w:tcPr>
            <w:tcW w:w="114" w:type="dxa"/>
            <w:tcBorders/>
            <w:shd w:fill="CCEEFF" w:val="clear"/>
            <w:vAlign w:val="bottom"/>
          </w:tcPr>
          <w:p>
            <w:pPr>
              <w:pStyle w:val="TableContents"/>
              <w:spacing w:before="0" w:after="0"/>
              <w:ind w:left="0" w:right="0" w:hanging="0"/>
              <w:jc w:val="left"/>
              <w:rPr>
                <w:rFonts w:ascii="helvetica" w:hAnsi="helvetica"/>
                <w:sz w:val="20"/>
              </w:rPr>
            </w:pPr>
            <w:r>
              <w:rPr>
                <w:rFonts w:ascii="helvetica" w:hAnsi="helvetica"/>
                <w:sz w:val="20"/>
              </w:rPr>
              <w:t>)</w:t>
            </w:r>
          </w:p>
        </w:tc>
        <w:tc>
          <w:tcPr>
            <w:tcW w:w="109" w:type="dxa"/>
            <w:tcBorders/>
            <w:shd w:fill="CCEEFF" w:val="clear"/>
            <w:vAlign w:val="bottom"/>
          </w:tcPr>
          <w:p>
            <w:pPr>
              <w:pStyle w:val="TableContents"/>
              <w:spacing w:before="0" w:after="283"/>
              <w:rPr/>
            </w:pPr>
            <w:r>
              <w:rPr/>
              <w:t xml:space="preserve">  </w:t>
            </w:r>
          </w:p>
        </w:tc>
        <w:tc>
          <w:tcPr>
            <w:tcW w:w="126" w:type="dxa"/>
            <w:tcBorders/>
            <w:shd w:fill="CCEEFF" w:val="clear"/>
            <w:vAlign w:val="bottom"/>
          </w:tcPr>
          <w:p>
            <w:pPr>
              <w:pStyle w:val="TableContents"/>
              <w:spacing w:before="0" w:after="0"/>
              <w:ind w:left="0" w:right="0" w:hanging="0"/>
              <w:jc w:val="left"/>
              <w:rPr>
                <w:rFonts w:ascii="helvetica" w:hAnsi="helvetica"/>
                <w:sz w:val="20"/>
              </w:rPr>
            </w:pPr>
            <w:r>
              <w:rPr>
                <w:rFonts w:ascii="helvetica" w:hAnsi="helvetica"/>
                <w:sz w:val="20"/>
              </w:rPr>
              <w:t>$</w:t>
            </w:r>
          </w:p>
        </w:tc>
        <w:tc>
          <w:tcPr>
            <w:tcW w:w="1088" w:type="dxa"/>
            <w:tcBorders/>
            <w:shd w:fill="CCEEFF" w:val="clear"/>
            <w:vAlign w:val="bottom"/>
          </w:tcPr>
          <w:p>
            <w:pPr>
              <w:pStyle w:val="TableContents"/>
              <w:spacing w:before="0" w:after="0"/>
              <w:ind w:left="0" w:right="0" w:hanging="0"/>
              <w:jc w:val="right"/>
              <w:rPr>
                <w:rFonts w:ascii="helvetica" w:hAnsi="helvetica"/>
                <w:sz w:val="20"/>
              </w:rPr>
            </w:pPr>
            <w:r>
              <w:rPr>
                <w:rFonts w:ascii="helvetica" w:hAnsi="helvetica"/>
                <w:sz w:val="20"/>
              </w:rPr>
              <w:t>(2,298,311</w:t>
            </w:r>
          </w:p>
        </w:tc>
        <w:tc>
          <w:tcPr>
            <w:tcW w:w="122" w:type="dxa"/>
            <w:tcBorders/>
            <w:shd w:fill="CCEEFF" w:val="clear"/>
            <w:vAlign w:val="bottom"/>
          </w:tcPr>
          <w:p>
            <w:pPr>
              <w:pStyle w:val="TableContents"/>
              <w:spacing w:before="0" w:after="0"/>
              <w:ind w:left="0" w:right="0" w:hanging="0"/>
              <w:jc w:val="left"/>
              <w:rPr>
                <w:rFonts w:ascii="helvetica" w:hAnsi="helvetica"/>
                <w:sz w:val="20"/>
              </w:rPr>
            </w:pPr>
            <w:r>
              <w:rPr>
                <w:rFonts w:ascii="helvetica" w:hAnsi="helvetica"/>
                <w:sz w:val="20"/>
              </w:rPr>
              <w:t>)</w:t>
            </w:r>
          </w:p>
        </w:tc>
      </w:tr>
      <w:tr>
        <w:trPr/>
        <w:tc>
          <w:tcPr>
            <w:tcW w:w="7367" w:type="dxa"/>
            <w:tcBorders/>
            <w:shd w:fill="FFFFFF" w:val="clear"/>
            <w:vAlign w:val="bottom"/>
          </w:tcPr>
          <w:p>
            <w:pPr>
              <w:pStyle w:val="TableContents"/>
              <w:spacing w:before="0" w:after="0"/>
              <w:ind w:left="0" w:right="0" w:hanging="0"/>
              <w:jc w:val="left"/>
              <w:rPr>
                <w:rFonts w:ascii="helvetica" w:hAnsi="helvetica"/>
                <w:sz w:val="20"/>
              </w:rPr>
            </w:pPr>
            <w:r>
              <w:rPr>
                <w:rFonts w:ascii="helvetica" w:hAnsi="helvetica"/>
                <w:sz w:val="20"/>
              </w:rPr>
              <w:t>Net cash used in investing activities</w:t>
            </w:r>
          </w:p>
        </w:tc>
        <w:tc>
          <w:tcPr>
            <w:tcW w:w="109" w:type="dxa"/>
            <w:tcBorders/>
            <w:shd w:fill="FFFFFF" w:val="clear"/>
            <w:vAlign w:val="bottom"/>
          </w:tcPr>
          <w:p>
            <w:pPr>
              <w:pStyle w:val="TableContents"/>
              <w:spacing w:before="0" w:after="283"/>
              <w:rPr/>
            </w:pPr>
            <w:r>
              <w:rPr/>
              <w:t xml:space="preserve">  </w:t>
            </w:r>
          </w:p>
        </w:tc>
        <w:tc>
          <w:tcPr>
            <w:tcW w:w="126" w:type="dxa"/>
            <w:tcBorders/>
            <w:shd w:fill="FFFFFF" w:val="clear"/>
            <w:vAlign w:val="bottom"/>
          </w:tcPr>
          <w:p>
            <w:pPr>
              <w:pStyle w:val="TableContents"/>
              <w:spacing w:before="0" w:after="283"/>
              <w:rPr/>
            </w:pPr>
            <w:r>
              <w:rPr/>
              <w:t xml:space="preserve">  </w:t>
            </w:r>
          </w:p>
        </w:tc>
        <w:tc>
          <w:tcPr>
            <w:tcW w:w="1044" w:type="dxa"/>
            <w:tcBorders/>
            <w:shd w:fill="FFFFFF" w:val="clear"/>
            <w:vAlign w:val="bottom"/>
          </w:tcPr>
          <w:p>
            <w:pPr>
              <w:pStyle w:val="TableContents"/>
              <w:spacing w:before="0" w:after="0"/>
              <w:ind w:left="0" w:right="0" w:hanging="0"/>
              <w:jc w:val="right"/>
              <w:rPr>
                <w:rFonts w:ascii="helvetica" w:hAnsi="helvetica"/>
                <w:sz w:val="20"/>
              </w:rPr>
            </w:pPr>
            <w:r>
              <w:rPr>
                <w:rFonts w:ascii="helvetica" w:hAnsi="helvetica"/>
                <w:sz w:val="20"/>
              </w:rPr>
              <w:t>-</w:t>
            </w:r>
          </w:p>
        </w:tc>
        <w:tc>
          <w:tcPr>
            <w:tcW w:w="114" w:type="dxa"/>
            <w:tcBorders/>
            <w:shd w:fill="FFFFFF" w:val="clear"/>
            <w:vAlign w:val="bottom"/>
          </w:tcPr>
          <w:p>
            <w:pPr>
              <w:pStyle w:val="TableContents"/>
              <w:spacing w:before="0" w:after="283"/>
              <w:rPr/>
            </w:pPr>
            <w:r>
              <w:rPr/>
              <w:t xml:space="preserve">  </w:t>
            </w:r>
          </w:p>
        </w:tc>
        <w:tc>
          <w:tcPr>
            <w:tcW w:w="109" w:type="dxa"/>
            <w:tcBorders/>
            <w:shd w:fill="FFFFFF" w:val="clear"/>
            <w:vAlign w:val="bottom"/>
          </w:tcPr>
          <w:p>
            <w:pPr>
              <w:pStyle w:val="TableContents"/>
              <w:spacing w:before="0" w:after="283"/>
              <w:rPr/>
            </w:pPr>
            <w:r>
              <w:rPr/>
              <w:t xml:space="preserve">  </w:t>
            </w:r>
          </w:p>
        </w:tc>
        <w:tc>
          <w:tcPr>
            <w:tcW w:w="126" w:type="dxa"/>
            <w:tcBorders/>
            <w:shd w:fill="FFFFFF" w:val="clear"/>
            <w:vAlign w:val="bottom"/>
          </w:tcPr>
          <w:p>
            <w:pPr>
              <w:pStyle w:val="TableContents"/>
              <w:spacing w:before="0" w:after="283"/>
              <w:rPr/>
            </w:pPr>
            <w:r>
              <w:rPr/>
              <w:t xml:space="preserve">  </w:t>
            </w:r>
          </w:p>
        </w:tc>
        <w:tc>
          <w:tcPr>
            <w:tcW w:w="1088" w:type="dxa"/>
            <w:tcBorders/>
            <w:shd w:fill="FFFFFF" w:val="clear"/>
            <w:vAlign w:val="bottom"/>
          </w:tcPr>
          <w:p>
            <w:pPr>
              <w:pStyle w:val="TableContents"/>
              <w:spacing w:before="0" w:after="0"/>
              <w:ind w:left="0" w:right="0" w:hanging="0"/>
              <w:jc w:val="right"/>
              <w:rPr>
                <w:rFonts w:ascii="helvetica" w:hAnsi="helvetica"/>
                <w:sz w:val="20"/>
              </w:rPr>
            </w:pPr>
            <w:r>
              <w:rPr>
                <w:rFonts w:ascii="helvetica" w:hAnsi="helvetica"/>
                <w:sz w:val="20"/>
              </w:rPr>
              <w:t>-</w:t>
            </w:r>
          </w:p>
        </w:tc>
        <w:tc>
          <w:tcPr>
            <w:tcW w:w="122" w:type="dxa"/>
            <w:tcBorders/>
            <w:shd w:fill="FFFFFF" w:val="clear"/>
            <w:vAlign w:val="bottom"/>
          </w:tcPr>
          <w:p>
            <w:pPr>
              <w:pStyle w:val="TableContents"/>
              <w:spacing w:before="0" w:after="283"/>
              <w:rPr/>
            </w:pPr>
            <w:r>
              <w:rPr/>
              <w:t xml:space="preserve">  </w:t>
            </w:r>
          </w:p>
        </w:tc>
      </w:tr>
      <w:tr>
        <w:trPr/>
        <w:tc>
          <w:tcPr>
            <w:tcW w:w="7367" w:type="dxa"/>
            <w:tcBorders/>
            <w:shd w:fill="CCEEFF" w:val="clear"/>
            <w:vAlign w:val="bottom"/>
          </w:tcPr>
          <w:p>
            <w:pPr>
              <w:pStyle w:val="TableContents"/>
              <w:spacing w:before="0" w:after="0"/>
              <w:ind w:left="0" w:right="0" w:hanging="0"/>
              <w:jc w:val="left"/>
              <w:rPr>
                <w:rFonts w:ascii="helvetica" w:hAnsi="helvetica"/>
                <w:sz w:val="20"/>
              </w:rPr>
            </w:pPr>
            <w:r>
              <w:rPr>
                <w:rFonts w:ascii="helvetica" w:hAnsi="helvetica"/>
                <w:sz w:val="20"/>
              </w:rPr>
              <w:t>Net cash provided by financing activities</w:t>
            </w:r>
          </w:p>
        </w:tc>
        <w:tc>
          <w:tcPr>
            <w:tcW w:w="109" w:type="dxa"/>
            <w:tcBorders/>
            <w:shd w:fill="CCEEFF" w:val="clear"/>
            <w:vAlign w:val="bottom"/>
          </w:tcPr>
          <w:p>
            <w:pPr>
              <w:pStyle w:val="TableContents"/>
              <w:spacing w:before="0" w:after="283"/>
              <w:rPr/>
            </w:pPr>
            <w:r>
              <w:rPr/>
              <w:t xml:space="preserve">  </w:t>
            </w:r>
          </w:p>
        </w:tc>
        <w:tc>
          <w:tcPr>
            <w:tcW w:w="126" w:type="dxa"/>
            <w:tcBorders/>
            <w:shd w:fill="CCEEFF" w:val="clear"/>
            <w:vAlign w:val="bottom"/>
          </w:tcPr>
          <w:p>
            <w:pPr>
              <w:pStyle w:val="TableContents"/>
              <w:spacing w:before="0" w:after="283"/>
              <w:rPr/>
            </w:pPr>
            <w:r>
              <w:rPr/>
              <w:t xml:space="preserve">  </w:t>
            </w:r>
          </w:p>
        </w:tc>
        <w:tc>
          <w:tcPr>
            <w:tcW w:w="1044" w:type="dxa"/>
            <w:tcBorders/>
            <w:shd w:fill="CCEEFF" w:val="clear"/>
            <w:vAlign w:val="bottom"/>
          </w:tcPr>
          <w:p>
            <w:pPr>
              <w:pStyle w:val="TableContents"/>
              <w:spacing w:before="0" w:after="0"/>
              <w:ind w:left="0" w:right="0" w:hanging="0"/>
              <w:jc w:val="right"/>
              <w:rPr>
                <w:rFonts w:ascii="helvetica" w:hAnsi="helvetica"/>
                <w:sz w:val="20"/>
              </w:rPr>
            </w:pPr>
            <w:r>
              <w:rPr>
                <w:rFonts w:ascii="helvetica" w:hAnsi="helvetica"/>
                <w:sz w:val="20"/>
              </w:rPr>
              <w:t>145,858</w:t>
            </w:r>
          </w:p>
        </w:tc>
        <w:tc>
          <w:tcPr>
            <w:tcW w:w="114" w:type="dxa"/>
            <w:tcBorders/>
            <w:shd w:fill="CCEEFF" w:val="clear"/>
            <w:vAlign w:val="bottom"/>
          </w:tcPr>
          <w:p>
            <w:pPr>
              <w:pStyle w:val="TableContents"/>
              <w:spacing w:before="0" w:after="283"/>
              <w:rPr/>
            </w:pPr>
            <w:r>
              <w:rPr/>
              <w:t xml:space="preserve">  </w:t>
            </w:r>
          </w:p>
        </w:tc>
        <w:tc>
          <w:tcPr>
            <w:tcW w:w="109" w:type="dxa"/>
            <w:tcBorders/>
            <w:shd w:fill="CCEEFF" w:val="clear"/>
            <w:vAlign w:val="bottom"/>
          </w:tcPr>
          <w:p>
            <w:pPr>
              <w:pStyle w:val="TableContents"/>
              <w:spacing w:before="0" w:after="283"/>
              <w:rPr/>
            </w:pPr>
            <w:r>
              <w:rPr/>
              <w:t xml:space="preserve">  </w:t>
            </w:r>
          </w:p>
        </w:tc>
        <w:tc>
          <w:tcPr>
            <w:tcW w:w="126" w:type="dxa"/>
            <w:tcBorders/>
            <w:shd w:fill="CCEEFF" w:val="clear"/>
            <w:vAlign w:val="bottom"/>
          </w:tcPr>
          <w:p>
            <w:pPr>
              <w:pStyle w:val="TableContents"/>
              <w:spacing w:before="0" w:after="283"/>
              <w:rPr/>
            </w:pPr>
            <w:r>
              <w:rPr/>
              <w:t xml:space="preserve">  </w:t>
            </w:r>
          </w:p>
        </w:tc>
        <w:tc>
          <w:tcPr>
            <w:tcW w:w="1088" w:type="dxa"/>
            <w:tcBorders/>
            <w:shd w:fill="CCEEFF" w:val="clear"/>
            <w:vAlign w:val="bottom"/>
          </w:tcPr>
          <w:p>
            <w:pPr>
              <w:pStyle w:val="TableContents"/>
              <w:spacing w:before="0" w:after="0"/>
              <w:ind w:left="0" w:right="0" w:hanging="0"/>
              <w:jc w:val="right"/>
              <w:rPr>
                <w:rFonts w:ascii="helvetica" w:hAnsi="helvetica"/>
                <w:sz w:val="20"/>
              </w:rPr>
            </w:pPr>
            <w:r>
              <w:rPr>
                <w:rFonts w:ascii="helvetica" w:hAnsi="helvetica"/>
                <w:sz w:val="20"/>
              </w:rPr>
              <w:t>1,000,000</w:t>
            </w:r>
          </w:p>
        </w:tc>
        <w:tc>
          <w:tcPr>
            <w:tcW w:w="122" w:type="dxa"/>
            <w:tcBorders/>
            <w:shd w:fill="CCEEFF" w:val="clear"/>
            <w:vAlign w:val="bottom"/>
          </w:tcPr>
          <w:p>
            <w:pPr>
              <w:pStyle w:val="TableContents"/>
              <w:spacing w:before="0" w:after="283"/>
              <w:rPr/>
            </w:pPr>
            <w:r>
              <w:rPr/>
              <w:t xml:space="preserve">  </w:t>
            </w:r>
          </w:p>
        </w:tc>
      </w:tr>
      <w:tr>
        <w:trPr/>
        <w:tc>
          <w:tcPr>
            <w:tcW w:w="7367" w:type="dxa"/>
            <w:tcBorders/>
            <w:shd w:fill="FFFFFF" w:val="clear"/>
            <w:vAlign w:val="bottom"/>
          </w:tcPr>
          <w:p>
            <w:pPr>
              <w:pStyle w:val="TableContents"/>
              <w:spacing w:before="0" w:after="283"/>
              <w:rPr/>
            </w:pPr>
            <w:r>
              <w:rPr/>
              <w:t xml:space="preserve">  </w:t>
            </w:r>
          </w:p>
        </w:tc>
        <w:tc>
          <w:tcPr>
            <w:tcW w:w="109" w:type="dxa"/>
            <w:tcBorders/>
            <w:shd w:fill="FFFFFF" w:val="clear"/>
            <w:vAlign w:val="bottom"/>
          </w:tcPr>
          <w:p>
            <w:pPr>
              <w:pStyle w:val="TableContents"/>
              <w:spacing w:before="0" w:after="283"/>
              <w:rPr/>
            </w:pPr>
            <w:r>
              <w:rPr/>
              <w:t xml:space="preserve">  </w:t>
            </w:r>
          </w:p>
        </w:tc>
        <w:tc>
          <w:tcPr>
            <w:tcW w:w="126" w:type="dxa"/>
            <w:tcBorders/>
            <w:shd w:fill="FFFFFF" w:val="clear"/>
            <w:vAlign w:val="bottom"/>
          </w:tcPr>
          <w:p>
            <w:pPr>
              <w:pStyle w:val="TableContents"/>
              <w:spacing w:before="0" w:after="283"/>
              <w:rPr/>
            </w:pPr>
            <w:r>
              <w:rPr/>
              <w:t xml:space="preserve">  </w:t>
            </w:r>
          </w:p>
        </w:tc>
        <w:tc>
          <w:tcPr>
            <w:tcW w:w="1044" w:type="dxa"/>
            <w:tcBorders/>
            <w:shd w:fill="FFFFFF" w:val="clear"/>
            <w:vAlign w:val="bottom"/>
          </w:tcPr>
          <w:p>
            <w:pPr>
              <w:pStyle w:val="TableContents"/>
              <w:spacing w:before="0" w:after="283"/>
              <w:rPr/>
            </w:pPr>
            <w:r>
              <w:rPr/>
              <w:t xml:space="preserve">  </w:t>
            </w:r>
          </w:p>
        </w:tc>
        <w:tc>
          <w:tcPr>
            <w:tcW w:w="114" w:type="dxa"/>
            <w:tcBorders/>
            <w:shd w:fill="FFFFFF" w:val="clear"/>
            <w:vAlign w:val="bottom"/>
          </w:tcPr>
          <w:p>
            <w:pPr>
              <w:pStyle w:val="TableContents"/>
              <w:spacing w:before="0" w:after="283"/>
              <w:rPr/>
            </w:pPr>
            <w:r>
              <w:rPr/>
              <w:t xml:space="preserve">  </w:t>
            </w:r>
          </w:p>
        </w:tc>
        <w:tc>
          <w:tcPr>
            <w:tcW w:w="109" w:type="dxa"/>
            <w:tcBorders/>
            <w:shd w:fill="FFFFFF" w:val="clear"/>
            <w:vAlign w:val="bottom"/>
          </w:tcPr>
          <w:p>
            <w:pPr>
              <w:pStyle w:val="TableContents"/>
              <w:spacing w:before="0" w:after="283"/>
              <w:rPr/>
            </w:pPr>
            <w:r>
              <w:rPr/>
              <w:t xml:space="preserve">  </w:t>
            </w:r>
          </w:p>
        </w:tc>
        <w:tc>
          <w:tcPr>
            <w:tcW w:w="126" w:type="dxa"/>
            <w:tcBorders/>
            <w:shd w:fill="FFFFFF" w:val="clear"/>
            <w:vAlign w:val="bottom"/>
          </w:tcPr>
          <w:p>
            <w:pPr>
              <w:pStyle w:val="TableContents"/>
              <w:spacing w:before="0" w:after="283"/>
              <w:rPr/>
            </w:pPr>
            <w:r>
              <w:rPr/>
              <w:t xml:space="preserve">  </w:t>
            </w:r>
          </w:p>
        </w:tc>
        <w:tc>
          <w:tcPr>
            <w:tcW w:w="1088" w:type="dxa"/>
            <w:tcBorders/>
            <w:shd w:fill="FFFFFF" w:val="clear"/>
            <w:vAlign w:val="bottom"/>
          </w:tcPr>
          <w:p>
            <w:pPr>
              <w:pStyle w:val="TableContents"/>
              <w:spacing w:before="0" w:after="283"/>
              <w:rPr/>
            </w:pPr>
            <w:r>
              <w:rPr/>
              <w:t xml:space="preserve">  </w:t>
            </w:r>
          </w:p>
        </w:tc>
        <w:tc>
          <w:tcPr>
            <w:tcW w:w="122" w:type="dxa"/>
            <w:tcBorders/>
            <w:shd w:fill="FFFFFF" w:val="clear"/>
            <w:vAlign w:val="bottom"/>
          </w:tcPr>
          <w:p>
            <w:pPr>
              <w:pStyle w:val="TableContents"/>
              <w:spacing w:before="0" w:after="283"/>
              <w:rPr/>
            </w:pPr>
            <w:r>
              <w:rPr/>
              <w:t xml:space="preserve">  </w:t>
            </w:r>
          </w:p>
        </w:tc>
      </w:tr>
      <w:tr>
        <w:trPr/>
        <w:tc>
          <w:tcPr>
            <w:tcW w:w="7367" w:type="dxa"/>
            <w:tcBorders/>
            <w:shd w:fill="CCEEFF" w:val="clear"/>
            <w:vAlign w:val="bottom"/>
          </w:tcPr>
          <w:p>
            <w:pPr>
              <w:pStyle w:val="TableContents"/>
              <w:spacing w:before="0" w:after="0"/>
              <w:ind w:left="0" w:right="0" w:hanging="0"/>
              <w:jc w:val="left"/>
              <w:rPr>
                <w:rFonts w:ascii="helvetica" w:hAnsi="helvetica"/>
                <w:sz w:val="20"/>
              </w:rPr>
            </w:pPr>
            <w:r>
              <w:rPr>
                <w:rFonts w:ascii="helvetica" w:hAnsi="helvetica"/>
                <w:sz w:val="20"/>
              </w:rPr>
              <w:t>Net Decrease in Cash and Cash Equivalents</w:t>
            </w:r>
          </w:p>
        </w:tc>
        <w:tc>
          <w:tcPr>
            <w:tcW w:w="109" w:type="dxa"/>
            <w:tcBorders/>
            <w:shd w:fill="CCEEFF" w:val="clear"/>
            <w:vAlign w:val="bottom"/>
          </w:tcPr>
          <w:p>
            <w:pPr>
              <w:pStyle w:val="TableContents"/>
              <w:spacing w:before="0" w:after="283"/>
              <w:rPr/>
            </w:pPr>
            <w:r>
              <w:rPr/>
              <w:t xml:space="preserve">  </w:t>
            </w:r>
          </w:p>
        </w:tc>
        <w:tc>
          <w:tcPr>
            <w:tcW w:w="126" w:type="dxa"/>
            <w:tcBorders/>
            <w:shd w:fill="CCEEFF" w:val="clear"/>
            <w:vAlign w:val="bottom"/>
          </w:tcPr>
          <w:p>
            <w:pPr>
              <w:pStyle w:val="TableContents"/>
              <w:spacing w:before="0" w:after="283"/>
              <w:rPr/>
            </w:pPr>
            <w:r>
              <w:rPr/>
              <w:t xml:space="preserve">  </w:t>
            </w:r>
          </w:p>
        </w:tc>
        <w:tc>
          <w:tcPr>
            <w:tcW w:w="1044" w:type="dxa"/>
            <w:tcBorders/>
            <w:shd w:fill="CCEEFF" w:val="clear"/>
            <w:vAlign w:val="bottom"/>
          </w:tcPr>
          <w:p>
            <w:pPr>
              <w:pStyle w:val="TableContents"/>
              <w:spacing w:before="0" w:after="0"/>
              <w:ind w:left="0" w:right="0" w:hanging="0"/>
              <w:jc w:val="right"/>
              <w:rPr>
                <w:rFonts w:ascii="helvetica" w:hAnsi="helvetica"/>
                <w:sz w:val="20"/>
              </w:rPr>
            </w:pPr>
            <w:r>
              <w:rPr>
                <w:rFonts w:ascii="helvetica" w:hAnsi="helvetica"/>
                <w:sz w:val="20"/>
              </w:rPr>
              <w:t>(145,302</w:t>
            </w:r>
          </w:p>
        </w:tc>
        <w:tc>
          <w:tcPr>
            <w:tcW w:w="114" w:type="dxa"/>
            <w:tcBorders/>
            <w:shd w:fill="CCEEFF" w:val="clear"/>
            <w:vAlign w:val="bottom"/>
          </w:tcPr>
          <w:p>
            <w:pPr>
              <w:pStyle w:val="TableContents"/>
              <w:spacing w:before="0" w:after="0"/>
              <w:ind w:left="0" w:right="0" w:hanging="0"/>
              <w:jc w:val="left"/>
              <w:rPr>
                <w:rFonts w:ascii="helvetica" w:hAnsi="helvetica"/>
                <w:sz w:val="20"/>
              </w:rPr>
            </w:pPr>
            <w:r>
              <w:rPr>
                <w:rFonts w:ascii="helvetica" w:hAnsi="helvetica"/>
                <w:sz w:val="20"/>
              </w:rPr>
              <w:t>)</w:t>
            </w:r>
          </w:p>
        </w:tc>
        <w:tc>
          <w:tcPr>
            <w:tcW w:w="109" w:type="dxa"/>
            <w:tcBorders/>
            <w:shd w:fill="CCEEFF" w:val="clear"/>
            <w:vAlign w:val="bottom"/>
          </w:tcPr>
          <w:p>
            <w:pPr>
              <w:pStyle w:val="TableContents"/>
              <w:spacing w:before="0" w:after="283"/>
              <w:rPr/>
            </w:pPr>
            <w:r>
              <w:rPr/>
              <w:t xml:space="preserve">  </w:t>
            </w:r>
          </w:p>
        </w:tc>
        <w:tc>
          <w:tcPr>
            <w:tcW w:w="126" w:type="dxa"/>
            <w:tcBorders/>
            <w:shd w:fill="CCEEFF" w:val="clear"/>
            <w:vAlign w:val="bottom"/>
          </w:tcPr>
          <w:p>
            <w:pPr>
              <w:pStyle w:val="TableContents"/>
              <w:spacing w:before="0" w:after="283"/>
              <w:rPr/>
            </w:pPr>
            <w:r>
              <w:rPr/>
              <w:t xml:space="preserve">  </w:t>
            </w:r>
          </w:p>
        </w:tc>
        <w:tc>
          <w:tcPr>
            <w:tcW w:w="1088" w:type="dxa"/>
            <w:tcBorders/>
            <w:shd w:fill="CCEEFF" w:val="clear"/>
            <w:vAlign w:val="bottom"/>
          </w:tcPr>
          <w:p>
            <w:pPr>
              <w:pStyle w:val="TableContents"/>
              <w:spacing w:before="0" w:after="0"/>
              <w:ind w:left="0" w:right="0" w:hanging="0"/>
              <w:jc w:val="right"/>
              <w:rPr>
                <w:rFonts w:ascii="helvetica" w:hAnsi="helvetica"/>
                <w:sz w:val="20"/>
              </w:rPr>
            </w:pPr>
            <w:r>
              <w:rPr>
                <w:rFonts w:ascii="helvetica" w:hAnsi="helvetica"/>
                <w:sz w:val="20"/>
              </w:rPr>
              <w:t>(1,298,311</w:t>
            </w:r>
          </w:p>
        </w:tc>
        <w:tc>
          <w:tcPr>
            <w:tcW w:w="122" w:type="dxa"/>
            <w:tcBorders/>
            <w:shd w:fill="CCEEFF" w:val="clear"/>
            <w:vAlign w:val="bottom"/>
          </w:tcPr>
          <w:p>
            <w:pPr>
              <w:pStyle w:val="TableContents"/>
              <w:spacing w:before="0" w:after="0"/>
              <w:ind w:left="0" w:right="0" w:hanging="0"/>
              <w:jc w:val="left"/>
              <w:rPr>
                <w:rFonts w:ascii="helvetica" w:hAnsi="helvetica"/>
                <w:sz w:val="20"/>
              </w:rPr>
            </w:pPr>
            <w:r>
              <w:rPr>
                <w:rFonts w:ascii="helvetica" w:hAnsi="helvetica"/>
                <w:sz w:val="20"/>
              </w:rPr>
              <w:t>)</w:t>
            </w:r>
          </w:p>
        </w:tc>
      </w:tr>
      <w:tr>
        <w:trPr/>
        <w:tc>
          <w:tcPr>
            <w:tcW w:w="7367" w:type="dxa"/>
            <w:tcBorders/>
            <w:shd w:fill="FFFFFF" w:val="clear"/>
            <w:vAlign w:val="bottom"/>
          </w:tcPr>
          <w:p>
            <w:pPr>
              <w:pStyle w:val="TableContents"/>
              <w:spacing w:before="0" w:after="0"/>
              <w:ind w:left="0" w:right="0" w:hanging="0"/>
              <w:jc w:val="left"/>
              <w:rPr>
                <w:rFonts w:ascii="helvetica" w:hAnsi="helvetica"/>
                <w:sz w:val="20"/>
              </w:rPr>
            </w:pPr>
            <w:r>
              <w:rPr>
                <w:rFonts w:ascii="helvetica" w:hAnsi="helvetica"/>
                <w:sz w:val="20"/>
              </w:rPr>
              <w:t>Cash and Cash Equivalents at Beginning of the Year</w:t>
            </w:r>
          </w:p>
        </w:tc>
        <w:tc>
          <w:tcPr>
            <w:tcW w:w="109" w:type="dxa"/>
            <w:tcBorders/>
            <w:shd w:fill="FFFFFF" w:val="clear"/>
            <w:vAlign w:val="bottom"/>
          </w:tcPr>
          <w:p>
            <w:pPr>
              <w:pStyle w:val="TableContents"/>
              <w:spacing w:before="0" w:after="283"/>
              <w:rPr/>
            </w:pPr>
            <w:r>
              <w:rPr/>
              <w:t xml:space="preserve">  </w:t>
            </w:r>
          </w:p>
        </w:tc>
        <w:tc>
          <w:tcPr>
            <w:tcW w:w="126" w:type="dxa"/>
            <w:tcBorders/>
            <w:shd w:fill="FFFFFF" w:val="clear"/>
            <w:vAlign w:val="bottom"/>
          </w:tcPr>
          <w:p>
            <w:pPr>
              <w:pStyle w:val="TableContents"/>
              <w:spacing w:before="0" w:after="283"/>
              <w:rPr/>
            </w:pPr>
            <w:r>
              <w:rPr/>
              <w:t xml:space="preserve">  </w:t>
            </w:r>
          </w:p>
        </w:tc>
        <w:tc>
          <w:tcPr>
            <w:tcW w:w="1044" w:type="dxa"/>
            <w:tcBorders/>
            <w:shd w:fill="FFFFFF" w:val="clear"/>
            <w:vAlign w:val="bottom"/>
          </w:tcPr>
          <w:p>
            <w:pPr>
              <w:pStyle w:val="TableContents"/>
              <w:spacing w:before="0" w:after="0"/>
              <w:ind w:left="0" w:right="0" w:hanging="0"/>
              <w:jc w:val="right"/>
              <w:rPr>
                <w:rFonts w:ascii="helvetica" w:hAnsi="helvetica"/>
                <w:sz w:val="20"/>
              </w:rPr>
            </w:pPr>
            <w:r>
              <w:rPr>
                <w:rFonts w:ascii="helvetica" w:hAnsi="helvetica"/>
                <w:sz w:val="20"/>
              </w:rPr>
              <w:t>291,462</w:t>
            </w:r>
          </w:p>
        </w:tc>
        <w:tc>
          <w:tcPr>
            <w:tcW w:w="114" w:type="dxa"/>
            <w:tcBorders/>
            <w:shd w:fill="FFFFFF" w:val="clear"/>
            <w:vAlign w:val="bottom"/>
          </w:tcPr>
          <w:p>
            <w:pPr>
              <w:pStyle w:val="TableContents"/>
              <w:spacing w:before="0" w:after="283"/>
              <w:rPr/>
            </w:pPr>
            <w:r>
              <w:rPr/>
              <w:t xml:space="preserve">  </w:t>
            </w:r>
          </w:p>
        </w:tc>
        <w:tc>
          <w:tcPr>
            <w:tcW w:w="109" w:type="dxa"/>
            <w:tcBorders/>
            <w:shd w:fill="FFFFFF" w:val="clear"/>
            <w:vAlign w:val="bottom"/>
          </w:tcPr>
          <w:p>
            <w:pPr>
              <w:pStyle w:val="TableContents"/>
              <w:spacing w:before="0" w:after="283"/>
              <w:rPr/>
            </w:pPr>
            <w:r>
              <w:rPr/>
              <w:t xml:space="preserve">  </w:t>
            </w:r>
          </w:p>
        </w:tc>
        <w:tc>
          <w:tcPr>
            <w:tcW w:w="126" w:type="dxa"/>
            <w:tcBorders/>
            <w:shd w:fill="FFFFFF" w:val="clear"/>
            <w:vAlign w:val="bottom"/>
          </w:tcPr>
          <w:p>
            <w:pPr>
              <w:pStyle w:val="TableContents"/>
              <w:spacing w:before="0" w:after="283"/>
              <w:rPr/>
            </w:pPr>
            <w:r>
              <w:rPr/>
              <w:t xml:space="preserve">  </w:t>
            </w:r>
          </w:p>
        </w:tc>
        <w:tc>
          <w:tcPr>
            <w:tcW w:w="1088" w:type="dxa"/>
            <w:tcBorders/>
            <w:shd w:fill="FFFFFF" w:val="clear"/>
            <w:vAlign w:val="bottom"/>
          </w:tcPr>
          <w:p>
            <w:pPr>
              <w:pStyle w:val="TableContents"/>
              <w:spacing w:before="0" w:after="0"/>
              <w:ind w:left="0" w:right="0" w:hanging="0"/>
              <w:jc w:val="right"/>
              <w:rPr>
                <w:rFonts w:ascii="helvetica" w:hAnsi="helvetica"/>
                <w:sz w:val="20"/>
              </w:rPr>
            </w:pPr>
            <w:r>
              <w:rPr>
                <w:rFonts w:ascii="helvetica" w:hAnsi="helvetica"/>
                <w:sz w:val="20"/>
              </w:rPr>
              <w:t>1,589,773</w:t>
            </w:r>
          </w:p>
        </w:tc>
        <w:tc>
          <w:tcPr>
            <w:tcW w:w="122" w:type="dxa"/>
            <w:tcBorders/>
            <w:shd w:fill="FFFFFF" w:val="clear"/>
            <w:vAlign w:val="bottom"/>
          </w:tcPr>
          <w:p>
            <w:pPr>
              <w:pStyle w:val="TableContents"/>
              <w:spacing w:before="0" w:after="283"/>
              <w:rPr/>
            </w:pPr>
            <w:r>
              <w:rPr/>
              <w:t xml:space="preserve">  </w:t>
            </w:r>
          </w:p>
        </w:tc>
      </w:tr>
      <w:tr>
        <w:trPr/>
        <w:tc>
          <w:tcPr>
            <w:tcW w:w="7367" w:type="dxa"/>
            <w:tcBorders/>
            <w:shd w:fill="CCEEFF" w:val="clear"/>
            <w:vAlign w:val="bottom"/>
          </w:tcPr>
          <w:p>
            <w:pPr>
              <w:pStyle w:val="TableContents"/>
              <w:spacing w:before="0" w:after="0"/>
              <w:ind w:left="0" w:right="0" w:hanging="0"/>
              <w:jc w:val="left"/>
              <w:rPr>
                <w:rFonts w:ascii="helvetica" w:hAnsi="helvetica"/>
                <w:sz w:val="20"/>
              </w:rPr>
            </w:pPr>
            <w:r>
              <w:rPr>
                <w:rFonts w:ascii="helvetica" w:hAnsi="helvetica"/>
                <w:sz w:val="20"/>
              </w:rPr>
              <w:t>Cash and Cash Equivalents at End of the Year</w:t>
            </w:r>
          </w:p>
        </w:tc>
        <w:tc>
          <w:tcPr>
            <w:tcW w:w="109" w:type="dxa"/>
            <w:tcBorders/>
            <w:shd w:fill="CCEEFF" w:val="clear"/>
            <w:vAlign w:val="bottom"/>
          </w:tcPr>
          <w:p>
            <w:pPr>
              <w:pStyle w:val="TableContents"/>
              <w:spacing w:before="0" w:after="283"/>
              <w:rPr/>
            </w:pPr>
            <w:r>
              <w:rPr/>
              <w:t xml:space="preserve">  </w:t>
            </w:r>
          </w:p>
        </w:tc>
        <w:tc>
          <w:tcPr>
            <w:tcW w:w="126" w:type="dxa"/>
            <w:tcBorders/>
            <w:shd w:fill="CCEEFF" w:val="clear"/>
            <w:vAlign w:val="bottom"/>
          </w:tcPr>
          <w:p>
            <w:pPr>
              <w:pStyle w:val="TableContents"/>
              <w:spacing w:before="0" w:after="0"/>
              <w:ind w:left="0" w:right="0" w:hanging="0"/>
              <w:jc w:val="left"/>
              <w:rPr>
                <w:rFonts w:ascii="helvetica" w:hAnsi="helvetica"/>
                <w:sz w:val="20"/>
              </w:rPr>
            </w:pPr>
            <w:r>
              <w:rPr>
                <w:rFonts w:ascii="helvetica" w:hAnsi="helvetica"/>
                <w:sz w:val="20"/>
              </w:rPr>
              <w:t>$</w:t>
            </w:r>
          </w:p>
        </w:tc>
        <w:tc>
          <w:tcPr>
            <w:tcW w:w="1044" w:type="dxa"/>
            <w:tcBorders/>
            <w:shd w:fill="CCEEFF" w:val="clear"/>
            <w:vAlign w:val="bottom"/>
          </w:tcPr>
          <w:p>
            <w:pPr>
              <w:pStyle w:val="TableContents"/>
              <w:spacing w:before="0" w:after="0"/>
              <w:ind w:left="0" w:right="0" w:hanging="0"/>
              <w:jc w:val="right"/>
              <w:rPr>
                <w:rFonts w:ascii="helvetica" w:hAnsi="helvetica"/>
                <w:sz w:val="20"/>
              </w:rPr>
            </w:pPr>
            <w:r>
              <w:rPr>
                <w:rFonts w:ascii="helvetica" w:hAnsi="helvetica"/>
                <w:sz w:val="20"/>
              </w:rPr>
              <w:t>146,160</w:t>
            </w:r>
          </w:p>
        </w:tc>
        <w:tc>
          <w:tcPr>
            <w:tcW w:w="114" w:type="dxa"/>
            <w:tcBorders/>
            <w:shd w:fill="CCEEFF" w:val="clear"/>
            <w:vAlign w:val="bottom"/>
          </w:tcPr>
          <w:p>
            <w:pPr>
              <w:pStyle w:val="TableContents"/>
              <w:spacing w:before="0" w:after="283"/>
              <w:rPr/>
            </w:pPr>
            <w:r>
              <w:rPr/>
              <w:t xml:space="preserve">  </w:t>
            </w:r>
          </w:p>
        </w:tc>
        <w:tc>
          <w:tcPr>
            <w:tcW w:w="109" w:type="dxa"/>
            <w:tcBorders/>
            <w:shd w:fill="CCEEFF" w:val="clear"/>
            <w:vAlign w:val="bottom"/>
          </w:tcPr>
          <w:p>
            <w:pPr>
              <w:pStyle w:val="TableContents"/>
              <w:spacing w:before="0" w:after="283"/>
              <w:rPr/>
            </w:pPr>
            <w:r>
              <w:rPr/>
              <w:t xml:space="preserve">  </w:t>
            </w:r>
          </w:p>
        </w:tc>
        <w:tc>
          <w:tcPr>
            <w:tcW w:w="126" w:type="dxa"/>
            <w:tcBorders/>
            <w:shd w:fill="CCEEFF" w:val="clear"/>
            <w:vAlign w:val="bottom"/>
          </w:tcPr>
          <w:p>
            <w:pPr>
              <w:pStyle w:val="TableContents"/>
              <w:spacing w:before="0" w:after="0"/>
              <w:ind w:left="0" w:right="0" w:hanging="0"/>
              <w:jc w:val="left"/>
              <w:rPr>
                <w:rFonts w:ascii="helvetica" w:hAnsi="helvetica"/>
                <w:sz w:val="20"/>
              </w:rPr>
            </w:pPr>
            <w:r>
              <w:rPr>
                <w:rFonts w:ascii="helvetica" w:hAnsi="helvetica"/>
                <w:sz w:val="20"/>
              </w:rPr>
              <w:t>$</w:t>
            </w:r>
          </w:p>
        </w:tc>
        <w:tc>
          <w:tcPr>
            <w:tcW w:w="1088" w:type="dxa"/>
            <w:tcBorders/>
            <w:shd w:fill="CCEEFF" w:val="clear"/>
            <w:vAlign w:val="bottom"/>
          </w:tcPr>
          <w:p>
            <w:pPr>
              <w:pStyle w:val="TableContents"/>
              <w:spacing w:before="0" w:after="0"/>
              <w:ind w:left="0" w:right="0" w:hanging="0"/>
              <w:jc w:val="right"/>
              <w:rPr>
                <w:rFonts w:ascii="helvetica" w:hAnsi="helvetica"/>
                <w:sz w:val="20"/>
              </w:rPr>
            </w:pPr>
            <w:r>
              <w:rPr>
                <w:rFonts w:ascii="helvetica" w:hAnsi="helvetica"/>
                <w:sz w:val="20"/>
              </w:rPr>
              <w:t>291,462</w:t>
            </w:r>
          </w:p>
        </w:tc>
        <w:tc>
          <w:tcPr>
            <w:tcW w:w="122" w:type="dxa"/>
            <w:tcBorders/>
            <w:shd w:fill="CCEEFF" w:val="clear"/>
            <w:vAlign w:val="bottom"/>
          </w:tcPr>
          <w:p>
            <w:pPr>
              <w:pStyle w:val="TableContents"/>
              <w:spacing w:before="0" w:after="283"/>
              <w:rPr/>
            </w:pPr>
            <w:r>
              <w:rPr/>
              <w:t xml:space="preserve">  </w:t>
            </w:r>
          </w:p>
        </w:tc>
      </w:tr>
    </w:tbl>
    <w:p>
      <w:pPr>
        <w:pStyle w:val="TextBody"/>
        <w:spacing w:before="0" w:after="0"/>
        <w:ind w:left="0" w:right="0" w:hanging="0"/>
        <w:rPr/>
      </w:pPr>
      <w:r>
        <w:rPr/>
        <w:t> </w:t>
      </w:r>
    </w:p>
    <w:p>
      <w:pPr>
        <w:pStyle w:val="TextBody"/>
        <w:spacing w:before="0" w:after="0"/>
        <w:ind w:left="0" w:right="0" w:hanging="0"/>
        <w:jc w:val="left"/>
        <w:rPr>
          <w:rFonts w:ascii="helvetica" w:hAnsi="helvetica"/>
          <w:b/>
          <w:i/>
          <w:sz w:val="20"/>
        </w:rPr>
      </w:pPr>
      <w:r>
        <w:rPr>
          <w:rFonts w:ascii="helvetica" w:hAnsi="helvetica"/>
          <w:b/>
          <w:i/>
          <w:sz w:val="20"/>
        </w:rPr>
        <w:t>Operating Activities</w:t>
      </w:r>
    </w:p>
    <w:p>
      <w:pPr>
        <w:pStyle w:val="TextBody"/>
        <w:spacing w:before="0" w:after="0"/>
        <w:ind w:left="0" w:right="0" w:hanging="0"/>
        <w:rPr/>
      </w:pPr>
      <w:r>
        <w:rPr/>
        <w:t> </w:t>
      </w:r>
    </w:p>
    <w:p>
      <w:pPr>
        <w:pStyle w:val="TextBody"/>
        <w:spacing w:before="0" w:after="0"/>
        <w:ind w:left="0" w:right="0" w:firstLine="720"/>
        <w:jc w:val="both"/>
        <w:rPr>
          <w:rFonts w:ascii="helvetica" w:hAnsi="helvetica"/>
          <w:sz w:val="20"/>
        </w:rPr>
      </w:pPr>
      <w:r>
        <w:rPr>
          <w:rFonts w:ascii="helvetica" w:hAnsi="helvetica"/>
          <w:sz w:val="20"/>
        </w:rPr>
        <w:t>Net cash used in operating activities was $617,405 for the six months ended June 30, 2012, as compared to $285,909 used in operating activities during the same period for the prior year. The increase in net cash used in operating activities was mainly due to resuming the operation of our business, including assembling a management team and hiring employees, planning and development of additional Phase 3 studies, and the reduction of our historical working capital debt.</w:t>
      </w:r>
    </w:p>
    <w:p>
      <w:pPr>
        <w:pStyle w:val="TextBody"/>
        <w:spacing w:before="0" w:after="0"/>
        <w:ind w:left="0" w:right="0" w:hanging="0"/>
        <w:rPr/>
      </w:pPr>
      <w:r>
        <w:rPr/>
        <w:t> </w:t>
      </w:r>
    </w:p>
    <w:p>
      <w:pPr>
        <w:pStyle w:val="TextBody"/>
        <w:spacing w:before="0" w:after="0"/>
        <w:ind w:left="0" w:right="0" w:firstLine="720"/>
        <w:jc w:val="left"/>
        <w:rPr>
          <w:rFonts w:ascii="helvetica" w:hAnsi="helvetica"/>
          <w:sz w:val="20"/>
        </w:rPr>
      </w:pPr>
      <w:r>
        <w:rPr>
          <w:rFonts w:ascii="helvetica" w:hAnsi="helvetica"/>
          <w:sz w:val="20"/>
        </w:rPr>
        <w:t>Net cash used in operating activities was $291,160 for the year ended December 31, 2011, as compared to $2,298,311 used in operating activities during 2010. The decrease in net cash used in operating activities was mainly due to the suspension of operations in fiscal 2011, and related matters including minimizing certain administrative expenses, suspension of payroll at March 1, 2011, and lengthening our accounts payable payment process.</w:t>
      </w:r>
    </w:p>
    <w:p>
      <w:pPr>
        <w:pStyle w:val="TextBody"/>
        <w:spacing w:before="0" w:after="0"/>
        <w:ind w:left="0" w:right="0" w:hanging="0"/>
        <w:jc w:val="both"/>
        <w:rPr/>
      </w:pPr>
      <w:r>
        <w:rPr/>
        <w:t> </w:t>
      </w:r>
    </w:p>
    <w:p>
      <w:pPr>
        <w:pStyle w:val="TextBody"/>
        <w:spacing w:before="0" w:after="0"/>
        <w:ind w:left="0" w:right="0" w:hanging="0"/>
        <w:jc w:val="both"/>
        <w:rPr>
          <w:rFonts w:ascii="helvetica" w:hAnsi="helvetica"/>
          <w:b/>
          <w:i/>
          <w:sz w:val="20"/>
        </w:rPr>
      </w:pPr>
      <w:r>
        <w:rPr>
          <w:rFonts w:ascii="helvetica" w:hAnsi="helvetica"/>
          <w:b/>
          <w:i/>
          <w:sz w:val="20"/>
        </w:rPr>
        <w:t>Investing Activities</w:t>
      </w:r>
    </w:p>
    <w:p>
      <w:pPr>
        <w:pStyle w:val="TextBody"/>
        <w:spacing w:before="0" w:after="0"/>
        <w:ind w:left="0" w:right="0" w:hanging="0"/>
        <w:rPr/>
      </w:pPr>
      <w:r>
        <w:rPr/>
        <w:t> </w:t>
      </w:r>
    </w:p>
    <w:p>
      <w:pPr>
        <w:pStyle w:val="TextBody"/>
        <w:spacing w:before="0" w:after="0"/>
        <w:ind w:left="0" w:right="0" w:firstLine="720"/>
        <w:jc w:val="left"/>
        <w:rPr>
          <w:rFonts w:ascii="helvetica" w:hAnsi="helvetica"/>
          <w:sz w:val="20"/>
        </w:rPr>
      </w:pPr>
      <w:r>
        <w:rPr>
          <w:rFonts w:ascii="helvetica" w:hAnsi="helvetica"/>
          <w:sz w:val="20"/>
        </w:rPr>
        <w:t xml:space="preserve">Net cash used in investing activities for the six months ended June 30, 2012 and 2011 was $15,308 and $0, respectively.  Net cash used in investing activities for the year ended December 31, 2011 and 2010 was $0.  The increase in investing activities during the six months ended June 30, 2012 was due primarily to our move into our new office space and our acquisition of furniture and office equipment to furnish that office space. </w:t>
      </w:r>
    </w:p>
    <w:p>
      <w:pPr>
        <w:pStyle w:val="TextBody"/>
        <w:spacing w:before="0" w:after="0"/>
        <w:ind w:left="0" w:right="0" w:firstLine="720"/>
        <w:jc w:val="left"/>
        <w:rPr/>
      </w:pPr>
      <w:r>
        <w:rPr/>
        <w:br/>
      </w:r>
      <w:r>
        <w:rPr>
          <w:rFonts w:ascii="helvetica" w:hAnsi="helvetica"/>
          <w:b/>
          <w:i/>
          <w:sz w:val="20"/>
        </w:rPr>
        <w:t>Financing Activities</w:t>
      </w:r>
    </w:p>
    <w:p>
      <w:pPr>
        <w:pStyle w:val="TextBody"/>
        <w:spacing w:before="0" w:after="0"/>
        <w:ind w:left="0" w:right="0" w:hanging="0"/>
        <w:rPr/>
      </w:pPr>
      <w:r>
        <w:rPr/>
        <w:t> </w:t>
      </w:r>
    </w:p>
    <w:p>
      <w:pPr>
        <w:pStyle w:val="TextBody"/>
        <w:spacing w:before="0" w:after="0"/>
        <w:ind w:left="0" w:right="0" w:firstLine="720"/>
        <w:jc w:val="left"/>
        <w:rPr>
          <w:rFonts w:ascii="helvetica" w:hAnsi="helvetica"/>
          <w:sz w:val="20"/>
        </w:rPr>
      </w:pPr>
      <w:r>
        <w:rPr>
          <w:rFonts w:ascii="helvetica" w:hAnsi="helvetica"/>
          <w:sz w:val="20"/>
        </w:rPr>
        <w:t>Net cash provided by financing activities for the six months ended June 30, 2012 and 2011 was $8,203,845 and $0, respectively.  The increase in cash is primarily attributable to aggregate proceeds, net of offering costs, of approximately $7,930,000 received from the April Private Placement and the $750,000 drawn under our Line of Credit Agreement with DermaStar between December 2011 and April 2012.</w:t>
      </w:r>
    </w:p>
    <w:p>
      <w:pPr>
        <w:pStyle w:val="TextBody"/>
        <w:spacing w:before="0" w:after="0"/>
        <w:ind w:left="0" w:right="0" w:hanging="0"/>
        <w:rPr/>
      </w:pPr>
      <w:r>
        <w:rPr/>
        <w:t> </w:t>
      </w:r>
    </w:p>
    <w:p>
      <w:pPr>
        <w:pStyle w:val="TextBody"/>
        <w:spacing w:before="0" w:after="0"/>
        <w:ind w:left="0" w:right="0" w:firstLine="720"/>
        <w:jc w:val="left"/>
        <w:rPr>
          <w:rFonts w:ascii="helvetica" w:hAnsi="helvetica"/>
          <w:sz w:val="20"/>
        </w:rPr>
      </w:pPr>
      <w:r>
        <w:rPr>
          <w:rFonts w:ascii="helvetica" w:hAnsi="helvetica"/>
          <w:sz w:val="20"/>
        </w:rPr>
        <w:t>Net cash provided by financing activities for the year ended December 31, 2011 was $145,858, as compared to $1,000,000 net cash provided by financing activities for the year ended December 31, 2010. The decrease in net cash provided by financing activities was attributable to the issuance of the Convertible Note with a principal balance of $1,000,000 issued in exchange for cash of the same amount during April 2010. During the year ended December 31, 2011, we received $100,000 from the sale of Series A Preferred Stock and $300,000 in advances under our line of credit.  This was offset by amounts reimbursed DermaStar for its payment of certain of our expenses incurred prior to the dismissal of the Chapter 11 Case, which totaled $254,142.</w:t>
      </w:r>
    </w:p>
    <w:p>
      <w:pPr>
        <w:pStyle w:val="TextBody"/>
        <w:spacing w:before="0" w:after="0"/>
        <w:ind w:left="0" w:right="0" w:hanging="0"/>
        <w:jc w:val="both"/>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623" w:name="PGBRK48"/>
      <w:bookmarkStart w:id="624" w:name="PGBRK48"/>
      <w:bookmarkEnd w:id="62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625" w:name="FTR48"/>
      <w:bookmarkStart w:id="626" w:name="FTR48"/>
      <w:bookmarkEnd w:id="62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627" w:name="GLFTR47"/>
      <w:bookmarkEnd w:id="627"/>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helvetica" w:hAnsi="helvetica"/>
          <w:sz w:val="20"/>
        </w:rPr>
      </w:pPr>
      <w:bookmarkStart w:id="628" w:name="PN47"/>
      <w:bookmarkEnd w:id="628"/>
      <w:r>
        <w:rPr>
          <w:rFonts w:ascii="helvetica" w:hAnsi="helvetica"/>
          <w:sz w:val="20"/>
        </w:rPr>
        <w:t>46</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629" w:name="HDR47"/>
      <w:bookmarkStart w:id="630" w:name="HDR47"/>
      <w:bookmarkEnd w:id="63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631" w:name="GLHDR47"/>
      <w:bookmarkEnd w:id="631"/>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firstLine="720"/>
        <w:jc w:val="left"/>
        <w:rPr>
          <w:rFonts w:ascii="helvetica" w:hAnsi="helvetica"/>
          <w:sz w:val="20"/>
        </w:rPr>
      </w:pPr>
      <w:r>
        <w:rPr>
          <w:rFonts w:ascii="helvetica" w:hAnsi="helvetica"/>
          <w:sz w:val="20"/>
        </w:rPr>
        <w:t>We have limited funds to support our operations. We have prepared our consolidated financial statements on a going-concern basis, which contemplates the realization of assets and the satisfaction of liabilities in the normal course of business. Our continuation as a going concern is dependent on our ability to obtain additional financing to fund the continued operation of our business model for a long enough period to achieve profitable operations.</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r>
        <w:rPr>
          <w:rFonts w:ascii="helvetica" w:hAnsi="helvetica"/>
          <w:sz w:val="20"/>
        </w:rPr>
        <w:t>As further described above under the heading “Recent Developments,” on April 25, 2012, we closed a private placement of common stock and warrants and received net cash proceeds from the offering of approximately $7,930,000 and on August 31, 2012 we closed the PCCA Purcase Agreement and received gross cash proceeds of $4,000,000.   We currently have sufficient cash reserves to operate and execute our business plan for the 2012 fiscal year; however we expect that we will need to raise approximately $3,000,000 in additional funds to fully operate and complete our planned clinical trials.  We expect to require additional funds in order to conduct additional  clinical trials and any other studies that may be required to obtain regulatory approval to market Impracor, to pursue additional pharmaceutical development programs and to explore other co-development opportunities. If adequate financing is not available, we may not be able to obtain regulatory approval to market Impracor or develop any additional products.</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r>
        <w:rPr>
          <w:rFonts w:ascii="helvetica" w:hAnsi="helvetica"/>
          <w:sz w:val="20"/>
        </w:rPr>
        <w:t>We will be required to raise additional capital to fund our operations through sources of financing that could include equity and debt financings, funding from a corporate partnership and licensing arrangements. Future financings through equity investments are likely to be dilutive to existing stockholders. Also, the terms of securities we may issue in future capital transactions may be more favorable for our new investors. Newly issued securities may include preferences, superior voting rights and the issuance of warrants or other derivative securities, which may have additional dilutive effects. In addition, if we raise additional funds through collaboration and licensing arrangements, we may be required to relinquish potentially valuable rights to our product candidates or proprietary technologies, or grant licenses on terms that are not favorable to us. Further, we may incur substantial costs in pursuing future capital and/or financing, including investment banking fees, legal fees, accounting fees, printing and distribution expenses and other costs. We may also be required to recognize non-cash expenses in connection with certain securities we may issue, such as convertible notes and warrants, which will adversely impact our financial results.</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r>
        <w:rPr>
          <w:rFonts w:ascii="helvetica" w:hAnsi="helvetica"/>
          <w:sz w:val="20"/>
        </w:rPr>
        <w:t>We may be unable to obtain financing when necessary as a result of, among other things, general economic conditions, conditions in the pharmaceuticals industry or as a result of our operating history, including our recent bankruptcy proceedings.  In addition, the fact that we are not and have never been profitable and will require significant additional funds to complete our clinical trials could further impact the availability or cost of future financings. As a result, there can be no assurance that additional funds will be available when needed from any source or, if available, will be available on terms that are acceptable to us. If we are unable to raise funds to satisfy our capital needs on a timely basis, we may be required to cease operations.</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r>
        <w:rPr>
          <w:rFonts w:ascii="helvetica" w:hAnsi="helvetica"/>
          <w:sz w:val="20"/>
        </w:rPr>
        <w:t>As reported in the Report of Independent Registered Public Accounting Firm on our December 31, 2011 consolidated financial statements, we have incurred recurring losses from operations and have an accumulated deficit that raises substantial doubt about our ability to continue as a going concern.  In addition, since we do not have adequate cash resources, as of the date of the report, to support our operating plan for the next twelve to eighteen months, there is substantial doubt about our ability to continue as a going concern.</w:t>
      </w:r>
    </w:p>
    <w:p>
      <w:pPr>
        <w:pStyle w:val="TextBody"/>
        <w:spacing w:before="0" w:after="0"/>
        <w:ind w:left="0" w:right="0" w:hanging="0"/>
        <w:rPr/>
      </w:pPr>
      <w:r>
        <w:rPr/>
        <w:t> </w:t>
      </w:r>
    </w:p>
    <w:p>
      <w:pPr>
        <w:pStyle w:val="TextBody"/>
        <w:spacing w:before="0" w:after="0"/>
        <w:ind w:left="0" w:right="0" w:hanging="0"/>
        <w:jc w:val="left"/>
        <w:rPr>
          <w:rFonts w:ascii="helvetica" w:hAnsi="helvetica"/>
          <w:b/>
          <w:sz w:val="20"/>
        </w:rPr>
      </w:pPr>
      <w:r>
        <w:rPr>
          <w:rFonts w:ascii="helvetica" w:hAnsi="helvetica"/>
          <w:b/>
          <w:sz w:val="20"/>
        </w:rPr>
        <w:t>Off-Balance Sheet Arrangements</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r>
        <w:rPr>
          <w:rFonts w:ascii="helvetica" w:hAnsi="helvetica"/>
          <w:sz w:val="20"/>
        </w:rPr>
        <w:t>Since our inception, except for standard operating leases, we have not engaged in any off-balance sheet arrangements, including the use of structured finance, special purpose entities or variable interest entities. We have no significant off-balance sheet arrangements that have or are reasonably likely to have a current or future effect on our financial condition, changes in financial condition, revenues or expenses, results of operations, liquidity, capital expenditures or capital resources that are material to stockholders.</w:t>
      </w:r>
    </w:p>
    <w:p>
      <w:pPr>
        <w:pStyle w:val="TextBody"/>
        <w:spacing w:before="0" w:after="0"/>
        <w:ind w:left="0" w:right="0" w:firstLine="720"/>
        <w:jc w:val="left"/>
        <w:rPr/>
      </w:pPr>
      <w:r>
        <w:rPr/>
        <w:t> </w:t>
      </w:r>
    </w:p>
    <w:p>
      <w:pPr>
        <w:pStyle w:val="TextBody"/>
        <w:spacing w:before="0" w:after="0"/>
        <w:ind w:left="0" w:right="0" w:hanging="0"/>
        <w:jc w:val="left"/>
        <w:rPr>
          <w:rFonts w:ascii="helvetica" w:hAnsi="helvetica"/>
          <w:b/>
          <w:sz w:val="20"/>
        </w:rPr>
      </w:pPr>
      <w:bookmarkStart w:id="632" w:name="v122485_10q_htm_eolpage17"/>
      <w:bookmarkEnd w:id="632"/>
      <w:r>
        <w:rPr>
          <w:rFonts w:ascii="helvetica" w:hAnsi="helvetica"/>
          <w:b/>
          <w:sz w:val="20"/>
        </w:rPr>
        <w:t>Recent Accounting Pronouncements</w:t>
      </w:r>
    </w:p>
    <w:p>
      <w:pPr>
        <w:pStyle w:val="TextBody"/>
        <w:spacing w:before="0" w:after="0"/>
        <w:ind w:left="0" w:right="0" w:hanging="0"/>
        <w:jc w:val="left"/>
        <w:rPr/>
      </w:pPr>
      <w:r>
        <w:rPr/>
        <w:t> </w:t>
      </w:r>
    </w:p>
    <w:p>
      <w:pPr>
        <w:pStyle w:val="TextBody"/>
        <w:spacing w:before="0" w:after="0"/>
        <w:ind w:left="0" w:right="0" w:firstLine="720"/>
        <w:jc w:val="left"/>
        <w:rPr>
          <w:rFonts w:ascii="helvetica" w:hAnsi="helvetica"/>
          <w:sz w:val="20"/>
        </w:rPr>
      </w:pPr>
      <w:r>
        <w:rPr>
          <w:rFonts w:ascii="helvetica" w:hAnsi="helvetica"/>
          <w:sz w:val="20"/>
        </w:rPr>
        <w:t>There are no recent accounting pronouncements issued by the FASB that management believes have had or are reasonably likely to have a material impact on our present or future consolidated financial statements.</w:t>
      </w:r>
    </w:p>
    <w:p>
      <w:pPr>
        <w:pStyle w:val="TextBody"/>
        <w:spacing w:before="0" w:after="0"/>
        <w:ind w:left="0" w:right="0" w:hanging="0"/>
        <w:jc w:val="both"/>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633" w:name="PGBRK49"/>
      <w:bookmarkStart w:id="634" w:name="PGBRK49"/>
      <w:bookmarkEnd w:id="63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635" w:name="FTR49"/>
      <w:bookmarkStart w:id="636" w:name="FTR49"/>
      <w:bookmarkEnd w:id="63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637" w:name="GLFTR48"/>
      <w:bookmarkEnd w:id="637"/>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helvetica" w:hAnsi="helvetica"/>
          <w:sz w:val="20"/>
        </w:rPr>
      </w:pPr>
      <w:bookmarkStart w:id="638" w:name="PN48"/>
      <w:bookmarkEnd w:id="638"/>
      <w:r>
        <w:rPr>
          <w:rFonts w:ascii="helvetica" w:hAnsi="helvetica"/>
          <w:sz w:val="20"/>
        </w:rPr>
        <w:t>47</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639" w:name="HDR48"/>
      <w:bookmarkStart w:id="640" w:name="HDR48"/>
      <w:bookmarkEnd w:id="64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641" w:name="GLHDR48"/>
      <w:bookmarkEnd w:id="641"/>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t> </w:t>
      </w:r>
    </w:p>
    <w:p>
      <w:pPr>
        <w:pStyle w:val="TextBody"/>
        <w:spacing w:before="0" w:after="0"/>
        <w:ind w:left="720" w:right="0" w:hanging="0"/>
        <w:jc w:val="center"/>
        <w:rPr>
          <w:rFonts w:ascii="helvetica" w:hAnsi="helvetica"/>
          <w:b/>
          <w:sz w:val="20"/>
        </w:rPr>
      </w:pPr>
      <w:bookmarkStart w:id="642" w:name="TAB12"/>
      <w:bookmarkEnd w:id="642"/>
      <w:r>
        <w:rPr>
          <w:rFonts w:ascii="helvetica" w:hAnsi="helvetica"/>
          <w:b/>
          <w:sz w:val="20"/>
        </w:rPr>
        <w:t>DESCRIPTION OF THE BUSINESS</w:t>
      </w:r>
    </w:p>
    <w:p>
      <w:pPr>
        <w:pStyle w:val="TextBody"/>
        <w:spacing w:before="0" w:after="0"/>
        <w:ind w:left="0" w:right="0" w:hanging="0"/>
        <w:jc w:val="both"/>
        <w:rPr/>
      </w:pPr>
      <w:r>
        <w:rPr/>
        <w:t> </w:t>
      </w:r>
    </w:p>
    <w:p>
      <w:pPr>
        <w:pStyle w:val="TextBody"/>
        <w:spacing w:before="0" w:after="0"/>
        <w:ind w:left="0" w:right="0" w:hanging="0"/>
        <w:jc w:val="left"/>
        <w:rPr>
          <w:rFonts w:ascii="helvetica" w:hAnsi="helvetica"/>
          <w:b/>
          <w:sz w:val="20"/>
        </w:rPr>
      </w:pPr>
      <w:r>
        <w:rPr>
          <w:rFonts w:ascii="helvetica" w:hAnsi="helvetica"/>
          <w:b/>
          <w:sz w:val="20"/>
        </w:rPr>
        <w:t>General</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r>
        <w:rPr>
          <w:rFonts w:ascii="helvetica" w:hAnsi="helvetica"/>
          <w:sz w:val="20"/>
        </w:rPr>
        <w:t>We are a specialty pharmaceutical company developing non-invasive, topically delivered products. Our innovative patented Accudel cream formulation technology is designed to enable highly targeted site specific treatment.  Impracor, our lead pain product candidate, utilizes the Accudel platform technology to deliver the active drug, ketoprofen, a non-steroidal anti-inflammatory drug, through the skin directly into the underlying tissues where the drug exerts its localized anti-inflammatory and analgesic effects.</w:t>
      </w:r>
    </w:p>
    <w:p>
      <w:pPr>
        <w:pStyle w:val="TextBody"/>
        <w:spacing w:before="0" w:after="0"/>
        <w:ind w:left="0" w:right="0" w:firstLine="720"/>
        <w:jc w:val="left"/>
        <w:rPr/>
      </w:pPr>
      <w:r>
        <w:rPr/>
        <w:t> </w:t>
      </w:r>
    </w:p>
    <w:p>
      <w:pPr>
        <w:pStyle w:val="TextBody"/>
        <w:spacing w:before="0" w:after="0"/>
        <w:ind w:left="0" w:right="0" w:firstLine="720"/>
        <w:jc w:val="left"/>
        <w:rPr/>
      </w:pPr>
      <w:r>
        <w:rPr>
          <w:rFonts w:ascii="helvetica" w:hAnsi="helvetica"/>
          <w:sz w:val="20"/>
        </w:rPr>
        <w:t>We intend to leverage the Accudel platform technology to expand and create a portfolio of topical products for a variety of indications.  We are currently considering potential product candidates in the muscle relaxant and neuropathic pain fields, and we expect those areas to be our next avenues for new product development.</w:t>
      </w:r>
      <w:r>
        <w:rPr/>
        <w:t xml:space="preserve"> </w:t>
      </w:r>
    </w:p>
    <w:p>
      <w:pPr>
        <w:pStyle w:val="TextBody"/>
        <w:spacing w:before="0" w:after="0"/>
        <w:ind w:left="0" w:right="0" w:hanging="0"/>
        <w:jc w:val="left"/>
        <w:rPr/>
      </w:pPr>
      <w:r>
        <w:rPr/>
        <w:t> </w:t>
      </w:r>
    </w:p>
    <w:p>
      <w:pPr>
        <w:pStyle w:val="TextBody"/>
        <w:spacing w:before="0" w:after="0"/>
        <w:ind w:left="0" w:right="0" w:firstLine="720"/>
        <w:jc w:val="left"/>
        <w:rPr/>
      </w:pPr>
      <w:r>
        <w:rPr>
          <w:rFonts w:ascii="helvetica" w:hAnsi="helvetica"/>
          <w:sz w:val="20"/>
        </w:rPr>
        <w:t>Effective August 30, 2012, we entered into a strategic relationship with the Professional Compounding Centers of America, Inc. (“PCCA”), one of the largest drug compounding organizations in the world.  We expect this relationship to facilitate our future selection, development and formulation of potential product candidates. Our relationship with PCCA provides us with exclusive access to and use of PCCA’s proprietary drug formulations and drug delivery technologies, as well as an extensive database of generic and other drug prescription information provided by PCCA’s member pharmacies and physicians. We plan to use our proprietary Accudel drug delivery technology, coupled with these licensed technologies, formulations and data, to identify markets in which we perceive development opportunities for new drug products and to develop reformatted and repurposed generic drugs, a process that we describe as “Generecycle.”</w:t>
      </w:r>
      <w:r>
        <w:rPr/>
        <w:t xml:space="preserve"> </w:t>
      </w:r>
    </w:p>
    <w:p>
      <w:pPr>
        <w:pStyle w:val="TextBody"/>
        <w:spacing w:before="0" w:after="0"/>
        <w:ind w:left="0" w:right="0" w:firstLine="720"/>
        <w:jc w:val="left"/>
        <w:rPr/>
      </w:pPr>
      <w:r>
        <w:rPr/>
        <w:t> </w:t>
      </w:r>
    </w:p>
    <w:p>
      <w:pPr>
        <w:pStyle w:val="TextBody"/>
        <w:spacing w:before="0" w:after="0"/>
        <w:ind w:left="0" w:right="0" w:firstLine="720"/>
        <w:jc w:val="left"/>
        <w:rPr>
          <w:rFonts w:ascii="helvetica" w:hAnsi="helvetica"/>
          <w:sz w:val="20"/>
        </w:rPr>
      </w:pPr>
      <w:r>
        <w:rPr>
          <w:rFonts w:ascii="helvetica" w:hAnsi="helvetica"/>
          <w:sz w:val="20"/>
        </w:rPr>
        <w:t>We were incorporated in Delaware in January 2006 as Bywater Resources, Inc. in order to conduct mineral exploration activities. We changed our name to Transdel Pharmaceuticals, Inc. on September 11, 2007. On September 17, 2007, Transdel Pharmaceuticals, Inc. entered into an Agreement of Merger and Plan of Reorganization by and among Transdel Pharmaceuticals, Inc., Transdel Pharmaceuticals Holdings, Inc., a privately held Nevada corporation (“Transdel Holdings”), and Trans-Pharma Acquisition Corp., a newly formed, wholly-owned Delaware subsidiary of Transdel (“Acquisition Sub”). Upon closing of the merger transaction contemplated under the merger agreement, Acquisition Sub merged with and into Transdel Holdings, Transdel Holdings, as the surviving corporation, became our wholly-owned subsidiary, and the former owners of Transdel Holdings became our controlling stockholders.  Upon completion of the merger, we began our operations as a specialty pharmaceutical company.</w:t>
      </w:r>
    </w:p>
    <w:p>
      <w:pPr>
        <w:pStyle w:val="TextBody"/>
        <w:spacing w:before="0" w:after="0"/>
        <w:ind w:left="0" w:right="0" w:hanging="0"/>
        <w:rPr/>
      </w:pPr>
      <w:r>
        <w:rPr/>
        <w:t> </w:t>
      </w:r>
    </w:p>
    <w:p>
      <w:pPr>
        <w:pStyle w:val="TextBody"/>
        <w:spacing w:before="0" w:after="0"/>
        <w:ind w:left="0" w:right="0" w:firstLine="720"/>
        <w:jc w:val="left"/>
        <w:rPr>
          <w:rFonts w:ascii="helvetica" w:hAnsi="helvetica"/>
          <w:sz w:val="20"/>
        </w:rPr>
      </w:pPr>
      <w:r>
        <w:rPr>
          <w:rFonts w:ascii="helvetica" w:hAnsi="helvetica"/>
          <w:sz w:val="20"/>
        </w:rPr>
        <w:t>On February 28, 2012, we changed our name to Imprimis Pharmaceuticals, Inc. and effected a one-for-eight reverse split of our authorized, issued and outstanding common stock.  The information in this prospectus and the accompanying consolidated financial statements for interim and annual prior periods presented have been retroactively adjusted to reflect the effects of that reverse stock split</w:t>
      </w:r>
      <w:r>
        <w:rPr>
          <w:rFonts w:ascii="helvetica" w:hAnsi="helvetica"/>
          <w:b/>
          <w:sz w:val="20"/>
        </w:rPr>
        <w:t>.</w:t>
      </w:r>
    </w:p>
    <w:p>
      <w:pPr>
        <w:pStyle w:val="TextBody"/>
        <w:spacing w:before="0" w:after="0"/>
        <w:ind w:left="0" w:right="0" w:hanging="0"/>
        <w:rPr/>
      </w:pPr>
      <w:r>
        <w:rPr/>
        <w:t> </w:t>
      </w:r>
    </w:p>
    <w:p>
      <w:pPr>
        <w:pStyle w:val="TextBody"/>
        <w:spacing w:before="0" w:after="0"/>
        <w:ind w:left="0" w:right="0" w:firstLine="720"/>
        <w:jc w:val="left"/>
        <w:rPr>
          <w:rFonts w:ascii="helvetica" w:hAnsi="helvetica"/>
          <w:sz w:val="20"/>
        </w:rPr>
      </w:pPr>
      <w:r>
        <w:rPr>
          <w:rFonts w:ascii="helvetica" w:hAnsi="helvetica"/>
          <w:sz w:val="20"/>
        </w:rPr>
        <w:t>On April 25, 2012, our Board of Directors and stockholders holding a majority of our outstanding voting power approved a resolution authorizing our Board of Directors to effect a reverse split of our common stock at an exchange ratio of (i) one-for-three, (ii) one-for-four, (iii) one-for-five, or (iv) one-for-six, with our Board of Directors retaining the discretion as to whether to implement the reverse split and which exchange ratio to implement.  The action by written consent of the stockholders became effective on May 31, 2012, following our compliance with certain notice requirements under the Exchange Act.  We anticipate that immediately following the effectiveness of the registration statement of which this prospectus forms a part, and prior to the closing of this offering, our Board of Directors will effect a reverse stock split at a ratio of one-for-five.</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r>
        <w:rPr>
          <w:rFonts w:ascii="helvetica" w:hAnsi="helvetica"/>
          <w:sz w:val="20"/>
        </w:rPr>
        <w:t>The reverse stock split is intended to allow us to meet the minimum share price requirement of The NASDAQ Capital Market.  We have applied for listing of our common stock on The NASDAQ Capital Market, which listing we expect to occur at the closing of this offering. If the application is not approved, we will not complete this offering or effect the reverse stock split, and the shares of our common stock will continue to be traded on the OTC Markets Group’s OTCQB tier.</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r>
        <w:rPr>
          <w:rFonts w:ascii="helvetica" w:hAnsi="helvetica"/>
          <w:sz w:val="20"/>
        </w:rPr>
        <w:t xml:space="preserve">Our common stock has been quoted in the over-the-counter market since March 14, 2007 and is currently quoted on OTC Markets Group’s OTCQB tier under the symbol IMMY.  Our executive offices are located at 437 S. Hwy 101, Suite 209, Solana Beach, CA  92075 and our telephone number at such office is (858) 433-2800.  Our website address is </w:t>
      </w:r>
      <w:r>
        <w:rPr>
          <w:rFonts w:ascii="helvetica" w:hAnsi="helvetica"/>
          <w:sz w:val="20"/>
          <w:u w:val="single"/>
        </w:rPr>
        <w:t>www.imprimispharma.com</w:t>
      </w:r>
      <w:r>
        <w:rPr>
          <w:rFonts w:ascii="helvetica" w:hAnsi="helvetica"/>
          <w:sz w:val="20"/>
        </w:rPr>
        <w:t>.  Information contained on our website is not deemed part of this prospectus.</w:t>
      </w:r>
    </w:p>
    <w:p>
      <w:pPr>
        <w:pStyle w:val="TextBody"/>
        <w:spacing w:before="0" w:after="0"/>
        <w:ind w:left="0" w:right="0" w:hanging="0"/>
        <w:jc w:val="both"/>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643" w:name="PGBRK50"/>
      <w:bookmarkStart w:id="644" w:name="PGBRK50"/>
      <w:bookmarkEnd w:id="64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645" w:name="FTR50"/>
      <w:bookmarkStart w:id="646" w:name="FTR50"/>
      <w:bookmarkEnd w:id="64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647" w:name="GLFTR49"/>
      <w:bookmarkEnd w:id="647"/>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helvetica" w:hAnsi="helvetica"/>
          <w:sz w:val="20"/>
        </w:rPr>
      </w:pPr>
      <w:bookmarkStart w:id="648" w:name="PN49"/>
      <w:bookmarkEnd w:id="648"/>
      <w:r>
        <w:rPr>
          <w:rFonts w:ascii="helvetica" w:hAnsi="helvetica"/>
          <w:sz w:val="20"/>
        </w:rPr>
        <w:t>48</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649" w:name="HDR49"/>
      <w:bookmarkStart w:id="650" w:name="HDR49"/>
      <w:bookmarkEnd w:id="65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651" w:name="GLHDR49"/>
      <w:bookmarkEnd w:id="651"/>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pPr>
      <w:r>
        <w:rPr/>
        <w:t> </w:t>
      </w:r>
    </w:p>
    <w:p>
      <w:pPr>
        <w:pStyle w:val="TextBody"/>
        <w:spacing w:before="0" w:after="0"/>
        <w:ind w:left="0" w:right="0" w:hanging="0"/>
        <w:jc w:val="left"/>
        <w:rPr>
          <w:rFonts w:ascii="helvetica" w:hAnsi="helvetica"/>
          <w:b/>
          <w:sz w:val="20"/>
        </w:rPr>
      </w:pPr>
      <w:r>
        <w:rPr>
          <w:rFonts w:ascii="helvetica" w:hAnsi="helvetica"/>
          <w:b/>
          <w:sz w:val="20"/>
        </w:rPr>
        <w:t>Impracor</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r>
        <w:rPr>
          <w:rFonts w:ascii="helvetica" w:hAnsi="helvetica"/>
          <w:sz w:val="20"/>
        </w:rPr>
        <w:t>Impracor, our lead drug candidate, is comprised of a transdermal formulation of ketoprofen, a NSAID. Impracor is formulated using our proprietary Accudel drug delivery system and is being developed for the treatment of acute musculoskeletal pain. Impracor penetrates the skin barrier to reach the targeted underlying tissues where it exerts its localized anti-inflammatory and analgesic effect. The topical delivery of the drug may minimize systemic exposure, which may in turn lead to fewer concerns pertaining to gastrointestinal, hepatic, cardiovascular and other adverse systemic effects, which are associated with orally administered NSAIDs. We believe that this product may be considered for patients with site specific localized pain and who also (i) have a history of gastrointestinal, cardiovascular, kidney or liver problems, (ii) are geriatric or pediatric and/or (iii) are at risk for drug interactions.</w:t>
      </w:r>
    </w:p>
    <w:p>
      <w:pPr>
        <w:pStyle w:val="TextBody"/>
        <w:spacing w:before="0" w:after="0"/>
        <w:ind w:left="0" w:right="0" w:firstLine="720"/>
        <w:jc w:val="left"/>
        <w:rPr/>
      </w:pPr>
      <w:r>
        <w:rPr/>
        <w:t> </w:t>
      </w:r>
    </w:p>
    <w:p>
      <w:pPr>
        <w:pStyle w:val="TextBody"/>
        <w:spacing w:before="0" w:after="0"/>
        <w:ind w:left="0" w:right="0" w:hanging="0"/>
        <w:jc w:val="left"/>
        <w:rPr>
          <w:rFonts w:ascii="helvetica" w:hAnsi="helvetica"/>
          <w:b/>
          <w:sz w:val="20"/>
        </w:rPr>
      </w:pPr>
      <w:r>
        <w:rPr>
          <w:rFonts w:ascii="helvetica" w:hAnsi="helvetica"/>
          <w:b/>
          <w:sz w:val="20"/>
        </w:rPr>
        <w:t xml:space="preserve">Completed Clinical Studies for Impracor </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r>
        <w:rPr>
          <w:rFonts w:ascii="helvetica" w:hAnsi="helvetica"/>
          <w:sz w:val="20"/>
        </w:rPr>
        <w:t>In June 2008, we initiated a Phase 3 clinical trial designed as a randomized, double-blind, placebo-controlled, multi-center study that enrolled a total of 364 patients with acute soft tissue injuries of the upper or lower extremities in 26 centers in the United States.  As we reported in October 2009, the top-line results showed that the study demonstrated statistical significance in its primary endpoint in the per protocol analysis and was favorable for Impracor in the Intent-To Treat (ITT) analysis. Impracor also demonstrated a safety and tolerability profile similar to the placebo used in the study.  Of the over 180 patients treated with Impracor, there were no treatment related gastrointestinal, cardiovascular, hepatic or other clinically relevant adverse events (AEs) reported. Furthermore, Impracor was observed to be well absorbed through the skin and only minimal blood concentrations of ketoprofen were detected in a subset of patients who underwent blood sampling for pharmacokinetic (PK) analyses following repeated topical applications.</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r>
        <w:rPr>
          <w:rFonts w:ascii="helvetica" w:hAnsi="helvetica"/>
          <w:sz w:val="20"/>
        </w:rPr>
        <w:t>In January 2010, we reported on further in-depth analyses of the ITT data from the Impracor Phase 3 study.  For the modified ITT analysis we identified 35 patients who did not meet study entry criteria at the time of randomization.  Excluding the data from these patients who should not have been randomized into the study based on information that was not known at the time of enrollment, the study demonstrated statistical significance (p&lt;0.038) on the primary efficacy endpoint.  This post-hoc analysis was confirmed by a third-party statistical expert.</w:t>
      </w:r>
    </w:p>
    <w:p>
      <w:pPr>
        <w:pStyle w:val="TextBody"/>
        <w:spacing w:before="0" w:after="0"/>
        <w:ind w:left="0" w:right="0" w:firstLine="720"/>
        <w:jc w:val="left"/>
        <w:rPr/>
      </w:pPr>
      <w:r>
        <w:rPr/>
        <w:t> </w:t>
      </w:r>
    </w:p>
    <w:p>
      <w:pPr>
        <w:pStyle w:val="TextBody"/>
        <w:spacing w:before="0" w:after="0"/>
        <w:ind w:left="0" w:right="0" w:firstLine="720"/>
        <w:jc w:val="left"/>
        <w:rPr/>
      </w:pPr>
      <w:r>
        <w:rPr>
          <w:rFonts w:ascii="helvetica" w:hAnsi="helvetica"/>
          <w:sz w:val="20"/>
        </w:rPr>
        <w:t>In February 2012, our management conducted an additional analysis of the ITT data and a body weight adjusted modified per protocol (“mPP”) analysis of those participants who completely complied with the Phase 3 Study protocol, including taking the recommended therapeutic quantity of the study drug.  This analysis excluded 52 participants from the ITT group who did not take a minimum therapeutic quantity of the study drug, and 20 patients who did not have a valid Day 3 primary end point assessment and 4 patients who were misdiagnosed.  This mPP analysis on 250 patients demonstrated statistical significance of the primary endpoint (p=0.034).</w:t>
      </w:r>
      <w:r>
        <w:rPr/>
        <w:t xml:space="preserve"> </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r>
        <w:rPr>
          <w:rFonts w:ascii="helvetica" w:hAnsi="helvetica"/>
          <w:sz w:val="20"/>
        </w:rPr>
        <w:t xml:space="preserve">We believe that the weight of evidence of a treatment effect in this study is further strengthened by a key secondary endpoint (pain intensity recorded three times daily on patient diary cards) that supports the primary endpoint. The patient diary data which yield pain curves over time show consistent separation between treatment groups reaching statistical significance in favor of Impracor using both the original and modified ITT population.  Furthermore, the physician's global assessment, using a 7 Point Likert Scale on day 3, produced statistically significant results (p=0.037), and a later exploratory analysis of the patient's global assessment of treatment satisfaction, using a binomial method, produced statistically significant results (p=0.023). </w:t>
      </w:r>
    </w:p>
    <w:p>
      <w:pPr>
        <w:pStyle w:val="TextBody"/>
        <w:spacing w:before="0" w:after="0"/>
        <w:ind w:left="0" w:right="0" w:firstLine="720"/>
        <w:jc w:val="left"/>
        <w:rPr/>
      </w:pPr>
      <w:r>
        <w:rPr/>
        <w:t> </w:t>
      </w:r>
    </w:p>
    <w:p>
      <w:pPr>
        <w:pStyle w:val="TextBody"/>
        <w:spacing w:before="0" w:after="0"/>
        <w:ind w:left="0" w:right="0" w:hanging="0"/>
        <w:jc w:val="left"/>
        <w:rPr>
          <w:rFonts w:ascii="helvetica" w:hAnsi="helvetica"/>
          <w:b/>
          <w:sz w:val="20"/>
        </w:rPr>
      </w:pPr>
      <w:r>
        <w:rPr>
          <w:rFonts w:ascii="helvetica" w:hAnsi="helvetica"/>
          <w:b/>
          <w:sz w:val="20"/>
        </w:rPr>
        <w:t>Proposed Clinical Program for Impracor</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r>
        <w:rPr>
          <w:rFonts w:ascii="helvetica" w:hAnsi="helvetica"/>
          <w:sz w:val="20"/>
        </w:rPr>
        <w:t>For Impracor to be approved by the FDA, an additional two confirmatory Phase 3 trials with exposure of at least 300 to 500 patients and supportive dermal safety studies are required. As required by the FDA, we expect to initiate routine supportive trials in healthy patients related to the potential contact sensitization and to study the absorption (blood levels) of ketoprofen during concurrent exercise and heat exposure, as well as the relative bioavailability of Impracor or topical ketoprofen versus oral ketoprofen.  We expect that all clinical studies will be executed with the professional help of clinical research organizations (CROs) with experience in clinical trials of similar design. We are in the process of selecting and negotiating arrangements with potential CROs and other third parties in order to initiate our Phase 3 clinical trials.</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r>
        <w:rPr>
          <w:rFonts w:ascii="helvetica" w:hAnsi="helvetica"/>
          <w:sz w:val="20"/>
        </w:rPr>
        <w:t>Initially we plan to commence two Phase 3 studies of Impracor in patients experiencing pain from osteoarthritis flare in their hands or knees.  The FDA has indicated that the osteoarthritis flare study design is an acceptable clinical model of acute pain.  The Phase 3 program is being planned to encompass two double-blind placebo controlled Phase 3 osteoarthritis flare trials in approximately 330 to 360 patients each in 35 to 50 sites throughout the United States. Following a NSAID wash-out period, the proposed design study has the patients dosed with placebo or Impracor three times daily for 14 days. The primary endpoint for both trials is expected to employ well accepted pain measurements, which will be measured on day 14.  It is expected that the planned trials, if successful, would provide sufficient data for subsequent registration filing to the FDA.</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r>
        <w:rPr>
          <w:rFonts w:ascii="helvetica" w:hAnsi="helvetica"/>
          <w:sz w:val="20"/>
        </w:rPr>
        <w:t>Following successful completion of our clinical trials, we plan to file a New Drug Application for marketing authorization for Impracor under Section 505(b)(2) of the Hatch-Waxman Act of 1984, a regulatory route towards FDA approval, which allows referencing our submission to previously established safety and/or effectiveness of already approved ketoprofen products in other dosage forms.  We believe that this route provides the most attractive path for Impracor to reach the market.</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r>
        <w:rPr>
          <w:rFonts w:ascii="helvetica" w:hAnsi="helvetica"/>
          <w:sz w:val="20"/>
        </w:rPr>
        <w:t>The timing of Phase 3 trials and the other supportive studies will be dependent on obtaining adequate financing to support the execution of these activities and for other working capital expenditures, as well as feedback from the FDA.  Upon receipt of such financing, we anticipate initiating the supportive studies and Phase 3 trials in late 2012 and early 2013.  Assuming successful completion and outcome of the additional Phase 3 trials, we would expect to file the New Drug Application in 2014.</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r>
        <w:rPr>
          <w:rFonts w:ascii="helvetica" w:hAnsi="helvetica"/>
          <w:sz w:val="20"/>
        </w:rPr>
        <w:t>We expect that Impracor, if approved by the FDA, could become one of the first NSAID cream products available by prescription in the United States for the topical treatment of acute musculoskeletal pain. </w:t>
      </w:r>
    </w:p>
    <w:p>
      <w:pPr>
        <w:pStyle w:val="TextBody"/>
        <w:spacing w:before="0" w:after="0"/>
        <w:ind w:left="0" w:right="0" w:hanging="0"/>
        <w:jc w:val="both"/>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652" w:name="PGBRK51"/>
      <w:bookmarkStart w:id="653" w:name="PGBRK51"/>
      <w:bookmarkEnd w:id="65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654" w:name="FTR51"/>
      <w:bookmarkStart w:id="655" w:name="FTR51"/>
      <w:bookmarkEnd w:id="65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656" w:name="GLFTR50"/>
      <w:bookmarkEnd w:id="656"/>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helvetica" w:hAnsi="helvetica"/>
          <w:sz w:val="20"/>
        </w:rPr>
      </w:pPr>
      <w:bookmarkStart w:id="657" w:name="PN50"/>
      <w:bookmarkEnd w:id="657"/>
      <w:r>
        <w:rPr>
          <w:rFonts w:ascii="helvetica" w:hAnsi="helvetica"/>
          <w:sz w:val="20"/>
        </w:rPr>
        <w:t>49</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658" w:name="HDR50"/>
      <w:bookmarkStart w:id="659" w:name="HDR50"/>
      <w:bookmarkEnd w:id="65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660" w:name="GLHDR50"/>
      <w:bookmarkEnd w:id="660"/>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left"/>
        <w:rPr/>
      </w:pPr>
      <w:r>
        <w:rPr/>
        <w:t> </w:t>
      </w:r>
    </w:p>
    <w:p>
      <w:pPr>
        <w:pStyle w:val="TextBody"/>
        <w:spacing w:before="0" w:after="0"/>
        <w:ind w:left="0" w:right="0" w:hanging="0"/>
        <w:jc w:val="left"/>
        <w:rPr>
          <w:rFonts w:ascii="helvetica" w:hAnsi="helvetica"/>
          <w:b/>
          <w:sz w:val="20"/>
        </w:rPr>
      </w:pPr>
      <w:r>
        <w:rPr>
          <w:rFonts w:ascii="helvetica" w:hAnsi="helvetica"/>
          <w:b/>
          <w:sz w:val="20"/>
        </w:rPr>
        <w:t>The Accudel Technology</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r>
        <w:rPr>
          <w:rFonts w:ascii="helvetica" w:hAnsi="helvetica"/>
          <w:sz w:val="20"/>
        </w:rPr>
        <w:t>Accudel is our proprietary transdermal cream drug delivery platform which can facilitate the transdermal penetration of drugs, thus enabling the avoidance of first pass metabolism by the liver and minimizing systemic exposure.   The following diagram provides a schematic of the Accudel drug delivery system:</w:t>
      </w:r>
    </w:p>
    <w:p>
      <w:pPr>
        <w:pStyle w:val="TextBody"/>
        <w:spacing w:before="0" w:after="0"/>
        <w:ind w:left="0" w:right="0" w:hanging="0"/>
        <w:jc w:val="both"/>
        <w:rPr/>
      </w:pPr>
      <w:r>
        <w:rPr/>
        <w:t> </w:t>
      </w:r>
    </w:p>
    <w:p>
      <w:pPr>
        <w:pStyle w:val="TextBody"/>
        <w:spacing w:before="0" w:after="0"/>
        <w:ind w:left="0" w:right="0" w:hanging="0"/>
        <w:jc w:val="center"/>
        <w:rPr/>
      </w:pPr>
      <w:r>
        <w:rPr/>
        <w:t xml:space="preserve">  </w:t>
      </w:r>
    </w:p>
    <w:p>
      <w:pPr>
        <w:pStyle w:val="TextBody"/>
        <w:spacing w:before="0" w:after="0"/>
        <w:ind w:left="0" w:right="0" w:hanging="0"/>
        <w:jc w:val="both"/>
        <w:rPr/>
      </w:pPr>
      <w:r>
        <w:rPr/>
        <w:drawing>
          <wp:inline distT="0" distB="0" distL="0" distR="0">
            <wp:extent cx="3829050" cy="279082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3829050" cy="2790825"/>
                    </a:xfrm>
                    <a:prstGeom prst="rect">
                      <a:avLst/>
                    </a:prstGeom>
                  </pic:spPr>
                </pic:pic>
              </a:graphicData>
            </a:graphic>
          </wp:inline>
        </w:drawing>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r>
        <w:rPr>
          <w:rFonts w:ascii="helvetica" w:hAnsi="helvetica"/>
          <w:sz w:val="20"/>
        </w:rPr>
        <w:t>Accudel has the following properties, which make it a highly versatile vehicle for topical drug administration:</w:t>
      </w:r>
    </w:p>
    <w:p>
      <w:pPr>
        <w:pStyle w:val="TextBody"/>
        <w:spacing w:before="0" w:after="0"/>
        <w:ind w:left="0" w:right="0" w:hanging="0"/>
        <w:jc w:val="both"/>
        <w:rPr/>
      </w:pPr>
      <w:r>
        <w:rPr/>
        <w:t> </w:t>
      </w:r>
    </w:p>
    <w:p>
      <w:pPr>
        <w:pStyle w:val="Normal"/>
        <w:spacing w:before="0" w:after="0"/>
        <w:rPr>
          <w:sz w:val="4"/>
          <w:szCs w:val="4"/>
        </w:rPr>
      </w:pPr>
      <w:r>
        <w:rPr>
          <w:sz w:val="4"/>
          <w:szCs w:val="4"/>
        </w:rPr>
      </w:r>
      <w:bookmarkStart w:id="661" w:name="list89"/>
      <w:bookmarkStart w:id="662" w:name="list89"/>
      <w:bookmarkEnd w:id="662"/>
    </w:p>
    <w:tbl>
      <w:tblPr>
        <w:tblW w:w="5000" w:type="pct"/>
        <w:jc w:val="left"/>
        <w:tblInd w:w="0" w:type="dxa"/>
        <w:tblCellMar>
          <w:top w:w="0" w:type="dxa"/>
          <w:left w:w="0" w:type="dxa"/>
          <w:bottom w:w="0" w:type="dxa"/>
          <w:right w:w="0" w:type="dxa"/>
        </w:tblCellMar>
      </w:tblPr>
      <w:tblGrid>
        <w:gridCol w:w="304"/>
        <w:gridCol w:w="9901"/>
      </w:tblGrid>
      <w:tr>
        <w:trPr/>
        <w:tc>
          <w:tcPr>
            <w:tcW w:w="304" w:type="dxa"/>
            <w:tcBorders/>
            <w:shd w:fill="auto" w:val="clear"/>
          </w:tcPr>
          <w:p>
            <w:pPr>
              <w:pStyle w:val="TableContents"/>
              <w:spacing w:before="0" w:after="0"/>
              <w:jc w:val="right"/>
              <w:rPr/>
            </w:pPr>
            <w:r>
              <w:rPr/>
              <w:t>●  </w:t>
            </w:r>
          </w:p>
        </w:tc>
        <w:tc>
          <w:tcPr>
            <w:tcW w:w="9901" w:type="dxa"/>
            <w:tcBorders/>
            <w:shd w:fill="auto" w:val="clear"/>
          </w:tcPr>
          <w:p>
            <w:pPr>
              <w:pStyle w:val="TableContents"/>
              <w:spacing w:before="0" w:after="0"/>
              <w:ind w:left="0" w:right="0" w:hanging="0"/>
              <w:jc w:val="both"/>
              <w:rPr>
                <w:rFonts w:ascii="helvetica" w:hAnsi="helvetica"/>
                <w:sz w:val="20"/>
              </w:rPr>
            </w:pPr>
            <w:r>
              <w:rPr>
                <w:rFonts w:ascii="helvetica" w:hAnsi="helvetica"/>
                <w:sz w:val="20"/>
              </w:rPr>
              <w:t>utilizes a pluronic lecithin organogel (PLO) based matrix which is known to penetrate the stratum corneum and aid in the diffusion of active ingredients through the skin;</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663" w:name="list90"/>
      <w:bookmarkStart w:id="664" w:name="list90"/>
      <w:bookmarkEnd w:id="664"/>
    </w:p>
    <w:tbl>
      <w:tblPr>
        <w:tblW w:w="5000" w:type="pct"/>
        <w:jc w:val="left"/>
        <w:tblInd w:w="0" w:type="dxa"/>
        <w:tblCellMar>
          <w:top w:w="0" w:type="dxa"/>
          <w:left w:w="0" w:type="dxa"/>
          <w:bottom w:w="0" w:type="dxa"/>
          <w:right w:w="0" w:type="dxa"/>
        </w:tblCellMar>
      </w:tblPr>
      <w:tblGrid>
        <w:gridCol w:w="350"/>
        <w:gridCol w:w="9855"/>
      </w:tblGrid>
      <w:tr>
        <w:trPr/>
        <w:tc>
          <w:tcPr>
            <w:tcW w:w="350" w:type="dxa"/>
            <w:tcBorders/>
            <w:shd w:fill="auto" w:val="clear"/>
          </w:tcPr>
          <w:p>
            <w:pPr>
              <w:pStyle w:val="TableContents"/>
              <w:spacing w:before="0" w:after="0"/>
              <w:jc w:val="right"/>
              <w:rPr/>
            </w:pPr>
            <w:r>
              <w:rPr/>
              <w:t>●  </w:t>
            </w:r>
          </w:p>
        </w:tc>
        <w:tc>
          <w:tcPr>
            <w:tcW w:w="9855" w:type="dxa"/>
            <w:tcBorders/>
            <w:shd w:fill="auto" w:val="clear"/>
          </w:tcPr>
          <w:p>
            <w:pPr>
              <w:pStyle w:val="TableContents"/>
              <w:spacing w:before="0" w:after="0"/>
              <w:ind w:left="0" w:right="0" w:hanging="0"/>
              <w:jc w:val="both"/>
              <w:rPr>
                <w:rFonts w:ascii="helvetica" w:hAnsi="helvetica"/>
                <w:sz w:val="20"/>
              </w:rPr>
            </w:pPr>
            <w:r>
              <w:rPr>
                <w:rFonts w:ascii="helvetica" w:hAnsi="helvetica"/>
                <w:sz w:val="20"/>
              </w:rPr>
              <w:t>helps solubilize various types of drugs and its components (lipophilic, hydrophilic and amphiphilic);</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665" w:name="list91"/>
      <w:bookmarkStart w:id="666" w:name="list91"/>
      <w:bookmarkEnd w:id="666"/>
    </w:p>
    <w:tbl>
      <w:tblPr>
        <w:tblW w:w="5000" w:type="pct"/>
        <w:jc w:val="left"/>
        <w:tblInd w:w="0" w:type="dxa"/>
        <w:tblCellMar>
          <w:top w:w="0" w:type="dxa"/>
          <w:left w:w="0" w:type="dxa"/>
          <w:bottom w:w="0" w:type="dxa"/>
          <w:right w:w="0" w:type="dxa"/>
        </w:tblCellMar>
      </w:tblPr>
      <w:tblGrid>
        <w:gridCol w:w="588"/>
        <w:gridCol w:w="9617"/>
      </w:tblGrid>
      <w:tr>
        <w:trPr/>
        <w:tc>
          <w:tcPr>
            <w:tcW w:w="588" w:type="dxa"/>
            <w:tcBorders/>
            <w:shd w:fill="auto" w:val="clear"/>
          </w:tcPr>
          <w:p>
            <w:pPr>
              <w:pStyle w:val="TableContents"/>
              <w:spacing w:before="0" w:after="0"/>
              <w:jc w:val="right"/>
              <w:rPr/>
            </w:pPr>
            <w:r>
              <w:rPr/>
              <w:t>●  </w:t>
            </w:r>
          </w:p>
        </w:tc>
        <w:tc>
          <w:tcPr>
            <w:tcW w:w="9617" w:type="dxa"/>
            <w:tcBorders/>
            <w:shd w:fill="auto" w:val="clear"/>
          </w:tcPr>
          <w:p>
            <w:pPr>
              <w:pStyle w:val="TableContents"/>
              <w:spacing w:before="0" w:after="0"/>
              <w:ind w:left="0" w:right="0" w:hanging="0"/>
              <w:jc w:val="both"/>
              <w:rPr>
                <w:rFonts w:ascii="helvetica" w:hAnsi="helvetica"/>
                <w:sz w:val="20"/>
              </w:rPr>
            </w:pPr>
            <w:r>
              <w:rPr>
                <w:rFonts w:ascii="helvetica" w:hAnsi="helvetica"/>
                <w:sz w:val="20"/>
              </w:rPr>
              <w:t>uses penetration enhancers in a synergistic combination;</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667" w:name="list92"/>
      <w:bookmarkStart w:id="668" w:name="list92"/>
      <w:bookmarkEnd w:id="668"/>
    </w:p>
    <w:tbl>
      <w:tblPr>
        <w:tblW w:w="5000" w:type="pct"/>
        <w:jc w:val="left"/>
        <w:tblInd w:w="0" w:type="dxa"/>
        <w:tblCellMar>
          <w:top w:w="0" w:type="dxa"/>
          <w:left w:w="0" w:type="dxa"/>
          <w:bottom w:w="0" w:type="dxa"/>
          <w:right w:w="0" w:type="dxa"/>
        </w:tblCellMar>
      </w:tblPr>
      <w:tblGrid>
        <w:gridCol w:w="605"/>
        <w:gridCol w:w="9600"/>
      </w:tblGrid>
      <w:tr>
        <w:trPr/>
        <w:tc>
          <w:tcPr>
            <w:tcW w:w="605" w:type="dxa"/>
            <w:tcBorders/>
            <w:shd w:fill="auto" w:val="clear"/>
          </w:tcPr>
          <w:p>
            <w:pPr>
              <w:pStyle w:val="TableContents"/>
              <w:spacing w:before="0" w:after="0"/>
              <w:jc w:val="right"/>
              <w:rPr/>
            </w:pPr>
            <w:r>
              <w:rPr/>
              <w:t>●  </w:t>
            </w:r>
          </w:p>
        </w:tc>
        <w:tc>
          <w:tcPr>
            <w:tcW w:w="9600" w:type="dxa"/>
            <w:tcBorders/>
            <w:shd w:fill="auto" w:val="clear"/>
          </w:tcPr>
          <w:p>
            <w:pPr>
              <w:pStyle w:val="TableContents"/>
              <w:spacing w:before="0" w:after="0"/>
              <w:ind w:left="0" w:right="0" w:hanging="0"/>
              <w:jc w:val="both"/>
              <w:rPr>
                <w:rFonts w:ascii="helvetica" w:hAnsi="helvetica"/>
                <w:sz w:val="20"/>
              </w:rPr>
            </w:pPr>
            <w:r>
              <w:rPr>
                <w:rFonts w:ascii="helvetica" w:hAnsi="helvetica"/>
                <w:sz w:val="20"/>
              </w:rPr>
              <w:t>can incorporate compounds of various molecular sizes;</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669" w:name="list93"/>
      <w:bookmarkStart w:id="670" w:name="list93"/>
      <w:bookmarkEnd w:id="670"/>
    </w:p>
    <w:tbl>
      <w:tblPr>
        <w:tblW w:w="5000" w:type="pct"/>
        <w:jc w:val="left"/>
        <w:tblInd w:w="0" w:type="dxa"/>
        <w:tblCellMar>
          <w:top w:w="0" w:type="dxa"/>
          <w:left w:w="0" w:type="dxa"/>
          <w:bottom w:w="0" w:type="dxa"/>
          <w:right w:w="0" w:type="dxa"/>
        </w:tblCellMar>
      </w:tblPr>
      <w:tblGrid>
        <w:gridCol w:w="364"/>
        <w:gridCol w:w="9841"/>
      </w:tblGrid>
      <w:tr>
        <w:trPr/>
        <w:tc>
          <w:tcPr>
            <w:tcW w:w="364" w:type="dxa"/>
            <w:tcBorders/>
            <w:shd w:fill="auto" w:val="clear"/>
          </w:tcPr>
          <w:p>
            <w:pPr>
              <w:pStyle w:val="TableContents"/>
              <w:spacing w:before="0" w:after="0"/>
              <w:jc w:val="right"/>
              <w:rPr/>
            </w:pPr>
            <w:r>
              <w:rPr/>
              <w:t>●  </w:t>
            </w:r>
          </w:p>
        </w:tc>
        <w:tc>
          <w:tcPr>
            <w:tcW w:w="9841" w:type="dxa"/>
            <w:tcBorders/>
            <w:shd w:fill="auto" w:val="clear"/>
          </w:tcPr>
          <w:p>
            <w:pPr>
              <w:pStyle w:val="TableContents"/>
              <w:spacing w:before="0" w:after="0"/>
              <w:ind w:left="0" w:right="0" w:hanging="0"/>
              <w:jc w:val="both"/>
              <w:rPr>
                <w:rFonts w:ascii="helvetica" w:hAnsi="helvetica"/>
                <w:sz w:val="20"/>
              </w:rPr>
            </w:pPr>
            <w:r>
              <w:rPr>
                <w:rFonts w:ascii="helvetica" w:hAnsi="helvetica"/>
                <w:sz w:val="20"/>
              </w:rPr>
              <w:t>contains biocompatible components which are generally regarded as safe (GRAS) by the FDA;</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671" w:name="list94"/>
      <w:bookmarkStart w:id="672" w:name="list94"/>
      <w:bookmarkEnd w:id="672"/>
    </w:p>
    <w:tbl>
      <w:tblPr>
        <w:tblW w:w="5000" w:type="pct"/>
        <w:jc w:val="left"/>
        <w:tblInd w:w="0" w:type="dxa"/>
        <w:tblCellMar>
          <w:top w:w="0" w:type="dxa"/>
          <w:left w:w="0" w:type="dxa"/>
          <w:bottom w:w="0" w:type="dxa"/>
          <w:right w:w="0" w:type="dxa"/>
        </w:tblCellMar>
      </w:tblPr>
      <w:tblGrid>
        <w:gridCol w:w="368"/>
        <w:gridCol w:w="9837"/>
      </w:tblGrid>
      <w:tr>
        <w:trPr/>
        <w:tc>
          <w:tcPr>
            <w:tcW w:w="368" w:type="dxa"/>
            <w:tcBorders/>
            <w:shd w:fill="auto" w:val="clear"/>
          </w:tcPr>
          <w:p>
            <w:pPr>
              <w:pStyle w:val="TableContents"/>
              <w:spacing w:before="0" w:after="0"/>
              <w:jc w:val="right"/>
              <w:rPr/>
            </w:pPr>
            <w:r>
              <w:rPr/>
              <w:t>●  </w:t>
            </w:r>
          </w:p>
        </w:tc>
        <w:tc>
          <w:tcPr>
            <w:tcW w:w="9837" w:type="dxa"/>
            <w:tcBorders/>
            <w:shd w:fill="auto" w:val="clear"/>
          </w:tcPr>
          <w:p>
            <w:pPr>
              <w:pStyle w:val="TableContents"/>
              <w:spacing w:before="0" w:after="0"/>
              <w:ind w:left="0" w:right="0" w:hanging="0"/>
              <w:jc w:val="both"/>
              <w:rPr>
                <w:rFonts w:ascii="helvetica" w:hAnsi="helvetica"/>
                <w:sz w:val="20"/>
              </w:rPr>
            </w:pPr>
            <w:r>
              <w:rPr>
                <w:rFonts w:ascii="helvetica" w:hAnsi="helvetica"/>
                <w:sz w:val="20"/>
              </w:rPr>
              <w:t>is thermodynamically stable, insensitive to moisture and resistant to microbial contamination;</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673" w:name="list95"/>
      <w:bookmarkStart w:id="674" w:name="list95"/>
      <w:bookmarkEnd w:id="674"/>
    </w:p>
    <w:tbl>
      <w:tblPr>
        <w:tblW w:w="5000" w:type="pct"/>
        <w:jc w:val="left"/>
        <w:tblInd w:w="0" w:type="dxa"/>
        <w:tblCellMar>
          <w:top w:w="0" w:type="dxa"/>
          <w:left w:w="0" w:type="dxa"/>
          <w:bottom w:w="0" w:type="dxa"/>
          <w:right w:w="0" w:type="dxa"/>
        </w:tblCellMar>
      </w:tblPr>
      <w:tblGrid>
        <w:gridCol w:w="380"/>
        <w:gridCol w:w="9825"/>
      </w:tblGrid>
      <w:tr>
        <w:trPr/>
        <w:tc>
          <w:tcPr>
            <w:tcW w:w="380" w:type="dxa"/>
            <w:tcBorders/>
            <w:shd w:fill="auto" w:val="clear"/>
          </w:tcPr>
          <w:p>
            <w:pPr>
              <w:pStyle w:val="TableContents"/>
              <w:spacing w:before="0" w:after="0"/>
              <w:jc w:val="right"/>
              <w:rPr/>
            </w:pPr>
            <w:r>
              <w:rPr/>
              <w:t>●  </w:t>
            </w:r>
          </w:p>
        </w:tc>
        <w:tc>
          <w:tcPr>
            <w:tcW w:w="9825" w:type="dxa"/>
            <w:tcBorders/>
            <w:shd w:fill="auto" w:val="clear"/>
          </w:tcPr>
          <w:p>
            <w:pPr>
              <w:pStyle w:val="TableContents"/>
              <w:spacing w:before="0" w:after="0"/>
              <w:ind w:left="0" w:right="0" w:hanging="0"/>
              <w:jc w:val="both"/>
              <w:rPr>
                <w:rFonts w:ascii="helvetica" w:hAnsi="helvetica"/>
                <w:sz w:val="20"/>
              </w:rPr>
            </w:pPr>
            <w:r>
              <w:rPr>
                <w:rFonts w:ascii="helvetica" w:hAnsi="helvetica"/>
                <w:sz w:val="20"/>
              </w:rPr>
              <w:t>potentially results in decreased safety concerns associated with oral or intravenous drugs;</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675" w:name="list96"/>
      <w:bookmarkStart w:id="676" w:name="list96"/>
      <w:bookmarkEnd w:id="676"/>
    </w:p>
    <w:tbl>
      <w:tblPr>
        <w:tblW w:w="5000" w:type="pct"/>
        <w:jc w:val="left"/>
        <w:tblInd w:w="0" w:type="dxa"/>
        <w:tblCellMar>
          <w:top w:w="0" w:type="dxa"/>
          <w:left w:w="0" w:type="dxa"/>
          <w:bottom w:w="0" w:type="dxa"/>
          <w:right w:w="0" w:type="dxa"/>
        </w:tblCellMar>
      </w:tblPr>
      <w:tblGrid>
        <w:gridCol w:w="536"/>
        <w:gridCol w:w="9669"/>
      </w:tblGrid>
      <w:tr>
        <w:trPr/>
        <w:tc>
          <w:tcPr>
            <w:tcW w:w="536" w:type="dxa"/>
            <w:tcBorders/>
            <w:shd w:fill="auto" w:val="clear"/>
          </w:tcPr>
          <w:p>
            <w:pPr>
              <w:pStyle w:val="TableContents"/>
              <w:spacing w:before="0" w:after="0"/>
              <w:jc w:val="right"/>
              <w:rPr/>
            </w:pPr>
            <w:r>
              <w:rPr/>
              <w:t>●  </w:t>
            </w:r>
          </w:p>
        </w:tc>
        <w:tc>
          <w:tcPr>
            <w:tcW w:w="9669" w:type="dxa"/>
            <w:tcBorders/>
            <w:shd w:fill="auto" w:val="clear"/>
          </w:tcPr>
          <w:p>
            <w:pPr>
              <w:pStyle w:val="TableContents"/>
              <w:spacing w:before="0" w:after="0"/>
              <w:ind w:left="0" w:right="0" w:hanging="0"/>
              <w:jc w:val="both"/>
              <w:rPr>
                <w:rFonts w:ascii="helvetica" w:hAnsi="helvetica"/>
                <w:sz w:val="20"/>
              </w:rPr>
            </w:pPr>
            <w:r>
              <w:rPr>
                <w:rFonts w:ascii="helvetica" w:hAnsi="helvetica"/>
                <w:sz w:val="20"/>
              </w:rPr>
              <w:t>avoids certain limitations associated with transdermal patches;</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677" w:name="list97"/>
      <w:bookmarkStart w:id="678" w:name="list97"/>
      <w:bookmarkEnd w:id="678"/>
    </w:p>
    <w:tbl>
      <w:tblPr>
        <w:tblW w:w="5000" w:type="pct"/>
        <w:jc w:val="left"/>
        <w:tblInd w:w="0" w:type="dxa"/>
        <w:tblCellMar>
          <w:top w:w="0" w:type="dxa"/>
          <w:left w:w="0" w:type="dxa"/>
          <w:bottom w:w="0" w:type="dxa"/>
          <w:right w:w="0" w:type="dxa"/>
        </w:tblCellMar>
      </w:tblPr>
      <w:tblGrid>
        <w:gridCol w:w="561"/>
        <w:gridCol w:w="9644"/>
      </w:tblGrid>
      <w:tr>
        <w:trPr/>
        <w:tc>
          <w:tcPr>
            <w:tcW w:w="561" w:type="dxa"/>
            <w:tcBorders/>
            <w:shd w:fill="auto" w:val="clear"/>
          </w:tcPr>
          <w:p>
            <w:pPr>
              <w:pStyle w:val="TableContents"/>
              <w:spacing w:before="0" w:after="0"/>
              <w:jc w:val="right"/>
              <w:rPr/>
            </w:pPr>
            <w:r>
              <w:rPr/>
              <w:t>●  </w:t>
            </w:r>
          </w:p>
        </w:tc>
        <w:tc>
          <w:tcPr>
            <w:tcW w:w="9644" w:type="dxa"/>
            <w:tcBorders/>
            <w:shd w:fill="auto" w:val="clear"/>
          </w:tcPr>
          <w:p>
            <w:pPr>
              <w:pStyle w:val="TableContents"/>
              <w:spacing w:before="0" w:after="0"/>
              <w:ind w:left="0" w:right="0" w:hanging="0"/>
              <w:jc w:val="both"/>
              <w:rPr>
                <w:rFonts w:ascii="helvetica" w:hAnsi="helvetica"/>
                <w:sz w:val="20"/>
              </w:rPr>
            </w:pPr>
            <w:r>
              <w:rPr>
                <w:rFonts w:ascii="helvetica" w:hAnsi="helvetica"/>
                <w:sz w:val="20"/>
              </w:rPr>
              <w:t>is easy to apply, aesthetically acceptable and odorless; and</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679" w:name="list98"/>
      <w:bookmarkStart w:id="680" w:name="list98"/>
      <w:bookmarkEnd w:id="680"/>
    </w:p>
    <w:tbl>
      <w:tblPr>
        <w:tblW w:w="5000" w:type="pct"/>
        <w:jc w:val="left"/>
        <w:tblInd w:w="0" w:type="dxa"/>
        <w:tblCellMar>
          <w:top w:w="0" w:type="dxa"/>
          <w:left w:w="0" w:type="dxa"/>
          <w:bottom w:w="0" w:type="dxa"/>
          <w:right w:w="0" w:type="dxa"/>
        </w:tblCellMar>
      </w:tblPr>
      <w:tblGrid>
        <w:gridCol w:w="372"/>
        <w:gridCol w:w="9833"/>
      </w:tblGrid>
      <w:tr>
        <w:trPr/>
        <w:tc>
          <w:tcPr>
            <w:tcW w:w="372" w:type="dxa"/>
            <w:tcBorders/>
            <w:shd w:fill="auto" w:val="clear"/>
          </w:tcPr>
          <w:p>
            <w:pPr>
              <w:pStyle w:val="TableContents"/>
              <w:spacing w:before="0" w:after="0"/>
              <w:jc w:val="right"/>
              <w:rPr/>
            </w:pPr>
            <w:r>
              <w:rPr/>
              <w:t>●  </w:t>
            </w:r>
          </w:p>
        </w:tc>
        <w:tc>
          <w:tcPr>
            <w:tcW w:w="9833" w:type="dxa"/>
            <w:tcBorders/>
            <w:shd w:fill="auto" w:val="clear"/>
          </w:tcPr>
          <w:p>
            <w:pPr>
              <w:pStyle w:val="TableContents"/>
              <w:spacing w:before="0" w:after="0"/>
              <w:ind w:left="0" w:right="0" w:hanging="0"/>
              <w:jc w:val="both"/>
              <w:rPr>
                <w:rFonts w:ascii="helvetica" w:hAnsi="helvetica"/>
                <w:sz w:val="20"/>
              </w:rPr>
            </w:pPr>
            <w:r>
              <w:rPr>
                <w:rFonts w:ascii="helvetica" w:hAnsi="helvetica"/>
                <w:sz w:val="20"/>
              </w:rPr>
              <w:t>potentially produces patentable new products when combined with established or new drugs.</w:t>
            </w:r>
          </w:p>
        </w:tc>
      </w:tr>
    </w:tbl>
    <w:p>
      <w:pPr>
        <w:pStyle w:val="TextBody"/>
        <w:spacing w:before="0" w:after="0"/>
        <w:ind w:left="0" w:right="0" w:hanging="0"/>
        <w:jc w:val="both"/>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681" w:name="PGBRK52"/>
      <w:bookmarkStart w:id="682" w:name="PGBRK52"/>
      <w:bookmarkEnd w:id="68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683" w:name="FTR52"/>
      <w:bookmarkStart w:id="684" w:name="FTR52"/>
      <w:bookmarkEnd w:id="68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685" w:name="GLFTR51"/>
      <w:bookmarkEnd w:id="685"/>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helvetica" w:hAnsi="helvetica"/>
          <w:sz w:val="20"/>
        </w:rPr>
      </w:pPr>
      <w:bookmarkStart w:id="686" w:name="PN51"/>
      <w:bookmarkEnd w:id="686"/>
      <w:r>
        <w:rPr>
          <w:rFonts w:ascii="helvetica" w:hAnsi="helvetica"/>
          <w:sz w:val="20"/>
        </w:rPr>
        <w:t>50</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687" w:name="HDR51"/>
      <w:bookmarkStart w:id="688" w:name="HDR51"/>
      <w:bookmarkEnd w:id="68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689" w:name="GLHDR51"/>
      <w:bookmarkEnd w:id="689"/>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pPr>
      <w:r>
        <w:rPr/>
        <w:t> </w:t>
      </w:r>
    </w:p>
    <w:p>
      <w:pPr>
        <w:pStyle w:val="TextBody"/>
        <w:spacing w:before="0" w:after="0"/>
        <w:ind w:left="0" w:right="0" w:hanging="0"/>
        <w:jc w:val="both"/>
        <w:rPr/>
      </w:pPr>
      <w:r>
        <w:rPr/>
        <w:t> </w:t>
      </w:r>
    </w:p>
    <w:p>
      <w:pPr>
        <w:pStyle w:val="TextBody"/>
        <w:spacing w:before="0" w:after="0"/>
        <w:ind w:left="0" w:right="0" w:hanging="0"/>
        <w:jc w:val="both"/>
        <w:rPr>
          <w:rFonts w:ascii="helvetica" w:hAnsi="helvetica"/>
          <w:b/>
          <w:sz w:val="20"/>
        </w:rPr>
      </w:pPr>
      <w:r>
        <w:rPr>
          <w:rFonts w:ascii="helvetica" w:hAnsi="helvetica"/>
          <w:b/>
          <w:sz w:val="20"/>
        </w:rPr>
        <w:t>Product Development Program</w:t>
      </w:r>
    </w:p>
    <w:p>
      <w:pPr>
        <w:pStyle w:val="TextBody"/>
        <w:spacing w:before="0" w:after="0"/>
        <w:ind w:left="0" w:right="0" w:hanging="0"/>
        <w:jc w:val="both"/>
        <w:rPr/>
      </w:pPr>
      <w:r>
        <w:rPr/>
        <w:t> </w:t>
      </w:r>
    </w:p>
    <w:p>
      <w:pPr>
        <w:pStyle w:val="TextBody"/>
        <w:spacing w:before="0" w:after="0"/>
        <w:ind w:left="0" w:right="0" w:firstLine="720"/>
        <w:jc w:val="left"/>
        <w:rPr/>
      </w:pPr>
      <w:r>
        <w:rPr>
          <w:rFonts w:ascii="helvetica" w:hAnsi="helvetica"/>
          <w:sz w:val="20"/>
        </w:rPr>
        <w:t>We believe that the clinical success of Impracor will facilitate the use of the Accudel delivery technology in other products. We have identified development opportunities for potential products in pain management and other therapeutic areas utilizing the Accudel platform technology and we are exploring potential commercial relationships for these identified product candidates.  In particular, we are currently considering potential new drug candidates in the muscle relaxant and neuropathic pain fields, and we expect those to be our next avenues for new product development. We estimate that pre-Phase 3 clinical studies for these two potential product candidates could each be completed approximately 18 to 24 months after their commencement, and that costs for such development would range from approximately $2 million to $2.5 million for each proposed drug candidate, after their commencement.</w:t>
      </w:r>
      <w:r>
        <w:rPr/>
        <w:t xml:space="preserve"> </w:t>
      </w:r>
    </w:p>
    <w:p>
      <w:pPr>
        <w:pStyle w:val="TextBody"/>
        <w:spacing w:before="0" w:after="0"/>
        <w:ind w:left="0" w:right="0" w:hanging="0"/>
        <w:jc w:val="both"/>
        <w:rPr/>
      </w:pPr>
      <w:r>
        <w:rPr/>
        <w:t> </w:t>
      </w:r>
    </w:p>
    <w:p>
      <w:pPr>
        <w:pStyle w:val="TextBody"/>
        <w:spacing w:before="0" w:after="0"/>
        <w:ind w:left="0" w:right="0" w:firstLine="720"/>
        <w:jc w:val="left"/>
        <w:rPr/>
      </w:pPr>
      <w:r>
        <w:rPr>
          <w:rFonts w:ascii="helvetica" w:hAnsi="helvetica"/>
          <w:sz w:val="20"/>
        </w:rPr>
        <w:t>In addition, we expect our new relationship with PCCA to facilitate our future selection, development and formulation of potential product candidates. Our relationship with PCCA provides us with exclusive access to and use of PCCA’s proprietary drug formulations and drug delivery technologies, as well as an extensive database of generic and other drug prescription information provided by PCCA’s member pharmacies and physicians. We plan to use our proprietary Accudel drug delivery technology, coupled with these licensed technologies, formulations and data, to identify markets in which we perceive development opportunities for new drug products and to develop reformatted and repurposed generic drugs, a process that we describe as “Generecycle.”</w:t>
      </w:r>
      <w:r>
        <w:rPr/>
        <w:t xml:space="preserve"> </w:t>
      </w:r>
    </w:p>
    <w:p>
      <w:pPr>
        <w:pStyle w:val="TextBody"/>
        <w:spacing w:before="0" w:after="0"/>
        <w:ind w:left="0" w:right="0" w:hanging="0"/>
        <w:jc w:val="both"/>
        <w:rPr/>
      </w:pPr>
      <w:r>
        <w:rPr/>
        <w:t> </w:t>
      </w:r>
    </w:p>
    <w:p>
      <w:pPr>
        <w:pStyle w:val="TextBody"/>
        <w:spacing w:before="0" w:after="0"/>
        <w:ind w:left="0" w:right="0" w:firstLine="720"/>
        <w:jc w:val="left"/>
        <w:rPr/>
      </w:pPr>
      <w:r>
        <w:rPr>
          <w:rFonts w:ascii="helvetica" w:hAnsi="helvetica"/>
          <w:sz w:val="20"/>
        </w:rPr>
        <w:t>In the past our product development program has included cosmetic and cosmeceutical products utilizing our patented transdermal delivery system technology, Accudel. Our lead product candidate was an anti-cellulite formulation, for which we have initial clinical information supporting the beneficial effects of this cosmetic product on skin appearance. Our potential pipeline of cosmetic products includes hyperpigmentation and anti-aging formulations. We remain interested in pursuing this business opportunity and continue to consider entering into new relationships with third parties.  We may also pursue the out-licensing of our Accudel drug delivery technology for the development and commercialization of additional innovative drug and cosmeceutical products.</w:t>
      </w:r>
      <w:r>
        <w:rPr/>
        <w:t xml:space="preserve"> </w:t>
      </w:r>
    </w:p>
    <w:p>
      <w:pPr>
        <w:pStyle w:val="TextBody"/>
        <w:spacing w:before="0" w:after="0"/>
        <w:ind w:left="0" w:right="0" w:hanging="0"/>
        <w:jc w:val="both"/>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690" w:name="PGBRK53"/>
      <w:bookmarkStart w:id="691" w:name="PGBRK53"/>
      <w:bookmarkEnd w:id="69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692" w:name="FTR53"/>
      <w:bookmarkStart w:id="693" w:name="FTR53"/>
      <w:bookmarkEnd w:id="69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694" w:name="GLFTR52"/>
      <w:bookmarkEnd w:id="694"/>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helvetica" w:hAnsi="helvetica"/>
          <w:sz w:val="20"/>
        </w:rPr>
      </w:pPr>
      <w:bookmarkStart w:id="695" w:name="PN52"/>
      <w:bookmarkEnd w:id="695"/>
      <w:r>
        <w:rPr>
          <w:rFonts w:ascii="helvetica" w:hAnsi="helvetica"/>
          <w:sz w:val="20"/>
        </w:rPr>
        <w:t>51</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696" w:name="HDR52"/>
      <w:bookmarkStart w:id="697" w:name="HDR52"/>
      <w:bookmarkEnd w:id="69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698" w:name="GLHDR52"/>
      <w:bookmarkEnd w:id="698"/>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pPr>
      <w:r>
        <w:rPr/>
        <w:t> </w:t>
      </w:r>
    </w:p>
    <w:p>
      <w:pPr>
        <w:pStyle w:val="TextBody"/>
        <w:spacing w:before="0" w:after="0"/>
        <w:ind w:left="0" w:right="0" w:hanging="0"/>
        <w:jc w:val="left"/>
        <w:rPr>
          <w:rFonts w:ascii="helvetica" w:hAnsi="helvetica"/>
          <w:b/>
          <w:sz w:val="20"/>
        </w:rPr>
      </w:pPr>
      <w:r>
        <w:rPr>
          <w:rFonts w:ascii="helvetica" w:hAnsi="helvetica"/>
          <w:b/>
          <w:sz w:val="20"/>
        </w:rPr>
        <w:t>Market and Opportunity</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r>
        <w:rPr>
          <w:rFonts w:ascii="helvetica" w:hAnsi="helvetica"/>
          <w:sz w:val="20"/>
        </w:rPr>
        <w:t>According to Wolters-Kluwer PHAST, the U.S. pain market was approximately $39.8 billion in 2011.  Of that total, the NSAID market made up approximately $13.5 billion from approximately 155 million written prescriptions.  The topical NSAID market in 2011 was approximately $506 million, averaging an approximately 28% compound annual growth rate since 2007.</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r>
        <w:rPr>
          <w:rFonts w:ascii="helvetica" w:hAnsi="helvetica"/>
          <w:sz w:val="20"/>
        </w:rPr>
        <w:t xml:space="preserve">According to the Archives of Internal Medicine, NSAIDs are regularly used by more than 60 million Americans.   Approximately 70% of  people aged 65 or older take NSAIDs weekly.  As a result of the widespread usage of oral NSAIDs, according to Bandolier, there are over 100,000 hospitalizations annually and 16,500 deaths in the U.S. due to gastro-intestinal complications annually.  In the United Kingdom, there are approximately 12,000 hospitalizations and an estimated 2,600 deaths annually related to GI complications following oral NSAID use per year.  One study published in 1998 in the American Journal of Medicine found that NSAID-related gastro-intestinal side effects caused almost as many deaths as asthma, cervical cancer and malignant melanoma combined, and another 1999 sutdy publinshed in the Journal of Rheumatology found that death resulting from gastro-intestinal complications was the 15th most common cause of death in the U.S., higher than cervical cancer, asthma and malignant melanoma.  According to Singh G, Triadafilopoulos G., Epidemiology of NSAID induced gastrointestinal complications, </w:t>
      </w:r>
      <w:r>
        <w:rPr>
          <w:rFonts w:ascii="helvetica" w:hAnsi="helvetica"/>
          <w:i/>
          <w:sz w:val="20"/>
        </w:rPr>
        <w:t>J Rheumatol</w:t>
      </w:r>
      <w:r>
        <w:rPr>
          <w:rFonts w:ascii="helvetica" w:hAnsi="helvetica"/>
          <w:sz w:val="20"/>
        </w:rPr>
        <w:t>. 1999, the hospitalizations and deaths related to  sytemic NSAID use has a financial impact of more than $2 billion per year in the U.S.  Therefore, we believe there is a significant demand from physicians and patients for topical pain management products such as Impracor, especially with respect to the treatment of localized, acute musculoskeletal pain, which we believe is driven primarily by the concern of possible negative systemic effects of orally administered NSAIDs.</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r>
        <w:rPr>
          <w:rFonts w:ascii="helvetica" w:hAnsi="helvetica"/>
          <w:sz w:val="20"/>
        </w:rPr>
        <w:t>We believe there is a large and growing need for Impracor, and specifically, a non-liquid topical NSAID.  Recent prescription data from Wolters-Kluwer PHAST through May 2012 showed that following a production disruption with Voltaren® gel, the leading topical NSAID in prescription volume, and a corresponding spike in prescription volume for Pennsaid (a liquid) and Flector (a patch), once the Voltaren® gel supply issues were resolved in April 2012, prescription volumes for Voltaren® gel dramatically increased, nearly to pre-failure volumes.  We believe that this data shows that there is a market preference for gels over liquids and patches, and we further believe there may also be a market preference for creams such as Impracor as well.</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r>
        <w:rPr>
          <w:rFonts w:ascii="helvetica" w:hAnsi="helvetica"/>
          <w:sz w:val="20"/>
        </w:rPr>
        <w:t>Assuming that we can show positive efficacy and strong safety data, and assuming FDA approval of Impracor, we believe we will be able to enter into an agreement on reasonable terms with a suitable marketing partner to distribute Impracor.  We also intend to assess alternative options, in parallel, to invest in the distribution of Impracor alone or in partnership with a more established sales organization.  We believe that finding a marketing partner with a sales force that will call on physicians who would potentially prescribe Impracor is of critical importance.  Given the growth in the use of topical NSAIDs we believe that interest in bringing Impracor to market by strong partners under acceptable terms should be significant.</w:t>
      </w:r>
    </w:p>
    <w:p>
      <w:pPr>
        <w:pStyle w:val="TextBody"/>
        <w:spacing w:before="0" w:after="0"/>
        <w:ind w:left="0" w:right="0" w:hanging="0"/>
        <w:jc w:val="both"/>
        <w:rPr/>
      </w:pPr>
      <w:r>
        <w:rPr/>
        <w:t> </w:t>
      </w:r>
    </w:p>
    <w:p>
      <w:pPr>
        <w:pStyle w:val="TextBody"/>
        <w:spacing w:before="0" w:after="0"/>
        <w:ind w:left="0" w:right="0" w:hanging="0"/>
        <w:jc w:val="left"/>
        <w:rPr>
          <w:rFonts w:ascii="helvetica" w:hAnsi="helvetica"/>
          <w:b/>
          <w:sz w:val="20"/>
        </w:rPr>
      </w:pPr>
      <w:r>
        <w:rPr>
          <w:rFonts w:ascii="helvetica" w:hAnsi="helvetica"/>
          <w:b/>
          <w:sz w:val="20"/>
        </w:rPr>
        <w:t>Competition</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r>
        <w:rPr>
          <w:rFonts w:ascii="helvetica" w:hAnsi="helvetica"/>
          <w:sz w:val="20"/>
        </w:rPr>
        <w:t xml:space="preserve">The pharmaceutical industry is highly competitive. There are competitors in the United States that are currently selling FDA-approved topical NSAID products that our products would compete with, if our products are approved by the FDA.  Also, we are aware of companies developing patch products, topical NSAIDs and other pain formulations. </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r>
        <w:rPr>
          <w:rFonts w:ascii="helvetica" w:hAnsi="helvetica"/>
          <w:sz w:val="20"/>
        </w:rPr>
        <w:t>In the topical NSAID category, since 2008, three diclofenac-based topical NSAID products have been introduced in the US market: Endo Pharmaceutical’s Voltaren® gel (licensed from Novartis), Alpharma’s (now subsidiary of Pfizer) Flector® patch and Covidien’s Pennsaid® Topical Solution (licensed from Nuvo).  While Voltaren Gel and Pennsaid are indicated for osteoarthritis of the knee, Flector Patch is indicated for acute sprains and strains.   The three FDA approved topical NSAID products currently in the US market are all diclofenac-based.   Currently, there are no FDA approved non-diclofenac-based topical NSAID products in the US market. We believe that additional transdermal NSAID products such as our ketoprofen-based Impracor would be well received by the FDA and patients by providing safe and effective treatment options to address pain in addition to diclofenac-based products.</w:t>
      </w:r>
    </w:p>
    <w:p>
      <w:pPr>
        <w:pStyle w:val="TextBody"/>
        <w:spacing w:before="0" w:after="0"/>
        <w:ind w:left="0" w:right="0" w:hanging="0"/>
        <w:jc w:val="both"/>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699" w:name="PGBRK54"/>
      <w:bookmarkStart w:id="700" w:name="PGBRK54"/>
      <w:bookmarkEnd w:id="70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701" w:name="FTR54"/>
      <w:bookmarkStart w:id="702" w:name="FTR54"/>
      <w:bookmarkEnd w:id="70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703" w:name="GLFTR53"/>
      <w:bookmarkEnd w:id="703"/>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helvetica" w:hAnsi="helvetica"/>
          <w:sz w:val="20"/>
        </w:rPr>
      </w:pPr>
      <w:bookmarkStart w:id="704" w:name="PN53"/>
      <w:bookmarkEnd w:id="704"/>
      <w:r>
        <w:rPr>
          <w:rFonts w:ascii="helvetica" w:hAnsi="helvetica"/>
          <w:sz w:val="20"/>
        </w:rPr>
        <w:t>52</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705" w:name="HDR53"/>
      <w:bookmarkStart w:id="706" w:name="HDR53"/>
      <w:bookmarkEnd w:id="70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707" w:name="GLHDR53"/>
      <w:bookmarkEnd w:id="707"/>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r>
        <w:rPr>
          <w:rFonts w:ascii="helvetica" w:hAnsi="helvetica"/>
          <w:sz w:val="20"/>
        </w:rPr>
        <w:t>According to Wolters-Kluwer PHAST, as of December 2011, Voltaren® gel dominated the topical NSAID market with approximately 74% of the U.S. monthly prescription volume.  Flector® patch held the number two position with approximately 16% of the U.S. monthly prescription volume.  Solaraze® Gel held the number three position in the market with approximately 6% of the U.S. monthly prescription volume. Pennsaid® Topical Solution makes up the remaining 4% of  topical NSAID prescriptions</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r>
        <w:rPr>
          <w:rFonts w:ascii="helvetica" w:hAnsi="helvetica"/>
          <w:sz w:val="20"/>
        </w:rPr>
        <w:t>In addition to product safety, development and efficacy, other competitive factors in the pharmaceutical market include product quality and price, reputation, service and access to scientific and technical information.  It is possible that developments by our competitors will make our products or technologies uncompetitive or obsolete.  In addition, the intensely competitive environment for pain management products requires an ongoing, extensive search for medical and technological innovations and the ability to market products effectively, including the ability to communicate the effectiveness, safety and value of branded products for their intended uses to healthcare professionals in private practice, group practices and managed care organizations.  Because we are significantly smaller than our primary competitors, we may lack the financial and other resources needed to develop, produce, distribute, market and commercialize any of our drug candidates or compete for market share in the pain management sector.</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r>
        <w:rPr>
          <w:rFonts w:ascii="helvetica" w:hAnsi="helvetica"/>
          <w:sz w:val="20"/>
        </w:rPr>
        <w:t>At this time, no generic version of any of the three currently marketed topical NSAID drugs have been approved by the FDA.  Additionally, the Office of Generic Drugs, or OGD, recently issued draft guidance representing the FDA’s opinion on the requirements for approval of a generic version of the currently marketed topical NSAIDs, Voltaren Gel and Flector Patch. OGD recommends a bioequivalence study with clinical endpoints and/or a bioequivalence study with pharmacokinetic endpoints and/or a skin irritation and sensitization study to determine bioequivalence between the products, i.e. demonstrating that there is no difference between the original drug and the generic. We believe that the cost to develop a generic topical NSAID is comparable to the cost of a Phase 3 new drug application and thereby discourages companies from genericizing the topical NSAID category of drugs.</w:t>
      </w:r>
    </w:p>
    <w:p>
      <w:pPr>
        <w:pStyle w:val="TextBody"/>
        <w:spacing w:before="0" w:after="0"/>
        <w:ind w:left="0" w:right="0" w:hanging="0"/>
        <w:jc w:val="both"/>
        <w:rPr/>
      </w:pPr>
      <w:r>
        <w:rPr/>
        <w:t> </w:t>
      </w:r>
    </w:p>
    <w:p>
      <w:pPr>
        <w:pStyle w:val="TextBody"/>
        <w:spacing w:before="0" w:after="0"/>
        <w:ind w:left="0" w:right="0" w:hanging="0"/>
        <w:jc w:val="left"/>
        <w:rPr>
          <w:rFonts w:ascii="helvetica" w:hAnsi="helvetica"/>
          <w:b/>
          <w:sz w:val="20"/>
        </w:rPr>
      </w:pPr>
      <w:r>
        <w:rPr>
          <w:rFonts w:ascii="helvetica" w:hAnsi="helvetica"/>
          <w:b/>
          <w:sz w:val="20"/>
        </w:rPr>
        <w:t>Governmental Regulation</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r>
        <w:rPr>
          <w:rFonts w:ascii="helvetica" w:hAnsi="helvetica"/>
          <w:sz w:val="20"/>
        </w:rPr>
        <w:t>Our ongoing product development activities are subject to extensive and rigorous regulation at both the federal and state levels. Post development, the manufacture, testing, packaging, labeling, distribution, sales and marketing of our products is also subject to extensive regulation.  The Federal Food, Drug and Cosmetic Act of 1983, as amended, and other federal and state statutes and regulations govern or influence the testing, manufacture, safety, packaging, labeling, storage, record keeping, approval, advertising, promotion, sale and distribution of pharmaceutical products. Noncompliance with applicable requirements can result in fines, recall or seizure of products, total or partial suspension of production and/or distribution, refusal of the government to approve New Drug Applications, or NDAs, civil sanctions and criminal prosecution.</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bookmarkStart w:id="708" w:name="eolpage9"/>
      <w:bookmarkEnd w:id="708"/>
      <w:r>
        <w:rPr>
          <w:rFonts w:ascii="helvetica" w:hAnsi="helvetica"/>
          <w:sz w:val="20"/>
        </w:rPr>
        <w:t>FDA approval is typically required before each dosage form or strength of any new drug can be marketed.  Applications for FDA approval must contain information relating to efficacy, safety, toxicity, pharmacokinetics, product formulation, raw material suppliers, stability, manufacturing processes, packaging, labeling, and quality control. The FDA also has the authority to revoke previously granted drug approvals.  Product development and approval within this regulatory framework requires a number of years and involves the expenditure of substantial resources.</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r>
        <w:rPr>
          <w:rFonts w:ascii="helvetica" w:hAnsi="helvetica"/>
          <w:sz w:val="20"/>
        </w:rPr>
        <w:t>Current FDA standards for approving new pharmaceutical products are more stringent than those that were applied in the past. As a result, labeling revisions, formulation or manufacturing changes and/or product modifications may be necessary. For example, due to an increased understanding of the cardiovascular and gastrointestinal risks associated with NSAIDs, the FDA approved new rules requiring that professional labeling for all prescription and over-the-counter NSAIDs include information on such risks.  We cannot determine what effect changes in regulations or legal interpretations, when and if promulgated, may have on our business in the future. Changes could, among other things, require expanded or different labeling, the recall or discontinuance of certain products, additional record keeping and expanded documentation of the properties of certain products and scientific substantiation.  Such regulatory changes, or new legislation, could have a material adverse effect on our business, financial condition and results of operations.  The evolving and complex nature of regulatory requirements, the broad authority and discretion of the FDA and the generally high level of regulatory oversight results in a continuing possibility that from time to time, we will be adversely affected by regulatory actions despite ongoing efforts and commitment to achieve and maintain full compliance with all regulatory requirements.</w:t>
      </w:r>
    </w:p>
    <w:p>
      <w:pPr>
        <w:pStyle w:val="TextBody"/>
        <w:spacing w:before="0" w:after="0"/>
        <w:ind w:left="0" w:right="0" w:hanging="0"/>
        <w:jc w:val="both"/>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709" w:name="PGBRK55"/>
      <w:bookmarkStart w:id="710" w:name="PGBRK55"/>
      <w:bookmarkEnd w:id="71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711" w:name="FTR55"/>
      <w:bookmarkStart w:id="712" w:name="FTR55"/>
      <w:bookmarkEnd w:id="71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713" w:name="GLFTR54"/>
      <w:bookmarkEnd w:id="713"/>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helvetica" w:hAnsi="helvetica"/>
          <w:sz w:val="20"/>
        </w:rPr>
      </w:pPr>
      <w:bookmarkStart w:id="714" w:name="PN54"/>
      <w:bookmarkEnd w:id="714"/>
      <w:r>
        <w:rPr>
          <w:rFonts w:ascii="helvetica" w:hAnsi="helvetica"/>
          <w:sz w:val="20"/>
        </w:rPr>
        <w:t>53</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715" w:name="HDR54"/>
      <w:bookmarkStart w:id="716" w:name="HDR54"/>
      <w:bookmarkEnd w:id="71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717" w:name="GLHDR54"/>
      <w:bookmarkEnd w:id="717"/>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pPr>
      <w:r>
        <w:rPr/>
        <w:t> </w:t>
      </w:r>
    </w:p>
    <w:p>
      <w:pPr>
        <w:pStyle w:val="TextBody"/>
        <w:spacing w:before="0" w:after="0"/>
        <w:ind w:left="0" w:right="0" w:hanging="0"/>
        <w:jc w:val="left"/>
        <w:rPr>
          <w:rFonts w:ascii="helvetica" w:hAnsi="helvetica"/>
          <w:b/>
          <w:sz w:val="20"/>
        </w:rPr>
      </w:pPr>
      <w:r>
        <w:rPr>
          <w:rFonts w:ascii="helvetica" w:hAnsi="helvetica"/>
          <w:b/>
          <w:sz w:val="20"/>
        </w:rPr>
        <w:t>FDA Approval Process</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r>
        <w:rPr>
          <w:rFonts w:ascii="helvetica" w:hAnsi="helvetica"/>
          <w:sz w:val="20"/>
        </w:rPr>
        <w:t>To obtain approval of a new product from the FDA, we must, among other requirements, submit data supporting safety and efficacy, as well as detailed information on the manufacture and composition of the product and proposed labeling. The testing and collection of data and the preparation of necessary applications are expensive and time-consuming. The FDA may not act quickly or favorably in reviewing these applications, and we may encounter significant difficulties or costs in our efforts to obtain FDA approvals that could delay or preclude us from marketing our products.</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r>
        <w:rPr>
          <w:rFonts w:ascii="helvetica" w:hAnsi="helvetica"/>
          <w:sz w:val="20"/>
        </w:rPr>
        <w:t>The process required by the FDA before a new drug may be marketed in the U.S. generally involves the following: (i) completion of nonclinical laboratory and animal testing in compliance with FDA regulations; (ii) submission of an investigational new drug application, which must become effective before human clinical trials may begin; (iii) performance of adequate and well-controlled human clinical trials to establish the safety and efficacy of the proposed drug for its intended use; and (iv) submission and approval of an NDA by the FDA.</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r>
        <w:rPr>
          <w:rFonts w:ascii="helvetica" w:hAnsi="helvetica"/>
          <w:sz w:val="20"/>
        </w:rPr>
        <w:t>The sponsor typically conducts human clinical trials in the following three sequential phases, but the phases may overlap</w:t>
      </w:r>
    </w:p>
    <w:p>
      <w:pPr>
        <w:pStyle w:val="TextBody"/>
        <w:spacing w:before="0" w:after="0"/>
        <w:ind w:left="0" w:right="0" w:hanging="0"/>
        <w:jc w:val="both"/>
        <w:rPr/>
      </w:pPr>
      <w:r>
        <w:rPr/>
        <w:t> </w:t>
      </w:r>
    </w:p>
    <w:p>
      <w:pPr>
        <w:pStyle w:val="Normal"/>
        <w:spacing w:before="0" w:after="0"/>
        <w:rPr>
          <w:sz w:val="4"/>
          <w:szCs w:val="4"/>
        </w:rPr>
      </w:pPr>
      <w:r>
        <w:rPr>
          <w:sz w:val="4"/>
          <w:szCs w:val="4"/>
        </w:rPr>
      </w:r>
      <w:bookmarkStart w:id="718" w:name="list99"/>
      <w:bookmarkStart w:id="719" w:name="list99"/>
      <w:bookmarkEnd w:id="719"/>
    </w:p>
    <w:tbl>
      <w:tblPr>
        <w:tblW w:w="5000" w:type="pct"/>
        <w:jc w:val="left"/>
        <w:tblInd w:w="0" w:type="dxa"/>
        <w:tblCellMar>
          <w:top w:w="0" w:type="dxa"/>
          <w:left w:w="0" w:type="dxa"/>
          <w:bottom w:w="0" w:type="dxa"/>
          <w:right w:w="0" w:type="dxa"/>
        </w:tblCellMar>
      </w:tblPr>
      <w:tblGrid>
        <w:gridCol w:w="304"/>
        <w:gridCol w:w="9901"/>
      </w:tblGrid>
      <w:tr>
        <w:trPr/>
        <w:tc>
          <w:tcPr>
            <w:tcW w:w="304" w:type="dxa"/>
            <w:tcBorders/>
            <w:shd w:fill="auto" w:val="clear"/>
          </w:tcPr>
          <w:p>
            <w:pPr>
              <w:pStyle w:val="TableContents"/>
              <w:spacing w:before="0" w:after="0"/>
              <w:jc w:val="right"/>
              <w:rPr/>
            </w:pPr>
            <w:r>
              <w:rPr/>
              <w:t>●  </w:t>
            </w:r>
          </w:p>
        </w:tc>
        <w:tc>
          <w:tcPr>
            <w:tcW w:w="9901" w:type="dxa"/>
            <w:tcBorders/>
            <w:shd w:fill="auto" w:val="clear"/>
          </w:tcPr>
          <w:p>
            <w:pPr>
              <w:pStyle w:val="TableContents"/>
              <w:spacing w:before="0" w:after="0"/>
              <w:ind w:left="0" w:right="0" w:hanging="0"/>
              <w:jc w:val="both"/>
              <w:rPr>
                <w:rFonts w:ascii="helvetica" w:hAnsi="helvetica"/>
                <w:sz w:val="20"/>
              </w:rPr>
            </w:pPr>
            <w:r>
              <w:rPr>
                <w:rFonts w:ascii="helvetica" w:hAnsi="helvetica"/>
                <w:sz w:val="20"/>
              </w:rPr>
              <w:t>Phase 1 clinical studies frequently begin with the initial introduction of the compound into healthy human subjects prior to introduction into patients, involves testing the product for safety, adverse effects, dosage, tolerance, absorption, metabolism, excretion and other elements of clinical pharmacology.</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720" w:name="list100"/>
      <w:bookmarkStart w:id="721" w:name="list100"/>
      <w:bookmarkEnd w:id="721"/>
    </w:p>
    <w:tbl>
      <w:tblPr>
        <w:tblW w:w="5000" w:type="pct"/>
        <w:jc w:val="left"/>
        <w:tblInd w:w="0" w:type="dxa"/>
        <w:tblCellMar>
          <w:top w:w="0" w:type="dxa"/>
          <w:left w:w="0" w:type="dxa"/>
          <w:bottom w:w="0" w:type="dxa"/>
          <w:right w:w="0" w:type="dxa"/>
        </w:tblCellMar>
      </w:tblPr>
      <w:tblGrid>
        <w:gridCol w:w="304"/>
        <w:gridCol w:w="9901"/>
      </w:tblGrid>
      <w:tr>
        <w:trPr/>
        <w:tc>
          <w:tcPr>
            <w:tcW w:w="304" w:type="dxa"/>
            <w:tcBorders/>
            <w:shd w:fill="auto" w:val="clear"/>
          </w:tcPr>
          <w:p>
            <w:pPr>
              <w:pStyle w:val="TableContents"/>
              <w:spacing w:before="0" w:after="0"/>
              <w:jc w:val="right"/>
              <w:rPr/>
            </w:pPr>
            <w:r>
              <w:rPr/>
              <w:t>●  </w:t>
            </w:r>
          </w:p>
        </w:tc>
        <w:tc>
          <w:tcPr>
            <w:tcW w:w="9901" w:type="dxa"/>
            <w:tcBorders/>
            <w:shd w:fill="auto" w:val="clear"/>
          </w:tcPr>
          <w:p>
            <w:pPr>
              <w:pStyle w:val="TableContents"/>
              <w:spacing w:before="0" w:after="0"/>
              <w:ind w:left="0" w:right="0" w:hanging="0"/>
              <w:jc w:val="both"/>
              <w:rPr>
                <w:rFonts w:ascii="helvetica" w:hAnsi="helvetica"/>
                <w:sz w:val="20"/>
              </w:rPr>
            </w:pPr>
            <w:r>
              <w:rPr>
                <w:rFonts w:ascii="helvetica" w:hAnsi="helvetica"/>
                <w:sz w:val="20"/>
              </w:rPr>
              <w:t>Phase 2 clinical studies typically involve studies in a small sample of the intended patient population to assess the efficacy of the compound for a specific indication, to determine dose tolerance and the optimal dose range as well as to gather additional information relating to safety and potential adverse effects.</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722" w:name="list101"/>
      <w:bookmarkStart w:id="723" w:name="list101"/>
      <w:bookmarkEnd w:id="723"/>
    </w:p>
    <w:tbl>
      <w:tblPr>
        <w:tblW w:w="5000" w:type="pct"/>
        <w:jc w:val="left"/>
        <w:tblInd w:w="0" w:type="dxa"/>
        <w:tblCellMar>
          <w:top w:w="0" w:type="dxa"/>
          <w:left w:w="0" w:type="dxa"/>
          <w:bottom w:w="0" w:type="dxa"/>
          <w:right w:w="0" w:type="dxa"/>
        </w:tblCellMar>
      </w:tblPr>
      <w:tblGrid>
        <w:gridCol w:w="304"/>
        <w:gridCol w:w="9901"/>
      </w:tblGrid>
      <w:tr>
        <w:trPr/>
        <w:tc>
          <w:tcPr>
            <w:tcW w:w="304" w:type="dxa"/>
            <w:tcBorders/>
            <w:shd w:fill="auto" w:val="clear"/>
          </w:tcPr>
          <w:p>
            <w:pPr>
              <w:pStyle w:val="TableContents"/>
              <w:spacing w:before="0" w:after="0"/>
              <w:jc w:val="right"/>
              <w:rPr/>
            </w:pPr>
            <w:r>
              <w:rPr/>
              <w:t>●  </w:t>
            </w:r>
          </w:p>
        </w:tc>
        <w:tc>
          <w:tcPr>
            <w:tcW w:w="9901" w:type="dxa"/>
            <w:tcBorders/>
            <w:shd w:fill="auto" w:val="clear"/>
          </w:tcPr>
          <w:p>
            <w:pPr>
              <w:pStyle w:val="TableContents"/>
              <w:spacing w:before="0" w:after="0"/>
              <w:ind w:left="0" w:right="0" w:hanging="0"/>
              <w:jc w:val="both"/>
              <w:rPr>
                <w:rFonts w:ascii="helvetica" w:hAnsi="helvetica"/>
                <w:sz w:val="20"/>
              </w:rPr>
            </w:pPr>
            <w:r>
              <w:rPr>
                <w:rFonts w:ascii="helvetica" w:hAnsi="helvetica"/>
                <w:sz w:val="20"/>
              </w:rPr>
              <w:t>Phase 3 clinical studies are undertaken to further evaluate clinical safety and efficacy in an expanded patient population at typically dispersed study sites, in order to determine the overall risk-benefit ratio of the compound and to provide an adequate basis for product labeling.</w:t>
            </w:r>
          </w:p>
        </w:tc>
      </w:tr>
    </w:tbl>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r>
        <w:rPr>
          <w:rFonts w:ascii="helvetica" w:hAnsi="helvetica"/>
          <w:sz w:val="20"/>
        </w:rPr>
        <w:t>As a product candidate moves through the clinical phases, manufacturing processes are further defined, refined, controlled and validated. The level of control and validation required by the FDA in the conduct of clinical trials increases as clinical studies progress.</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r>
        <w:rPr>
          <w:rFonts w:ascii="helvetica" w:hAnsi="helvetica"/>
          <w:sz w:val="20"/>
        </w:rPr>
        <w:t>Clinical trials must be conducted in accordance with the FDA’s good clinical practices requirements. The FDA may order the temporary or permanent discontinuation of a clinical trial at any time or impose other sanctions if it believes that the clinical trial is not being conducted in accordance with FDA requirements or presents an unacceptable risk to the clinical trial patients. An institutional review board, or IRB, generally must approve the clinical trial design and patient informed consent at each clinical site and may also require the clinical trial at that site to be halted, either temporarily or permanently, for failure to comply with the IRB’s requirements, or may impose other conditions.</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r>
        <w:rPr>
          <w:rFonts w:ascii="helvetica" w:hAnsi="helvetica"/>
          <w:sz w:val="20"/>
        </w:rPr>
        <w:t>The applicant must submit to the FDA the results of the nonclinical studies and clinical trials, together with, among other things, detailed information on the manufacture and composition of the product and proposed labeling, in the form of an NDA, including payment of a user fee, unless waived. The FDA reviews all NDAs submitted before it accepts them for filing and may request additional information rather than accepting an NDA for filing. Once the submission is accepted for filing, the FDA begins an in-depth review of the NDA. Under the Prescription Drug User Fee Act, or PDUFA, the FDA ordinarily has 10 months in which to complete its initial review of the NDA and respond to the applicant. However, the PDUFA goal dates are not legal mandates and the FDA response often occurs several months beyond the original PDUFA goal date. The review process and the target response date under PDUFA may be extended if the FDA requests or the NDA sponsor otherwise provides additional information or clarification regarding information already provided in the NDA submission. Following completion of the FDA’s initial review of the NDA and the clinical and manufacturing procedures and facilities, the FDA will issue a complete response or action letter, which will either include an approval authorizing commercial marketing of the drug for certain indications or contain the conditions that must be met in order to secure final approval of the NDA. If the FDA’s evaluation of the NDA submission and the clinical and manufacturing procedures and facilities is not favorable, the FDA may refuse to approve the NDA.</w:t>
      </w:r>
    </w:p>
    <w:p>
      <w:pPr>
        <w:pStyle w:val="TextBody"/>
        <w:spacing w:before="0" w:after="0"/>
        <w:ind w:left="0" w:right="0" w:hanging="0"/>
        <w:jc w:val="both"/>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724" w:name="PGBRK56"/>
      <w:bookmarkStart w:id="725" w:name="PGBRK56"/>
      <w:bookmarkEnd w:id="72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726" w:name="FTR56"/>
      <w:bookmarkStart w:id="727" w:name="FTR56"/>
      <w:bookmarkEnd w:id="72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728" w:name="GLFTR55"/>
      <w:bookmarkEnd w:id="728"/>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helvetica" w:hAnsi="helvetica"/>
          <w:sz w:val="20"/>
        </w:rPr>
      </w:pPr>
      <w:bookmarkStart w:id="729" w:name="PN55"/>
      <w:bookmarkEnd w:id="729"/>
      <w:r>
        <w:rPr>
          <w:rFonts w:ascii="helvetica" w:hAnsi="helvetica"/>
          <w:sz w:val="20"/>
        </w:rPr>
        <w:t>54</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730" w:name="HDR55"/>
      <w:bookmarkStart w:id="731" w:name="HDR55"/>
      <w:bookmarkEnd w:id="73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732" w:name="GLHDR55"/>
      <w:bookmarkEnd w:id="732"/>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pPr>
      <w:r>
        <w:rPr/>
        <w:t> </w:t>
      </w:r>
    </w:p>
    <w:p>
      <w:pPr>
        <w:pStyle w:val="TextBody"/>
        <w:spacing w:before="0" w:after="0"/>
        <w:ind w:left="0" w:right="0" w:hanging="0"/>
        <w:jc w:val="left"/>
        <w:rPr>
          <w:rFonts w:ascii="helvetica" w:hAnsi="helvetica"/>
          <w:b/>
          <w:sz w:val="20"/>
        </w:rPr>
      </w:pPr>
      <w:r>
        <w:rPr>
          <w:rFonts w:ascii="helvetica" w:hAnsi="helvetica"/>
          <w:b/>
          <w:sz w:val="20"/>
        </w:rPr>
        <w:t>Section 505(b)(2) New Drug Applications</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r>
        <w:rPr>
          <w:rFonts w:ascii="helvetica" w:hAnsi="helvetica"/>
          <w:sz w:val="20"/>
        </w:rPr>
        <w:t>Since the active pharmaceutical ingredient in Impracor is ketoprofen, which has already been approved by the FDA, we are able to file a NDA under section 505(b)(2) of the Hatch-Waxman Act of 1984 for this product as well as other products that we may develop including approved active pharmaceutical ingredients.  This is an alternate path to FDA approval for new formulations of previously approved products. Section 505(b)(2) was enacted as part of the Drug Price Competition and Patent Term Restoration Act of 1984, otherwise known as the Hatch-Waxman Act. Section 505(b)(2) permits the submission of an NDA where at least some of the information required for approval comes from studies not conducted by or for the applicant and for which the applicant has not obtained a right of reference. The Hatch-Waxman Act permits the applicant to rely upon certain published nonclinical or clinical studies conducted for an approved product or the FDA’s conclusions from prior review of such studies. The FDA may also require companies to perform additional studies or measurements to support any changes from the approved product. The FDA may then approve the new product for all or some of the label indications for which the referenced product has been approved, as well as for any new indication sought by the Section 505(b)(2) applicant. While references to nonclinical and clinical data not generated by the applicant or for which the applicant does not have a right of reference are allowed, all development, process, stability, qualification and validation data related to the manufacturing and quality of the new product must be included in an NDA submitted under Section 505(b)(2).</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r>
        <w:rPr>
          <w:rFonts w:ascii="helvetica" w:hAnsi="helvetica"/>
          <w:sz w:val="20"/>
        </w:rPr>
        <w:t>Each study is conducted in accordance with certain standards under protocols that detail the objectives of the study, the parameters to be used to monitor safety, and efficacy criteria to be evaluated.  Each protocol must be submitted to the FDA.  In some cases, the FDA allows a company to rely on data developed in foreign countries or previously published data, which eliminates the need to independently repeat some or all of the studies.</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r>
        <w:rPr>
          <w:rFonts w:ascii="helvetica" w:hAnsi="helvetica"/>
          <w:sz w:val="20"/>
        </w:rPr>
        <w:t>To the extent that the Section 505(b)(2) applicant is relying on the FDA’s conclusions regarding studies conducted for an already approved product, the applicant is required to certify to the FDA concerning any patents listed for the approved product in the FDA’s Orange Book publication. Specifically, the applicant must certify that: (i) the required patent information has not been filed; (ii) the listed patent has expired; (iii) the listed patent has not expired, but will expire on a particular date and approval is sought after patent expiration; or (iv) the listed patent is invalid or will not be infringed by the new product. A certification that the new product will not infringe the already approved product’s listed patents or that such patents are invalid is called a paragraph IV certification. If the applicant does not challenge the listed patents, the Section 505(b)(2) application will not be approved until all the listed patents claiming the referenced product have expired. The Section 505(b)(2) application also will not be approved until any non-patent exclusivity, such as exclusivity for obtaining approval of a new chemical entity, listed in the Orange Book for the referenced product has expired.  As of July 24, 2012, there were 14 ketoprofen based prescription drugs approved by the FDA in the Orange Book.  All of the approved applications are for oral capsules and oral extended release capsules, with dosage strengths ranging from 25 milligrams to 200 milligrams.</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r>
        <w:rPr>
          <w:rFonts w:ascii="helvetica" w:hAnsi="helvetica"/>
          <w:sz w:val="20"/>
        </w:rPr>
        <w:t>As a condition of approval, the FDA or other regulatory authorities may require further studies, including Phase 4 post-marketing studies to provide additional data.  Other post-marketing studies may be required to gain approval for the use of a product as a treatment for clinical indications other than those for which the product was initially tested.  Also, the FDA or other regulatory authorities require post-marketing reporting to monitor the adverse effects of the drug.  Results of post-marketing programs may limit or expand the further marketing of the products.</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r>
        <w:rPr>
          <w:rFonts w:ascii="helvetica" w:hAnsi="helvetica"/>
          <w:sz w:val="20"/>
        </w:rPr>
        <w:t>The FDA closely regulates the post-approval marketing and promotion of drugs, including standards and regulations for direct-to-consumer advertising, off-label promotion, industry-sponsored scientific and educational activities and promotional activities involving the Internet.  A company can make only those claims relating to safety and efficacy that are approved by the FDA.  Failure to comply with these requirements can result in adverse publicity, warning letters, corrective advertising and potential civil and criminal penalties.  Physicians may prescribe legally available drugs for uses that are not described in the drug's labeling and that differ from those tested by us and approved by the FDA.  Such off-label uses are common across medical specialties.  Physicians may believe that such off-label uses are the best treatment for many patients in varied circumstances.  The FDA does not regulate the behavior of physicians in their choice of treatments. The FDA does, however, impose stringent restrictions on manufacturers’ communications regarding off-label use.</w:t>
      </w:r>
    </w:p>
    <w:p>
      <w:pPr>
        <w:pStyle w:val="TextBody"/>
        <w:spacing w:before="0" w:after="0"/>
        <w:ind w:left="0" w:right="0" w:hanging="0"/>
        <w:jc w:val="both"/>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733" w:name="PGBRK57"/>
      <w:bookmarkStart w:id="734" w:name="PGBRK57"/>
      <w:bookmarkEnd w:id="73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735" w:name="FTR57"/>
      <w:bookmarkStart w:id="736" w:name="FTR57"/>
      <w:bookmarkEnd w:id="73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737" w:name="GLFTR56"/>
      <w:bookmarkEnd w:id="737"/>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helvetica" w:hAnsi="helvetica"/>
          <w:sz w:val="20"/>
        </w:rPr>
      </w:pPr>
      <w:bookmarkStart w:id="738" w:name="PN56"/>
      <w:bookmarkEnd w:id="738"/>
      <w:r>
        <w:rPr>
          <w:rFonts w:ascii="helvetica" w:hAnsi="helvetica"/>
          <w:sz w:val="20"/>
        </w:rPr>
        <w:t>55</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739" w:name="HDR56"/>
      <w:bookmarkStart w:id="740" w:name="HDR56"/>
      <w:bookmarkEnd w:id="74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741" w:name="GLHDR56"/>
      <w:bookmarkEnd w:id="741"/>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pPr>
      <w:r>
        <w:rPr/>
        <w:t> </w:t>
      </w:r>
    </w:p>
    <w:p>
      <w:pPr>
        <w:pStyle w:val="TextBody"/>
        <w:spacing w:before="0" w:after="0"/>
        <w:ind w:left="0" w:right="0" w:hanging="0"/>
        <w:jc w:val="left"/>
        <w:rPr/>
      </w:pPr>
      <w:r>
        <w:rPr/>
        <w:t> </w:t>
      </w:r>
      <w:bookmarkStart w:id="742" w:name="eolPage11"/>
      <w:bookmarkEnd w:id="742"/>
      <w:r>
        <w:rPr>
          <w:rFonts w:ascii="Helvetica" w:hAnsi="Helvetica"/>
          <w:b/>
          <w:sz w:val="20"/>
        </w:rPr>
        <w:t>Quality Assurance Requirements</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r>
        <w:rPr>
          <w:rFonts w:ascii="helvetica" w:hAnsi="helvetica"/>
          <w:sz w:val="20"/>
        </w:rPr>
        <w:t>The FDA enforces regulations to ensure that the methods used in, and facilities and controls used for, the manufacture, processing, packing and holding of drugs conform to current good manufacturing practices, or cGMP.  The cGMP regulations the FDA enforces are comprehensive and cover all aspects of operations, from receipt of raw materials to finished product distribution, insofar as they bear upon whether drugs meet all the identity, strength, quality, purity and safety characteristics required of them.  To assure compliance requires a continuous commitment of time, money and effort in all operational areas. </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r>
        <w:rPr>
          <w:rFonts w:ascii="helvetica" w:hAnsi="helvetica"/>
          <w:sz w:val="20"/>
        </w:rPr>
        <w:t>The FDA conducts pre-approval inspections of facilities engaged in the development, manufacture, processing, packing, testing and holding of the drugs subject to NDAs.  If the FDA concludes that the facilities to be used do not meet cGMP, good laboratory practices or good clinical practices requirements, it will not approve the NDA. Corrective actions to remedy the deficiencies must be performed and verified in a subsequent inspection.  In addition, manufacturers of both pharmaceutical products and active pharmaceutical ingredients used to formulate the drug also ordinarily undergo a pre-approval inspection, although the inspection can be waived when the manufacturer has had a passing cGMP inspection in the immediate past.  Failure of any facility to pass a pre-approval inspection will result in delayed approval and would have a material adverse effect on our business, results of operations and financial condition.</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r>
        <w:rPr>
          <w:rFonts w:ascii="helvetica" w:hAnsi="helvetica"/>
          <w:sz w:val="20"/>
        </w:rPr>
        <w:t>The FDA also conducts periodic inspections of facilities to assess their cGMP status.  If the FDA were to find serious cGMP non-compliance during such an inspection, it could take regulatory actions that could adversely affect our business, results of operations and financial condition.  The FDA could initiate product seizures, request product recalls and seek to enjoin a product’s manufacture and distribution.  In certain circumstances, violations could lead to civil penalties and criminal prosecutions.  In addition, if the FDA concludes that a company is not in compliance with cGMP requirements, sanctions may be imposed that include preventing the company from receiving the necessary licenses to export its products and classifying the company as an “unacceptable supplier,” thereby disqualifying the company from selling products to federal agencies.  Imported active pharmaceutical ingredients and other components needed to manufacture our products could be rejected by United States Customs.</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r>
        <w:rPr>
          <w:rFonts w:ascii="helvetica" w:hAnsi="helvetica"/>
          <w:sz w:val="20"/>
        </w:rPr>
        <w:t>We believe that we and our suppliers and outside manufacturers are currently in compliance with all FDA requirements.</w:t>
      </w:r>
    </w:p>
    <w:p>
      <w:pPr>
        <w:pStyle w:val="TextBody"/>
        <w:spacing w:before="0" w:after="0"/>
        <w:ind w:left="0" w:right="0" w:firstLine="720"/>
        <w:jc w:val="left"/>
        <w:rPr/>
      </w:pPr>
      <w:r>
        <w:rPr/>
        <w:t> </w:t>
      </w:r>
    </w:p>
    <w:p>
      <w:pPr>
        <w:pStyle w:val="TextBody"/>
        <w:spacing w:before="0" w:after="0"/>
        <w:ind w:left="0" w:right="0" w:firstLine="720"/>
        <w:jc w:val="left"/>
        <w:rPr>
          <w:rFonts w:ascii="helvetica" w:hAnsi="helvetica"/>
          <w:sz w:val="20"/>
        </w:rPr>
      </w:pPr>
      <w:r>
        <w:rPr>
          <w:rFonts w:ascii="helvetica" w:hAnsi="helvetica"/>
          <w:sz w:val="20"/>
        </w:rPr>
        <w:t>Impracor is manufactured by a large contract manufacturer in the United States that specializes in topical products.  We believe that this supplier has sufficient capability to manufacture Impracor if it is approved for sale.  We are currently assessing alternative suppliers for Impracor in the event there are problems associated with the manufacturing of Impracor by our current contract supplier, although we do not expect any such problems to occur.  Our active pharmaceutical ingredients (APIs), including ketoprofen, are manufactured by well-known and established chemical and pharmaceutical companies.  We are currently assessing alternative suppliers for our ketoprofen API.  Our preferred vendors for our non-API inactive raw materials suppliers are established companies. </w:t>
      </w:r>
    </w:p>
    <w:p>
      <w:pPr>
        <w:pStyle w:val="TextBody"/>
        <w:spacing w:before="0" w:after="0"/>
        <w:ind w:left="0" w:right="0" w:hanging="0"/>
        <w:rPr/>
      </w:pPr>
      <w:r>
        <w:rPr/>
        <w:t> </w:t>
      </w:r>
    </w:p>
    <w:p>
      <w:pPr>
        <w:pStyle w:val="TextBody"/>
        <w:spacing w:before="0" w:after="0"/>
        <w:ind w:left="0" w:right="0" w:hanging="0"/>
        <w:jc w:val="left"/>
        <w:rPr/>
      </w:pPr>
      <w:r>
        <w:rPr/>
        <w:t> </w:t>
      </w:r>
      <w:r>
        <w:rPr>
          <w:rFonts w:ascii="helvetica" w:hAnsi="helvetica"/>
          <w:b/>
          <w:sz w:val="20"/>
        </w:rPr>
        <w:t>Other FDA Matters</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r>
        <w:rPr>
          <w:rFonts w:ascii="helvetica" w:hAnsi="helvetica"/>
          <w:sz w:val="20"/>
        </w:rPr>
        <w:t>If there are any modifications to an approved drug, including changes in indication, manufacturing process or labeling or a change in a manufacturing facility, an applicant must notify the FDA, and in many cases, approval for such changes must be submitted to the FDA or other regulatory authority.  The FDA also regulates post-approval promotional labeling and advertising activities to assure that such activities are being conducted in conformity with statutory and regulatory requirements.  Failure to adhere to such requirements can result in regulatory actions that could have a material adverse effect on our business, results of operations and financial condition.</w:t>
      </w:r>
    </w:p>
    <w:p>
      <w:pPr>
        <w:pStyle w:val="TextBody"/>
        <w:spacing w:before="0" w:after="0"/>
        <w:ind w:left="0" w:right="0" w:hanging="0"/>
        <w:jc w:val="both"/>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743" w:name="PGBRK58"/>
      <w:bookmarkStart w:id="744" w:name="PGBRK58"/>
      <w:bookmarkEnd w:id="74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745" w:name="FTR58"/>
      <w:bookmarkStart w:id="746" w:name="FTR58"/>
      <w:bookmarkEnd w:id="74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747" w:name="GLFTR57"/>
      <w:bookmarkEnd w:id="747"/>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helvetica" w:hAnsi="helvetica"/>
          <w:sz w:val="20"/>
        </w:rPr>
      </w:pPr>
      <w:bookmarkStart w:id="748" w:name="PN57"/>
      <w:bookmarkEnd w:id="748"/>
      <w:r>
        <w:rPr>
          <w:rFonts w:ascii="helvetica" w:hAnsi="helvetica"/>
          <w:sz w:val="20"/>
        </w:rPr>
        <w:t>56</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749" w:name="HDR57"/>
      <w:bookmarkStart w:id="750" w:name="HDR57"/>
      <w:bookmarkEnd w:id="75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751" w:name="GLHDR57"/>
      <w:bookmarkEnd w:id="751"/>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pPr>
      <w:r>
        <w:rPr/>
        <w:t> </w:t>
      </w:r>
    </w:p>
    <w:p>
      <w:pPr>
        <w:pStyle w:val="TextBody"/>
        <w:spacing w:before="0" w:after="0"/>
        <w:ind w:left="0" w:right="0" w:hanging="0"/>
        <w:jc w:val="left"/>
        <w:rPr>
          <w:rFonts w:ascii="helvetica" w:hAnsi="helvetica"/>
          <w:b/>
          <w:sz w:val="20"/>
        </w:rPr>
      </w:pPr>
      <w:r>
        <w:rPr>
          <w:rFonts w:ascii="helvetica" w:hAnsi="helvetica"/>
          <w:b/>
          <w:sz w:val="20"/>
        </w:rPr>
        <w:t>Research and Development</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r>
        <w:rPr>
          <w:rFonts w:ascii="helvetica" w:hAnsi="helvetica"/>
          <w:sz w:val="20"/>
        </w:rPr>
        <w:t>Our research and development expenses primarily include costs for the Impracor clinical program.  These expenses have included costs related to our Phase 3 clinical studies, including costs for our contract research organizations and investigator payments to the clinical sites participating in the study.  Other expenses are personnel costs including wages and stock-based compensation, contract manufacturing, non-clinical studies, consulting and other costs related to the clinical program.</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r>
        <w:rPr>
          <w:rFonts w:ascii="helvetica" w:hAnsi="helvetica"/>
          <w:sz w:val="20"/>
        </w:rPr>
        <w:t>During the year ended December 31, 2011, we incurred $111,554 on research and development expenses, as compared to $194,588 during the year ended December 31, 2010. During the six months ended June 30, 2012, we incurred $276,574 on research and development expenses, as compared to $111,554 during the six months ended June 30, 2011. We expect research and development activities will increase significantly as we execute on our business plan and begin additional Phase 3 studies.</w:t>
      </w:r>
    </w:p>
    <w:p>
      <w:pPr>
        <w:pStyle w:val="TextBody"/>
        <w:spacing w:before="0" w:after="0"/>
        <w:ind w:left="0" w:right="0" w:hanging="0"/>
        <w:jc w:val="both"/>
        <w:rPr/>
      </w:pPr>
      <w:r>
        <w:rPr/>
        <w:t> </w:t>
      </w:r>
    </w:p>
    <w:p>
      <w:pPr>
        <w:pStyle w:val="TextBody"/>
        <w:spacing w:before="0" w:after="0"/>
        <w:ind w:left="0" w:right="0" w:hanging="0"/>
        <w:jc w:val="left"/>
        <w:rPr>
          <w:rFonts w:ascii="helvetica" w:hAnsi="helvetica"/>
          <w:b/>
          <w:sz w:val="20"/>
        </w:rPr>
      </w:pPr>
      <w:r>
        <w:rPr>
          <w:rFonts w:ascii="helvetica" w:hAnsi="helvetica"/>
          <w:b/>
          <w:sz w:val="20"/>
        </w:rPr>
        <w:t>Intellectual Property</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r>
        <w:rPr>
          <w:rFonts w:ascii="helvetica" w:hAnsi="helvetica"/>
          <w:sz w:val="20"/>
        </w:rPr>
        <w:t xml:space="preserve">We obtained a patent from the United States Patent and Trademark Office on our Accudel technology in 1998, which affords protection of Accudel through 2016 in the United States.  This patent specifically lists over 500 different drugs in over 60 therapeutic areas, including both approved and established drugs.  The Accudel technology may also have an application to deliver drugs not listed in its patent, including novel drugs.  It also covers composition of matter, methods of use and methods of manufacture.  We have engaged counsel and consultants who have specific expertise in topical drug delivery to assist us in executing on an intellectual property strategy with the aim of extending the life of the technology derived from our existing patent beyond 2016.  We have also been granted a patent related to our Accudel technology in Canada.  We have filed additional patent applications in various jurisdictions.  We have pending trademark applications for Imprimis Pharmaceuticals, Accudel, Impracor and Generecycle. </w:t>
      </w:r>
    </w:p>
    <w:p>
      <w:pPr>
        <w:pStyle w:val="TextBody"/>
        <w:spacing w:before="0" w:after="0"/>
        <w:ind w:left="0" w:right="0" w:hanging="0"/>
        <w:jc w:val="both"/>
        <w:rPr/>
      </w:pPr>
      <w:r>
        <w:rPr/>
        <w:t> </w:t>
      </w:r>
    </w:p>
    <w:p>
      <w:pPr>
        <w:pStyle w:val="TextBody"/>
        <w:spacing w:before="0" w:after="0"/>
        <w:ind w:left="0" w:right="0" w:hanging="0"/>
        <w:jc w:val="left"/>
        <w:rPr>
          <w:rFonts w:ascii="helvetica" w:hAnsi="helvetica"/>
          <w:b/>
          <w:sz w:val="20"/>
        </w:rPr>
      </w:pPr>
      <w:r>
        <w:rPr>
          <w:rFonts w:ascii="helvetica" w:hAnsi="helvetica"/>
          <w:b/>
          <w:sz w:val="20"/>
        </w:rPr>
        <w:t>Employees</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r>
        <w:rPr>
          <w:rFonts w:ascii="helvetica" w:hAnsi="helvetica"/>
          <w:sz w:val="20"/>
        </w:rPr>
        <w:t>As of August 31, 2012, we have four full-time and one part-time employees.  Our employees are responsible for financial accounting and investor relations, business and corporate development, research and development management, and general administration. We believe that our current staff is sufficient to carry out our business plan in the coming twelve months; however, if our operations in the future require it, we will consider the employment of additional staff or the use of additional consultants. We are not party to any collective bargaining agreements with any of our employees. We have never experienced a work stoppage, and we believe our employee relations are good. We hire independent contractor labor and consultants on an as needed basis and have entered into consulting arrangements with certain directors in exchange for stock options and/or cash payments.</w:t>
      </w:r>
    </w:p>
    <w:p>
      <w:pPr>
        <w:pStyle w:val="TextBody"/>
        <w:spacing w:before="0" w:after="0"/>
        <w:ind w:left="0" w:right="0" w:firstLine="720"/>
        <w:jc w:val="left"/>
        <w:rPr/>
      </w:pPr>
      <w:r>
        <w:rPr/>
        <w:t> </w:t>
      </w:r>
    </w:p>
    <w:p>
      <w:pPr>
        <w:pStyle w:val="TextBody"/>
        <w:spacing w:before="0" w:after="0"/>
        <w:rPr/>
      </w:pPr>
      <w:r>
        <w:rPr>
          <w:b/>
        </w:rPr>
        <w:t>Scientific and Regulatory Advisors</w:t>
      </w:r>
      <w:r>
        <w:rPr/>
        <w:t xml:space="preserve"> </w:t>
      </w:r>
    </w:p>
    <w:p>
      <w:pPr>
        <w:pStyle w:val="TextBody"/>
        <w:spacing w:before="0" w:after="0"/>
        <w:ind w:left="0" w:right="0" w:firstLine="720"/>
        <w:jc w:val="left"/>
        <w:rPr/>
      </w:pPr>
      <w:r>
        <w:rPr/>
        <w:t> </w:t>
      </w:r>
    </w:p>
    <w:p>
      <w:pPr>
        <w:pStyle w:val="TextBody"/>
        <w:spacing w:before="0" w:after="0"/>
        <w:ind w:left="0" w:right="0" w:firstLine="720"/>
        <w:jc w:val="left"/>
        <w:rPr/>
      </w:pPr>
      <w:r>
        <w:rPr>
          <w:rFonts w:ascii="helvetica" w:hAnsi="helvetica"/>
          <w:sz w:val="20"/>
        </w:rPr>
        <w:t>On August 30, 2012, the Board approved the establishment of a scientific and regulatory advisory board to provide guidance to our management team relating to clinical trial procedures and product development.  The members of our advisory board are not members of our Board of Directors and do not otherwise hold management roles with the Company.</w:t>
      </w:r>
      <w:r>
        <w:rPr/>
        <w:t xml:space="preserve"> </w:t>
      </w:r>
    </w:p>
    <w:p>
      <w:pPr>
        <w:pStyle w:val="TextBody"/>
        <w:spacing w:before="0" w:after="0"/>
        <w:ind w:left="0" w:right="0" w:hanging="0"/>
        <w:jc w:val="left"/>
        <w:rPr/>
      </w:pPr>
      <w:r>
        <w:rPr/>
        <w:t> </w:t>
      </w:r>
    </w:p>
    <w:p>
      <w:pPr>
        <w:pStyle w:val="TextBody"/>
        <w:spacing w:before="0" w:after="0"/>
        <w:ind w:left="0" w:right="0" w:firstLine="720"/>
        <w:jc w:val="left"/>
        <w:rPr/>
      </w:pPr>
      <w:r>
        <w:rPr>
          <w:rFonts w:ascii="helvetica" w:hAnsi="helvetica"/>
          <w:sz w:val="20"/>
        </w:rPr>
        <w:t>Our advisory board currently has three members as follows:  Dr. Gerald J. Yakatan, Dr. Lee S. Simon, and Dr. Allan Green.  Dr. Yakatan has served in both academic and industrial environments in connection with pharmaceutical product development efforts, and we believe that his experience with the drug development and FDA approval process for various notable drug products will be valuable for our business.  Dr. Simon, who has served as a division director and on advisory committees for the FDA and as a funded investigator and a member of the Steering Committee for the National Institutes of Health, brings important FDA expertise to the advisory board.  Dr. Green is a physician, attorney, research scientist and inventor on several US patents and has significant operating and management experience with a number of biomedical companies, who we believe can provide invaluable advice to our management in the fields in which we operate.  We have also entered into consulting agreements with the members of our advisory board.  On August 28, 2012, we entered into an independent contractor services agreement with SDG, LLC (“SDG”), of which Dr. Simon and Dr. Green are principals, pursuant to which SDG will provide consulting services for us relating to our clinical development strategy for clinical trial design and management and regulatory affairs.  On August 1, 2012, we entered into an independent consulting agreement with Dr. Yakatan, pursuant to which Dr. Yakatan has agreed to provide services for us relating to our regulatory and development strategy in connection with the FDA approval process.</w:t>
      </w:r>
      <w:r>
        <w:rPr/>
        <w:t xml:space="preserve"> </w:t>
      </w:r>
    </w:p>
    <w:p>
      <w:pPr>
        <w:pStyle w:val="TextBody"/>
        <w:spacing w:before="0" w:after="0"/>
        <w:ind w:left="0" w:right="0" w:hanging="0"/>
        <w:jc w:val="left"/>
        <w:rPr/>
      </w:pPr>
      <w:r>
        <w:rPr/>
        <w:t> </w:t>
      </w:r>
    </w:p>
    <w:p>
      <w:pPr>
        <w:pStyle w:val="TextBody"/>
        <w:spacing w:before="0" w:after="0"/>
        <w:ind w:left="0" w:right="0" w:hanging="0"/>
        <w:jc w:val="left"/>
        <w:rPr>
          <w:rFonts w:ascii="helvetica" w:hAnsi="helvetica"/>
          <w:b/>
          <w:sz w:val="20"/>
        </w:rPr>
      </w:pPr>
      <w:r>
        <w:rPr>
          <w:rFonts w:ascii="helvetica" w:hAnsi="helvetica"/>
          <w:b/>
          <w:sz w:val="20"/>
        </w:rPr>
        <w:t>Properties</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r>
        <w:rPr>
          <w:rFonts w:ascii="helvetica" w:hAnsi="helvetica"/>
          <w:sz w:val="20"/>
        </w:rPr>
        <w:t>We lease approximately 1,486 square feet of office space in Solana Beach, California. The current lease term expires on February 28, 2014. This facility serves as our corporate headquarters.</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r>
        <w:rPr>
          <w:rFonts w:ascii="helvetica" w:hAnsi="helvetica"/>
          <w:sz w:val="20"/>
        </w:rPr>
        <w:t>We believe our current facility is adequate for our immediate and near-term needs. Additional space may be required as we expand our activities. We do not currently foresee any significant difficulties in obtaining any required additional facilities.</w:t>
      </w:r>
    </w:p>
    <w:p>
      <w:pPr>
        <w:pStyle w:val="TextBody"/>
        <w:spacing w:before="0" w:after="0"/>
        <w:ind w:left="0" w:right="0" w:hanging="0"/>
        <w:jc w:val="both"/>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752" w:name="PGBRK59"/>
      <w:bookmarkStart w:id="753" w:name="PGBRK59"/>
      <w:bookmarkEnd w:id="75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754" w:name="FTR59"/>
      <w:bookmarkStart w:id="755" w:name="FTR59"/>
      <w:bookmarkEnd w:id="75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756" w:name="GLFTR58"/>
      <w:bookmarkEnd w:id="756"/>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helvetica" w:hAnsi="helvetica"/>
          <w:sz w:val="20"/>
        </w:rPr>
      </w:pPr>
      <w:bookmarkStart w:id="757" w:name="PN58"/>
      <w:bookmarkEnd w:id="757"/>
      <w:r>
        <w:rPr>
          <w:rFonts w:ascii="helvetica" w:hAnsi="helvetica"/>
          <w:sz w:val="20"/>
        </w:rPr>
        <w:t>57</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758" w:name="HDR58"/>
      <w:bookmarkStart w:id="759" w:name="HDR58"/>
      <w:bookmarkEnd w:id="75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760" w:name="GLHDR58"/>
      <w:bookmarkEnd w:id="760"/>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t> </w:t>
      </w:r>
    </w:p>
    <w:p>
      <w:pPr>
        <w:pStyle w:val="TextBody"/>
        <w:spacing w:before="0" w:after="0"/>
        <w:ind w:left="720" w:right="0" w:hanging="0"/>
        <w:jc w:val="center"/>
        <w:rPr>
          <w:rFonts w:ascii="helvetica" w:hAnsi="helvetica"/>
          <w:b/>
          <w:sz w:val="20"/>
        </w:rPr>
      </w:pPr>
      <w:bookmarkStart w:id="761" w:name="TAB13"/>
      <w:bookmarkEnd w:id="761"/>
      <w:r>
        <w:rPr>
          <w:rFonts w:ascii="helvetica" w:hAnsi="helvetica"/>
          <w:b/>
          <w:sz w:val="20"/>
        </w:rPr>
        <w:t>DIRECTORS, EXECUTIVE OFFICERS AND CORPORATE GOVERNANCE</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r>
        <w:rPr>
          <w:rFonts w:ascii="helvetica" w:hAnsi="helvetica"/>
          <w:sz w:val="20"/>
        </w:rPr>
        <w:t>Our directors hold office for one-year terms until the earlier of their death, resignation or removal or until their successors have been elected and qualified. Our officers are elected annually by the board of directors and serve at the discretion of the board.  Set forth below is certain information regarding our directors and executive officers as of the date of this prospectus:</w:t>
      </w:r>
    </w:p>
    <w:p>
      <w:pPr>
        <w:pStyle w:val="TextBody"/>
        <w:spacing w:before="0" w:after="0"/>
        <w:ind w:left="0" w:right="0" w:hanging="0"/>
        <w:jc w:val="both"/>
        <w:rPr/>
      </w:pPr>
      <w:r>
        <w:rPr/>
        <w:t> </w:t>
      </w:r>
    </w:p>
    <w:tbl>
      <w:tblPr>
        <w:tblW w:w="5000" w:type="pct"/>
        <w:jc w:val="left"/>
        <w:tblInd w:w="0" w:type="dxa"/>
        <w:tblCellMar>
          <w:top w:w="0" w:type="dxa"/>
          <w:left w:w="0" w:type="dxa"/>
          <w:bottom w:w="28" w:type="dxa"/>
          <w:right w:w="0" w:type="dxa"/>
        </w:tblCellMar>
      </w:tblPr>
      <w:tblGrid>
        <w:gridCol w:w="3266"/>
        <w:gridCol w:w="101"/>
        <w:gridCol w:w="1020"/>
        <w:gridCol w:w="101"/>
        <w:gridCol w:w="5717"/>
      </w:tblGrid>
      <w:tr>
        <w:trPr/>
        <w:tc>
          <w:tcPr>
            <w:tcW w:w="3266" w:type="dxa"/>
            <w:tcBorders>
              <w:bottom w:val="single" w:sz="12" w:space="0" w:color="000000"/>
            </w:tcBorders>
            <w:shd w:fill="auto" w:val="clear"/>
          </w:tcPr>
          <w:p>
            <w:pPr>
              <w:pStyle w:val="TableContents"/>
              <w:spacing w:before="0" w:after="0"/>
              <w:ind w:left="0" w:right="0" w:hanging="0"/>
              <w:jc w:val="left"/>
              <w:rPr>
                <w:rFonts w:ascii="helvetica" w:hAnsi="helvetica"/>
                <w:b/>
                <w:sz w:val="16"/>
              </w:rPr>
            </w:pPr>
            <w:r>
              <w:rPr>
                <w:rFonts w:ascii="helvetica" w:hAnsi="helvetica"/>
                <w:b/>
                <w:sz w:val="16"/>
              </w:rPr>
              <w:t>Name</w:t>
            </w:r>
          </w:p>
        </w:tc>
        <w:tc>
          <w:tcPr>
            <w:tcW w:w="101" w:type="dxa"/>
            <w:tcBorders/>
            <w:shd w:fill="auto" w:val="clear"/>
            <w:tcMar>
              <w:bottom w:w="0" w:type="dxa"/>
            </w:tcMar>
          </w:tcPr>
          <w:p>
            <w:pPr>
              <w:pStyle w:val="TableContents"/>
              <w:spacing w:before="0" w:after="283"/>
              <w:rPr/>
            </w:pPr>
            <w:r>
              <w:rPr/>
              <w:t xml:space="preserve">  </w:t>
            </w:r>
          </w:p>
        </w:tc>
        <w:tc>
          <w:tcPr>
            <w:tcW w:w="1020" w:type="dxa"/>
            <w:tcBorders>
              <w:bottom w:val="single" w:sz="12" w:space="0" w:color="000000"/>
            </w:tcBorders>
            <w:shd w:fill="auto" w:val="clear"/>
          </w:tcPr>
          <w:p>
            <w:pPr>
              <w:pStyle w:val="TableContents"/>
              <w:spacing w:before="0" w:after="0"/>
              <w:ind w:left="0" w:right="0" w:hanging="0"/>
              <w:jc w:val="center"/>
              <w:rPr>
                <w:rFonts w:ascii="helvetica" w:hAnsi="helvetica"/>
                <w:b/>
                <w:sz w:val="16"/>
              </w:rPr>
            </w:pPr>
            <w:r>
              <w:rPr>
                <w:rFonts w:ascii="helvetica" w:hAnsi="helvetica"/>
                <w:b/>
                <w:sz w:val="16"/>
              </w:rPr>
              <w:t>Age</w:t>
            </w:r>
          </w:p>
        </w:tc>
        <w:tc>
          <w:tcPr>
            <w:tcW w:w="101" w:type="dxa"/>
            <w:tcBorders/>
            <w:shd w:fill="auto" w:val="clear"/>
            <w:tcMar>
              <w:bottom w:w="0" w:type="dxa"/>
            </w:tcMar>
          </w:tcPr>
          <w:p>
            <w:pPr>
              <w:pStyle w:val="TableContents"/>
              <w:spacing w:before="0" w:after="283"/>
              <w:rPr/>
            </w:pPr>
            <w:r>
              <w:rPr/>
              <w:t xml:space="preserve">  </w:t>
            </w:r>
          </w:p>
        </w:tc>
        <w:tc>
          <w:tcPr>
            <w:tcW w:w="5717" w:type="dxa"/>
            <w:tcBorders>
              <w:bottom w:val="single" w:sz="12" w:space="0" w:color="000000"/>
            </w:tcBorders>
            <w:shd w:fill="auto" w:val="clear"/>
          </w:tcPr>
          <w:p>
            <w:pPr>
              <w:pStyle w:val="TableContents"/>
              <w:spacing w:before="0" w:after="0"/>
              <w:ind w:left="0" w:right="0" w:hanging="0"/>
              <w:jc w:val="left"/>
              <w:rPr>
                <w:rFonts w:ascii="helvetica" w:hAnsi="helvetica"/>
                <w:b/>
                <w:sz w:val="16"/>
              </w:rPr>
            </w:pPr>
            <w:r>
              <w:rPr>
                <w:rFonts w:ascii="helvetica" w:hAnsi="helvetica"/>
                <w:b/>
                <w:sz w:val="16"/>
              </w:rPr>
              <w:t>Position</w:t>
            </w:r>
          </w:p>
        </w:tc>
      </w:tr>
      <w:tr>
        <w:trPr/>
        <w:tc>
          <w:tcPr>
            <w:tcW w:w="3266" w:type="dxa"/>
            <w:tcBorders/>
            <w:shd w:fill="CCEEFF" w:val="clear"/>
            <w:tcMar>
              <w:bottom w:w="0" w:type="dxa"/>
            </w:tcMar>
          </w:tcPr>
          <w:p>
            <w:pPr>
              <w:pStyle w:val="TableContents"/>
              <w:spacing w:before="0" w:after="0"/>
              <w:ind w:left="0" w:right="0" w:hanging="0"/>
              <w:jc w:val="left"/>
              <w:rPr>
                <w:rFonts w:ascii="helvetica" w:hAnsi="helvetica"/>
                <w:sz w:val="20"/>
              </w:rPr>
            </w:pPr>
            <w:r>
              <w:rPr>
                <w:rFonts w:ascii="helvetica" w:hAnsi="helvetica"/>
                <w:sz w:val="20"/>
              </w:rPr>
              <w:t>Joachim Schupp, M.D.</w:t>
            </w:r>
          </w:p>
        </w:tc>
        <w:tc>
          <w:tcPr>
            <w:tcW w:w="101" w:type="dxa"/>
            <w:tcBorders/>
            <w:shd w:fill="CCEEFF" w:val="clear"/>
            <w:tcMar>
              <w:bottom w:w="0" w:type="dxa"/>
            </w:tcMar>
          </w:tcPr>
          <w:p>
            <w:pPr>
              <w:pStyle w:val="TableContents"/>
              <w:spacing w:before="0" w:after="283"/>
              <w:rPr/>
            </w:pPr>
            <w:r>
              <w:rPr/>
              <w:t xml:space="preserve">  </w:t>
            </w:r>
          </w:p>
        </w:tc>
        <w:tc>
          <w:tcPr>
            <w:tcW w:w="1020" w:type="dxa"/>
            <w:tcBorders/>
            <w:shd w:fill="CCEEFF" w:val="clear"/>
            <w:tcMar>
              <w:bottom w:w="0" w:type="dxa"/>
            </w:tcMar>
          </w:tcPr>
          <w:p>
            <w:pPr>
              <w:pStyle w:val="TableContents"/>
              <w:spacing w:before="0" w:after="0"/>
              <w:ind w:left="0" w:right="0" w:hanging="0"/>
              <w:jc w:val="center"/>
              <w:rPr>
                <w:rFonts w:ascii="helvetica" w:hAnsi="helvetica"/>
                <w:sz w:val="20"/>
              </w:rPr>
            </w:pPr>
            <w:r>
              <w:rPr>
                <w:rFonts w:ascii="helvetica" w:hAnsi="helvetica"/>
                <w:sz w:val="20"/>
              </w:rPr>
              <w:t>59</w:t>
            </w:r>
          </w:p>
        </w:tc>
        <w:tc>
          <w:tcPr>
            <w:tcW w:w="101" w:type="dxa"/>
            <w:tcBorders/>
            <w:shd w:fill="CCEEFF" w:val="clear"/>
            <w:tcMar>
              <w:bottom w:w="0" w:type="dxa"/>
            </w:tcMar>
          </w:tcPr>
          <w:p>
            <w:pPr>
              <w:pStyle w:val="TableContents"/>
              <w:spacing w:before="0" w:after="283"/>
              <w:rPr/>
            </w:pPr>
            <w:r>
              <w:rPr/>
              <w:t xml:space="preserve">  </w:t>
            </w:r>
          </w:p>
        </w:tc>
        <w:tc>
          <w:tcPr>
            <w:tcW w:w="5717" w:type="dxa"/>
            <w:tcBorders/>
            <w:shd w:fill="CCEEFF" w:val="clear"/>
            <w:tcMar>
              <w:bottom w:w="0" w:type="dxa"/>
            </w:tcMar>
          </w:tcPr>
          <w:p>
            <w:pPr>
              <w:pStyle w:val="TableContents"/>
              <w:spacing w:before="0" w:after="0"/>
              <w:ind w:left="0" w:right="0" w:hanging="0"/>
              <w:jc w:val="left"/>
              <w:rPr>
                <w:rFonts w:ascii="helvetica" w:hAnsi="helvetica"/>
                <w:sz w:val="20"/>
              </w:rPr>
            </w:pPr>
            <w:r>
              <w:rPr>
                <w:rFonts w:ascii="helvetica" w:hAnsi="helvetica"/>
                <w:sz w:val="20"/>
              </w:rPr>
              <w:t>Chief Medical Officer</w:t>
            </w:r>
          </w:p>
        </w:tc>
      </w:tr>
      <w:tr>
        <w:trPr/>
        <w:tc>
          <w:tcPr>
            <w:tcW w:w="3266" w:type="dxa"/>
            <w:tcBorders/>
            <w:shd w:fill="FFFFFF" w:val="clear"/>
            <w:tcMar>
              <w:bottom w:w="0" w:type="dxa"/>
            </w:tcMar>
          </w:tcPr>
          <w:p>
            <w:pPr>
              <w:pStyle w:val="TableContents"/>
              <w:spacing w:before="0" w:after="0"/>
              <w:ind w:left="0" w:right="0" w:hanging="0"/>
              <w:jc w:val="left"/>
              <w:rPr>
                <w:rFonts w:ascii="helvetica" w:hAnsi="helvetica"/>
                <w:sz w:val="20"/>
              </w:rPr>
            </w:pPr>
            <w:r>
              <w:rPr>
                <w:rFonts w:ascii="helvetica" w:hAnsi="helvetica"/>
                <w:sz w:val="20"/>
              </w:rPr>
              <w:t>Balbir Brar D.V.M., Ph.D.</w:t>
            </w:r>
          </w:p>
        </w:tc>
        <w:tc>
          <w:tcPr>
            <w:tcW w:w="101" w:type="dxa"/>
            <w:tcBorders/>
            <w:shd w:fill="FFFFFF" w:val="clear"/>
            <w:tcMar>
              <w:bottom w:w="0" w:type="dxa"/>
            </w:tcMar>
          </w:tcPr>
          <w:p>
            <w:pPr>
              <w:pStyle w:val="TableContents"/>
              <w:spacing w:before="0" w:after="283"/>
              <w:rPr/>
            </w:pPr>
            <w:r>
              <w:rPr/>
              <w:t xml:space="preserve">  </w:t>
            </w:r>
          </w:p>
        </w:tc>
        <w:tc>
          <w:tcPr>
            <w:tcW w:w="1020" w:type="dxa"/>
            <w:tcBorders/>
            <w:shd w:fill="FFFFFF" w:val="clear"/>
            <w:tcMar>
              <w:bottom w:w="0" w:type="dxa"/>
            </w:tcMar>
          </w:tcPr>
          <w:p>
            <w:pPr>
              <w:pStyle w:val="TableContents"/>
              <w:spacing w:before="0" w:after="0"/>
              <w:ind w:left="0" w:right="0" w:hanging="0"/>
              <w:jc w:val="center"/>
              <w:rPr>
                <w:rFonts w:ascii="helvetica" w:hAnsi="helvetica"/>
                <w:sz w:val="20"/>
              </w:rPr>
            </w:pPr>
            <w:r>
              <w:rPr>
                <w:rFonts w:ascii="helvetica" w:hAnsi="helvetica"/>
                <w:sz w:val="20"/>
              </w:rPr>
              <w:t>75</w:t>
            </w:r>
          </w:p>
        </w:tc>
        <w:tc>
          <w:tcPr>
            <w:tcW w:w="101" w:type="dxa"/>
            <w:tcBorders/>
            <w:shd w:fill="FFFFFF" w:val="clear"/>
            <w:tcMar>
              <w:bottom w:w="0" w:type="dxa"/>
            </w:tcMar>
          </w:tcPr>
          <w:p>
            <w:pPr>
              <w:pStyle w:val="TableContents"/>
              <w:spacing w:before="0" w:after="283"/>
              <w:rPr/>
            </w:pPr>
            <w:r>
              <w:rPr/>
              <w:t xml:space="preserve">  </w:t>
            </w:r>
          </w:p>
        </w:tc>
        <w:tc>
          <w:tcPr>
            <w:tcW w:w="5717" w:type="dxa"/>
            <w:tcBorders/>
            <w:shd w:fill="FFFFFF" w:val="clear"/>
            <w:tcMar>
              <w:bottom w:w="0" w:type="dxa"/>
            </w:tcMar>
          </w:tcPr>
          <w:p>
            <w:pPr>
              <w:pStyle w:val="TableContents"/>
              <w:spacing w:before="0" w:after="0"/>
              <w:ind w:left="0" w:right="0" w:hanging="0"/>
              <w:jc w:val="left"/>
              <w:rPr>
                <w:rFonts w:ascii="helvetica" w:hAnsi="helvetica"/>
                <w:sz w:val="20"/>
              </w:rPr>
            </w:pPr>
            <w:r>
              <w:rPr>
                <w:rFonts w:ascii="helvetica" w:hAnsi="helvetica"/>
                <w:sz w:val="20"/>
              </w:rPr>
              <w:t xml:space="preserve">President </w:t>
            </w:r>
          </w:p>
        </w:tc>
      </w:tr>
      <w:tr>
        <w:trPr/>
        <w:tc>
          <w:tcPr>
            <w:tcW w:w="3266" w:type="dxa"/>
            <w:tcBorders/>
            <w:shd w:fill="CCEEFF" w:val="clear"/>
            <w:tcMar>
              <w:bottom w:w="0" w:type="dxa"/>
            </w:tcMar>
          </w:tcPr>
          <w:p>
            <w:pPr>
              <w:pStyle w:val="TableContents"/>
              <w:spacing w:before="0" w:after="0"/>
              <w:ind w:left="0" w:right="0" w:hanging="0"/>
              <w:jc w:val="left"/>
              <w:rPr>
                <w:rFonts w:ascii="helvetica" w:hAnsi="helvetica"/>
                <w:sz w:val="20"/>
              </w:rPr>
            </w:pPr>
            <w:r>
              <w:rPr>
                <w:rFonts w:ascii="helvetica" w:hAnsi="helvetica"/>
                <w:sz w:val="20"/>
              </w:rPr>
              <w:t>Andrew R. Boll</w:t>
            </w:r>
          </w:p>
        </w:tc>
        <w:tc>
          <w:tcPr>
            <w:tcW w:w="101" w:type="dxa"/>
            <w:tcBorders/>
            <w:shd w:fill="CCEEFF" w:val="clear"/>
            <w:tcMar>
              <w:bottom w:w="0" w:type="dxa"/>
            </w:tcMar>
          </w:tcPr>
          <w:p>
            <w:pPr>
              <w:pStyle w:val="TableContents"/>
              <w:spacing w:before="0" w:after="283"/>
              <w:rPr/>
            </w:pPr>
            <w:r>
              <w:rPr/>
              <w:t xml:space="preserve">  </w:t>
            </w:r>
          </w:p>
        </w:tc>
        <w:tc>
          <w:tcPr>
            <w:tcW w:w="1020" w:type="dxa"/>
            <w:tcBorders/>
            <w:shd w:fill="CCEEFF" w:val="clear"/>
            <w:tcMar>
              <w:bottom w:w="0" w:type="dxa"/>
            </w:tcMar>
          </w:tcPr>
          <w:p>
            <w:pPr>
              <w:pStyle w:val="TableContents"/>
              <w:spacing w:before="0" w:after="0"/>
              <w:ind w:left="0" w:right="0" w:hanging="0"/>
              <w:jc w:val="center"/>
              <w:rPr/>
            </w:pPr>
            <w:r>
              <w:rPr>
                <w:rFonts w:ascii="helvetica" w:hAnsi="helvetica"/>
                <w:sz w:val="20"/>
              </w:rPr>
              <w:t>30</w:t>
            </w:r>
            <w:r>
              <w:rPr/>
              <w:t xml:space="preserve"> </w:t>
            </w:r>
          </w:p>
        </w:tc>
        <w:tc>
          <w:tcPr>
            <w:tcW w:w="101" w:type="dxa"/>
            <w:tcBorders/>
            <w:shd w:fill="CCEEFF" w:val="clear"/>
            <w:tcMar>
              <w:bottom w:w="0" w:type="dxa"/>
            </w:tcMar>
          </w:tcPr>
          <w:p>
            <w:pPr>
              <w:pStyle w:val="TableContents"/>
              <w:spacing w:before="0" w:after="283"/>
              <w:rPr/>
            </w:pPr>
            <w:r>
              <w:rPr/>
              <w:t xml:space="preserve">  </w:t>
            </w:r>
          </w:p>
        </w:tc>
        <w:tc>
          <w:tcPr>
            <w:tcW w:w="5717" w:type="dxa"/>
            <w:tcBorders/>
            <w:shd w:fill="CCEEFF" w:val="clear"/>
            <w:tcMar>
              <w:bottom w:w="0" w:type="dxa"/>
            </w:tcMar>
          </w:tcPr>
          <w:p>
            <w:pPr>
              <w:pStyle w:val="TableContents"/>
              <w:spacing w:before="0" w:after="0"/>
              <w:ind w:left="0" w:right="0" w:hanging="0"/>
              <w:jc w:val="left"/>
              <w:rPr>
                <w:rFonts w:ascii="helvetica" w:hAnsi="helvetica"/>
                <w:sz w:val="20"/>
              </w:rPr>
            </w:pPr>
            <w:r>
              <w:rPr>
                <w:rFonts w:ascii="helvetica" w:hAnsi="helvetica"/>
                <w:sz w:val="20"/>
              </w:rPr>
              <w:t>Vice President of Accounting and Public Reporting</w:t>
            </w:r>
          </w:p>
        </w:tc>
      </w:tr>
      <w:tr>
        <w:trPr/>
        <w:tc>
          <w:tcPr>
            <w:tcW w:w="3266" w:type="dxa"/>
            <w:tcBorders/>
            <w:shd w:fill="FFFFFF" w:val="clear"/>
            <w:tcMar>
              <w:bottom w:w="0" w:type="dxa"/>
            </w:tcMar>
          </w:tcPr>
          <w:p>
            <w:pPr>
              <w:pStyle w:val="TableContents"/>
              <w:spacing w:before="0" w:after="0"/>
              <w:ind w:left="0" w:right="0" w:hanging="0"/>
              <w:jc w:val="left"/>
              <w:rPr>
                <w:rFonts w:ascii="helvetica" w:hAnsi="helvetica"/>
                <w:sz w:val="20"/>
              </w:rPr>
            </w:pPr>
            <w:r>
              <w:rPr>
                <w:rFonts w:ascii="helvetica" w:hAnsi="helvetica"/>
                <w:sz w:val="20"/>
              </w:rPr>
              <w:t>Mark L. Baum, Esq.</w:t>
            </w:r>
          </w:p>
        </w:tc>
        <w:tc>
          <w:tcPr>
            <w:tcW w:w="101" w:type="dxa"/>
            <w:tcBorders/>
            <w:shd w:fill="FFFFFF" w:val="clear"/>
            <w:tcMar>
              <w:bottom w:w="0" w:type="dxa"/>
            </w:tcMar>
          </w:tcPr>
          <w:p>
            <w:pPr>
              <w:pStyle w:val="TableContents"/>
              <w:spacing w:before="0" w:after="283"/>
              <w:rPr/>
            </w:pPr>
            <w:r>
              <w:rPr/>
              <w:t xml:space="preserve">  </w:t>
            </w:r>
          </w:p>
        </w:tc>
        <w:tc>
          <w:tcPr>
            <w:tcW w:w="1020" w:type="dxa"/>
            <w:tcBorders/>
            <w:shd w:fill="FFFFFF" w:val="clear"/>
            <w:tcMar>
              <w:bottom w:w="0" w:type="dxa"/>
            </w:tcMar>
          </w:tcPr>
          <w:p>
            <w:pPr>
              <w:pStyle w:val="TableContents"/>
              <w:spacing w:before="0" w:after="0"/>
              <w:ind w:left="0" w:right="0" w:hanging="0"/>
              <w:jc w:val="center"/>
              <w:rPr>
                <w:rFonts w:ascii="helvetica" w:hAnsi="helvetica"/>
                <w:sz w:val="20"/>
              </w:rPr>
            </w:pPr>
            <w:r>
              <w:rPr>
                <w:rFonts w:ascii="helvetica" w:hAnsi="helvetica"/>
                <w:sz w:val="20"/>
              </w:rPr>
              <w:t>40</w:t>
            </w:r>
          </w:p>
        </w:tc>
        <w:tc>
          <w:tcPr>
            <w:tcW w:w="101" w:type="dxa"/>
            <w:tcBorders/>
            <w:shd w:fill="FFFFFF" w:val="clear"/>
            <w:tcMar>
              <w:bottom w:w="0" w:type="dxa"/>
            </w:tcMar>
          </w:tcPr>
          <w:p>
            <w:pPr>
              <w:pStyle w:val="TableContents"/>
              <w:spacing w:before="0" w:after="283"/>
              <w:rPr/>
            </w:pPr>
            <w:r>
              <w:rPr/>
              <w:t xml:space="preserve">  </w:t>
            </w:r>
          </w:p>
        </w:tc>
        <w:tc>
          <w:tcPr>
            <w:tcW w:w="5717" w:type="dxa"/>
            <w:tcBorders/>
            <w:shd w:fill="FFFFFF" w:val="clear"/>
            <w:tcMar>
              <w:bottom w:w="0" w:type="dxa"/>
            </w:tcMar>
          </w:tcPr>
          <w:p>
            <w:pPr>
              <w:pStyle w:val="TableContents"/>
              <w:spacing w:before="0" w:after="0"/>
              <w:ind w:left="0" w:right="0" w:hanging="0"/>
              <w:jc w:val="left"/>
              <w:rPr>
                <w:rFonts w:ascii="helvetica" w:hAnsi="helvetica"/>
                <w:sz w:val="20"/>
              </w:rPr>
            </w:pPr>
            <w:r>
              <w:rPr>
                <w:rFonts w:ascii="helvetica" w:hAnsi="helvetica"/>
                <w:sz w:val="20"/>
              </w:rPr>
              <w:t>Chief Executive Officer and Director</w:t>
            </w:r>
          </w:p>
        </w:tc>
      </w:tr>
      <w:tr>
        <w:trPr/>
        <w:tc>
          <w:tcPr>
            <w:tcW w:w="3266" w:type="dxa"/>
            <w:tcBorders/>
            <w:shd w:fill="CCEEFF" w:val="clear"/>
            <w:tcMar>
              <w:bottom w:w="0" w:type="dxa"/>
            </w:tcMar>
          </w:tcPr>
          <w:p>
            <w:pPr>
              <w:pStyle w:val="TableContents"/>
              <w:spacing w:before="0" w:after="0"/>
              <w:ind w:left="0" w:right="0" w:hanging="0"/>
              <w:jc w:val="left"/>
              <w:rPr>
                <w:rFonts w:ascii="helvetica" w:hAnsi="helvetica"/>
                <w:sz w:val="20"/>
              </w:rPr>
            </w:pPr>
            <w:r>
              <w:rPr>
                <w:rFonts w:ascii="helvetica" w:hAnsi="helvetica"/>
                <w:sz w:val="20"/>
              </w:rPr>
              <w:t>Paul Finnegan, M.D., M.B.A.</w:t>
            </w:r>
          </w:p>
        </w:tc>
        <w:tc>
          <w:tcPr>
            <w:tcW w:w="101" w:type="dxa"/>
            <w:tcBorders/>
            <w:shd w:fill="CCEEFF" w:val="clear"/>
            <w:tcMar>
              <w:bottom w:w="0" w:type="dxa"/>
            </w:tcMar>
          </w:tcPr>
          <w:p>
            <w:pPr>
              <w:pStyle w:val="TableContents"/>
              <w:spacing w:before="0" w:after="283"/>
              <w:rPr/>
            </w:pPr>
            <w:r>
              <w:rPr/>
              <w:t xml:space="preserve">  </w:t>
            </w:r>
          </w:p>
        </w:tc>
        <w:tc>
          <w:tcPr>
            <w:tcW w:w="1020" w:type="dxa"/>
            <w:tcBorders/>
            <w:shd w:fill="CCEEFF" w:val="clear"/>
            <w:tcMar>
              <w:bottom w:w="0" w:type="dxa"/>
            </w:tcMar>
          </w:tcPr>
          <w:p>
            <w:pPr>
              <w:pStyle w:val="TableContents"/>
              <w:spacing w:before="0" w:after="0"/>
              <w:ind w:left="0" w:right="0" w:hanging="0"/>
              <w:jc w:val="center"/>
              <w:rPr/>
            </w:pPr>
            <w:r>
              <w:rPr>
                <w:rFonts w:ascii="helvetica" w:hAnsi="helvetica"/>
                <w:sz w:val="20"/>
              </w:rPr>
              <w:t>52</w:t>
            </w:r>
            <w:r>
              <w:rPr/>
              <w:t xml:space="preserve"> </w:t>
            </w:r>
          </w:p>
        </w:tc>
        <w:tc>
          <w:tcPr>
            <w:tcW w:w="101" w:type="dxa"/>
            <w:tcBorders/>
            <w:shd w:fill="CCEEFF" w:val="clear"/>
            <w:tcMar>
              <w:bottom w:w="0" w:type="dxa"/>
            </w:tcMar>
          </w:tcPr>
          <w:p>
            <w:pPr>
              <w:pStyle w:val="TableContents"/>
              <w:spacing w:before="0" w:after="283"/>
              <w:rPr/>
            </w:pPr>
            <w:r>
              <w:rPr/>
              <w:t xml:space="preserve">  </w:t>
            </w:r>
          </w:p>
        </w:tc>
        <w:tc>
          <w:tcPr>
            <w:tcW w:w="5717" w:type="dxa"/>
            <w:tcBorders/>
            <w:shd w:fill="CCEEFF" w:val="clear"/>
            <w:tcMar>
              <w:bottom w:w="0" w:type="dxa"/>
            </w:tcMar>
          </w:tcPr>
          <w:p>
            <w:pPr>
              <w:pStyle w:val="TableContents"/>
              <w:spacing w:before="0" w:after="0"/>
              <w:ind w:left="0" w:right="0" w:hanging="0"/>
              <w:jc w:val="left"/>
              <w:rPr>
                <w:rFonts w:ascii="helvetica" w:hAnsi="helvetica"/>
                <w:sz w:val="20"/>
              </w:rPr>
            </w:pPr>
            <w:r>
              <w:rPr>
                <w:rFonts w:ascii="helvetica" w:hAnsi="helvetica"/>
                <w:sz w:val="20"/>
              </w:rPr>
              <w:t>Director</w:t>
            </w:r>
          </w:p>
        </w:tc>
      </w:tr>
      <w:tr>
        <w:trPr/>
        <w:tc>
          <w:tcPr>
            <w:tcW w:w="3266" w:type="dxa"/>
            <w:tcBorders/>
            <w:shd w:fill="FFFFFF" w:val="clear"/>
            <w:tcMar>
              <w:bottom w:w="0" w:type="dxa"/>
            </w:tcMar>
          </w:tcPr>
          <w:p>
            <w:pPr>
              <w:pStyle w:val="TableContents"/>
              <w:spacing w:before="0" w:after="0"/>
              <w:ind w:left="0" w:right="0" w:hanging="0"/>
              <w:jc w:val="left"/>
              <w:rPr>
                <w:rFonts w:ascii="helvetica" w:hAnsi="helvetica"/>
                <w:sz w:val="20"/>
              </w:rPr>
            </w:pPr>
            <w:r>
              <w:rPr>
                <w:rFonts w:ascii="helvetica" w:hAnsi="helvetica"/>
                <w:sz w:val="20"/>
              </w:rPr>
              <w:t>Jeffrey J. Abrams, M.D.</w:t>
            </w:r>
          </w:p>
        </w:tc>
        <w:tc>
          <w:tcPr>
            <w:tcW w:w="101" w:type="dxa"/>
            <w:tcBorders/>
            <w:shd w:fill="FFFFFF" w:val="clear"/>
            <w:tcMar>
              <w:bottom w:w="0" w:type="dxa"/>
            </w:tcMar>
          </w:tcPr>
          <w:p>
            <w:pPr>
              <w:pStyle w:val="TableContents"/>
              <w:spacing w:before="0" w:after="283"/>
              <w:rPr/>
            </w:pPr>
            <w:r>
              <w:rPr/>
              <w:t xml:space="preserve">  </w:t>
            </w:r>
          </w:p>
        </w:tc>
        <w:tc>
          <w:tcPr>
            <w:tcW w:w="1020" w:type="dxa"/>
            <w:tcBorders/>
            <w:shd w:fill="FFFFFF" w:val="clear"/>
            <w:tcMar>
              <w:bottom w:w="0" w:type="dxa"/>
            </w:tcMar>
          </w:tcPr>
          <w:p>
            <w:pPr>
              <w:pStyle w:val="TableContents"/>
              <w:spacing w:before="0" w:after="0"/>
              <w:ind w:left="0" w:right="0" w:hanging="0"/>
              <w:jc w:val="center"/>
              <w:rPr>
                <w:rFonts w:ascii="helvetica" w:hAnsi="helvetica"/>
                <w:sz w:val="20"/>
              </w:rPr>
            </w:pPr>
            <w:r>
              <w:rPr>
                <w:rFonts w:ascii="helvetica" w:hAnsi="helvetica"/>
                <w:sz w:val="20"/>
              </w:rPr>
              <w:t>64</w:t>
            </w:r>
          </w:p>
        </w:tc>
        <w:tc>
          <w:tcPr>
            <w:tcW w:w="101" w:type="dxa"/>
            <w:tcBorders/>
            <w:shd w:fill="FFFFFF" w:val="clear"/>
            <w:tcMar>
              <w:bottom w:w="0" w:type="dxa"/>
            </w:tcMar>
          </w:tcPr>
          <w:p>
            <w:pPr>
              <w:pStyle w:val="TableContents"/>
              <w:spacing w:before="0" w:after="283"/>
              <w:rPr/>
            </w:pPr>
            <w:r>
              <w:rPr/>
              <w:t xml:space="preserve">  </w:t>
            </w:r>
          </w:p>
        </w:tc>
        <w:tc>
          <w:tcPr>
            <w:tcW w:w="5717" w:type="dxa"/>
            <w:tcBorders/>
            <w:shd w:fill="FFFFFF" w:val="clear"/>
            <w:tcMar>
              <w:bottom w:w="0" w:type="dxa"/>
            </w:tcMar>
          </w:tcPr>
          <w:p>
            <w:pPr>
              <w:pStyle w:val="TableContents"/>
              <w:spacing w:before="0" w:after="0"/>
              <w:ind w:left="0" w:right="0" w:hanging="0"/>
              <w:jc w:val="left"/>
              <w:rPr>
                <w:rFonts w:ascii="helvetica" w:hAnsi="helvetica"/>
                <w:sz w:val="20"/>
              </w:rPr>
            </w:pPr>
            <w:r>
              <w:rPr>
                <w:rFonts w:ascii="helvetica" w:hAnsi="helvetica"/>
                <w:sz w:val="20"/>
              </w:rPr>
              <w:t>Director</w:t>
            </w:r>
          </w:p>
        </w:tc>
      </w:tr>
      <w:tr>
        <w:trPr/>
        <w:tc>
          <w:tcPr>
            <w:tcW w:w="3266" w:type="dxa"/>
            <w:tcBorders/>
            <w:shd w:fill="CCEEFF" w:val="clear"/>
            <w:tcMar>
              <w:bottom w:w="0" w:type="dxa"/>
            </w:tcMar>
          </w:tcPr>
          <w:p>
            <w:pPr>
              <w:pStyle w:val="TableContents"/>
              <w:spacing w:before="0" w:after="0"/>
              <w:ind w:left="0" w:right="0" w:hanging="0"/>
              <w:jc w:val="left"/>
              <w:rPr>
                <w:rFonts w:ascii="helvetica" w:hAnsi="helvetica"/>
                <w:sz w:val="20"/>
              </w:rPr>
            </w:pPr>
            <w:r>
              <w:rPr>
                <w:rFonts w:ascii="helvetica" w:hAnsi="helvetica"/>
                <w:sz w:val="20"/>
              </w:rPr>
              <w:t>Robert Kammer, D.D.S.</w:t>
            </w:r>
          </w:p>
        </w:tc>
        <w:tc>
          <w:tcPr>
            <w:tcW w:w="101" w:type="dxa"/>
            <w:tcBorders/>
            <w:shd w:fill="CCEEFF" w:val="clear"/>
            <w:tcMar>
              <w:bottom w:w="0" w:type="dxa"/>
            </w:tcMar>
          </w:tcPr>
          <w:p>
            <w:pPr>
              <w:pStyle w:val="TableContents"/>
              <w:spacing w:before="0" w:after="283"/>
              <w:rPr/>
            </w:pPr>
            <w:r>
              <w:rPr/>
              <w:t xml:space="preserve">  </w:t>
            </w:r>
          </w:p>
        </w:tc>
        <w:tc>
          <w:tcPr>
            <w:tcW w:w="1020" w:type="dxa"/>
            <w:tcBorders/>
            <w:shd w:fill="CCEEFF" w:val="clear"/>
            <w:tcMar>
              <w:bottom w:w="0" w:type="dxa"/>
            </w:tcMar>
          </w:tcPr>
          <w:p>
            <w:pPr>
              <w:pStyle w:val="TableContents"/>
              <w:spacing w:before="0" w:after="0"/>
              <w:ind w:left="0" w:right="0" w:hanging="0"/>
              <w:jc w:val="center"/>
              <w:rPr>
                <w:rFonts w:ascii="helvetica" w:hAnsi="helvetica"/>
                <w:sz w:val="20"/>
              </w:rPr>
            </w:pPr>
            <w:r>
              <w:rPr>
                <w:rFonts w:ascii="helvetica" w:hAnsi="helvetica"/>
                <w:sz w:val="20"/>
              </w:rPr>
              <w:t>63</w:t>
            </w:r>
          </w:p>
        </w:tc>
        <w:tc>
          <w:tcPr>
            <w:tcW w:w="101" w:type="dxa"/>
            <w:tcBorders/>
            <w:shd w:fill="CCEEFF" w:val="clear"/>
            <w:tcMar>
              <w:bottom w:w="0" w:type="dxa"/>
            </w:tcMar>
          </w:tcPr>
          <w:p>
            <w:pPr>
              <w:pStyle w:val="TableContents"/>
              <w:spacing w:before="0" w:after="283"/>
              <w:rPr/>
            </w:pPr>
            <w:r>
              <w:rPr/>
              <w:t xml:space="preserve">  </w:t>
            </w:r>
          </w:p>
        </w:tc>
        <w:tc>
          <w:tcPr>
            <w:tcW w:w="5717" w:type="dxa"/>
            <w:tcBorders/>
            <w:shd w:fill="CCEEFF" w:val="clear"/>
            <w:tcMar>
              <w:bottom w:w="0" w:type="dxa"/>
            </w:tcMar>
          </w:tcPr>
          <w:p>
            <w:pPr>
              <w:pStyle w:val="TableContents"/>
              <w:spacing w:before="0" w:after="0"/>
              <w:ind w:left="0" w:right="0" w:hanging="0"/>
              <w:jc w:val="left"/>
              <w:rPr>
                <w:rFonts w:ascii="helvetica" w:hAnsi="helvetica"/>
                <w:sz w:val="20"/>
              </w:rPr>
            </w:pPr>
            <w:r>
              <w:rPr>
                <w:rFonts w:ascii="helvetica" w:hAnsi="helvetica"/>
                <w:sz w:val="20"/>
              </w:rPr>
              <w:t>Chairman of the Board of Directors</w:t>
            </w:r>
          </w:p>
        </w:tc>
      </w:tr>
      <w:tr>
        <w:trPr/>
        <w:tc>
          <w:tcPr>
            <w:tcW w:w="3266" w:type="dxa"/>
            <w:tcBorders/>
            <w:shd w:fill="FFFFFF" w:val="clear"/>
            <w:tcMar>
              <w:bottom w:w="0" w:type="dxa"/>
            </w:tcMar>
          </w:tcPr>
          <w:p>
            <w:pPr>
              <w:pStyle w:val="TableContents"/>
              <w:spacing w:before="0" w:after="283"/>
              <w:jc w:val="left"/>
              <w:rPr>
                <w:rFonts w:ascii="helvetica" w:hAnsi="helvetica"/>
                <w:sz w:val="20"/>
              </w:rPr>
            </w:pPr>
            <w:r>
              <w:rPr>
                <w:rFonts w:ascii="helvetica" w:hAnsi="helvetica"/>
                <w:sz w:val="20"/>
              </w:rPr>
              <w:t>Stephen G. Austin, C.P.A.</w:t>
            </w:r>
          </w:p>
        </w:tc>
        <w:tc>
          <w:tcPr>
            <w:tcW w:w="101" w:type="dxa"/>
            <w:tcBorders/>
            <w:shd w:fill="FFFFFF" w:val="clear"/>
            <w:tcMar>
              <w:bottom w:w="0" w:type="dxa"/>
            </w:tcMar>
          </w:tcPr>
          <w:p>
            <w:pPr>
              <w:pStyle w:val="TableContents"/>
              <w:spacing w:before="0" w:after="283"/>
              <w:rPr/>
            </w:pPr>
            <w:r>
              <w:rPr/>
              <w:t> </w:t>
            </w:r>
          </w:p>
        </w:tc>
        <w:tc>
          <w:tcPr>
            <w:tcW w:w="1020" w:type="dxa"/>
            <w:tcBorders/>
            <w:shd w:fill="FFFFFF" w:val="clear"/>
            <w:tcMar>
              <w:bottom w:w="0" w:type="dxa"/>
            </w:tcMar>
          </w:tcPr>
          <w:p>
            <w:pPr>
              <w:pStyle w:val="TableContents"/>
              <w:spacing w:before="0" w:after="283"/>
              <w:jc w:val="center"/>
              <w:rPr/>
            </w:pPr>
            <w:r>
              <w:rPr/>
              <w:t xml:space="preserve">60 </w:t>
            </w:r>
          </w:p>
        </w:tc>
        <w:tc>
          <w:tcPr>
            <w:tcW w:w="101" w:type="dxa"/>
            <w:tcBorders/>
            <w:shd w:fill="FFFFFF" w:val="clear"/>
            <w:tcMar>
              <w:bottom w:w="0" w:type="dxa"/>
            </w:tcMar>
          </w:tcPr>
          <w:p>
            <w:pPr>
              <w:pStyle w:val="TableContents"/>
              <w:spacing w:before="0" w:after="283"/>
              <w:rPr/>
            </w:pPr>
            <w:r>
              <w:rPr/>
              <w:t> </w:t>
            </w:r>
          </w:p>
        </w:tc>
        <w:tc>
          <w:tcPr>
            <w:tcW w:w="5717" w:type="dxa"/>
            <w:tcBorders/>
            <w:shd w:fill="FFFFFF" w:val="clear"/>
            <w:tcMar>
              <w:bottom w:w="0" w:type="dxa"/>
            </w:tcMar>
          </w:tcPr>
          <w:p>
            <w:pPr>
              <w:pStyle w:val="TableContents"/>
              <w:spacing w:before="0" w:after="283"/>
              <w:jc w:val="left"/>
              <w:rPr>
                <w:rFonts w:ascii="helvetica" w:hAnsi="helvetica"/>
                <w:sz w:val="20"/>
              </w:rPr>
            </w:pPr>
            <w:r>
              <w:rPr>
                <w:rFonts w:ascii="helvetica" w:hAnsi="helvetica"/>
                <w:sz w:val="20"/>
              </w:rPr>
              <w:t>Director</w:t>
            </w:r>
          </w:p>
        </w:tc>
      </w:tr>
    </w:tbl>
    <w:p>
      <w:pPr>
        <w:pStyle w:val="TextBody"/>
        <w:spacing w:before="0" w:after="0"/>
        <w:ind w:left="0" w:right="0" w:hanging="0"/>
        <w:rPr/>
      </w:pPr>
      <w:r>
        <w:rPr/>
        <w:t> </w:t>
      </w:r>
    </w:p>
    <w:p>
      <w:pPr>
        <w:pStyle w:val="TextBody"/>
        <w:spacing w:before="0" w:after="0"/>
        <w:ind w:left="0" w:right="0" w:hanging="0"/>
        <w:rPr/>
      </w:pPr>
      <w:bookmarkStart w:id="762" w:name="TAB213"/>
      <w:bookmarkEnd w:id="762"/>
      <w:r>
        <w:rPr>
          <w:color w:val="000000"/>
          <w:spacing w:val="180"/>
        </w:rPr>
        <w:t> </w:t>
      </w:r>
      <w:r>
        <w:rPr>
          <w:rFonts w:ascii="helvetica" w:hAnsi="helvetica"/>
          <w:b/>
          <w:sz w:val="20"/>
        </w:rPr>
        <w:t>Business Experience</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r>
        <w:rPr>
          <w:rFonts w:ascii="helvetica" w:hAnsi="helvetica"/>
          <w:sz w:val="20"/>
        </w:rPr>
        <w:t>The following is a brief account of the education and business experience of our current directors and executive officers:</w:t>
      </w:r>
    </w:p>
    <w:p>
      <w:pPr>
        <w:pStyle w:val="TextBody"/>
        <w:spacing w:before="0" w:after="0"/>
        <w:ind w:left="0" w:right="0" w:hanging="0"/>
        <w:jc w:val="both"/>
        <w:rPr/>
      </w:pPr>
      <w:r>
        <w:rPr/>
        <w:t> </w:t>
      </w:r>
    </w:p>
    <w:p>
      <w:pPr>
        <w:pStyle w:val="TextBody"/>
        <w:spacing w:before="0" w:after="0"/>
        <w:ind w:left="0" w:right="0" w:hanging="0"/>
        <w:jc w:val="left"/>
        <w:rPr>
          <w:rFonts w:ascii="helvetica" w:hAnsi="helvetica"/>
          <w:sz w:val="20"/>
        </w:rPr>
      </w:pPr>
      <w:r>
        <w:rPr>
          <w:rFonts w:ascii="helvetica" w:hAnsi="helvetica"/>
          <w:b/>
          <w:sz w:val="20"/>
        </w:rPr>
        <w:t xml:space="preserve">Joachim Schupp, M.D. </w:t>
      </w:r>
      <w:r>
        <w:rPr>
          <w:rFonts w:ascii="helvetica" w:hAnsi="helvetica"/>
          <w:sz w:val="20"/>
        </w:rPr>
        <w:t>has been the Chief Medical Officer of the Company since February 2012. Dr. Schupp has more than 25 years of leadership experience in the pharmaceutical industry. He has achieved the professional distinction of leading international project teams that have brought several drugs through the development and the regulatory process and on to the market globally. Most recently, Dr. Schupp has worked as an executive consultant for pharmaceutical and biotechnology companies. He held positions as Vice-President of Clinical Development at Apricus Biosciences, Inc. from April 2011 to February 2012, Senior Consultant to and Chief Medical Officer at Transdel Pharmaceuticals, Inc. from  April 2009 to April 2011, Vice President of Medical Affairs at Adventrx Pharmaceuticals from 2006 to 2008 and Vice President of Clinical Data Services at ProSanos Corporation from 2004 to 2006. In addition, Dr. Schupp spent 19 years with Novartis Pharmaceuticals in Switzerland where he held various positions in clinical development and global project management. Dr. Schupp began his pharmaceutical career at Ciba-Geigy, now Novartis, in 1985 where he was appointed to lead international clinical project teams to discover new NSAIDs with improved gastrointestinal tolerability. Dr. Schupp received several prestigious awards at Ciba-Geigy and Novartis for his team leadership contributions. Dr. Schupp received his M.D. and his research doctorate (Dr.med.) from the Free University of Berlin in Germany, and he served on the faculty at the University of Pretoria, South Africa, in Internal Medicine and Rheumatology.</w:t>
      </w:r>
    </w:p>
    <w:p>
      <w:pPr>
        <w:pStyle w:val="TextBody"/>
        <w:spacing w:before="0" w:after="0"/>
        <w:ind w:left="0" w:right="0" w:hanging="0"/>
        <w:jc w:val="both"/>
        <w:rPr/>
      </w:pPr>
      <w:r>
        <w:rPr/>
        <w:t> </w:t>
      </w:r>
    </w:p>
    <w:p>
      <w:pPr>
        <w:pStyle w:val="TextBody"/>
        <w:spacing w:before="0" w:after="0"/>
        <w:ind w:left="0" w:right="0" w:hanging="0"/>
        <w:jc w:val="left"/>
        <w:rPr>
          <w:rFonts w:ascii="helvetica" w:hAnsi="helvetica"/>
          <w:sz w:val="20"/>
        </w:rPr>
      </w:pPr>
      <w:r>
        <w:rPr>
          <w:rFonts w:ascii="helvetica" w:hAnsi="helvetica"/>
          <w:b/>
          <w:sz w:val="20"/>
        </w:rPr>
        <w:t>Balbir Brar, D.V.M., Ph.D.,</w:t>
      </w:r>
      <w:r>
        <w:rPr>
          <w:rFonts w:ascii="helvetica" w:hAnsi="helvetica"/>
          <w:sz w:val="20"/>
        </w:rPr>
        <w:t xml:space="preserve"> has been President of the Company since January 2012 and served as a director from February 15, 2012 until July 25, 2012.  Dr. Brar served as our Vice President of Research and Development from December 2007 until April 2008.  Dr. Brar has over 25 years of experience in drug and device development and worldwide registration of eight major drugs, including Botox. He has significant experience in research and development, conducting clinical trials, implementation of product development plans and working with U.S. and international regulators.  Dr. Brar has also served as a consultant to numerous biotechnology companies since June 2002 including AtheroNova Inc., Aciont, Inc., Altheos, Inc., Aciex Therapeutics, Inc. Dr. Brar has worked with major pharmaceutical companies, including Lederle Laboratories (acquired by Wyeth, then by Pfizer, Inc. (NYSE: PFE), and served as Senior Director of Drug Safety at SmithKline Beckman, now GlaxoSmithKline plc (NYSE: GSK). In addition, he served as Vice President Drug Safety, Research &amp; Development at Allergan, Inc. (NYSE: AGN), where he was responsible for regulatory submission of 50 IND’s/510K’s and worldwide approval of six New Drug Applications. Dr. Brar is listed as the inventor of numerous patents. He has a Ph.D. in Toxicology/Pathology from Rutgers University and D.V.M. from India with finance training from Harvard Business School. Dr. Brar is a recipient of numerous achievements awards for excellence belongs to a number of scientific organizations and is the author/coauthor of over 55 scientific publications.  Dr. Brar’s significant and specifically relevant research and development background brings an important technical perspective to our board.</w:t>
      </w:r>
    </w:p>
    <w:p>
      <w:pPr>
        <w:pStyle w:val="TextBody"/>
        <w:spacing w:before="0" w:after="0"/>
        <w:ind w:left="0" w:right="0" w:hanging="0"/>
        <w:jc w:val="both"/>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763" w:name="PGBRK60"/>
      <w:bookmarkStart w:id="764" w:name="PGBRK60"/>
      <w:bookmarkEnd w:id="76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765" w:name="FTR60"/>
      <w:bookmarkStart w:id="766" w:name="FTR60"/>
      <w:bookmarkEnd w:id="76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767" w:name="GLFTR59"/>
      <w:bookmarkEnd w:id="767"/>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helvetica" w:hAnsi="helvetica"/>
          <w:sz w:val="20"/>
        </w:rPr>
      </w:pPr>
      <w:bookmarkStart w:id="768" w:name="PN59"/>
      <w:bookmarkEnd w:id="768"/>
      <w:r>
        <w:rPr>
          <w:rFonts w:ascii="helvetica" w:hAnsi="helvetica"/>
          <w:sz w:val="20"/>
        </w:rPr>
        <w:t>58</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769" w:name="HDR59"/>
      <w:bookmarkStart w:id="770" w:name="HDR59"/>
      <w:bookmarkEnd w:id="77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771" w:name="GLHDR59"/>
      <w:bookmarkEnd w:id="771"/>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left"/>
        <w:rPr/>
      </w:pPr>
      <w:r>
        <w:rPr/>
        <w:t> </w:t>
      </w:r>
    </w:p>
    <w:p>
      <w:pPr>
        <w:pStyle w:val="TextBody"/>
        <w:spacing w:before="0" w:after="0"/>
        <w:ind w:left="0" w:right="0" w:hanging="0"/>
        <w:jc w:val="left"/>
        <w:rPr>
          <w:rFonts w:ascii="helvetica" w:hAnsi="helvetica"/>
          <w:sz w:val="20"/>
        </w:rPr>
      </w:pPr>
      <w:r>
        <w:rPr>
          <w:rFonts w:ascii="helvetica" w:hAnsi="helvetica"/>
          <w:b/>
          <w:sz w:val="20"/>
        </w:rPr>
        <w:t xml:space="preserve">Andrew R. Boll </w:t>
      </w:r>
      <w:r>
        <w:rPr>
          <w:rFonts w:ascii="helvetica" w:hAnsi="helvetica"/>
          <w:sz w:val="20"/>
        </w:rPr>
        <w:t xml:space="preserve">has been our Vice President of Accounting and Financial Reporting since February 2012 and was a consultant to the Company from December 2011 to February 2012. Mr. Boll has over seven years of experience in financial reporting and accounting, including four years of experience working with small publicly traded companies, with a particular focus on restructured and reorganized businesses. From November 2007 to November 2011, Mr. Boll was an accountant for BCGU, LLC, a privately held fund manager that specializes in capital venture investment opportunities. There he provided consulting services to public company clients, compiled SEC financial reports, and accounted for numerous public company restructurings, financings and private to public mergers. From December 2004 to November 2007, Mr. Boll was an accountant for Welsh Companies, LLC, a privately held commercial real estate company, its fund and its other subsidiaries. Mr. Boll received his B.S. degree in Corporate and Public Finance, </w:t>
      </w:r>
      <w:r>
        <w:rPr>
          <w:rFonts w:ascii="helvetica" w:hAnsi="helvetica"/>
          <w:i/>
          <w:sz w:val="20"/>
        </w:rPr>
        <w:t>summa cum laude,</w:t>
      </w:r>
      <w:r>
        <w:rPr>
          <w:rFonts w:ascii="helvetica" w:hAnsi="helvetica"/>
          <w:sz w:val="20"/>
        </w:rPr>
        <w:t xml:space="preserve"> from Huron University.</w:t>
      </w:r>
    </w:p>
    <w:p>
      <w:pPr>
        <w:pStyle w:val="TextBody"/>
        <w:spacing w:before="0" w:after="0"/>
        <w:ind w:left="0" w:right="0" w:hanging="0"/>
        <w:jc w:val="both"/>
        <w:rPr/>
      </w:pPr>
      <w:r>
        <w:rPr/>
        <w:t> </w:t>
      </w:r>
    </w:p>
    <w:p>
      <w:pPr>
        <w:pStyle w:val="TextBody"/>
        <w:spacing w:before="0" w:after="0"/>
        <w:ind w:left="0" w:right="0" w:hanging="0"/>
        <w:jc w:val="left"/>
        <w:rPr>
          <w:rFonts w:ascii="helvetica" w:hAnsi="helvetica"/>
          <w:sz w:val="20"/>
        </w:rPr>
      </w:pPr>
      <w:r>
        <w:rPr>
          <w:rFonts w:ascii="helvetica" w:hAnsi="helvetica"/>
          <w:b/>
          <w:sz w:val="20"/>
        </w:rPr>
        <w:t>Mark L. Baum, Esq</w:t>
      </w:r>
      <w:r>
        <w:rPr>
          <w:rFonts w:ascii="helvetica" w:hAnsi="helvetica"/>
          <w:sz w:val="20"/>
        </w:rPr>
        <w:t>. has served as a director since December 2011 and as our Chairman of our Board of Directors from December 16, 2011 through April 1, 2012.  Mr. Baum has also served as our principal executive officer since December 2011, and was appointed our Chief Executive Officer effective April 1, 2012.  Mr. Baum has served as the principal of The Baum Law Firm, P.C. (now TBLF, LLC) since 1998, and has more than 15 years of experience in financing, operating and advising small capitalization publicly traded enterprises, with a particular focus on restructured or reorganized businesses. As a manager of capital, he has completed more than 125 rounds of financing for more than 40 publicly traded companies. As a securities attorney, Mr. Baum has focused his practice on US securities laws, reporting requirements and public company finance-related issues that affect small capitalization public companies. Mr. Baum has actively participated in numerous public company spin-offs, restructurings and recapitalizations, venture fundings, private-to-public mergers, asset acquisitions and divestitures. In addition to his fund management and legal experience, Mr. Baum has operational experience in the following industries: life science and diagnostics, closed door pharmacies, cleaner and renewable energy and retail home furnishings. Mr. Baum has served on numerous boards of directors, including Chembio Diagnostic Systems, Inc. (CEMI), Applied Natural Gas Fuels, Inc. (formerly AGAS), Shrink Nanotechnologies, Inc. (INKN), You on Demand, Inc. (CBBD) and CoConnect, Inc. (CCON), as well as boards of advisors for domestic and international private and public companies. Mr. Baum founded and capitalized the Mark L. Baum Scholarship which has funded tuition grants to college students in Texas. Mr. Baum is a published inventor and a licensed attorney in California and Texas.  Mr. Baum was a Managing Member of DermaStar International, LLC, our former majority stockholder.  Mr. Baum brings to our board years of public company executive experience, including knowledge of securities laws, reporting requirements and public company finance-related issues.</w:t>
      </w:r>
    </w:p>
    <w:p>
      <w:pPr>
        <w:pStyle w:val="TextBody"/>
        <w:spacing w:before="0" w:after="0"/>
        <w:ind w:left="0" w:right="0" w:hanging="0"/>
        <w:jc w:val="both"/>
        <w:rPr/>
      </w:pPr>
      <w:r>
        <w:rPr/>
        <w:t> </w:t>
      </w:r>
    </w:p>
    <w:p>
      <w:pPr>
        <w:pStyle w:val="TextBody"/>
        <w:spacing w:before="0" w:after="0"/>
        <w:ind w:left="0" w:right="0" w:hanging="0"/>
        <w:jc w:val="left"/>
        <w:rPr>
          <w:rFonts w:ascii="helvetica" w:hAnsi="helvetica"/>
          <w:sz w:val="20"/>
        </w:rPr>
      </w:pPr>
      <w:r>
        <w:rPr>
          <w:rFonts w:ascii="helvetica" w:hAnsi="helvetica"/>
          <w:b/>
          <w:sz w:val="20"/>
        </w:rPr>
        <w:t>Paul Finnegan, M.D., M.B.A.</w:t>
      </w:r>
      <w:r>
        <w:rPr>
          <w:rFonts w:ascii="helvetica" w:hAnsi="helvetica"/>
          <w:sz w:val="20"/>
        </w:rPr>
        <w:t> has served as a director since February 15, 2012 and currently serves as the Chair of our Compensation Committee and our Nomination and Corporate Governance Committee and as a member of our Audit Committee. Dr. Finnegan brings to the Company experience as a board member and a global senior executive in the pharmaceutical and biotechnology industries. His expertise involves development, commercialization, and product launches of multiple novel drugs, both blockbusters and ultra-orphan therapeutics, which encompassed various clinical indications. Dr. Finnegan also serves as a consultant to the Company.  He has served in leadership roles in commercial, clinical, medical affairs and business development functions of public and private companies. Most recently, from November 2008 to January 2012, Dr. Finnegan has been an entrepreneur in residence with Avalon Ventures, serving as President, Chief Executive Officer and Board Director of Avelas BioSciences and InCode Pharmaceutics, as well as a member of the biotechnology investment team, leading the clinical, commercial and regulatory due diligence efforts for over three years.  Dr. Finnegan served as our Chief Operating Officer and Chief Medical Officer from April 2008 to November 2008.  From October 2007 to April 2008, Dr. Finnegan served as the President and Chief Executive Officer of Cecoura Therapeutics, a private drug development company. From April 2001 to September 2007, Dr. Finnegan served as Vice President of Global Strategic Marketing and Development and other senior management positions at Alexion Pharmaceuticals. Prior to joining Alexion in 2001, Dr. Finnegan served as Senior Director, Global Medical Marketing for Pharmacia Corporation and G.D. Searle &amp; Co., providing medical affairs leadership for all therapeutic areas for the Asia-Pacific, Japan, Latin America and Canadian business regions.  Dr. Finnegan served as a board observer at AnaptysBio, Inc., a privately held therapeutic antibody company, from 2008 to 2011, and as a member of the boards of directors of Avelas Biosciences, Inc. from November 2008 to January 2011, and InCode BioPharmaceuticals, Inc. from April 2009 to the present.  Dr. Finnegan earned his MBA with Honors, in Finance and Strategy, from the University of Chicago, Graduate School of Business, and the degrees of MD, CM from McGill University, Faculty of Medicine, in Montreal. He is a Fellow of the Royal College of Physicians, Canada (FRCPC), Member of the American Society of Hematology and practiced as an interventional radiologist specializing in oncology and vascular diseases prior to transitioning to industry.  Dr. Finnegan was appointed to our Board of Directors in accordance with the terms of the Senior Advisory Agreement dated January 17, 2012 with the Company.  Dr. Finnegan terminated his Senior Advisory Agreement on May 9, 2012, but remains as an independent member of our Board of Directors.  Dr. Finnegan’s extensive leadership, marketing, investment and financial expertise and international business knowledge provides valuable guidance to our management and board.</w:t>
      </w:r>
    </w:p>
    <w:p>
      <w:pPr>
        <w:pStyle w:val="TextBody"/>
        <w:spacing w:before="0" w:after="0"/>
        <w:ind w:left="0" w:right="0" w:hanging="0"/>
        <w:jc w:val="both"/>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772" w:name="PGBRK61"/>
      <w:bookmarkStart w:id="773" w:name="PGBRK61"/>
      <w:bookmarkEnd w:id="77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774" w:name="FTR61"/>
      <w:bookmarkStart w:id="775" w:name="FTR61"/>
      <w:bookmarkEnd w:id="77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776" w:name="GLFTR60"/>
      <w:bookmarkEnd w:id="776"/>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helvetica" w:hAnsi="helvetica"/>
          <w:sz w:val="20"/>
        </w:rPr>
      </w:pPr>
      <w:bookmarkStart w:id="777" w:name="PN60"/>
      <w:bookmarkEnd w:id="777"/>
      <w:r>
        <w:rPr>
          <w:rFonts w:ascii="helvetica" w:hAnsi="helvetica"/>
          <w:sz w:val="20"/>
        </w:rPr>
        <w:t>59</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778" w:name="HDR60"/>
      <w:bookmarkStart w:id="779" w:name="HDR60"/>
      <w:bookmarkEnd w:id="77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780" w:name="GLHDR60"/>
      <w:bookmarkEnd w:id="780"/>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left"/>
        <w:rPr/>
      </w:pPr>
      <w:r>
        <w:rPr/>
        <w:t> </w:t>
      </w:r>
    </w:p>
    <w:p>
      <w:pPr>
        <w:pStyle w:val="TextBody"/>
        <w:spacing w:before="0" w:after="0"/>
        <w:ind w:left="0" w:right="0" w:hanging="0"/>
        <w:jc w:val="left"/>
        <w:rPr>
          <w:rFonts w:ascii="helvetica" w:hAnsi="helvetica"/>
          <w:sz w:val="20"/>
        </w:rPr>
      </w:pPr>
      <w:r>
        <w:rPr>
          <w:rFonts w:ascii="helvetica" w:hAnsi="helvetica"/>
          <w:b/>
          <w:sz w:val="20"/>
        </w:rPr>
        <w:t>Jeffrey J. Abrams, M.D., MPH,</w:t>
      </w:r>
      <w:r>
        <w:rPr>
          <w:rFonts w:ascii="helvetica" w:hAnsi="helvetica"/>
          <w:sz w:val="20"/>
        </w:rPr>
        <w:t xml:space="preserve"> has served as a director since September 2007 and served as Chairman of the Board from February 2010 until December 2011.  Currently, Dr. Abrams serves as a member of our Audit Committee, Compensation Committee, and Nomination and Corporate Governance Committee. Prior to 2007, Dr. Abrams was a practicing primary care clinician for over twenty years. Dr. Abrams received a B.A. from the State University of New York at Buffalo, an M.D. from the Albert Einstein College of Medicine and an M.P.H. from San Diego State University. Dr. Abrams was one of the co-founders of our company, and we believe that his qualifications to sit on our Board include his scientific and technical knowledge of our Accudel technology and our lead product candidate, Impracor, as well as his years and his years of experience as a practicing primary care clinician.</w:t>
      </w:r>
    </w:p>
    <w:p>
      <w:pPr>
        <w:pStyle w:val="TextBody"/>
        <w:spacing w:before="0" w:after="0"/>
        <w:ind w:left="0" w:right="0" w:hanging="0"/>
        <w:jc w:val="both"/>
        <w:rPr/>
      </w:pPr>
      <w:r>
        <w:rPr/>
        <w:t> </w:t>
      </w:r>
    </w:p>
    <w:p>
      <w:pPr>
        <w:pStyle w:val="TextBody"/>
        <w:spacing w:before="0" w:after="0"/>
        <w:ind w:left="0" w:right="0" w:hanging="0"/>
        <w:jc w:val="left"/>
        <w:rPr>
          <w:rFonts w:ascii="helvetica" w:hAnsi="helvetica"/>
          <w:sz w:val="20"/>
        </w:rPr>
      </w:pPr>
      <w:r>
        <w:rPr>
          <w:rFonts w:ascii="helvetica" w:hAnsi="helvetica"/>
          <w:b/>
          <w:sz w:val="20"/>
        </w:rPr>
        <w:t xml:space="preserve">Robert Kammer, D.D.S., </w:t>
      </w:r>
      <w:r>
        <w:rPr>
          <w:rFonts w:ascii="helvetica" w:hAnsi="helvetica"/>
          <w:sz w:val="20"/>
        </w:rPr>
        <w:t xml:space="preserve">has served as a director since December 2011 and as Chairman of the Board of Directors since April 1, 2012.  Dr. Kammer received his Bachelor of Science Degree in 1971 from Xavier University, Cincinnati, Ohio. He received his Doctor of Dental Surgery Degree from the University of Iowa in 1974. Dr. Kammer is a Diplomat of The American Board of Orofacial Pain and a Founding Charter Member of The Academy for Sports Dentistry and Colorado Osseointegration Study Club. From 1979 to 1996, Dr. Kammer was an Associate Professor and Course Director of Orofacial Pain Section in the Department of Restorative Dentistry at The University of Colorado Health Science Center. From 1982 through 1993, he served on the Sports Medicine Advisory Committee at The University of Colorado Intercollegiate Athletics and was the Team Dentist for Football and Basketball. From 1983 to 1990, Dr. Kammer was a consultant to the Boulder-Denver Pain Control Center and from 1988 through 1991, he served as a Referee and Editorial Staff Consultant of the Journal of Orofacial Pain. Dr. Kammer recently contributed a chapter to the groundbreaking text </w:t>
      </w:r>
      <w:r>
        <w:rPr>
          <w:rFonts w:ascii="helvetica" w:hAnsi="helvetica"/>
          <w:sz w:val="20"/>
          <w:u w:val="single"/>
        </w:rPr>
        <w:t>Osteoperiosteal Flap</w:t>
      </w:r>
      <w:r>
        <w:rPr>
          <w:rFonts w:ascii="helvetica" w:hAnsi="helvetica"/>
          <w:i/>
          <w:sz w:val="20"/>
          <w:u w:val="single"/>
        </w:rPr>
        <w:t>,</w:t>
      </w:r>
      <w:r>
        <w:rPr>
          <w:rFonts w:ascii="helvetica" w:hAnsi="helvetica"/>
          <w:sz w:val="20"/>
        </w:rPr>
        <w:t xml:space="preserve"> is consulting for Clear Choice Dental Implant Centers, co-authoring scientific papers and is a co-investigator for a landmark study of Titanium Implant Prostheses at the Mayo Institute.  Dr. Kammer was a Managing Member of DermaStar International, LLC, our former majority stockholder.  Dr. Kammer brings to our Board of Directors over 30 years of practical experience treating patients for orofacial pain as well as a history of success in leadership positions he has been associated with.</w:t>
      </w:r>
    </w:p>
    <w:p>
      <w:pPr>
        <w:pStyle w:val="TextBody"/>
        <w:spacing w:before="0" w:after="0"/>
        <w:ind w:left="0" w:right="0" w:hanging="0"/>
        <w:jc w:val="both"/>
        <w:rPr/>
      </w:pPr>
      <w:r>
        <w:rPr/>
        <w:t> </w:t>
      </w:r>
    </w:p>
    <w:p>
      <w:pPr>
        <w:pStyle w:val="TextBody"/>
        <w:spacing w:before="0" w:after="0"/>
        <w:ind w:left="0" w:right="0" w:hanging="0"/>
        <w:jc w:val="left"/>
        <w:rPr>
          <w:rFonts w:ascii="helvetica" w:hAnsi="helvetica"/>
          <w:sz w:val="20"/>
        </w:rPr>
      </w:pPr>
      <w:r>
        <w:rPr>
          <w:rFonts w:ascii="helvetica" w:hAnsi="helvetica"/>
          <w:b/>
          <w:sz w:val="20"/>
        </w:rPr>
        <w:t>Stephen G. Austin, CPA,</w:t>
      </w:r>
      <w:r>
        <w:rPr>
          <w:rFonts w:ascii="helvetica" w:hAnsi="helvetica"/>
          <w:sz w:val="20"/>
        </w:rPr>
        <w:t xml:space="preserve"> has served as a director since July 2012 and currently serves as the Chair of our Audit Committee and as a member of our Compensation Committee and Nomination and Corporate Governance Committee. He has been a Partner in Swenson Advisors, LLP, a regional accounting firm (registered with the PCAOB), since May 1998 and has served as Managing Partner since October 2006. At Swenson Advisors, Mr. Austin manages audit, SEC, Sarbanes-Oxley and business consulting engagements with a focus on technology, manufacturing, service, real estate, social media and non-profit organizations. Prior to joining Swenson Advisors, Mr. Austin accumulated over 22 years of experience as an audit partner with Price Waterhouse LLP, where he worked from 1976 to 1996, and with McGladrey &amp; Pullen, LLP, where he worked from 1996 to 1998, serving both public and private companies. While at Price Waterhouse, Mr. Austin worked in their national office in New York, where he addressed complex accounting and reporting issues for publicly-traded companies and worked with various members of the FASB and EITF staffs. Mr. Austin is licensed as a CPA in California and Georgia. He serves as a board member or advisory board member for various not-for-profit foundations, associations and public service organizations in the United States, serves on the Global board of directors of Integra International, an international association of accounting firms, and serves as a director on the board of Avanir Pharmaceuticals, Inc. (NASDAQ: AVNR). In 2004, Mr. Austin published a book on business ethics entitled “Rise of the New Ethics Class,” and in 2005 and 2006 he published articles in Asia discussing The Sarbanes-Oxley Act of 2002. In 2010 and 2011, Mr. Austin authored articles for the AICPA. Mr. Austin holds a B.S. degree in accounting from Bob Jones University and an M.B.A. degree from the University of Georgia. Mr. Austin brings to our Board financial and accounting expertise and extensive experience serving as a director of other companies.</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r>
        <w:rPr>
          <w:rFonts w:ascii="helvetica" w:hAnsi="helvetica"/>
          <w:sz w:val="20"/>
        </w:rPr>
        <w:t>There are no family relationships among our directors and executive officers.</w:t>
      </w:r>
    </w:p>
    <w:p>
      <w:pPr>
        <w:pStyle w:val="TextBody"/>
        <w:spacing w:before="0" w:after="0"/>
        <w:ind w:left="0" w:right="0" w:hanging="0"/>
        <w:jc w:val="both"/>
        <w:rPr/>
      </w:pPr>
      <w:r>
        <w:rPr/>
        <w:t> </w:t>
      </w:r>
    </w:p>
    <w:p>
      <w:pPr>
        <w:pStyle w:val="TextBody"/>
        <w:spacing w:before="0" w:after="0"/>
        <w:ind w:left="0" w:right="0" w:hanging="0"/>
        <w:jc w:val="left"/>
        <w:rPr>
          <w:rFonts w:ascii="helvetica" w:hAnsi="helvetica"/>
          <w:b/>
          <w:sz w:val="20"/>
        </w:rPr>
      </w:pPr>
      <w:r>
        <w:rPr>
          <w:rFonts w:ascii="helvetica" w:hAnsi="helvetica"/>
          <w:b/>
          <w:sz w:val="20"/>
        </w:rPr>
        <w:t>Committees of the Board of Directors</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r>
        <w:rPr>
          <w:rFonts w:ascii="helvetica" w:hAnsi="helvetica"/>
          <w:sz w:val="20"/>
        </w:rPr>
        <w:t>On August 7, 2012, the Board established the following committees:  the Audit Committee, the Compensation Committee and the Nomination and Corporate Governance Committee.</w:t>
      </w:r>
    </w:p>
    <w:p>
      <w:pPr>
        <w:pStyle w:val="TextBody"/>
        <w:spacing w:before="0" w:after="0"/>
        <w:ind w:left="0" w:right="0" w:hanging="0"/>
        <w:jc w:val="both"/>
        <w:rPr/>
      </w:pPr>
      <w:r>
        <w:rPr/>
        <w:t> </w:t>
      </w:r>
    </w:p>
    <w:p>
      <w:pPr>
        <w:pStyle w:val="TextBody"/>
        <w:spacing w:before="0" w:after="0"/>
        <w:ind w:left="0" w:right="0" w:hanging="0"/>
        <w:jc w:val="left"/>
        <w:rPr>
          <w:rFonts w:ascii="helvetica" w:hAnsi="helvetica"/>
          <w:i/>
          <w:sz w:val="20"/>
        </w:rPr>
      </w:pPr>
      <w:r>
        <w:rPr>
          <w:rFonts w:ascii="helvetica" w:hAnsi="helvetica"/>
          <w:i/>
          <w:sz w:val="20"/>
        </w:rPr>
        <w:t>Audit Committee</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r>
        <w:rPr>
          <w:rFonts w:ascii="helvetica" w:hAnsi="helvetica"/>
          <w:sz w:val="20"/>
        </w:rPr>
        <w:t>Mr. Austin, Dr. Abrams, and Dr. Finnegan have been appointed to serve on our Audit Committee, and Mr. Austin has been appointed as the Chair of the Audit Committee. Our Board of Directors has determined that each current member of our Audit Committee is “independent” within the meaning of Section 10A(m)(3) of the Exchange Act and Rule 10A-3(b)(1) thereunder and satisfies the requirements for membership in the Audit Committee as set forth in Rule 5605(c)(2)(A) of the Rules of The NASDAQ Stock Market (“NASDAQ Rules”). Our Board of Directors has also determined that Mr. Austin qualifies as an “audit committee financial expert” as defined in applicable rules of the Securities and Exchange Commission.</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r>
        <w:rPr>
          <w:rFonts w:ascii="helvetica" w:hAnsi="helvetica"/>
          <w:sz w:val="20"/>
        </w:rPr>
        <w:t>Our Board of Directors has adopted a written charter for our Audit Committee, which sets forth the specific duties and responsibilities of the Audit Committee, including: (i) overseeing our accounting and financial reporting processes and our financial reporting legal and regulatory compliance, (ii) overseeing and evaluating management’s assessment of the effectiveness of our internal controls over financial reporting, (iii) reviewing any transactions by us with related parties, (iv) appointing our independent registered public accounting firm, (v) monitoring the independence and performance of our independent registered public accounting firm, (vi) pre-approving all audit and permissible non-audit services to be provided to us by our independent registered public accounting firm, subject to a “de minimus” exception, (vii) meeting separately, periodically, with management and with our independent registered public accounting firm, and (viii) establishing procedures for our receipt, retention and treatment of information provided by our employees regarding accounting, internal accounting controls or audit matters. The Audit Committee’s charter will be provided on our website, http://www.imprimispharma.com, once it becomes available.</w:t>
      </w:r>
    </w:p>
    <w:p>
      <w:pPr>
        <w:pStyle w:val="TextBody"/>
        <w:spacing w:before="0" w:after="0"/>
        <w:ind w:left="0" w:right="0" w:hanging="0"/>
        <w:jc w:val="both"/>
        <w:rPr/>
      </w:pPr>
      <w:r>
        <w:rPr/>
        <w:t> </w:t>
      </w:r>
    </w:p>
    <w:p>
      <w:pPr>
        <w:pStyle w:val="TextBody"/>
        <w:spacing w:before="0" w:after="0"/>
        <w:ind w:left="0" w:right="0" w:hanging="0"/>
        <w:jc w:val="left"/>
        <w:rPr>
          <w:rFonts w:ascii="helvetica" w:hAnsi="helvetica"/>
          <w:i/>
          <w:sz w:val="20"/>
        </w:rPr>
      </w:pPr>
      <w:r>
        <w:rPr>
          <w:rFonts w:ascii="helvetica" w:hAnsi="helvetica"/>
          <w:i/>
          <w:sz w:val="20"/>
        </w:rPr>
        <w:t>Compensation Committee</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r>
        <w:rPr>
          <w:rFonts w:ascii="helvetica" w:hAnsi="helvetica"/>
          <w:sz w:val="20"/>
        </w:rPr>
        <w:t>Dr. Finnegan, Dr. Abrams and Mr. Austin have been appointed to serve on our Compensation Committee, and Dr. Finnegan has been appointed as the Chair of the Compensation Committee. Each member of our Compensation Committee is independent within the meaning of applicable NASDAQ Rules and is a “non-employee director” as defined under Rule 16b-3 of the Exchange Act and an “outside director” as that term is defined in applicable rules under the Internal Revenue Code.</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r>
        <w:rPr>
          <w:rFonts w:ascii="helvetica" w:hAnsi="helvetica"/>
          <w:sz w:val="20"/>
        </w:rPr>
        <w:t>Our Board of Directors has adopted a written charter for our Compensation Committee, which sets forth the specific duties and responsibilities of the Compensation Committee, including: (i) reviewing and approving our executive officer compensation programs and arrangements, (ii) determining the specific objectives of our compensation programs and structuring such programs to effectively attract and retain qualified personnel, (iii) reviewing and establishing goals and objectives relevant to the compensation of our Chief Executive Officer, and evaluating the Chief Executive Officer’s performance in light of those goals and objectives, (iv) administering our equity and incentive compensation plans, and (v) reviewing and approving director compensation and benefits. Pursuant to its charter, the Compensation Committee may select and engage such advisors and consultants as it deems necessary or desirable in its sole discretion to carry out its duties, and has the authority to approve the fees and retention terms relating to such advisors and/or consultants. The Compensation Committee’s charter will be provided on our website, http://www.imprimispharma.com, once it becomes available.</w:t>
      </w:r>
    </w:p>
    <w:p>
      <w:pPr>
        <w:pStyle w:val="TextBody"/>
        <w:spacing w:before="0" w:after="0"/>
        <w:ind w:left="0" w:right="0" w:hanging="0"/>
        <w:jc w:val="both"/>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781" w:name="PGBRK62"/>
      <w:bookmarkStart w:id="782" w:name="PGBRK62"/>
      <w:bookmarkEnd w:id="78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783" w:name="FTR62"/>
      <w:bookmarkStart w:id="784" w:name="FTR62"/>
      <w:bookmarkEnd w:id="78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785" w:name="GLFTR61"/>
      <w:bookmarkEnd w:id="785"/>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helvetica" w:hAnsi="helvetica"/>
          <w:sz w:val="20"/>
        </w:rPr>
      </w:pPr>
      <w:bookmarkStart w:id="786" w:name="PN61"/>
      <w:bookmarkEnd w:id="786"/>
      <w:r>
        <w:rPr>
          <w:rFonts w:ascii="helvetica" w:hAnsi="helvetica"/>
          <w:sz w:val="20"/>
        </w:rPr>
        <w:t>60</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787" w:name="HDR61"/>
      <w:bookmarkStart w:id="788" w:name="HDR61"/>
      <w:bookmarkEnd w:id="78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789" w:name="GLHDR61"/>
      <w:bookmarkEnd w:id="789"/>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pPr>
      <w:r>
        <w:rPr/>
        <w:t> </w:t>
      </w:r>
    </w:p>
    <w:p>
      <w:pPr>
        <w:pStyle w:val="TextBody"/>
        <w:spacing w:before="0" w:after="0"/>
        <w:ind w:left="0" w:right="0" w:hanging="0"/>
        <w:jc w:val="both"/>
        <w:rPr>
          <w:rFonts w:ascii="helvetica" w:hAnsi="helvetica"/>
          <w:i/>
          <w:sz w:val="20"/>
        </w:rPr>
      </w:pPr>
      <w:r>
        <w:rPr>
          <w:rFonts w:ascii="helvetica" w:hAnsi="helvetica"/>
          <w:i/>
          <w:sz w:val="20"/>
        </w:rPr>
        <w:t>Nomination and Corporate Governance Committee</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i w:val="false"/>
          <w:caps w:val="false"/>
          <w:smallCaps w:val="false"/>
          <w:sz w:val="20"/>
        </w:rPr>
      </w:pPr>
      <w:r>
        <w:rPr>
          <w:rFonts w:ascii="helvetica" w:hAnsi="helvetica"/>
          <w:i w:val="false"/>
          <w:caps w:val="false"/>
          <w:smallCaps w:val="false"/>
          <w:sz w:val="20"/>
        </w:rPr>
        <w:t>Dr. Finnegan, Dr. Abrams and Mr. Austin have been appointed to serve on our Nomination and Corporate Governance Committee, and Dr. Finnegan has been appointed as the Chair of that committee. Each member of our Nomination and Corporate Governance Committee is independent within the meaning of applicable NASDAQ Rules.</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i w:val="false"/>
          <w:caps w:val="false"/>
          <w:smallCaps w:val="false"/>
          <w:sz w:val="20"/>
        </w:rPr>
      </w:pPr>
      <w:r>
        <w:rPr>
          <w:rFonts w:ascii="helvetica" w:hAnsi="helvetica"/>
          <w:i w:val="false"/>
          <w:caps w:val="false"/>
          <w:smallCaps w:val="false"/>
          <w:sz w:val="20"/>
        </w:rPr>
        <w:t>Our Board of Directors has adopted a written charter for our Nomination and Corporate Governance Committee, which sets forth the specific duties and responsibilities of that committee, including: (i) assisting in identifying and recruiting qualified candidates for our Board and our management team, (ii) advising the Board regarding the membership and chairs of the committees of our Board, (iii) overseeing and evaluating the performance of our Board and our management team, including assessing the independence of our directors, (iv) recommending to the Board and overseeing our corporate governance principles, and (vii) recommending to the Board and monitoring compliance with our code of business conduct and ethics. A copy of the Nomination and Corporate Governance Committee’s charter will be provided on our website, http://www.imprimispharma.com, once it becomes available.</w:t>
      </w:r>
    </w:p>
    <w:p>
      <w:pPr>
        <w:pStyle w:val="TextBody"/>
        <w:spacing w:before="0" w:after="0"/>
        <w:ind w:left="0" w:right="0" w:hanging="0"/>
        <w:jc w:val="both"/>
        <w:rPr/>
      </w:pPr>
      <w:r>
        <w:rPr/>
        <w:t> </w:t>
      </w:r>
    </w:p>
    <w:p>
      <w:pPr>
        <w:pStyle w:val="TextBody"/>
        <w:spacing w:before="0" w:after="0"/>
        <w:ind w:left="0" w:right="0" w:hanging="0"/>
        <w:jc w:val="left"/>
        <w:rPr>
          <w:rFonts w:ascii="helvetica" w:hAnsi="helvetica"/>
          <w:b/>
          <w:i w:val="false"/>
          <w:caps w:val="false"/>
          <w:smallCaps w:val="false"/>
          <w:sz w:val="20"/>
        </w:rPr>
      </w:pPr>
      <w:r>
        <w:rPr>
          <w:rFonts w:ascii="helvetica" w:hAnsi="helvetica"/>
          <w:b/>
          <w:i w:val="false"/>
          <w:caps w:val="false"/>
          <w:smallCaps w:val="false"/>
          <w:sz w:val="20"/>
        </w:rPr>
        <w:t>Director Independence</w:t>
      </w:r>
    </w:p>
    <w:p>
      <w:pPr>
        <w:pStyle w:val="TextBody"/>
        <w:spacing w:before="0" w:after="0"/>
        <w:ind w:left="0" w:right="0" w:hanging="0"/>
        <w:jc w:val="both"/>
        <w:rPr/>
      </w:pPr>
      <w:r>
        <w:rPr/>
        <w:t> </w:t>
      </w:r>
    </w:p>
    <w:p>
      <w:pPr>
        <w:pStyle w:val="TextBody"/>
        <w:spacing w:before="0" w:after="0"/>
        <w:ind w:left="0" w:right="0" w:hanging="0"/>
        <w:jc w:val="left"/>
        <w:rPr>
          <w:rFonts w:ascii="helvetica" w:hAnsi="helvetica"/>
          <w:i/>
          <w:sz w:val="20"/>
        </w:rPr>
      </w:pPr>
      <w:r>
        <w:rPr>
          <w:rFonts w:ascii="helvetica" w:hAnsi="helvetica"/>
          <w:i/>
          <w:sz w:val="20"/>
        </w:rPr>
        <w:t>Current Directors</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i w:val="false"/>
          <w:caps w:val="false"/>
          <w:smallCaps w:val="false"/>
          <w:sz w:val="20"/>
        </w:rPr>
      </w:pPr>
      <w:r>
        <w:rPr>
          <w:rFonts w:ascii="helvetica" w:hAnsi="helvetica"/>
          <w:i w:val="false"/>
          <w:caps w:val="false"/>
          <w:smallCaps w:val="false"/>
          <w:sz w:val="20"/>
        </w:rPr>
        <w:t>We are not currently listed on any national securities exchange that has a requirement that the Board of Directors be independent. However, Mr. Austin, Dr. Abrams and Dr. Finnegan would each be considered an “independent director” as defined in Rule 5605(a)(2) of the NASDAQ Rules. Mr. Baum would not be considered independent because he currently serves as our Chief Executive Officer, and Dr. Kammer is not independent because of certain ongoing advisory relationships.</w:t>
      </w:r>
    </w:p>
    <w:p>
      <w:pPr>
        <w:pStyle w:val="TextBody"/>
        <w:spacing w:before="0" w:after="0"/>
        <w:ind w:left="0" w:right="0" w:hanging="0"/>
        <w:jc w:val="both"/>
        <w:rPr/>
      </w:pPr>
      <w:r>
        <w:rPr/>
        <w:t> </w:t>
      </w:r>
    </w:p>
    <w:p>
      <w:pPr>
        <w:pStyle w:val="TextBody"/>
        <w:spacing w:before="0" w:after="0"/>
        <w:ind w:left="0" w:right="0" w:hanging="0"/>
        <w:jc w:val="left"/>
        <w:rPr>
          <w:rFonts w:ascii="helvetica" w:hAnsi="helvetica"/>
          <w:i/>
          <w:sz w:val="20"/>
        </w:rPr>
      </w:pPr>
      <w:r>
        <w:rPr>
          <w:rFonts w:ascii="helvetica" w:hAnsi="helvetica"/>
          <w:i/>
          <w:sz w:val="20"/>
        </w:rPr>
        <w:t>Former Directors</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i w:val="false"/>
          <w:caps w:val="false"/>
          <w:smallCaps w:val="false"/>
          <w:sz w:val="20"/>
        </w:rPr>
      </w:pPr>
      <w:r>
        <w:rPr>
          <w:rFonts w:ascii="helvetica" w:hAnsi="helvetica"/>
          <w:i w:val="false"/>
          <w:caps w:val="false"/>
          <w:smallCaps w:val="false"/>
          <w:sz w:val="20"/>
        </w:rPr>
        <w:t>Commencing on February 15, 2012, Dr. Balbir Brar, our President, served as a director on our Board.  Dr. Brar resigned as a director on July 25, 2012, but continues in his capacity as our President. Dr. Brar was not considered independent because of his position as our President.</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i w:val="false"/>
          <w:caps w:val="false"/>
          <w:smallCaps w:val="false"/>
          <w:sz w:val="20"/>
        </w:rPr>
      </w:pPr>
      <w:r>
        <w:rPr>
          <w:rFonts w:ascii="helvetica" w:hAnsi="helvetica"/>
          <w:i w:val="false"/>
          <w:caps w:val="false"/>
          <w:smallCaps w:val="false"/>
          <w:sz w:val="20"/>
        </w:rPr>
        <w:t>During the fiscal year ended December 31, 2011, the following individuals served as our directors: John N. Bonfliglio, Lynn C. Swann, Anthony S. Thornley, Jeffrey J. Abrams, Mark L. Baum and Robert J. Kammer. Under NASDAQ Rules, during the fiscal year ended December 31, 2011, Mr. Swann, Mr. Thornley and Dr. Abrams would have been considered independent. Mr. Bonfiglio, Mr. Baum and Dr. Kammer would not be considered independent because of their employment or consulting relationships with the Company.</w:t>
      </w:r>
    </w:p>
    <w:p>
      <w:pPr>
        <w:pStyle w:val="TextBody"/>
        <w:spacing w:before="0" w:after="0"/>
        <w:ind w:left="0" w:right="0" w:hanging="0"/>
        <w:jc w:val="both"/>
        <w:rPr/>
      </w:pPr>
      <w:r>
        <w:rPr/>
        <w:t> </w:t>
      </w:r>
    </w:p>
    <w:p>
      <w:pPr>
        <w:pStyle w:val="TextBody"/>
        <w:spacing w:before="0" w:after="0"/>
        <w:ind w:left="720" w:right="0" w:hanging="0"/>
        <w:jc w:val="center"/>
        <w:rPr>
          <w:rFonts w:ascii="helvetica" w:hAnsi="helvetica"/>
          <w:b/>
          <w:sz w:val="20"/>
        </w:rPr>
      </w:pPr>
      <w:bookmarkStart w:id="790" w:name="TAB14"/>
      <w:bookmarkEnd w:id="790"/>
      <w:r>
        <w:rPr>
          <w:rFonts w:ascii="helvetica" w:hAnsi="helvetica"/>
          <w:b/>
          <w:sz w:val="20"/>
        </w:rPr>
        <w:t>EXECUTIVE COMPENSATION</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r>
        <w:rPr>
          <w:rFonts w:ascii="helvetica" w:hAnsi="helvetica"/>
          <w:sz w:val="20"/>
        </w:rPr>
        <w:t>All information regarding share amounts of common stock and prices per share of common stock contained under the heading “Executive Compensation” assumes the consummation of the one-for-five reverse stock split to be effected following effectiveness of the registration statement of which this prospectus forms a part and prior to the closing of this offering.</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bookmarkStart w:id="791" w:name="fis_compensation_table"/>
      <w:bookmarkEnd w:id="791"/>
      <w:r>
        <w:rPr>
          <w:rFonts w:ascii="helvetica" w:hAnsi="helvetica"/>
          <w:sz w:val="20"/>
        </w:rPr>
        <w:t>The following table sets forth for the periods presented certain information concerning all compensation earned by or awarded or paid to our named executive officers serving during the fiscal year ended December 31, 2011.  With the exception of Dr. Schupp who resigned in April 2011, and was re-hired effective February 15, 2012 and as noted below, none of our current executive officers received compensation during the fiscal years ended December 31, 2011 and December 31, 2010.</w:t>
      </w:r>
    </w:p>
    <w:p>
      <w:pPr>
        <w:pStyle w:val="TextBody"/>
        <w:spacing w:before="0" w:after="0"/>
        <w:ind w:left="0" w:right="0" w:hanging="0"/>
        <w:jc w:val="both"/>
        <w:rPr/>
      </w:pPr>
      <w:r>
        <w:rPr/>
        <w:t> </w:t>
      </w:r>
    </w:p>
    <w:p>
      <w:pPr>
        <w:pStyle w:val="TextBody"/>
        <w:spacing w:before="0" w:after="0"/>
        <w:ind w:left="0" w:right="0" w:hanging="0"/>
        <w:jc w:val="center"/>
        <w:rPr>
          <w:rFonts w:ascii="helvetica" w:hAnsi="helvetica"/>
          <w:b/>
          <w:sz w:val="20"/>
        </w:rPr>
      </w:pPr>
      <w:r>
        <w:rPr>
          <w:rFonts w:ascii="helvetica" w:hAnsi="helvetica"/>
          <w:b/>
          <w:sz w:val="20"/>
        </w:rPr>
        <w:t>Summary Compensation Table</w:t>
      </w:r>
    </w:p>
    <w:p>
      <w:pPr>
        <w:pStyle w:val="TextBody"/>
        <w:spacing w:before="0" w:after="0"/>
        <w:ind w:left="0" w:right="0" w:hanging="0"/>
        <w:jc w:val="center"/>
        <w:rPr/>
      </w:pPr>
      <w:r>
        <w:rPr/>
        <w:t> </w:t>
      </w:r>
    </w:p>
    <w:tbl>
      <w:tblPr>
        <w:tblW w:w="5000" w:type="pct"/>
        <w:jc w:val="left"/>
        <w:tblInd w:w="0" w:type="dxa"/>
        <w:tblCellMar>
          <w:top w:w="0" w:type="dxa"/>
          <w:left w:w="0" w:type="dxa"/>
          <w:bottom w:w="28" w:type="dxa"/>
          <w:right w:w="0" w:type="dxa"/>
        </w:tblCellMar>
      </w:tblPr>
      <w:tblGrid>
        <w:gridCol w:w="4395"/>
        <w:gridCol w:w="101"/>
        <w:gridCol w:w="818"/>
        <w:gridCol w:w="101"/>
        <w:gridCol w:w="101"/>
        <w:gridCol w:w="920"/>
        <w:gridCol w:w="101"/>
        <w:gridCol w:w="100"/>
        <w:gridCol w:w="101"/>
        <w:gridCol w:w="920"/>
        <w:gridCol w:w="101"/>
        <w:gridCol w:w="101"/>
        <w:gridCol w:w="101"/>
        <w:gridCol w:w="920"/>
        <w:gridCol w:w="101"/>
        <w:gridCol w:w="101"/>
        <w:gridCol w:w="101"/>
        <w:gridCol w:w="920"/>
        <w:gridCol w:w="101"/>
      </w:tblGrid>
      <w:tr>
        <w:trPr/>
        <w:tc>
          <w:tcPr>
            <w:tcW w:w="4395" w:type="dxa"/>
            <w:tcBorders>
              <w:bottom w:val="single" w:sz="12" w:space="0" w:color="000000"/>
            </w:tcBorders>
            <w:shd w:fill="auto" w:val="clear"/>
            <w:vAlign w:val="bottom"/>
          </w:tcPr>
          <w:p>
            <w:pPr>
              <w:pStyle w:val="TableContents"/>
              <w:spacing w:before="0" w:after="0"/>
              <w:ind w:left="0" w:right="0" w:hanging="0"/>
              <w:jc w:val="left"/>
              <w:rPr>
                <w:rFonts w:ascii="helvetica" w:hAnsi="helvetica"/>
                <w:b/>
                <w:sz w:val="16"/>
              </w:rPr>
            </w:pPr>
            <w:r>
              <w:rPr>
                <w:rFonts w:ascii="helvetica" w:hAnsi="helvetica"/>
                <w:b/>
                <w:sz w:val="16"/>
              </w:rPr>
              <w:t>Name</w:t>
            </w:r>
          </w:p>
        </w:tc>
        <w:tc>
          <w:tcPr>
            <w:tcW w:w="101" w:type="dxa"/>
            <w:tcBorders/>
            <w:shd w:fill="auto" w:val="clear"/>
            <w:tcMar>
              <w:bottom w:w="0" w:type="dxa"/>
            </w:tcMar>
            <w:vAlign w:val="bottom"/>
          </w:tcPr>
          <w:p>
            <w:pPr>
              <w:pStyle w:val="TableContents"/>
              <w:spacing w:before="0" w:after="283"/>
              <w:jc w:val="left"/>
              <w:rPr/>
            </w:pPr>
            <w:r>
              <w:rPr/>
              <w:t> </w:t>
            </w:r>
          </w:p>
        </w:tc>
        <w:tc>
          <w:tcPr>
            <w:tcW w:w="818" w:type="dxa"/>
            <w:tcBorders>
              <w:bottom w:val="single" w:sz="12" w:space="0" w:color="000000"/>
            </w:tcBorders>
            <w:shd w:fill="auto" w:val="clear"/>
            <w:vAlign w:val="bottom"/>
          </w:tcPr>
          <w:p>
            <w:pPr>
              <w:pStyle w:val="TableContents"/>
              <w:spacing w:before="0" w:after="0"/>
              <w:ind w:left="0" w:right="0" w:hanging="0"/>
              <w:jc w:val="center"/>
              <w:rPr>
                <w:rFonts w:ascii="helvetica" w:hAnsi="helvetica"/>
                <w:b/>
                <w:sz w:val="16"/>
              </w:rPr>
            </w:pPr>
            <w:r>
              <w:rPr>
                <w:rFonts w:ascii="helvetica" w:hAnsi="helvetica"/>
                <w:b/>
                <w:sz w:val="16"/>
              </w:rPr>
              <w:t>Year</w:t>
            </w:r>
          </w:p>
        </w:tc>
        <w:tc>
          <w:tcPr>
            <w:tcW w:w="101" w:type="dxa"/>
            <w:tcBorders/>
            <w:shd w:fill="auto" w:val="clear"/>
            <w:tcMar>
              <w:bottom w:w="0" w:type="dxa"/>
            </w:tcMar>
            <w:vAlign w:val="bottom"/>
          </w:tcPr>
          <w:p>
            <w:pPr>
              <w:pStyle w:val="TableContents"/>
              <w:spacing w:before="0" w:after="283"/>
              <w:rPr/>
            </w:pPr>
            <w:r>
              <w:rPr/>
              <w:t> </w:t>
            </w:r>
          </w:p>
        </w:tc>
        <w:tc>
          <w:tcPr>
            <w:tcW w:w="1021" w:type="dxa"/>
            <w:gridSpan w:val="2"/>
            <w:tcBorders>
              <w:bottom w:val="single" w:sz="12" w:space="0" w:color="000000"/>
            </w:tcBorders>
            <w:shd w:fill="auto" w:val="clear"/>
            <w:vAlign w:val="bottom"/>
          </w:tcPr>
          <w:p>
            <w:pPr>
              <w:pStyle w:val="TableContents"/>
              <w:spacing w:before="0" w:after="0"/>
              <w:ind w:left="0" w:right="0" w:hanging="0"/>
              <w:jc w:val="center"/>
              <w:rPr>
                <w:rFonts w:ascii="helvetica" w:hAnsi="helvetica"/>
                <w:b/>
                <w:sz w:val="16"/>
              </w:rPr>
            </w:pPr>
            <w:r>
              <w:rPr>
                <w:rFonts w:ascii="helvetica" w:hAnsi="helvetica"/>
                <w:b/>
                <w:sz w:val="16"/>
              </w:rPr>
              <w:t>Salary ($)</w:t>
            </w:r>
          </w:p>
        </w:tc>
        <w:tc>
          <w:tcPr>
            <w:tcW w:w="101" w:type="dxa"/>
            <w:tcBorders/>
            <w:shd w:fill="auto" w:val="clear"/>
            <w:tcMar>
              <w:bottom w:w="0" w:type="dxa"/>
            </w:tcMar>
            <w:vAlign w:val="bottom"/>
          </w:tcPr>
          <w:p>
            <w:pPr>
              <w:pStyle w:val="TableContents"/>
              <w:spacing w:before="0" w:after="283"/>
              <w:jc w:val="left"/>
              <w:rPr/>
            </w:pPr>
            <w:r>
              <w:rPr/>
              <w:t> </w:t>
            </w:r>
          </w:p>
        </w:tc>
        <w:tc>
          <w:tcPr>
            <w:tcW w:w="100" w:type="dxa"/>
            <w:tcBorders/>
            <w:shd w:fill="auto" w:val="clear"/>
            <w:tcMar>
              <w:bottom w:w="0" w:type="dxa"/>
            </w:tcMar>
            <w:vAlign w:val="bottom"/>
          </w:tcPr>
          <w:p>
            <w:pPr>
              <w:pStyle w:val="TableContents"/>
              <w:spacing w:before="0" w:after="283"/>
              <w:rPr/>
            </w:pPr>
            <w:r>
              <w:rPr/>
              <w:t> </w:t>
            </w:r>
          </w:p>
        </w:tc>
        <w:tc>
          <w:tcPr>
            <w:tcW w:w="1021" w:type="dxa"/>
            <w:gridSpan w:val="2"/>
            <w:tcBorders>
              <w:bottom w:val="single" w:sz="12" w:space="0" w:color="000000"/>
            </w:tcBorders>
            <w:shd w:fill="auto" w:val="clear"/>
            <w:vAlign w:val="bottom"/>
          </w:tcPr>
          <w:p>
            <w:pPr>
              <w:pStyle w:val="TableContents"/>
              <w:spacing w:before="0" w:after="0"/>
              <w:ind w:left="0" w:right="0" w:hanging="0"/>
              <w:jc w:val="center"/>
              <w:rPr>
                <w:rFonts w:ascii="helvetica" w:hAnsi="helvetica"/>
                <w:b/>
                <w:sz w:val="16"/>
              </w:rPr>
            </w:pPr>
            <w:r>
              <w:rPr>
                <w:rFonts w:ascii="helvetica" w:hAnsi="helvetica"/>
                <w:b/>
                <w:sz w:val="16"/>
              </w:rPr>
              <w:t>Stock Awards ($)(1)</w:t>
            </w:r>
          </w:p>
        </w:tc>
        <w:tc>
          <w:tcPr>
            <w:tcW w:w="101" w:type="dxa"/>
            <w:tcBorders/>
            <w:shd w:fill="auto" w:val="clear"/>
            <w:tcMar>
              <w:bottom w:w="0" w:type="dxa"/>
            </w:tcMar>
            <w:vAlign w:val="bottom"/>
          </w:tcPr>
          <w:p>
            <w:pPr>
              <w:pStyle w:val="TableContents"/>
              <w:spacing w:before="0" w:after="283"/>
              <w:jc w:val="left"/>
              <w:rPr/>
            </w:pPr>
            <w:r>
              <w:rPr/>
              <w:t> </w:t>
            </w:r>
          </w:p>
        </w:tc>
        <w:tc>
          <w:tcPr>
            <w:tcW w:w="101" w:type="dxa"/>
            <w:tcBorders/>
            <w:shd w:fill="auto" w:val="clear"/>
            <w:tcMar>
              <w:bottom w:w="0" w:type="dxa"/>
            </w:tcMar>
            <w:vAlign w:val="bottom"/>
          </w:tcPr>
          <w:p>
            <w:pPr>
              <w:pStyle w:val="TableContents"/>
              <w:spacing w:before="0" w:after="283"/>
              <w:rPr/>
            </w:pPr>
            <w:r>
              <w:rPr/>
              <w:t> </w:t>
            </w:r>
          </w:p>
        </w:tc>
        <w:tc>
          <w:tcPr>
            <w:tcW w:w="1021" w:type="dxa"/>
            <w:gridSpan w:val="2"/>
            <w:tcBorders>
              <w:bottom w:val="single" w:sz="12" w:space="0" w:color="000000"/>
            </w:tcBorders>
            <w:shd w:fill="auto" w:val="clear"/>
            <w:vAlign w:val="bottom"/>
          </w:tcPr>
          <w:p>
            <w:pPr>
              <w:pStyle w:val="TableContents"/>
              <w:spacing w:before="0" w:after="0"/>
              <w:ind w:left="0" w:right="0" w:hanging="0"/>
              <w:jc w:val="center"/>
              <w:rPr>
                <w:rFonts w:ascii="helvetica" w:hAnsi="helvetica"/>
                <w:b/>
                <w:sz w:val="16"/>
              </w:rPr>
            </w:pPr>
            <w:r>
              <w:rPr>
                <w:rFonts w:ascii="helvetica" w:hAnsi="helvetica"/>
                <w:b/>
                <w:sz w:val="16"/>
              </w:rPr>
              <w:t>Option Awards ($) (2)</w:t>
            </w:r>
          </w:p>
        </w:tc>
        <w:tc>
          <w:tcPr>
            <w:tcW w:w="101" w:type="dxa"/>
            <w:tcBorders/>
            <w:shd w:fill="auto" w:val="clear"/>
            <w:tcMar>
              <w:bottom w:w="0" w:type="dxa"/>
            </w:tcMar>
            <w:vAlign w:val="bottom"/>
          </w:tcPr>
          <w:p>
            <w:pPr>
              <w:pStyle w:val="TableContents"/>
              <w:spacing w:before="0" w:after="283"/>
              <w:jc w:val="left"/>
              <w:rPr/>
            </w:pPr>
            <w:r>
              <w:rPr/>
              <w:t> </w:t>
            </w:r>
          </w:p>
        </w:tc>
        <w:tc>
          <w:tcPr>
            <w:tcW w:w="101" w:type="dxa"/>
            <w:tcBorders/>
            <w:shd w:fill="auto" w:val="clear"/>
            <w:tcMar>
              <w:bottom w:w="0" w:type="dxa"/>
            </w:tcMar>
            <w:vAlign w:val="bottom"/>
          </w:tcPr>
          <w:p>
            <w:pPr>
              <w:pStyle w:val="TableContents"/>
              <w:spacing w:before="0" w:after="283"/>
              <w:rPr/>
            </w:pPr>
            <w:r>
              <w:rPr/>
              <w:t> </w:t>
            </w:r>
          </w:p>
        </w:tc>
        <w:tc>
          <w:tcPr>
            <w:tcW w:w="1021" w:type="dxa"/>
            <w:gridSpan w:val="2"/>
            <w:tcBorders>
              <w:bottom w:val="single" w:sz="12" w:space="0" w:color="000000"/>
            </w:tcBorders>
            <w:shd w:fill="auto" w:val="clear"/>
            <w:vAlign w:val="bottom"/>
          </w:tcPr>
          <w:p>
            <w:pPr>
              <w:pStyle w:val="TableContents"/>
              <w:spacing w:before="0" w:after="0"/>
              <w:ind w:left="0" w:right="0" w:hanging="0"/>
              <w:jc w:val="center"/>
              <w:rPr>
                <w:rFonts w:ascii="helvetica" w:hAnsi="helvetica"/>
                <w:b/>
                <w:sz w:val="16"/>
              </w:rPr>
            </w:pPr>
            <w:r>
              <w:rPr>
                <w:rFonts w:ascii="helvetica" w:hAnsi="helvetica"/>
                <w:b/>
                <w:sz w:val="16"/>
              </w:rPr>
              <w:t>Total ($)</w:t>
            </w:r>
          </w:p>
        </w:tc>
        <w:tc>
          <w:tcPr>
            <w:tcW w:w="101" w:type="dxa"/>
            <w:tcBorders/>
            <w:shd w:fill="auto" w:val="clear"/>
            <w:tcMar>
              <w:bottom w:w="0" w:type="dxa"/>
            </w:tcMar>
            <w:vAlign w:val="bottom"/>
          </w:tcPr>
          <w:p>
            <w:pPr>
              <w:pStyle w:val="TableContents"/>
              <w:spacing w:before="0" w:after="283"/>
              <w:jc w:val="left"/>
              <w:rPr/>
            </w:pPr>
            <w:r>
              <w:rPr/>
              <w:t> </w:t>
            </w:r>
          </w:p>
        </w:tc>
      </w:tr>
      <w:tr>
        <w:trPr/>
        <w:tc>
          <w:tcPr>
            <w:tcW w:w="4395" w:type="dxa"/>
            <w:tcBorders/>
            <w:shd w:fill="CCEEFF" w:val="clear"/>
            <w:tcMar>
              <w:bottom w:w="0" w:type="dxa"/>
            </w:tcMar>
            <w:vAlign w:val="bottom"/>
          </w:tcPr>
          <w:p>
            <w:pPr>
              <w:pStyle w:val="TableContents"/>
              <w:spacing w:before="0" w:after="0"/>
              <w:ind w:left="0" w:right="0" w:hanging="0"/>
              <w:jc w:val="left"/>
              <w:rPr>
                <w:rFonts w:ascii="helvetica" w:hAnsi="helvetica"/>
                <w:sz w:val="20"/>
              </w:rPr>
            </w:pPr>
            <w:r>
              <w:rPr>
                <w:rFonts w:ascii="helvetica" w:hAnsi="helvetica"/>
                <w:sz w:val="20"/>
              </w:rPr>
              <w:t>John Bonfiglio (3)</w:t>
            </w:r>
          </w:p>
        </w:tc>
        <w:tc>
          <w:tcPr>
            <w:tcW w:w="101" w:type="dxa"/>
            <w:tcBorders/>
            <w:shd w:fill="CCEEFF" w:val="clear"/>
            <w:tcMar>
              <w:bottom w:w="0" w:type="dxa"/>
            </w:tcMar>
            <w:vAlign w:val="bottom"/>
          </w:tcPr>
          <w:p>
            <w:pPr>
              <w:pStyle w:val="TableContents"/>
              <w:spacing w:before="0" w:after="283"/>
              <w:jc w:val="left"/>
              <w:rPr/>
            </w:pPr>
            <w:r>
              <w:rPr/>
              <w:t> </w:t>
            </w:r>
          </w:p>
        </w:tc>
        <w:tc>
          <w:tcPr>
            <w:tcW w:w="818" w:type="dxa"/>
            <w:tcBorders/>
            <w:shd w:fill="CCEEFF" w:val="clear"/>
            <w:tcMar>
              <w:bottom w:w="0" w:type="dxa"/>
            </w:tcMar>
            <w:vAlign w:val="bottom"/>
          </w:tcPr>
          <w:p>
            <w:pPr>
              <w:pStyle w:val="TableContents"/>
              <w:spacing w:before="0" w:after="0"/>
              <w:ind w:left="0" w:right="0" w:hanging="0"/>
              <w:jc w:val="center"/>
              <w:rPr>
                <w:rFonts w:ascii="helvetica" w:hAnsi="helvetica"/>
                <w:sz w:val="20"/>
              </w:rPr>
            </w:pPr>
            <w:r>
              <w:rPr>
                <w:rFonts w:ascii="helvetica" w:hAnsi="helvetica"/>
                <w:sz w:val="20"/>
              </w:rPr>
              <w:t>2011</w:t>
            </w:r>
          </w:p>
        </w:tc>
        <w:tc>
          <w:tcPr>
            <w:tcW w:w="101" w:type="dxa"/>
            <w:tcBorders/>
            <w:shd w:fill="CCEEFF" w:val="clear"/>
            <w:tcMar>
              <w:bottom w:w="0" w:type="dxa"/>
            </w:tcMar>
            <w:vAlign w:val="bottom"/>
          </w:tcPr>
          <w:p>
            <w:pPr>
              <w:pStyle w:val="TableContents"/>
              <w:spacing w:before="0" w:after="283"/>
              <w:rPr/>
            </w:pPr>
            <w:r>
              <w:rPr/>
              <w:t> </w:t>
            </w:r>
          </w:p>
        </w:tc>
        <w:tc>
          <w:tcPr>
            <w:tcW w:w="101" w:type="dxa"/>
            <w:tcBorders/>
            <w:shd w:fill="CCEEFF" w:val="clear"/>
            <w:tcMar>
              <w:bottom w:w="0" w:type="dxa"/>
            </w:tcMar>
            <w:vAlign w:val="bottom"/>
          </w:tcPr>
          <w:p>
            <w:pPr>
              <w:pStyle w:val="TableContents"/>
              <w:spacing w:before="0" w:after="283"/>
              <w:jc w:val="left"/>
              <w:rPr/>
            </w:pPr>
            <w:r>
              <w:rPr/>
              <w:t> </w:t>
            </w:r>
          </w:p>
        </w:tc>
        <w:tc>
          <w:tcPr>
            <w:tcW w:w="920" w:type="dxa"/>
            <w:tcBorders/>
            <w:shd w:fill="CCEEFF" w:val="clear"/>
            <w:tcMar>
              <w:bottom w:w="0" w:type="dxa"/>
            </w:tcMar>
            <w:vAlign w:val="bottom"/>
          </w:tcPr>
          <w:p>
            <w:pPr>
              <w:pStyle w:val="TableContents"/>
              <w:spacing w:before="0" w:after="283"/>
              <w:jc w:val="right"/>
              <w:rPr>
                <w:rFonts w:ascii="helvetica" w:hAnsi="helvetica"/>
                <w:sz w:val="20"/>
              </w:rPr>
            </w:pPr>
            <w:r>
              <w:rPr>
                <w:rFonts w:ascii="helvetica" w:hAnsi="helvetica"/>
                <w:sz w:val="20"/>
              </w:rPr>
              <w:t>21,384</w:t>
            </w:r>
          </w:p>
        </w:tc>
        <w:tc>
          <w:tcPr>
            <w:tcW w:w="101" w:type="dxa"/>
            <w:tcBorders/>
            <w:shd w:fill="CCEEFF" w:val="clear"/>
            <w:tcMar>
              <w:bottom w:w="0" w:type="dxa"/>
            </w:tcMar>
            <w:vAlign w:val="bottom"/>
          </w:tcPr>
          <w:p>
            <w:pPr>
              <w:pStyle w:val="TableContents"/>
              <w:spacing w:before="0" w:after="283"/>
              <w:jc w:val="left"/>
              <w:rPr/>
            </w:pPr>
            <w:r>
              <w:rPr/>
              <w:t> </w:t>
            </w:r>
          </w:p>
        </w:tc>
        <w:tc>
          <w:tcPr>
            <w:tcW w:w="100" w:type="dxa"/>
            <w:tcBorders/>
            <w:shd w:fill="CCEEFF" w:val="clear"/>
            <w:tcMar>
              <w:bottom w:w="0" w:type="dxa"/>
            </w:tcMar>
            <w:vAlign w:val="bottom"/>
          </w:tcPr>
          <w:p>
            <w:pPr>
              <w:pStyle w:val="TableContents"/>
              <w:spacing w:before="0" w:after="283"/>
              <w:rPr/>
            </w:pPr>
            <w:r>
              <w:rPr/>
              <w:t> </w:t>
            </w:r>
          </w:p>
        </w:tc>
        <w:tc>
          <w:tcPr>
            <w:tcW w:w="101" w:type="dxa"/>
            <w:tcBorders/>
            <w:shd w:fill="CCEEFF" w:val="clear"/>
            <w:tcMar>
              <w:bottom w:w="0" w:type="dxa"/>
            </w:tcMar>
            <w:vAlign w:val="bottom"/>
          </w:tcPr>
          <w:p>
            <w:pPr>
              <w:pStyle w:val="TableContents"/>
              <w:spacing w:before="0" w:after="283"/>
              <w:jc w:val="left"/>
              <w:rPr/>
            </w:pPr>
            <w:r>
              <w:rPr/>
              <w:t> </w:t>
            </w:r>
          </w:p>
        </w:tc>
        <w:tc>
          <w:tcPr>
            <w:tcW w:w="920" w:type="dxa"/>
            <w:tcBorders/>
            <w:shd w:fill="CCEEFF" w:val="clear"/>
            <w:tcMar>
              <w:bottom w:w="0" w:type="dxa"/>
            </w:tcMar>
            <w:vAlign w:val="bottom"/>
          </w:tcPr>
          <w:p>
            <w:pPr>
              <w:pStyle w:val="TableContents"/>
              <w:spacing w:before="0" w:after="283"/>
              <w:jc w:val="right"/>
              <w:rPr>
                <w:rFonts w:ascii="helvetica" w:hAnsi="helvetica"/>
                <w:sz w:val="20"/>
              </w:rPr>
            </w:pPr>
            <w:r>
              <w:rPr>
                <w:rFonts w:ascii="helvetica" w:hAnsi="helvetica"/>
                <w:sz w:val="20"/>
              </w:rPr>
              <w:t>-</w:t>
            </w:r>
          </w:p>
        </w:tc>
        <w:tc>
          <w:tcPr>
            <w:tcW w:w="101" w:type="dxa"/>
            <w:tcBorders/>
            <w:shd w:fill="CCEEFF" w:val="clear"/>
            <w:tcMar>
              <w:bottom w:w="0" w:type="dxa"/>
            </w:tcMar>
            <w:vAlign w:val="bottom"/>
          </w:tcPr>
          <w:p>
            <w:pPr>
              <w:pStyle w:val="TableContents"/>
              <w:spacing w:before="0" w:after="283"/>
              <w:jc w:val="left"/>
              <w:rPr/>
            </w:pPr>
            <w:r>
              <w:rPr/>
              <w:t> </w:t>
            </w:r>
          </w:p>
        </w:tc>
        <w:tc>
          <w:tcPr>
            <w:tcW w:w="101" w:type="dxa"/>
            <w:tcBorders/>
            <w:shd w:fill="CCEEFF" w:val="clear"/>
            <w:tcMar>
              <w:bottom w:w="0" w:type="dxa"/>
            </w:tcMar>
            <w:vAlign w:val="bottom"/>
          </w:tcPr>
          <w:p>
            <w:pPr>
              <w:pStyle w:val="TableContents"/>
              <w:spacing w:before="0" w:after="283"/>
              <w:rPr/>
            </w:pPr>
            <w:r>
              <w:rPr/>
              <w:t> </w:t>
            </w:r>
          </w:p>
        </w:tc>
        <w:tc>
          <w:tcPr>
            <w:tcW w:w="101" w:type="dxa"/>
            <w:tcBorders/>
            <w:shd w:fill="CCEEFF" w:val="clear"/>
            <w:tcMar>
              <w:bottom w:w="0" w:type="dxa"/>
            </w:tcMar>
            <w:vAlign w:val="bottom"/>
          </w:tcPr>
          <w:p>
            <w:pPr>
              <w:pStyle w:val="TableContents"/>
              <w:spacing w:before="0" w:after="283"/>
              <w:jc w:val="left"/>
              <w:rPr/>
            </w:pPr>
            <w:r>
              <w:rPr/>
              <w:t> </w:t>
            </w:r>
          </w:p>
        </w:tc>
        <w:tc>
          <w:tcPr>
            <w:tcW w:w="920" w:type="dxa"/>
            <w:tcBorders/>
            <w:shd w:fill="CCEEFF" w:val="clear"/>
            <w:tcMar>
              <w:bottom w:w="0" w:type="dxa"/>
            </w:tcMar>
            <w:vAlign w:val="bottom"/>
          </w:tcPr>
          <w:p>
            <w:pPr>
              <w:pStyle w:val="TableContents"/>
              <w:spacing w:before="0" w:after="283"/>
              <w:jc w:val="right"/>
              <w:rPr>
                <w:rFonts w:ascii="helvetica" w:hAnsi="helvetica"/>
                <w:sz w:val="20"/>
              </w:rPr>
            </w:pPr>
            <w:r>
              <w:rPr>
                <w:rFonts w:ascii="helvetica" w:hAnsi="helvetica"/>
                <w:sz w:val="20"/>
              </w:rPr>
              <w:t>1,566</w:t>
            </w:r>
          </w:p>
        </w:tc>
        <w:tc>
          <w:tcPr>
            <w:tcW w:w="101" w:type="dxa"/>
            <w:tcBorders/>
            <w:shd w:fill="CCEEFF" w:val="clear"/>
            <w:tcMar>
              <w:bottom w:w="0" w:type="dxa"/>
            </w:tcMar>
            <w:vAlign w:val="bottom"/>
          </w:tcPr>
          <w:p>
            <w:pPr>
              <w:pStyle w:val="TableContents"/>
              <w:spacing w:before="0" w:after="283"/>
              <w:jc w:val="left"/>
              <w:rPr/>
            </w:pPr>
            <w:r>
              <w:rPr/>
              <w:t> </w:t>
            </w:r>
          </w:p>
        </w:tc>
        <w:tc>
          <w:tcPr>
            <w:tcW w:w="101" w:type="dxa"/>
            <w:tcBorders/>
            <w:shd w:fill="CCEEFF" w:val="clear"/>
            <w:tcMar>
              <w:bottom w:w="0" w:type="dxa"/>
            </w:tcMar>
            <w:vAlign w:val="bottom"/>
          </w:tcPr>
          <w:p>
            <w:pPr>
              <w:pStyle w:val="TableContents"/>
              <w:spacing w:before="0" w:after="283"/>
              <w:rPr/>
            </w:pPr>
            <w:r>
              <w:rPr/>
              <w:t> </w:t>
            </w:r>
          </w:p>
        </w:tc>
        <w:tc>
          <w:tcPr>
            <w:tcW w:w="101" w:type="dxa"/>
            <w:tcBorders/>
            <w:shd w:fill="CCEEFF" w:val="clear"/>
            <w:tcMar>
              <w:bottom w:w="0" w:type="dxa"/>
            </w:tcMar>
            <w:vAlign w:val="bottom"/>
          </w:tcPr>
          <w:p>
            <w:pPr>
              <w:pStyle w:val="TableContents"/>
              <w:spacing w:before="0" w:after="283"/>
              <w:jc w:val="left"/>
              <w:rPr/>
            </w:pPr>
            <w:r>
              <w:rPr/>
              <w:t> </w:t>
            </w:r>
          </w:p>
        </w:tc>
        <w:tc>
          <w:tcPr>
            <w:tcW w:w="920" w:type="dxa"/>
            <w:tcBorders/>
            <w:shd w:fill="CCEEFF" w:val="clear"/>
            <w:tcMar>
              <w:bottom w:w="0" w:type="dxa"/>
            </w:tcMar>
            <w:vAlign w:val="bottom"/>
          </w:tcPr>
          <w:p>
            <w:pPr>
              <w:pStyle w:val="TableContents"/>
              <w:spacing w:before="0" w:after="283"/>
              <w:jc w:val="right"/>
              <w:rPr>
                <w:rFonts w:ascii="helvetica" w:hAnsi="helvetica"/>
                <w:sz w:val="20"/>
              </w:rPr>
            </w:pPr>
            <w:r>
              <w:rPr>
                <w:rFonts w:ascii="helvetica" w:hAnsi="helvetica"/>
                <w:sz w:val="20"/>
              </w:rPr>
              <w:t>22,950</w:t>
            </w:r>
          </w:p>
        </w:tc>
        <w:tc>
          <w:tcPr>
            <w:tcW w:w="101" w:type="dxa"/>
            <w:tcBorders/>
            <w:shd w:fill="CCEEFF" w:val="clear"/>
            <w:tcMar>
              <w:bottom w:w="0" w:type="dxa"/>
            </w:tcMar>
            <w:vAlign w:val="bottom"/>
          </w:tcPr>
          <w:p>
            <w:pPr>
              <w:pStyle w:val="TableContents"/>
              <w:spacing w:before="0" w:after="283"/>
              <w:jc w:val="left"/>
              <w:rPr/>
            </w:pPr>
            <w:r>
              <w:rPr/>
              <w:t> </w:t>
            </w:r>
          </w:p>
        </w:tc>
      </w:tr>
      <w:tr>
        <w:trPr/>
        <w:tc>
          <w:tcPr>
            <w:tcW w:w="4395" w:type="dxa"/>
            <w:tcBorders/>
            <w:shd w:fill="FFFFFF" w:val="clear"/>
            <w:tcMar>
              <w:bottom w:w="0" w:type="dxa"/>
            </w:tcMar>
            <w:vAlign w:val="bottom"/>
          </w:tcPr>
          <w:p>
            <w:pPr>
              <w:pStyle w:val="TableContents"/>
              <w:spacing w:before="0" w:after="0"/>
              <w:ind w:left="0" w:right="0" w:hanging="0"/>
              <w:jc w:val="left"/>
              <w:rPr/>
            </w:pPr>
            <w:r>
              <w:rPr/>
              <w:t>  </w:t>
            </w:r>
            <w:r>
              <w:rPr>
                <w:rFonts w:ascii="helvetica" w:hAnsi="helvetica"/>
                <w:sz w:val="20"/>
              </w:rPr>
              <w:t>Former President and Chief Executive Officer</w:t>
            </w:r>
          </w:p>
        </w:tc>
        <w:tc>
          <w:tcPr>
            <w:tcW w:w="101" w:type="dxa"/>
            <w:tcBorders/>
            <w:shd w:fill="FFFFFF" w:val="clear"/>
            <w:tcMar>
              <w:bottom w:w="0" w:type="dxa"/>
            </w:tcMar>
            <w:vAlign w:val="bottom"/>
          </w:tcPr>
          <w:p>
            <w:pPr>
              <w:pStyle w:val="TableContents"/>
              <w:spacing w:before="0" w:after="283"/>
              <w:jc w:val="left"/>
              <w:rPr/>
            </w:pPr>
            <w:r>
              <w:rPr/>
              <w:t> </w:t>
            </w:r>
          </w:p>
        </w:tc>
        <w:tc>
          <w:tcPr>
            <w:tcW w:w="818" w:type="dxa"/>
            <w:tcBorders/>
            <w:shd w:fill="FFFFFF" w:val="clear"/>
            <w:tcMar>
              <w:bottom w:w="0" w:type="dxa"/>
            </w:tcMar>
            <w:vAlign w:val="bottom"/>
          </w:tcPr>
          <w:p>
            <w:pPr>
              <w:pStyle w:val="TableContents"/>
              <w:spacing w:before="0" w:after="0"/>
              <w:ind w:left="0" w:right="0" w:hanging="0"/>
              <w:jc w:val="center"/>
              <w:rPr>
                <w:rFonts w:ascii="helvetica" w:hAnsi="helvetica"/>
                <w:sz w:val="20"/>
              </w:rPr>
            </w:pPr>
            <w:r>
              <w:rPr>
                <w:rFonts w:ascii="helvetica" w:hAnsi="helvetica"/>
                <w:sz w:val="20"/>
              </w:rPr>
              <w:t>2010</w:t>
            </w:r>
          </w:p>
        </w:tc>
        <w:tc>
          <w:tcPr>
            <w:tcW w:w="101" w:type="dxa"/>
            <w:tcBorders/>
            <w:shd w:fill="FFFFFF" w:val="clear"/>
            <w:tcMar>
              <w:bottom w:w="0" w:type="dxa"/>
            </w:tcMar>
            <w:vAlign w:val="bottom"/>
          </w:tcPr>
          <w:p>
            <w:pPr>
              <w:pStyle w:val="TableContents"/>
              <w:spacing w:before="0" w:after="283"/>
              <w:rPr/>
            </w:pPr>
            <w:r>
              <w:rPr/>
              <w:t> </w:t>
            </w:r>
          </w:p>
        </w:tc>
        <w:tc>
          <w:tcPr>
            <w:tcW w:w="101" w:type="dxa"/>
            <w:tcBorders/>
            <w:shd w:fill="FFFFFF" w:val="clear"/>
            <w:tcMar>
              <w:bottom w:w="0" w:type="dxa"/>
            </w:tcMar>
            <w:vAlign w:val="bottom"/>
          </w:tcPr>
          <w:p>
            <w:pPr>
              <w:pStyle w:val="TableContents"/>
              <w:spacing w:before="0" w:after="283"/>
              <w:jc w:val="left"/>
              <w:rPr/>
            </w:pPr>
            <w:r>
              <w:rPr/>
              <w:t> </w:t>
            </w:r>
          </w:p>
        </w:tc>
        <w:tc>
          <w:tcPr>
            <w:tcW w:w="920" w:type="dxa"/>
            <w:tcBorders/>
            <w:shd w:fill="FFFFFF" w:val="clear"/>
            <w:tcMar>
              <w:bottom w:w="0" w:type="dxa"/>
            </w:tcMar>
            <w:vAlign w:val="bottom"/>
          </w:tcPr>
          <w:p>
            <w:pPr>
              <w:pStyle w:val="TableContents"/>
              <w:spacing w:before="0" w:after="283"/>
              <w:jc w:val="right"/>
              <w:rPr>
                <w:rFonts w:ascii="helvetica" w:hAnsi="helvetica"/>
                <w:sz w:val="20"/>
              </w:rPr>
            </w:pPr>
            <w:r>
              <w:rPr>
                <w:rFonts w:ascii="helvetica" w:hAnsi="helvetica"/>
                <w:sz w:val="20"/>
              </w:rPr>
              <w:t>30,000</w:t>
            </w:r>
          </w:p>
        </w:tc>
        <w:tc>
          <w:tcPr>
            <w:tcW w:w="101" w:type="dxa"/>
            <w:tcBorders/>
            <w:shd w:fill="FFFFFF" w:val="clear"/>
            <w:tcMar>
              <w:bottom w:w="0" w:type="dxa"/>
            </w:tcMar>
            <w:vAlign w:val="bottom"/>
          </w:tcPr>
          <w:p>
            <w:pPr>
              <w:pStyle w:val="TableContents"/>
              <w:spacing w:before="0" w:after="283"/>
              <w:jc w:val="left"/>
              <w:rPr/>
            </w:pPr>
            <w:r>
              <w:rPr/>
              <w:t> </w:t>
            </w:r>
          </w:p>
        </w:tc>
        <w:tc>
          <w:tcPr>
            <w:tcW w:w="100" w:type="dxa"/>
            <w:tcBorders/>
            <w:shd w:fill="FFFFFF" w:val="clear"/>
            <w:tcMar>
              <w:bottom w:w="0" w:type="dxa"/>
            </w:tcMar>
            <w:vAlign w:val="bottom"/>
          </w:tcPr>
          <w:p>
            <w:pPr>
              <w:pStyle w:val="TableContents"/>
              <w:spacing w:before="0" w:after="283"/>
              <w:rPr/>
            </w:pPr>
            <w:r>
              <w:rPr/>
              <w:t> </w:t>
            </w:r>
          </w:p>
        </w:tc>
        <w:tc>
          <w:tcPr>
            <w:tcW w:w="101" w:type="dxa"/>
            <w:tcBorders/>
            <w:shd w:fill="FFFFFF" w:val="clear"/>
            <w:tcMar>
              <w:bottom w:w="0" w:type="dxa"/>
            </w:tcMar>
            <w:vAlign w:val="bottom"/>
          </w:tcPr>
          <w:p>
            <w:pPr>
              <w:pStyle w:val="TableContents"/>
              <w:spacing w:before="0" w:after="283"/>
              <w:jc w:val="left"/>
              <w:rPr/>
            </w:pPr>
            <w:r>
              <w:rPr/>
              <w:t> </w:t>
            </w:r>
          </w:p>
        </w:tc>
        <w:tc>
          <w:tcPr>
            <w:tcW w:w="920" w:type="dxa"/>
            <w:tcBorders/>
            <w:shd w:fill="FFFFFF" w:val="clear"/>
            <w:tcMar>
              <w:bottom w:w="0" w:type="dxa"/>
            </w:tcMar>
            <w:vAlign w:val="bottom"/>
          </w:tcPr>
          <w:p>
            <w:pPr>
              <w:pStyle w:val="TableContents"/>
              <w:spacing w:before="0" w:after="283"/>
              <w:jc w:val="right"/>
              <w:rPr>
                <w:rFonts w:ascii="helvetica" w:hAnsi="helvetica"/>
                <w:sz w:val="20"/>
              </w:rPr>
            </w:pPr>
            <w:r>
              <w:rPr>
                <w:rFonts w:ascii="helvetica" w:hAnsi="helvetica"/>
                <w:sz w:val="20"/>
              </w:rPr>
              <w:t>40,000</w:t>
            </w:r>
          </w:p>
        </w:tc>
        <w:tc>
          <w:tcPr>
            <w:tcW w:w="101" w:type="dxa"/>
            <w:tcBorders/>
            <w:shd w:fill="FFFFFF" w:val="clear"/>
            <w:tcMar>
              <w:bottom w:w="0" w:type="dxa"/>
            </w:tcMar>
            <w:vAlign w:val="bottom"/>
          </w:tcPr>
          <w:p>
            <w:pPr>
              <w:pStyle w:val="TableContents"/>
              <w:spacing w:before="0" w:after="283"/>
              <w:jc w:val="left"/>
              <w:rPr/>
            </w:pPr>
            <w:r>
              <w:rPr/>
              <w:t> </w:t>
            </w:r>
          </w:p>
        </w:tc>
        <w:tc>
          <w:tcPr>
            <w:tcW w:w="101" w:type="dxa"/>
            <w:tcBorders/>
            <w:shd w:fill="FFFFFF" w:val="clear"/>
            <w:tcMar>
              <w:bottom w:w="0" w:type="dxa"/>
            </w:tcMar>
            <w:vAlign w:val="bottom"/>
          </w:tcPr>
          <w:p>
            <w:pPr>
              <w:pStyle w:val="TableContents"/>
              <w:spacing w:before="0" w:after="283"/>
              <w:rPr/>
            </w:pPr>
            <w:r>
              <w:rPr/>
              <w:t> </w:t>
            </w:r>
          </w:p>
        </w:tc>
        <w:tc>
          <w:tcPr>
            <w:tcW w:w="101" w:type="dxa"/>
            <w:tcBorders/>
            <w:shd w:fill="FFFFFF" w:val="clear"/>
            <w:tcMar>
              <w:bottom w:w="0" w:type="dxa"/>
            </w:tcMar>
            <w:vAlign w:val="bottom"/>
          </w:tcPr>
          <w:p>
            <w:pPr>
              <w:pStyle w:val="TableContents"/>
              <w:spacing w:before="0" w:after="283"/>
              <w:jc w:val="left"/>
              <w:rPr/>
            </w:pPr>
            <w:r>
              <w:rPr/>
              <w:t> </w:t>
            </w:r>
          </w:p>
        </w:tc>
        <w:tc>
          <w:tcPr>
            <w:tcW w:w="920" w:type="dxa"/>
            <w:tcBorders/>
            <w:shd w:fill="FFFFFF" w:val="clear"/>
            <w:tcMar>
              <w:bottom w:w="0" w:type="dxa"/>
            </w:tcMar>
            <w:vAlign w:val="bottom"/>
          </w:tcPr>
          <w:p>
            <w:pPr>
              <w:pStyle w:val="TableContents"/>
              <w:spacing w:before="0" w:after="283"/>
              <w:jc w:val="right"/>
              <w:rPr>
                <w:rFonts w:ascii="helvetica" w:hAnsi="helvetica"/>
                <w:sz w:val="20"/>
              </w:rPr>
            </w:pPr>
            <w:r>
              <w:rPr>
                <w:rFonts w:ascii="helvetica" w:hAnsi="helvetica"/>
                <w:sz w:val="20"/>
              </w:rPr>
              <w:t>194,721</w:t>
            </w:r>
          </w:p>
        </w:tc>
        <w:tc>
          <w:tcPr>
            <w:tcW w:w="101" w:type="dxa"/>
            <w:tcBorders/>
            <w:shd w:fill="FFFFFF" w:val="clear"/>
            <w:tcMar>
              <w:bottom w:w="0" w:type="dxa"/>
            </w:tcMar>
            <w:vAlign w:val="bottom"/>
          </w:tcPr>
          <w:p>
            <w:pPr>
              <w:pStyle w:val="TableContents"/>
              <w:spacing w:before="0" w:after="283"/>
              <w:jc w:val="left"/>
              <w:rPr/>
            </w:pPr>
            <w:r>
              <w:rPr/>
              <w:t> </w:t>
            </w:r>
          </w:p>
        </w:tc>
        <w:tc>
          <w:tcPr>
            <w:tcW w:w="101" w:type="dxa"/>
            <w:tcBorders/>
            <w:shd w:fill="FFFFFF" w:val="clear"/>
            <w:tcMar>
              <w:bottom w:w="0" w:type="dxa"/>
            </w:tcMar>
            <w:vAlign w:val="bottom"/>
          </w:tcPr>
          <w:p>
            <w:pPr>
              <w:pStyle w:val="TableContents"/>
              <w:spacing w:before="0" w:after="283"/>
              <w:rPr/>
            </w:pPr>
            <w:r>
              <w:rPr/>
              <w:t> </w:t>
            </w:r>
          </w:p>
        </w:tc>
        <w:tc>
          <w:tcPr>
            <w:tcW w:w="101" w:type="dxa"/>
            <w:tcBorders/>
            <w:shd w:fill="FFFFFF" w:val="clear"/>
            <w:tcMar>
              <w:bottom w:w="0" w:type="dxa"/>
            </w:tcMar>
            <w:vAlign w:val="bottom"/>
          </w:tcPr>
          <w:p>
            <w:pPr>
              <w:pStyle w:val="TableContents"/>
              <w:spacing w:before="0" w:after="283"/>
              <w:jc w:val="left"/>
              <w:rPr/>
            </w:pPr>
            <w:r>
              <w:rPr/>
              <w:t> </w:t>
            </w:r>
          </w:p>
        </w:tc>
        <w:tc>
          <w:tcPr>
            <w:tcW w:w="920" w:type="dxa"/>
            <w:tcBorders/>
            <w:shd w:fill="FFFFFF" w:val="clear"/>
            <w:tcMar>
              <w:bottom w:w="0" w:type="dxa"/>
            </w:tcMar>
            <w:vAlign w:val="bottom"/>
          </w:tcPr>
          <w:p>
            <w:pPr>
              <w:pStyle w:val="TableContents"/>
              <w:spacing w:before="0" w:after="283"/>
              <w:jc w:val="right"/>
              <w:rPr>
                <w:rFonts w:ascii="helvetica" w:hAnsi="helvetica"/>
                <w:sz w:val="20"/>
              </w:rPr>
            </w:pPr>
            <w:r>
              <w:rPr>
                <w:rFonts w:ascii="helvetica" w:hAnsi="helvetica"/>
                <w:sz w:val="20"/>
              </w:rPr>
              <w:t>264,721</w:t>
            </w:r>
          </w:p>
        </w:tc>
        <w:tc>
          <w:tcPr>
            <w:tcW w:w="101" w:type="dxa"/>
            <w:tcBorders/>
            <w:shd w:fill="FFFFFF" w:val="clear"/>
            <w:tcMar>
              <w:bottom w:w="0" w:type="dxa"/>
            </w:tcMar>
            <w:vAlign w:val="bottom"/>
          </w:tcPr>
          <w:p>
            <w:pPr>
              <w:pStyle w:val="TableContents"/>
              <w:spacing w:before="0" w:after="283"/>
              <w:jc w:val="left"/>
              <w:rPr/>
            </w:pPr>
            <w:r>
              <w:rPr/>
              <w:t> </w:t>
            </w:r>
          </w:p>
        </w:tc>
      </w:tr>
      <w:tr>
        <w:trPr/>
        <w:tc>
          <w:tcPr>
            <w:tcW w:w="4395" w:type="dxa"/>
            <w:tcBorders/>
            <w:shd w:fill="CCEEFF" w:val="clear"/>
            <w:tcMar>
              <w:bottom w:w="0" w:type="dxa"/>
            </w:tcMar>
            <w:vAlign w:val="bottom"/>
          </w:tcPr>
          <w:p>
            <w:pPr>
              <w:pStyle w:val="TableContents"/>
              <w:spacing w:before="0" w:after="0"/>
              <w:ind w:left="0" w:right="0" w:hanging="0"/>
              <w:jc w:val="left"/>
              <w:rPr>
                <w:rFonts w:ascii="helvetica" w:hAnsi="helvetica"/>
                <w:sz w:val="20"/>
              </w:rPr>
            </w:pPr>
            <w:r>
              <w:rPr>
                <w:rFonts w:ascii="helvetica" w:hAnsi="helvetica"/>
                <w:sz w:val="20"/>
              </w:rPr>
              <w:t>John T. Lomoro (4)</w:t>
            </w:r>
          </w:p>
        </w:tc>
        <w:tc>
          <w:tcPr>
            <w:tcW w:w="101" w:type="dxa"/>
            <w:tcBorders/>
            <w:shd w:fill="CCEEFF" w:val="clear"/>
            <w:tcMar>
              <w:bottom w:w="0" w:type="dxa"/>
            </w:tcMar>
            <w:vAlign w:val="bottom"/>
          </w:tcPr>
          <w:p>
            <w:pPr>
              <w:pStyle w:val="TableContents"/>
              <w:spacing w:before="0" w:after="283"/>
              <w:jc w:val="left"/>
              <w:rPr/>
            </w:pPr>
            <w:r>
              <w:rPr/>
              <w:t> </w:t>
            </w:r>
          </w:p>
        </w:tc>
        <w:tc>
          <w:tcPr>
            <w:tcW w:w="818" w:type="dxa"/>
            <w:tcBorders/>
            <w:shd w:fill="CCEEFF" w:val="clear"/>
            <w:tcMar>
              <w:bottom w:w="0" w:type="dxa"/>
            </w:tcMar>
            <w:vAlign w:val="bottom"/>
          </w:tcPr>
          <w:p>
            <w:pPr>
              <w:pStyle w:val="TableContents"/>
              <w:spacing w:before="0" w:after="0"/>
              <w:ind w:left="0" w:right="0" w:hanging="0"/>
              <w:jc w:val="center"/>
              <w:rPr>
                <w:rFonts w:ascii="helvetica" w:hAnsi="helvetica"/>
                <w:sz w:val="20"/>
              </w:rPr>
            </w:pPr>
            <w:r>
              <w:rPr>
                <w:rFonts w:ascii="helvetica" w:hAnsi="helvetica"/>
                <w:sz w:val="20"/>
              </w:rPr>
              <w:t>2011</w:t>
            </w:r>
          </w:p>
        </w:tc>
        <w:tc>
          <w:tcPr>
            <w:tcW w:w="101" w:type="dxa"/>
            <w:tcBorders/>
            <w:shd w:fill="CCEEFF" w:val="clear"/>
            <w:tcMar>
              <w:bottom w:w="0" w:type="dxa"/>
            </w:tcMar>
            <w:vAlign w:val="bottom"/>
          </w:tcPr>
          <w:p>
            <w:pPr>
              <w:pStyle w:val="TableContents"/>
              <w:spacing w:before="0" w:after="283"/>
              <w:rPr/>
            </w:pPr>
            <w:r>
              <w:rPr/>
              <w:t> </w:t>
            </w:r>
          </w:p>
        </w:tc>
        <w:tc>
          <w:tcPr>
            <w:tcW w:w="101" w:type="dxa"/>
            <w:tcBorders/>
            <w:shd w:fill="CCEEFF" w:val="clear"/>
            <w:tcMar>
              <w:bottom w:w="0" w:type="dxa"/>
            </w:tcMar>
            <w:vAlign w:val="bottom"/>
          </w:tcPr>
          <w:p>
            <w:pPr>
              <w:pStyle w:val="TableContents"/>
              <w:spacing w:before="0" w:after="283"/>
              <w:jc w:val="left"/>
              <w:rPr/>
            </w:pPr>
            <w:r>
              <w:rPr/>
              <w:t> </w:t>
            </w:r>
          </w:p>
        </w:tc>
        <w:tc>
          <w:tcPr>
            <w:tcW w:w="920" w:type="dxa"/>
            <w:tcBorders/>
            <w:shd w:fill="CCEEFF" w:val="clear"/>
            <w:tcMar>
              <w:bottom w:w="0" w:type="dxa"/>
            </w:tcMar>
            <w:vAlign w:val="bottom"/>
          </w:tcPr>
          <w:p>
            <w:pPr>
              <w:pStyle w:val="TableContents"/>
              <w:spacing w:before="0" w:after="283"/>
              <w:jc w:val="right"/>
              <w:rPr>
                <w:rFonts w:ascii="helvetica" w:hAnsi="helvetica"/>
                <w:sz w:val="20"/>
              </w:rPr>
            </w:pPr>
            <w:r>
              <w:rPr>
                <w:rFonts w:ascii="helvetica" w:hAnsi="helvetica"/>
                <w:sz w:val="20"/>
              </w:rPr>
              <w:t>40,058</w:t>
            </w:r>
          </w:p>
        </w:tc>
        <w:tc>
          <w:tcPr>
            <w:tcW w:w="101" w:type="dxa"/>
            <w:tcBorders/>
            <w:shd w:fill="CCEEFF" w:val="clear"/>
            <w:tcMar>
              <w:bottom w:w="0" w:type="dxa"/>
            </w:tcMar>
            <w:vAlign w:val="bottom"/>
          </w:tcPr>
          <w:p>
            <w:pPr>
              <w:pStyle w:val="TableContents"/>
              <w:spacing w:before="0" w:after="283"/>
              <w:jc w:val="left"/>
              <w:rPr/>
            </w:pPr>
            <w:r>
              <w:rPr/>
              <w:t> </w:t>
            </w:r>
          </w:p>
        </w:tc>
        <w:tc>
          <w:tcPr>
            <w:tcW w:w="100" w:type="dxa"/>
            <w:tcBorders/>
            <w:shd w:fill="CCEEFF" w:val="clear"/>
            <w:tcMar>
              <w:bottom w:w="0" w:type="dxa"/>
            </w:tcMar>
            <w:vAlign w:val="bottom"/>
          </w:tcPr>
          <w:p>
            <w:pPr>
              <w:pStyle w:val="TableContents"/>
              <w:spacing w:before="0" w:after="283"/>
              <w:rPr/>
            </w:pPr>
            <w:r>
              <w:rPr/>
              <w:t> </w:t>
            </w:r>
          </w:p>
        </w:tc>
        <w:tc>
          <w:tcPr>
            <w:tcW w:w="101" w:type="dxa"/>
            <w:tcBorders/>
            <w:shd w:fill="CCEEFF" w:val="clear"/>
            <w:tcMar>
              <w:bottom w:w="0" w:type="dxa"/>
            </w:tcMar>
            <w:vAlign w:val="bottom"/>
          </w:tcPr>
          <w:p>
            <w:pPr>
              <w:pStyle w:val="TableContents"/>
              <w:spacing w:before="0" w:after="283"/>
              <w:jc w:val="left"/>
              <w:rPr/>
            </w:pPr>
            <w:r>
              <w:rPr/>
              <w:t> </w:t>
            </w:r>
          </w:p>
        </w:tc>
        <w:tc>
          <w:tcPr>
            <w:tcW w:w="920" w:type="dxa"/>
            <w:tcBorders/>
            <w:shd w:fill="CCEEFF" w:val="clear"/>
            <w:tcMar>
              <w:bottom w:w="0" w:type="dxa"/>
            </w:tcMar>
            <w:vAlign w:val="bottom"/>
          </w:tcPr>
          <w:p>
            <w:pPr>
              <w:pStyle w:val="TableContents"/>
              <w:spacing w:before="0" w:after="283"/>
              <w:jc w:val="right"/>
              <w:rPr>
                <w:rFonts w:ascii="helvetica" w:hAnsi="helvetica"/>
                <w:sz w:val="20"/>
              </w:rPr>
            </w:pPr>
            <w:r>
              <w:rPr>
                <w:rFonts w:ascii="helvetica" w:hAnsi="helvetica"/>
                <w:sz w:val="20"/>
              </w:rPr>
              <w:t>-</w:t>
            </w:r>
          </w:p>
        </w:tc>
        <w:tc>
          <w:tcPr>
            <w:tcW w:w="101" w:type="dxa"/>
            <w:tcBorders/>
            <w:shd w:fill="CCEEFF" w:val="clear"/>
            <w:tcMar>
              <w:bottom w:w="0" w:type="dxa"/>
            </w:tcMar>
            <w:vAlign w:val="bottom"/>
          </w:tcPr>
          <w:p>
            <w:pPr>
              <w:pStyle w:val="TableContents"/>
              <w:spacing w:before="0" w:after="283"/>
              <w:jc w:val="left"/>
              <w:rPr/>
            </w:pPr>
            <w:r>
              <w:rPr/>
              <w:t> </w:t>
            </w:r>
          </w:p>
        </w:tc>
        <w:tc>
          <w:tcPr>
            <w:tcW w:w="101" w:type="dxa"/>
            <w:tcBorders/>
            <w:shd w:fill="CCEEFF" w:val="clear"/>
            <w:tcMar>
              <w:bottom w:w="0" w:type="dxa"/>
            </w:tcMar>
            <w:vAlign w:val="bottom"/>
          </w:tcPr>
          <w:p>
            <w:pPr>
              <w:pStyle w:val="TableContents"/>
              <w:spacing w:before="0" w:after="283"/>
              <w:rPr/>
            </w:pPr>
            <w:r>
              <w:rPr/>
              <w:t> </w:t>
            </w:r>
          </w:p>
        </w:tc>
        <w:tc>
          <w:tcPr>
            <w:tcW w:w="101" w:type="dxa"/>
            <w:tcBorders/>
            <w:shd w:fill="CCEEFF" w:val="clear"/>
            <w:tcMar>
              <w:bottom w:w="0" w:type="dxa"/>
            </w:tcMar>
            <w:vAlign w:val="bottom"/>
          </w:tcPr>
          <w:p>
            <w:pPr>
              <w:pStyle w:val="TableContents"/>
              <w:spacing w:before="0" w:after="283"/>
              <w:jc w:val="left"/>
              <w:rPr/>
            </w:pPr>
            <w:r>
              <w:rPr/>
              <w:t> </w:t>
            </w:r>
          </w:p>
        </w:tc>
        <w:tc>
          <w:tcPr>
            <w:tcW w:w="920" w:type="dxa"/>
            <w:tcBorders/>
            <w:shd w:fill="CCEEFF" w:val="clear"/>
            <w:tcMar>
              <w:bottom w:w="0" w:type="dxa"/>
            </w:tcMar>
            <w:vAlign w:val="bottom"/>
          </w:tcPr>
          <w:p>
            <w:pPr>
              <w:pStyle w:val="TableContents"/>
              <w:spacing w:before="0" w:after="283"/>
              <w:jc w:val="right"/>
              <w:rPr>
                <w:rFonts w:ascii="helvetica" w:hAnsi="helvetica"/>
                <w:sz w:val="20"/>
              </w:rPr>
            </w:pPr>
            <w:r>
              <w:rPr>
                <w:rFonts w:ascii="helvetica" w:hAnsi="helvetica"/>
                <w:sz w:val="20"/>
              </w:rPr>
              <w:t>1,366</w:t>
            </w:r>
          </w:p>
        </w:tc>
        <w:tc>
          <w:tcPr>
            <w:tcW w:w="101" w:type="dxa"/>
            <w:tcBorders/>
            <w:shd w:fill="CCEEFF" w:val="clear"/>
            <w:tcMar>
              <w:bottom w:w="0" w:type="dxa"/>
            </w:tcMar>
            <w:vAlign w:val="bottom"/>
          </w:tcPr>
          <w:p>
            <w:pPr>
              <w:pStyle w:val="TableContents"/>
              <w:spacing w:before="0" w:after="283"/>
              <w:jc w:val="left"/>
              <w:rPr/>
            </w:pPr>
            <w:r>
              <w:rPr/>
              <w:t> </w:t>
            </w:r>
          </w:p>
        </w:tc>
        <w:tc>
          <w:tcPr>
            <w:tcW w:w="101" w:type="dxa"/>
            <w:tcBorders/>
            <w:shd w:fill="CCEEFF" w:val="clear"/>
            <w:tcMar>
              <w:bottom w:w="0" w:type="dxa"/>
            </w:tcMar>
            <w:vAlign w:val="bottom"/>
          </w:tcPr>
          <w:p>
            <w:pPr>
              <w:pStyle w:val="TableContents"/>
              <w:spacing w:before="0" w:after="283"/>
              <w:rPr/>
            </w:pPr>
            <w:r>
              <w:rPr/>
              <w:t> </w:t>
            </w:r>
          </w:p>
        </w:tc>
        <w:tc>
          <w:tcPr>
            <w:tcW w:w="101" w:type="dxa"/>
            <w:tcBorders/>
            <w:shd w:fill="CCEEFF" w:val="clear"/>
            <w:tcMar>
              <w:bottom w:w="0" w:type="dxa"/>
            </w:tcMar>
            <w:vAlign w:val="bottom"/>
          </w:tcPr>
          <w:p>
            <w:pPr>
              <w:pStyle w:val="TableContents"/>
              <w:spacing w:before="0" w:after="283"/>
              <w:jc w:val="left"/>
              <w:rPr/>
            </w:pPr>
            <w:r>
              <w:rPr/>
              <w:t> </w:t>
            </w:r>
          </w:p>
        </w:tc>
        <w:tc>
          <w:tcPr>
            <w:tcW w:w="920" w:type="dxa"/>
            <w:tcBorders/>
            <w:shd w:fill="CCEEFF" w:val="clear"/>
            <w:tcMar>
              <w:bottom w:w="0" w:type="dxa"/>
            </w:tcMar>
            <w:vAlign w:val="bottom"/>
          </w:tcPr>
          <w:p>
            <w:pPr>
              <w:pStyle w:val="TableContents"/>
              <w:spacing w:before="0" w:after="283"/>
              <w:jc w:val="right"/>
              <w:rPr>
                <w:rFonts w:ascii="helvetica" w:hAnsi="helvetica"/>
                <w:sz w:val="20"/>
              </w:rPr>
            </w:pPr>
            <w:r>
              <w:rPr>
                <w:rFonts w:ascii="helvetica" w:hAnsi="helvetica"/>
                <w:sz w:val="20"/>
              </w:rPr>
              <w:t>41,424</w:t>
            </w:r>
          </w:p>
        </w:tc>
        <w:tc>
          <w:tcPr>
            <w:tcW w:w="101" w:type="dxa"/>
            <w:tcBorders/>
            <w:shd w:fill="CCEEFF" w:val="clear"/>
            <w:tcMar>
              <w:bottom w:w="0" w:type="dxa"/>
            </w:tcMar>
            <w:vAlign w:val="bottom"/>
          </w:tcPr>
          <w:p>
            <w:pPr>
              <w:pStyle w:val="TableContents"/>
              <w:spacing w:before="0" w:after="283"/>
              <w:jc w:val="left"/>
              <w:rPr/>
            </w:pPr>
            <w:r>
              <w:rPr/>
              <w:t> </w:t>
            </w:r>
          </w:p>
        </w:tc>
      </w:tr>
      <w:tr>
        <w:trPr/>
        <w:tc>
          <w:tcPr>
            <w:tcW w:w="4395" w:type="dxa"/>
            <w:tcBorders/>
            <w:shd w:fill="FFFFFF" w:val="clear"/>
            <w:tcMar>
              <w:bottom w:w="0" w:type="dxa"/>
            </w:tcMar>
            <w:vAlign w:val="bottom"/>
          </w:tcPr>
          <w:p>
            <w:pPr>
              <w:pStyle w:val="TableContents"/>
              <w:spacing w:before="0" w:after="0"/>
              <w:ind w:left="0" w:right="0" w:hanging="0"/>
              <w:jc w:val="left"/>
              <w:rPr/>
            </w:pPr>
            <w:r>
              <w:rPr/>
              <w:t>  </w:t>
            </w:r>
            <w:r>
              <w:rPr>
                <w:rFonts w:ascii="helvetica" w:hAnsi="helvetica"/>
                <w:sz w:val="20"/>
              </w:rPr>
              <w:t>Former Chief Financial Officer, Principal Executive Officer and Principal Financial Officer</w:t>
            </w:r>
          </w:p>
        </w:tc>
        <w:tc>
          <w:tcPr>
            <w:tcW w:w="101" w:type="dxa"/>
            <w:tcBorders/>
            <w:shd w:fill="FFFFFF" w:val="clear"/>
            <w:tcMar>
              <w:bottom w:w="0" w:type="dxa"/>
            </w:tcMar>
            <w:vAlign w:val="bottom"/>
          </w:tcPr>
          <w:p>
            <w:pPr>
              <w:pStyle w:val="TableContents"/>
              <w:spacing w:before="0" w:after="283"/>
              <w:jc w:val="left"/>
              <w:rPr/>
            </w:pPr>
            <w:r>
              <w:rPr/>
              <w:t> </w:t>
            </w:r>
          </w:p>
        </w:tc>
        <w:tc>
          <w:tcPr>
            <w:tcW w:w="818" w:type="dxa"/>
            <w:tcBorders/>
            <w:shd w:fill="FFFFFF" w:val="clear"/>
            <w:tcMar>
              <w:bottom w:w="0" w:type="dxa"/>
            </w:tcMar>
            <w:vAlign w:val="bottom"/>
          </w:tcPr>
          <w:p>
            <w:pPr>
              <w:pStyle w:val="TableContents"/>
              <w:spacing w:before="0" w:after="0"/>
              <w:ind w:left="0" w:right="0" w:hanging="0"/>
              <w:jc w:val="center"/>
              <w:rPr>
                <w:rFonts w:ascii="helvetica" w:hAnsi="helvetica"/>
                <w:sz w:val="20"/>
              </w:rPr>
            </w:pPr>
            <w:r>
              <w:rPr>
                <w:rFonts w:ascii="helvetica" w:hAnsi="helvetica"/>
                <w:sz w:val="20"/>
              </w:rPr>
              <w:t>2010</w:t>
            </w:r>
          </w:p>
        </w:tc>
        <w:tc>
          <w:tcPr>
            <w:tcW w:w="101" w:type="dxa"/>
            <w:tcBorders/>
            <w:shd w:fill="FFFFFF" w:val="clear"/>
            <w:tcMar>
              <w:bottom w:w="0" w:type="dxa"/>
            </w:tcMar>
            <w:vAlign w:val="bottom"/>
          </w:tcPr>
          <w:p>
            <w:pPr>
              <w:pStyle w:val="TableContents"/>
              <w:spacing w:before="0" w:after="283"/>
              <w:rPr/>
            </w:pPr>
            <w:r>
              <w:rPr/>
              <w:t> </w:t>
            </w:r>
          </w:p>
        </w:tc>
        <w:tc>
          <w:tcPr>
            <w:tcW w:w="101" w:type="dxa"/>
            <w:tcBorders/>
            <w:shd w:fill="FFFFFF" w:val="clear"/>
            <w:tcMar>
              <w:bottom w:w="0" w:type="dxa"/>
            </w:tcMar>
            <w:vAlign w:val="bottom"/>
          </w:tcPr>
          <w:p>
            <w:pPr>
              <w:pStyle w:val="TableContents"/>
              <w:spacing w:before="0" w:after="283"/>
              <w:jc w:val="left"/>
              <w:rPr/>
            </w:pPr>
            <w:r>
              <w:rPr/>
              <w:t> </w:t>
            </w:r>
          </w:p>
        </w:tc>
        <w:tc>
          <w:tcPr>
            <w:tcW w:w="920" w:type="dxa"/>
            <w:tcBorders/>
            <w:shd w:fill="FFFFFF" w:val="clear"/>
            <w:tcMar>
              <w:bottom w:w="0" w:type="dxa"/>
            </w:tcMar>
            <w:vAlign w:val="bottom"/>
          </w:tcPr>
          <w:p>
            <w:pPr>
              <w:pStyle w:val="TableContents"/>
              <w:spacing w:before="0" w:after="283"/>
              <w:jc w:val="right"/>
              <w:rPr>
                <w:rFonts w:ascii="helvetica" w:hAnsi="helvetica"/>
                <w:sz w:val="20"/>
              </w:rPr>
            </w:pPr>
            <w:r>
              <w:rPr>
                <w:rFonts w:ascii="helvetica" w:hAnsi="helvetica"/>
                <w:sz w:val="20"/>
              </w:rPr>
              <w:t>170,000</w:t>
            </w:r>
          </w:p>
        </w:tc>
        <w:tc>
          <w:tcPr>
            <w:tcW w:w="101" w:type="dxa"/>
            <w:tcBorders/>
            <w:shd w:fill="FFFFFF" w:val="clear"/>
            <w:tcMar>
              <w:bottom w:w="0" w:type="dxa"/>
            </w:tcMar>
            <w:vAlign w:val="bottom"/>
          </w:tcPr>
          <w:p>
            <w:pPr>
              <w:pStyle w:val="TableContents"/>
              <w:spacing w:before="0" w:after="283"/>
              <w:jc w:val="left"/>
              <w:rPr/>
            </w:pPr>
            <w:r>
              <w:rPr/>
              <w:t> </w:t>
            </w:r>
          </w:p>
        </w:tc>
        <w:tc>
          <w:tcPr>
            <w:tcW w:w="100" w:type="dxa"/>
            <w:tcBorders/>
            <w:shd w:fill="FFFFFF" w:val="clear"/>
            <w:tcMar>
              <w:bottom w:w="0" w:type="dxa"/>
            </w:tcMar>
            <w:vAlign w:val="bottom"/>
          </w:tcPr>
          <w:p>
            <w:pPr>
              <w:pStyle w:val="TableContents"/>
              <w:spacing w:before="0" w:after="283"/>
              <w:rPr/>
            </w:pPr>
            <w:r>
              <w:rPr/>
              <w:t> </w:t>
            </w:r>
          </w:p>
        </w:tc>
        <w:tc>
          <w:tcPr>
            <w:tcW w:w="101" w:type="dxa"/>
            <w:tcBorders/>
            <w:shd w:fill="FFFFFF" w:val="clear"/>
            <w:tcMar>
              <w:bottom w:w="0" w:type="dxa"/>
            </w:tcMar>
            <w:vAlign w:val="bottom"/>
          </w:tcPr>
          <w:p>
            <w:pPr>
              <w:pStyle w:val="TableContents"/>
              <w:spacing w:before="0" w:after="283"/>
              <w:jc w:val="left"/>
              <w:rPr/>
            </w:pPr>
            <w:r>
              <w:rPr/>
              <w:t> </w:t>
            </w:r>
          </w:p>
        </w:tc>
        <w:tc>
          <w:tcPr>
            <w:tcW w:w="920" w:type="dxa"/>
            <w:tcBorders/>
            <w:shd w:fill="FFFFFF" w:val="clear"/>
            <w:tcMar>
              <w:bottom w:w="0" w:type="dxa"/>
            </w:tcMar>
            <w:vAlign w:val="bottom"/>
          </w:tcPr>
          <w:p>
            <w:pPr>
              <w:pStyle w:val="TableContents"/>
              <w:spacing w:before="0" w:after="283"/>
              <w:jc w:val="right"/>
              <w:rPr>
                <w:rFonts w:ascii="helvetica" w:hAnsi="helvetica"/>
                <w:sz w:val="20"/>
              </w:rPr>
            </w:pPr>
            <w:r>
              <w:rPr>
                <w:rFonts w:ascii="helvetica" w:hAnsi="helvetica"/>
                <w:sz w:val="20"/>
              </w:rPr>
              <w:t>-</w:t>
            </w:r>
          </w:p>
        </w:tc>
        <w:tc>
          <w:tcPr>
            <w:tcW w:w="101" w:type="dxa"/>
            <w:tcBorders/>
            <w:shd w:fill="FFFFFF" w:val="clear"/>
            <w:tcMar>
              <w:bottom w:w="0" w:type="dxa"/>
            </w:tcMar>
            <w:vAlign w:val="bottom"/>
          </w:tcPr>
          <w:p>
            <w:pPr>
              <w:pStyle w:val="TableContents"/>
              <w:spacing w:before="0" w:after="283"/>
              <w:jc w:val="left"/>
              <w:rPr/>
            </w:pPr>
            <w:r>
              <w:rPr/>
              <w:t> </w:t>
            </w:r>
          </w:p>
        </w:tc>
        <w:tc>
          <w:tcPr>
            <w:tcW w:w="101" w:type="dxa"/>
            <w:tcBorders/>
            <w:shd w:fill="FFFFFF" w:val="clear"/>
            <w:tcMar>
              <w:bottom w:w="0" w:type="dxa"/>
            </w:tcMar>
            <w:vAlign w:val="bottom"/>
          </w:tcPr>
          <w:p>
            <w:pPr>
              <w:pStyle w:val="TableContents"/>
              <w:spacing w:before="0" w:after="283"/>
              <w:rPr/>
            </w:pPr>
            <w:r>
              <w:rPr/>
              <w:t> </w:t>
            </w:r>
          </w:p>
        </w:tc>
        <w:tc>
          <w:tcPr>
            <w:tcW w:w="101" w:type="dxa"/>
            <w:tcBorders/>
            <w:shd w:fill="FFFFFF" w:val="clear"/>
            <w:tcMar>
              <w:bottom w:w="0" w:type="dxa"/>
            </w:tcMar>
            <w:vAlign w:val="bottom"/>
          </w:tcPr>
          <w:p>
            <w:pPr>
              <w:pStyle w:val="TableContents"/>
              <w:spacing w:before="0" w:after="283"/>
              <w:jc w:val="left"/>
              <w:rPr/>
            </w:pPr>
            <w:r>
              <w:rPr/>
              <w:t> </w:t>
            </w:r>
          </w:p>
        </w:tc>
        <w:tc>
          <w:tcPr>
            <w:tcW w:w="920" w:type="dxa"/>
            <w:tcBorders/>
            <w:shd w:fill="FFFFFF" w:val="clear"/>
            <w:tcMar>
              <w:bottom w:w="0" w:type="dxa"/>
            </w:tcMar>
            <w:vAlign w:val="bottom"/>
          </w:tcPr>
          <w:p>
            <w:pPr>
              <w:pStyle w:val="TableContents"/>
              <w:spacing w:before="0" w:after="283"/>
              <w:jc w:val="right"/>
              <w:rPr>
                <w:rFonts w:ascii="helvetica" w:hAnsi="helvetica"/>
                <w:sz w:val="20"/>
              </w:rPr>
            </w:pPr>
            <w:r>
              <w:rPr>
                <w:rFonts w:ascii="helvetica" w:hAnsi="helvetica"/>
                <w:sz w:val="20"/>
              </w:rPr>
              <w:t>-</w:t>
            </w:r>
          </w:p>
        </w:tc>
        <w:tc>
          <w:tcPr>
            <w:tcW w:w="101" w:type="dxa"/>
            <w:tcBorders/>
            <w:shd w:fill="FFFFFF" w:val="clear"/>
            <w:tcMar>
              <w:bottom w:w="0" w:type="dxa"/>
            </w:tcMar>
            <w:vAlign w:val="bottom"/>
          </w:tcPr>
          <w:p>
            <w:pPr>
              <w:pStyle w:val="TableContents"/>
              <w:spacing w:before="0" w:after="283"/>
              <w:jc w:val="left"/>
              <w:rPr/>
            </w:pPr>
            <w:r>
              <w:rPr/>
              <w:t> </w:t>
            </w:r>
          </w:p>
        </w:tc>
        <w:tc>
          <w:tcPr>
            <w:tcW w:w="101" w:type="dxa"/>
            <w:tcBorders/>
            <w:shd w:fill="FFFFFF" w:val="clear"/>
            <w:tcMar>
              <w:bottom w:w="0" w:type="dxa"/>
            </w:tcMar>
            <w:vAlign w:val="bottom"/>
          </w:tcPr>
          <w:p>
            <w:pPr>
              <w:pStyle w:val="TableContents"/>
              <w:spacing w:before="0" w:after="283"/>
              <w:rPr/>
            </w:pPr>
            <w:r>
              <w:rPr/>
              <w:t> </w:t>
            </w:r>
          </w:p>
        </w:tc>
        <w:tc>
          <w:tcPr>
            <w:tcW w:w="101" w:type="dxa"/>
            <w:tcBorders/>
            <w:shd w:fill="FFFFFF" w:val="clear"/>
            <w:tcMar>
              <w:bottom w:w="0" w:type="dxa"/>
            </w:tcMar>
            <w:vAlign w:val="bottom"/>
          </w:tcPr>
          <w:p>
            <w:pPr>
              <w:pStyle w:val="TableContents"/>
              <w:spacing w:before="0" w:after="283"/>
              <w:jc w:val="left"/>
              <w:rPr/>
            </w:pPr>
            <w:r>
              <w:rPr/>
              <w:t> </w:t>
            </w:r>
          </w:p>
        </w:tc>
        <w:tc>
          <w:tcPr>
            <w:tcW w:w="920" w:type="dxa"/>
            <w:tcBorders/>
            <w:shd w:fill="FFFFFF" w:val="clear"/>
            <w:tcMar>
              <w:bottom w:w="0" w:type="dxa"/>
            </w:tcMar>
            <w:vAlign w:val="bottom"/>
          </w:tcPr>
          <w:p>
            <w:pPr>
              <w:pStyle w:val="TableContents"/>
              <w:spacing w:before="0" w:after="283"/>
              <w:jc w:val="right"/>
              <w:rPr>
                <w:rFonts w:ascii="helvetica" w:hAnsi="helvetica"/>
                <w:sz w:val="20"/>
              </w:rPr>
            </w:pPr>
            <w:r>
              <w:rPr>
                <w:rFonts w:ascii="helvetica" w:hAnsi="helvetica"/>
                <w:sz w:val="20"/>
              </w:rPr>
              <w:t>170,000</w:t>
            </w:r>
          </w:p>
        </w:tc>
        <w:tc>
          <w:tcPr>
            <w:tcW w:w="101" w:type="dxa"/>
            <w:tcBorders/>
            <w:shd w:fill="FFFFFF" w:val="clear"/>
            <w:tcMar>
              <w:bottom w:w="0" w:type="dxa"/>
            </w:tcMar>
            <w:vAlign w:val="bottom"/>
          </w:tcPr>
          <w:p>
            <w:pPr>
              <w:pStyle w:val="TableContents"/>
              <w:spacing w:before="0" w:after="283"/>
              <w:jc w:val="left"/>
              <w:rPr/>
            </w:pPr>
            <w:r>
              <w:rPr/>
              <w:t> </w:t>
            </w:r>
          </w:p>
        </w:tc>
      </w:tr>
      <w:tr>
        <w:trPr/>
        <w:tc>
          <w:tcPr>
            <w:tcW w:w="4395" w:type="dxa"/>
            <w:tcBorders/>
            <w:shd w:fill="CCEEFF" w:val="clear"/>
            <w:tcMar>
              <w:bottom w:w="0" w:type="dxa"/>
            </w:tcMar>
            <w:vAlign w:val="bottom"/>
          </w:tcPr>
          <w:p>
            <w:pPr>
              <w:pStyle w:val="TableContents"/>
              <w:spacing w:before="0" w:after="0"/>
              <w:ind w:left="0" w:right="0" w:hanging="0"/>
              <w:jc w:val="left"/>
              <w:rPr>
                <w:rFonts w:ascii="helvetica" w:hAnsi="helvetica"/>
                <w:sz w:val="20"/>
              </w:rPr>
            </w:pPr>
            <w:r>
              <w:rPr>
                <w:rFonts w:ascii="helvetica" w:hAnsi="helvetica"/>
                <w:sz w:val="20"/>
              </w:rPr>
              <w:t>Terry Nida (5)</w:t>
            </w:r>
          </w:p>
        </w:tc>
        <w:tc>
          <w:tcPr>
            <w:tcW w:w="101" w:type="dxa"/>
            <w:tcBorders/>
            <w:shd w:fill="CCEEFF" w:val="clear"/>
            <w:tcMar>
              <w:bottom w:w="0" w:type="dxa"/>
            </w:tcMar>
            <w:vAlign w:val="bottom"/>
          </w:tcPr>
          <w:p>
            <w:pPr>
              <w:pStyle w:val="TableContents"/>
              <w:spacing w:before="0" w:after="283"/>
              <w:jc w:val="left"/>
              <w:rPr/>
            </w:pPr>
            <w:r>
              <w:rPr/>
              <w:t> </w:t>
            </w:r>
          </w:p>
        </w:tc>
        <w:tc>
          <w:tcPr>
            <w:tcW w:w="818" w:type="dxa"/>
            <w:tcBorders/>
            <w:shd w:fill="CCEEFF" w:val="clear"/>
            <w:tcMar>
              <w:bottom w:w="0" w:type="dxa"/>
            </w:tcMar>
            <w:vAlign w:val="bottom"/>
          </w:tcPr>
          <w:p>
            <w:pPr>
              <w:pStyle w:val="TableContents"/>
              <w:spacing w:before="0" w:after="0"/>
              <w:ind w:left="0" w:right="0" w:hanging="0"/>
              <w:jc w:val="center"/>
              <w:rPr>
                <w:rFonts w:ascii="helvetica" w:hAnsi="helvetica"/>
                <w:sz w:val="20"/>
              </w:rPr>
            </w:pPr>
            <w:r>
              <w:rPr>
                <w:rFonts w:ascii="helvetica" w:hAnsi="helvetica"/>
                <w:sz w:val="20"/>
              </w:rPr>
              <w:t>2011</w:t>
            </w:r>
          </w:p>
        </w:tc>
        <w:tc>
          <w:tcPr>
            <w:tcW w:w="101" w:type="dxa"/>
            <w:tcBorders/>
            <w:shd w:fill="CCEEFF" w:val="clear"/>
            <w:tcMar>
              <w:bottom w:w="0" w:type="dxa"/>
            </w:tcMar>
            <w:vAlign w:val="bottom"/>
          </w:tcPr>
          <w:p>
            <w:pPr>
              <w:pStyle w:val="TableContents"/>
              <w:spacing w:before="0" w:after="283"/>
              <w:rPr/>
            </w:pPr>
            <w:r>
              <w:rPr/>
              <w:t> </w:t>
            </w:r>
          </w:p>
        </w:tc>
        <w:tc>
          <w:tcPr>
            <w:tcW w:w="101" w:type="dxa"/>
            <w:tcBorders/>
            <w:shd w:fill="CCEEFF" w:val="clear"/>
            <w:tcMar>
              <w:bottom w:w="0" w:type="dxa"/>
            </w:tcMar>
            <w:vAlign w:val="bottom"/>
          </w:tcPr>
          <w:p>
            <w:pPr>
              <w:pStyle w:val="TableContents"/>
              <w:spacing w:before="0" w:after="283"/>
              <w:jc w:val="left"/>
              <w:rPr/>
            </w:pPr>
            <w:r>
              <w:rPr/>
              <w:t> </w:t>
            </w:r>
          </w:p>
        </w:tc>
        <w:tc>
          <w:tcPr>
            <w:tcW w:w="920" w:type="dxa"/>
            <w:tcBorders/>
            <w:shd w:fill="CCEEFF" w:val="clear"/>
            <w:tcMar>
              <w:bottom w:w="0" w:type="dxa"/>
            </w:tcMar>
            <w:vAlign w:val="bottom"/>
          </w:tcPr>
          <w:p>
            <w:pPr>
              <w:pStyle w:val="TableContents"/>
              <w:spacing w:before="0" w:after="283"/>
              <w:jc w:val="right"/>
              <w:rPr>
                <w:rFonts w:ascii="helvetica" w:hAnsi="helvetica"/>
                <w:sz w:val="20"/>
              </w:rPr>
            </w:pPr>
            <w:r>
              <w:rPr>
                <w:rFonts w:ascii="helvetica" w:hAnsi="helvetica"/>
                <w:sz w:val="20"/>
              </w:rPr>
              <w:t>23,316</w:t>
            </w:r>
          </w:p>
        </w:tc>
        <w:tc>
          <w:tcPr>
            <w:tcW w:w="101" w:type="dxa"/>
            <w:tcBorders/>
            <w:shd w:fill="CCEEFF" w:val="clear"/>
            <w:tcMar>
              <w:bottom w:w="0" w:type="dxa"/>
            </w:tcMar>
            <w:vAlign w:val="bottom"/>
          </w:tcPr>
          <w:p>
            <w:pPr>
              <w:pStyle w:val="TableContents"/>
              <w:spacing w:before="0" w:after="283"/>
              <w:jc w:val="left"/>
              <w:rPr/>
            </w:pPr>
            <w:r>
              <w:rPr/>
              <w:t> </w:t>
            </w:r>
          </w:p>
        </w:tc>
        <w:tc>
          <w:tcPr>
            <w:tcW w:w="100" w:type="dxa"/>
            <w:tcBorders/>
            <w:shd w:fill="CCEEFF" w:val="clear"/>
            <w:tcMar>
              <w:bottom w:w="0" w:type="dxa"/>
            </w:tcMar>
            <w:vAlign w:val="bottom"/>
          </w:tcPr>
          <w:p>
            <w:pPr>
              <w:pStyle w:val="TableContents"/>
              <w:spacing w:before="0" w:after="283"/>
              <w:rPr/>
            </w:pPr>
            <w:r>
              <w:rPr/>
              <w:t> </w:t>
            </w:r>
          </w:p>
        </w:tc>
        <w:tc>
          <w:tcPr>
            <w:tcW w:w="101" w:type="dxa"/>
            <w:tcBorders/>
            <w:shd w:fill="CCEEFF" w:val="clear"/>
            <w:tcMar>
              <w:bottom w:w="0" w:type="dxa"/>
            </w:tcMar>
            <w:vAlign w:val="bottom"/>
          </w:tcPr>
          <w:p>
            <w:pPr>
              <w:pStyle w:val="TableContents"/>
              <w:spacing w:before="0" w:after="283"/>
              <w:jc w:val="left"/>
              <w:rPr/>
            </w:pPr>
            <w:r>
              <w:rPr/>
              <w:t> </w:t>
            </w:r>
          </w:p>
        </w:tc>
        <w:tc>
          <w:tcPr>
            <w:tcW w:w="920" w:type="dxa"/>
            <w:tcBorders/>
            <w:shd w:fill="CCEEFF" w:val="clear"/>
            <w:tcMar>
              <w:bottom w:w="0" w:type="dxa"/>
            </w:tcMar>
            <w:vAlign w:val="bottom"/>
          </w:tcPr>
          <w:p>
            <w:pPr>
              <w:pStyle w:val="TableContents"/>
              <w:spacing w:before="0" w:after="283"/>
              <w:jc w:val="right"/>
              <w:rPr>
                <w:rFonts w:ascii="helvetica" w:hAnsi="helvetica"/>
                <w:sz w:val="20"/>
              </w:rPr>
            </w:pPr>
            <w:r>
              <w:rPr>
                <w:rFonts w:ascii="helvetica" w:hAnsi="helvetica"/>
                <w:sz w:val="20"/>
              </w:rPr>
              <w:t>-</w:t>
            </w:r>
          </w:p>
        </w:tc>
        <w:tc>
          <w:tcPr>
            <w:tcW w:w="101" w:type="dxa"/>
            <w:tcBorders/>
            <w:shd w:fill="CCEEFF" w:val="clear"/>
            <w:tcMar>
              <w:bottom w:w="0" w:type="dxa"/>
            </w:tcMar>
            <w:vAlign w:val="bottom"/>
          </w:tcPr>
          <w:p>
            <w:pPr>
              <w:pStyle w:val="TableContents"/>
              <w:spacing w:before="0" w:after="283"/>
              <w:jc w:val="left"/>
              <w:rPr/>
            </w:pPr>
            <w:r>
              <w:rPr/>
              <w:t> </w:t>
            </w:r>
          </w:p>
        </w:tc>
        <w:tc>
          <w:tcPr>
            <w:tcW w:w="101" w:type="dxa"/>
            <w:tcBorders/>
            <w:shd w:fill="CCEEFF" w:val="clear"/>
            <w:tcMar>
              <w:bottom w:w="0" w:type="dxa"/>
            </w:tcMar>
            <w:vAlign w:val="bottom"/>
          </w:tcPr>
          <w:p>
            <w:pPr>
              <w:pStyle w:val="TableContents"/>
              <w:spacing w:before="0" w:after="283"/>
              <w:rPr/>
            </w:pPr>
            <w:r>
              <w:rPr/>
              <w:t> </w:t>
            </w:r>
          </w:p>
        </w:tc>
        <w:tc>
          <w:tcPr>
            <w:tcW w:w="101" w:type="dxa"/>
            <w:tcBorders/>
            <w:shd w:fill="CCEEFF" w:val="clear"/>
            <w:tcMar>
              <w:bottom w:w="0" w:type="dxa"/>
            </w:tcMar>
            <w:vAlign w:val="bottom"/>
          </w:tcPr>
          <w:p>
            <w:pPr>
              <w:pStyle w:val="TableContents"/>
              <w:spacing w:before="0" w:after="283"/>
              <w:jc w:val="left"/>
              <w:rPr/>
            </w:pPr>
            <w:r>
              <w:rPr/>
              <w:t> </w:t>
            </w:r>
          </w:p>
        </w:tc>
        <w:tc>
          <w:tcPr>
            <w:tcW w:w="920" w:type="dxa"/>
            <w:tcBorders/>
            <w:shd w:fill="CCEEFF" w:val="clear"/>
            <w:tcMar>
              <w:bottom w:w="0" w:type="dxa"/>
            </w:tcMar>
            <w:vAlign w:val="bottom"/>
          </w:tcPr>
          <w:p>
            <w:pPr>
              <w:pStyle w:val="TableContents"/>
              <w:spacing w:before="0" w:after="283"/>
              <w:jc w:val="right"/>
              <w:rPr>
                <w:rFonts w:ascii="helvetica" w:hAnsi="helvetica"/>
                <w:sz w:val="20"/>
              </w:rPr>
            </w:pPr>
            <w:r>
              <w:rPr>
                <w:rFonts w:ascii="helvetica" w:hAnsi="helvetica"/>
                <w:sz w:val="20"/>
              </w:rPr>
              <w:t>750</w:t>
            </w:r>
          </w:p>
        </w:tc>
        <w:tc>
          <w:tcPr>
            <w:tcW w:w="101" w:type="dxa"/>
            <w:tcBorders/>
            <w:shd w:fill="CCEEFF" w:val="clear"/>
            <w:tcMar>
              <w:bottom w:w="0" w:type="dxa"/>
            </w:tcMar>
            <w:vAlign w:val="bottom"/>
          </w:tcPr>
          <w:p>
            <w:pPr>
              <w:pStyle w:val="TableContents"/>
              <w:spacing w:before="0" w:after="283"/>
              <w:jc w:val="left"/>
              <w:rPr/>
            </w:pPr>
            <w:r>
              <w:rPr/>
              <w:t> </w:t>
            </w:r>
          </w:p>
        </w:tc>
        <w:tc>
          <w:tcPr>
            <w:tcW w:w="101" w:type="dxa"/>
            <w:tcBorders/>
            <w:shd w:fill="CCEEFF" w:val="clear"/>
            <w:tcMar>
              <w:bottom w:w="0" w:type="dxa"/>
            </w:tcMar>
            <w:vAlign w:val="bottom"/>
          </w:tcPr>
          <w:p>
            <w:pPr>
              <w:pStyle w:val="TableContents"/>
              <w:spacing w:before="0" w:after="283"/>
              <w:rPr/>
            </w:pPr>
            <w:r>
              <w:rPr/>
              <w:t> </w:t>
            </w:r>
          </w:p>
        </w:tc>
        <w:tc>
          <w:tcPr>
            <w:tcW w:w="101" w:type="dxa"/>
            <w:tcBorders/>
            <w:shd w:fill="CCEEFF" w:val="clear"/>
            <w:tcMar>
              <w:bottom w:w="0" w:type="dxa"/>
            </w:tcMar>
            <w:vAlign w:val="bottom"/>
          </w:tcPr>
          <w:p>
            <w:pPr>
              <w:pStyle w:val="TableContents"/>
              <w:spacing w:before="0" w:after="283"/>
              <w:jc w:val="left"/>
              <w:rPr/>
            </w:pPr>
            <w:r>
              <w:rPr/>
              <w:t> </w:t>
            </w:r>
          </w:p>
        </w:tc>
        <w:tc>
          <w:tcPr>
            <w:tcW w:w="920" w:type="dxa"/>
            <w:tcBorders/>
            <w:shd w:fill="CCEEFF" w:val="clear"/>
            <w:tcMar>
              <w:bottom w:w="0" w:type="dxa"/>
            </w:tcMar>
            <w:vAlign w:val="bottom"/>
          </w:tcPr>
          <w:p>
            <w:pPr>
              <w:pStyle w:val="TableContents"/>
              <w:spacing w:before="0" w:after="283"/>
              <w:jc w:val="right"/>
              <w:rPr>
                <w:rFonts w:ascii="helvetica" w:hAnsi="helvetica"/>
                <w:sz w:val="20"/>
              </w:rPr>
            </w:pPr>
            <w:r>
              <w:rPr>
                <w:rFonts w:ascii="helvetica" w:hAnsi="helvetica"/>
                <w:sz w:val="20"/>
              </w:rPr>
              <w:t>24,066</w:t>
            </w:r>
          </w:p>
        </w:tc>
        <w:tc>
          <w:tcPr>
            <w:tcW w:w="101" w:type="dxa"/>
            <w:tcBorders/>
            <w:shd w:fill="CCEEFF" w:val="clear"/>
            <w:tcMar>
              <w:bottom w:w="0" w:type="dxa"/>
            </w:tcMar>
            <w:vAlign w:val="bottom"/>
          </w:tcPr>
          <w:p>
            <w:pPr>
              <w:pStyle w:val="TableContents"/>
              <w:spacing w:before="0" w:after="283"/>
              <w:jc w:val="left"/>
              <w:rPr/>
            </w:pPr>
            <w:r>
              <w:rPr/>
              <w:t> </w:t>
            </w:r>
          </w:p>
        </w:tc>
      </w:tr>
      <w:tr>
        <w:trPr/>
        <w:tc>
          <w:tcPr>
            <w:tcW w:w="4395" w:type="dxa"/>
            <w:tcBorders/>
            <w:shd w:fill="FFFFFF" w:val="clear"/>
            <w:tcMar>
              <w:bottom w:w="0" w:type="dxa"/>
            </w:tcMar>
            <w:vAlign w:val="bottom"/>
          </w:tcPr>
          <w:p>
            <w:pPr>
              <w:pStyle w:val="TableContents"/>
              <w:spacing w:before="0" w:after="0"/>
              <w:ind w:left="0" w:right="0" w:hanging="0"/>
              <w:jc w:val="left"/>
              <w:rPr/>
            </w:pPr>
            <w:r>
              <w:rPr/>
              <w:t>  </w:t>
            </w:r>
            <w:r>
              <w:rPr>
                <w:rFonts w:ascii="helvetica" w:hAnsi="helvetica"/>
                <w:sz w:val="20"/>
              </w:rPr>
              <w:t>Former Chief Business Officer, Principal Executive Officer and Principal Financial Officer</w:t>
            </w:r>
          </w:p>
        </w:tc>
        <w:tc>
          <w:tcPr>
            <w:tcW w:w="101" w:type="dxa"/>
            <w:tcBorders/>
            <w:shd w:fill="FFFFFF" w:val="clear"/>
            <w:tcMar>
              <w:bottom w:w="0" w:type="dxa"/>
            </w:tcMar>
            <w:vAlign w:val="bottom"/>
          </w:tcPr>
          <w:p>
            <w:pPr>
              <w:pStyle w:val="TableContents"/>
              <w:spacing w:before="0" w:after="283"/>
              <w:jc w:val="left"/>
              <w:rPr/>
            </w:pPr>
            <w:r>
              <w:rPr/>
              <w:t> </w:t>
            </w:r>
          </w:p>
        </w:tc>
        <w:tc>
          <w:tcPr>
            <w:tcW w:w="818" w:type="dxa"/>
            <w:tcBorders/>
            <w:shd w:fill="FFFFFF" w:val="clear"/>
            <w:tcMar>
              <w:bottom w:w="0" w:type="dxa"/>
            </w:tcMar>
            <w:vAlign w:val="bottom"/>
          </w:tcPr>
          <w:p>
            <w:pPr>
              <w:pStyle w:val="TableContents"/>
              <w:spacing w:before="0" w:after="0"/>
              <w:ind w:left="0" w:right="0" w:hanging="0"/>
              <w:jc w:val="center"/>
              <w:rPr>
                <w:rFonts w:ascii="helvetica" w:hAnsi="helvetica"/>
                <w:sz w:val="20"/>
              </w:rPr>
            </w:pPr>
            <w:r>
              <w:rPr>
                <w:rFonts w:ascii="helvetica" w:hAnsi="helvetica"/>
                <w:sz w:val="20"/>
              </w:rPr>
              <w:t>2010</w:t>
            </w:r>
          </w:p>
        </w:tc>
        <w:tc>
          <w:tcPr>
            <w:tcW w:w="101" w:type="dxa"/>
            <w:tcBorders/>
            <w:shd w:fill="FFFFFF" w:val="clear"/>
            <w:tcMar>
              <w:bottom w:w="0" w:type="dxa"/>
            </w:tcMar>
            <w:vAlign w:val="bottom"/>
          </w:tcPr>
          <w:p>
            <w:pPr>
              <w:pStyle w:val="TableContents"/>
              <w:spacing w:before="0" w:after="283"/>
              <w:rPr/>
            </w:pPr>
            <w:r>
              <w:rPr/>
              <w:t> </w:t>
            </w:r>
          </w:p>
        </w:tc>
        <w:tc>
          <w:tcPr>
            <w:tcW w:w="101" w:type="dxa"/>
            <w:tcBorders/>
            <w:shd w:fill="FFFFFF" w:val="clear"/>
            <w:tcMar>
              <w:bottom w:w="0" w:type="dxa"/>
            </w:tcMar>
            <w:vAlign w:val="bottom"/>
          </w:tcPr>
          <w:p>
            <w:pPr>
              <w:pStyle w:val="TableContents"/>
              <w:spacing w:before="0" w:after="283"/>
              <w:jc w:val="left"/>
              <w:rPr/>
            </w:pPr>
            <w:r>
              <w:rPr/>
              <w:t> </w:t>
            </w:r>
          </w:p>
        </w:tc>
        <w:tc>
          <w:tcPr>
            <w:tcW w:w="920" w:type="dxa"/>
            <w:tcBorders/>
            <w:shd w:fill="FFFFFF" w:val="clear"/>
            <w:tcMar>
              <w:bottom w:w="0" w:type="dxa"/>
            </w:tcMar>
            <w:vAlign w:val="bottom"/>
          </w:tcPr>
          <w:p>
            <w:pPr>
              <w:pStyle w:val="TableContents"/>
              <w:spacing w:before="0" w:after="283"/>
              <w:jc w:val="right"/>
              <w:rPr>
                <w:rFonts w:ascii="helvetica" w:hAnsi="helvetica"/>
                <w:sz w:val="20"/>
              </w:rPr>
            </w:pPr>
            <w:r>
              <w:rPr>
                <w:rFonts w:ascii="helvetica" w:hAnsi="helvetica"/>
                <w:sz w:val="20"/>
              </w:rPr>
              <w:t>151,364</w:t>
            </w:r>
          </w:p>
        </w:tc>
        <w:tc>
          <w:tcPr>
            <w:tcW w:w="101" w:type="dxa"/>
            <w:tcBorders/>
            <w:shd w:fill="FFFFFF" w:val="clear"/>
            <w:tcMar>
              <w:bottom w:w="0" w:type="dxa"/>
            </w:tcMar>
            <w:vAlign w:val="bottom"/>
          </w:tcPr>
          <w:p>
            <w:pPr>
              <w:pStyle w:val="TableContents"/>
              <w:spacing w:before="0" w:after="283"/>
              <w:jc w:val="left"/>
              <w:rPr/>
            </w:pPr>
            <w:r>
              <w:rPr/>
              <w:t> </w:t>
            </w:r>
          </w:p>
        </w:tc>
        <w:tc>
          <w:tcPr>
            <w:tcW w:w="100" w:type="dxa"/>
            <w:tcBorders/>
            <w:shd w:fill="FFFFFF" w:val="clear"/>
            <w:tcMar>
              <w:bottom w:w="0" w:type="dxa"/>
            </w:tcMar>
            <w:vAlign w:val="bottom"/>
          </w:tcPr>
          <w:p>
            <w:pPr>
              <w:pStyle w:val="TableContents"/>
              <w:spacing w:before="0" w:after="283"/>
              <w:rPr/>
            </w:pPr>
            <w:r>
              <w:rPr/>
              <w:t> </w:t>
            </w:r>
          </w:p>
        </w:tc>
        <w:tc>
          <w:tcPr>
            <w:tcW w:w="101" w:type="dxa"/>
            <w:tcBorders/>
            <w:shd w:fill="FFFFFF" w:val="clear"/>
            <w:tcMar>
              <w:bottom w:w="0" w:type="dxa"/>
            </w:tcMar>
            <w:vAlign w:val="bottom"/>
          </w:tcPr>
          <w:p>
            <w:pPr>
              <w:pStyle w:val="TableContents"/>
              <w:spacing w:before="0" w:after="283"/>
              <w:jc w:val="left"/>
              <w:rPr/>
            </w:pPr>
            <w:r>
              <w:rPr/>
              <w:t> </w:t>
            </w:r>
          </w:p>
        </w:tc>
        <w:tc>
          <w:tcPr>
            <w:tcW w:w="920" w:type="dxa"/>
            <w:tcBorders/>
            <w:shd w:fill="FFFFFF" w:val="clear"/>
            <w:tcMar>
              <w:bottom w:w="0" w:type="dxa"/>
            </w:tcMar>
            <w:vAlign w:val="bottom"/>
          </w:tcPr>
          <w:p>
            <w:pPr>
              <w:pStyle w:val="TableContents"/>
              <w:spacing w:before="0" w:after="283"/>
              <w:jc w:val="right"/>
              <w:rPr>
                <w:rFonts w:ascii="helvetica" w:hAnsi="helvetica"/>
                <w:sz w:val="20"/>
              </w:rPr>
            </w:pPr>
            <w:r>
              <w:rPr>
                <w:rFonts w:ascii="helvetica" w:hAnsi="helvetica"/>
                <w:sz w:val="20"/>
              </w:rPr>
              <w:t>-</w:t>
            </w:r>
          </w:p>
        </w:tc>
        <w:tc>
          <w:tcPr>
            <w:tcW w:w="101" w:type="dxa"/>
            <w:tcBorders/>
            <w:shd w:fill="FFFFFF" w:val="clear"/>
            <w:tcMar>
              <w:bottom w:w="0" w:type="dxa"/>
            </w:tcMar>
            <w:vAlign w:val="bottom"/>
          </w:tcPr>
          <w:p>
            <w:pPr>
              <w:pStyle w:val="TableContents"/>
              <w:spacing w:before="0" w:after="283"/>
              <w:jc w:val="left"/>
              <w:rPr/>
            </w:pPr>
            <w:r>
              <w:rPr/>
              <w:t> </w:t>
            </w:r>
          </w:p>
        </w:tc>
        <w:tc>
          <w:tcPr>
            <w:tcW w:w="101" w:type="dxa"/>
            <w:tcBorders/>
            <w:shd w:fill="FFFFFF" w:val="clear"/>
            <w:tcMar>
              <w:bottom w:w="0" w:type="dxa"/>
            </w:tcMar>
            <w:vAlign w:val="bottom"/>
          </w:tcPr>
          <w:p>
            <w:pPr>
              <w:pStyle w:val="TableContents"/>
              <w:spacing w:before="0" w:after="283"/>
              <w:rPr/>
            </w:pPr>
            <w:r>
              <w:rPr/>
              <w:t> </w:t>
            </w:r>
          </w:p>
        </w:tc>
        <w:tc>
          <w:tcPr>
            <w:tcW w:w="101" w:type="dxa"/>
            <w:tcBorders/>
            <w:shd w:fill="FFFFFF" w:val="clear"/>
            <w:tcMar>
              <w:bottom w:w="0" w:type="dxa"/>
            </w:tcMar>
            <w:vAlign w:val="bottom"/>
          </w:tcPr>
          <w:p>
            <w:pPr>
              <w:pStyle w:val="TableContents"/>
              <w:spacing w:before="0" w:after="283"/>
              <w:jc w:val="left"/>
              <w:rPr/>
            </w:pPr>
            <w:r>
              <w:rPr/>
              <w:t> </w:t>
            </w:r>
          </w:p>
        </w:tc>
        <w:tc>
          <w:tcPr>
            <w:tcW w:w="920" w:type="dxa"/>
            <w:tcBorders/>
            <w:shd w:fill="FFFFFF" w:val="clear"/>
            <w:tcMar>
              <w:bottom w:w="0" w:type="dxa"/>
            </w:tcMar>
            <w:vAlign w:val="bottom"/>
          </w:tcPr>
          <w:p>
            <w:pPr>
              <w:pStyle w:val="TableContents"/>
              <w:spacing w:before="0" w:after="283"/>
              <w:jc w:val="right"/>
              <w:rPr>
                <w:rFonts w:ascii="helvetica" w:hAnsi="helvetica"/>
                <w:sz w:val="20"/>
              </w:rPr>
            </w:pPr>
            <w:r>
              <w:rPr>
                <w:rFonts w:ascii="helvetica" w:hAnsi="helvetica"/>
                <w:sz w:val="20"/>
              </w:rPr>
              <w:t>162,840</w:t>
            </w:r>
          </w:p>
        </w:tc>
        <w:tc>
          <w:tcPr>
            <w:tcW w:w="101" w:type="dxa"/>
            <w:tcBorders/>
            <w:shd w:fill="FFFFFF" w:val="clear"/>
            <w:tcMar>
              <w:bottom w:w="0" w:type="dxa"/>
            </w:tcMar>
            <w:vAlign w:val="bottom"/>
          </w:tcPr>
          <w:p>
            <w:pPr>
              <w:pStyle w:val="TableContents"/>
              <w:spacing w:before="0" w:after="283"/>
              <w:jc w:val="left"/>
              <w:rPr/>
            </w:pPr>
            <w:r>
              <w:rPr/>
              <w:t> </w:t>
            </w:r>
          </w:p>
        </w:tc>
        <w:tc>
          <w:tcPr>
            <w:tcW w:w="101" w:type="dxa"/>
            <w:tcBorders/>
            <w:shd w:fill="FFFFFF" w:val="clear"/>
            <w:tcMar>
              <w:bottom w:w="0" w:type="dxa"/>
            </w:tcMar>
            <w:vAlign w:val="bottom"/>
          </w:tcPr>
          <w:p>
            <w:pPr>
              <w:pStyle w:val="TableContents"/>
              <w:spacing w:before="0" w:after="283"/>
              <w:rPr/>
            </w:pPr>
            <w:r>
              <w:rPr/>
              <w:t> </w:t>
            </w:r>
          </w:p>
        </w:tc>
        <w:tc>
          <w:tcPr>
            <w:tcW w:w="101" w:type="dxa"/>
            <w:tcBorders/>
            <w:shd w:fill="FFFFFF" w:val="clear"/>
            <w:tcMar>
              <w:bottom w:w="0" w:type="dxa"/>
            </w:tcMar>
            <w:vAlign w:val="bottom"/>
          </w:tcPr>
          <w:p>
            <w:pPr>
              <w:pStyle w:val="TableContents"/>
              <w:spacing w:before="0" w:after="283"/>
              <w:jc w:val="left"/>
              <w:rPr/>
            </w:pPr>
            <w:r>
              <w:rPr/>
              <w:t> </w:t>
            </w:r>
          </w:p>
        </w:tc>
        <w:tc>
          <w:tcPr>
            <w:tcW w:w="920" w:type="dxa"/>
            <w:tcBorders/>
            <w:shd w:fill="FFFFFF" w:val="clear"/>
            <w:tcMar>
              <w:bottom w:w="0" w:type="dxa"/>
            </w:tcMar>
            <w:vAlign w:val="bottom"/>
          </w:tcPr>
          <w:p>
            <w:pPr>
              <w:pStyle w:val="TableContents"/>
              <w:spacing w:before="0" w:after="283"/>
              <w:jc w:val="right"/>
              <w:rPr>
                <w:rFonts w:ascii="helvetica" w:hAnsi="helvetica"/>
                <w:sz w:val="20"/>
              </w:rPr>
            </w:pPr>
            <w:r>
              <w:rPr>
                <w:rFonts w:ascii="helvetica" w:hAnsi="helvetica"/>
                <w:sz w:val="20"/>
              </w:rPr>
              <w:t>314,204</w:t>
            </w:r>
          </w:p>
        </w:tc>
        <w:tc>
          <w:tcPr>
            <w:tcW w:w="101" w:type="dxa"/>
            <w:tcBorders/>
            <w:shd w:fill="FFFFFF" w:val="clear"/>
            <w:tcMar>
              <w:bottom w:w="0" w:type="dxa"/>
            </w:tcMar>
            <w:vAlign w:val="bottom"/>
          </w:tcPr>
          <w:p>
            <w:pPr>
              <w:pStyle w:val="TableContents"/>
              <w:spacing w:before="0" w:after="283"/>
              <w:jc w:val="left"/>
              <w:rPr/>
            </w:pPr>
            <w:r>
              <w:rPr/>
              <w:t> </w:t>
            </w:r>
          </w:p>
        </w:tc>
      </w:tr>
      <w:tr>
        <w:trPr/>
        <w:tc>
          <w:tcPr>
            <w:tcW w:w="4395" w:type="dxa"/>
            <w:tcBorders/>
            <w:shd w:fill="CCEEFF" w:val="clear"/>
            <w:tcMar>
              <w:bottom w:w="0" w:type="dxa"/>
            </w:tcMar>
            <w:vAlign w:val="bottom"/>
          </w:tcPr>
          <w:p>
            <w:pPr>
              <w:pStyle w:val="TableContents"/>
              <w:spacing w:before="0" w:after="0"/>
              <w:ind w:left="0" w:right="0" w:hanging="0"/>
              <w:jc w:val="left"/>
              <w:rPr>
                <w:rFonts w:ascii="helvetica" w:hAnsi="helvetica"/>
                <w:sz w:val="20"/>
              </w:rPr>
            </w:pPr>
            <w:r>
              <w:rPr>
                <w:rFonts w:ascii="helvetica" w:hAnsi="helvetica"/>
                <w:sz w:val="20"/>
              </w:rPr>
              <w:t>Joachim P.H. Schupp, M.D. (6)</w:t>
            </w:r>
          </w:p>
        </w:tc>
        <w:tc>
          <w:tcPr>
            <w:tcW w:w="101" w:type="dxa"/>
            <w:tcBorders/>
            <w:shd w:fill="CCEEFF" w:val="clear"/>
            <w:tcMar>
              <w:bottom w:w="0" w:type="dxa"/>
            </w:tcMar>
            <w:vAlign w:val="bottom"/>
          </w:tcPr>
          <w:p>
            <w:pPr>
              <w:pStyle w:val="TableContents"/>
              <w:spacing w:before="0" w:after="283"/>
              <w:jc w:val="left"/>
              <w:rPr/>
            </w:pPr>
            <w:r>
              <w:rPr/>
              <w:t> </w:t>
            </w:r>
          </w:p>
        </w:tc>
        <w:tc>
          <w:tcPr>
            <w:tcW w:w="818" w:type="dxa"/>
            <w:tcBorders/>
            <w:shd w:fill="CCEEFF" w:val="clear"/>
            <w:tcMar>
              <w:bottom w:w="0" w:type="dxa"/>
            </w:tcMar>
            <w:vAlign w:val="bottom"/>
          </w:tcPr>
          <w:p>
            <w:pPr>
              <w:pStyle w:val="TableContents"/>
              <w:spacing w:before="0" w:after="0"/>
              <w:ind w:left="0" w:right="0" w:hanging="0"/>
              <w:jc w:val="center"/>
              <w:rPr>
                <w:rFonts w:ascii="helvetica" w:hAnsi="helvetica"/>
                <w:sz w:val="20"/>
              </w:rPr>
            </w:pPr>
            <w:r>
              <w:rPr>
                <w:rFonts w:ascii="helvetica" w:hAnsi="helvetica"/>
                <w:sz w:val="20"/>
              </w:rPr>
              <w:t>2011</w:t>
            </w:r>
          </w:p>
        </w:tc>
        <w:tc>
          <w:tcPr>
            <w:tcW w:w="101" w:type="dxa"/>
            <w:tcBorders/>
            <w:shd w:fill="CCEEFF" w:val="clear"/>
            <w:tcMar>
              <w:bottom w:w="0" w:type="dxa"/>
            </w:tcMar>
            <w:vAlign w:val="bottom"/>
          </w:tcPr>
          <w:p>
            <w:pPr>
              <w:pStyle w:val="TableContents"/>
              <w:spacing w:before="0" w:after="283"/>
              <w:rPr/>
            </w:pPr>
            <w:r>
              <w:rPr/>
              <w:t> </w:t>
            </w:r>
          </w:p>
        </w:tc>
        <w:tc>
          <w:tcPr>
            <w:tcW w:w="101" w:type="dxa"/>
            <w:tcBorders/>
            <w:shd w:fill="CCEEFF" w:val="clear"/>
            <w:tcMar>
              <w:bottom w:w="0" w:type="dxa"/>
            </w:tcMar>
            <w:vAlign w:val="bottom"/>
          </w:tcPr>
          <w:p>
            <w:pPr>
              <w:pStyle w:val="TableContents"/>
              <w:spacing w:before="0" w:after="283"/>
              <w:jc w:val="left"/>
              <w:rPr/>
            </w:pPr>
            <w:r>
              <w:rPr/>
              <w:t> </w:t>
            </w:r>
          </w:p>
        </w:tc>
        <w:tc>
          <w:tcPr>
            <w:tcW w:w="920" w:type="dxa"/>
            <w:tcBorders/>
            <w:shd w:fill="CCEEFF" w:val="clear"/>
            <w:tcMar>
              <w:bottom w:w="0" w:type="dxa"/>
            </w:tcMar>
            <w:vAlign w:val="bottom"/>
          </w:tcPr>
          <w:p>
            <w:pPr>
              <w:pStyle w:val="TableContents"/>
              <w:spacing w:before="0" w:after="283"/>
              <w:jc w:val="right"/>
              <w:rPr>
                <w:rFonts w:ascii="helvetica" w:hAnsi="helvetica"/>
                <w:sz w:val="20"/>
              </w:rPr>
            </w:pPr>
            <w:r>
              <w:rPr>
                <w:rFonts w:ascii="helvetica" w:hAnsi="helvetica"/>
                <w:sz w:val="20"/>
              </w:rPr>
              <w:t>38,800</w:t>
            </w:r>
          </w:p>
        </w:tc>
        <w:tc>
          <w:tcPr>
            <w:tcW w:w="101" w:type="dxa"/>
            <w:tcBorders/>
            <w:shd w:fill="CCEEFF" w:val="clear"/>
            <w:tcMar>
              <w:bottom w:w="0" w:type="dxa"/>
            </w:tcMar>
            <w:vAlign w:val="bottom"/>
          </w:tcPr>
          <w:p>
            <w:pPr>
              <w:pStyle w:val="TableContents"/>
              <w:spacing w:before="0" w:after="283"/>
              <w:jc w:val="left"/>
              <w:rPr/>
            </w:pPr>
            <w:r>
              <w:rPr/>
              <w:t> </w:t>
            </w:r>
          </w:p>
        </w:tc>
        <w:tc>
          <w:tcPr>
            <w:tcW w:w="100" w:type="dxa"/>
            <w:tcBorders/>
            <w:shd w:fill="CCEEFF" w:val="clear"/>
            <w:tcMar>
              <w:bottom w:w="0" w:type="dxa"/>
            </w:tcMar>
            <w:vAlign w:val="bottom"/>
          </w:tcPr>
          <w:p>
            <w:pPr>
              <w:pStyle w:val="TableContents"/>
              <w:spacing w:before="0" w:after="283"/>
              <w:rPr/>
            </w:pPr>
            <w:r>
              <w:rPr/>
              <w:t> </w:t>
            </w:r>
          </w:p>
        </w:tc>
        <w:tc>
          <w:tcPr>
            <w:tcW w:w="101" w:type="dxa"/>
            <w:tcBorders/>
            <w:shd w:fill="CCEEFF" w:val="clear"/>
            <w:tcMar>
              <w:bottom w:w="0" w:type="dxa"/>
            </w:tcMar>
            <w:vAlign w:val="bottom"/>
          </w:tcPr>
          <w:p>
            <w:pPr>
              <w:pStyle w:val="TableContents"/>
              <w:spacing w:before="0" w:after="283"/>
              <w:jc w:val="left"/>
              <w:rPr/>
            </w:pPr>
            <w:r>
              <w:rPr/>
              <w:t> </w:t>
            </w:r>
          </w:p>
        </w:tc>
        <w:tc>
          <w:tcPr>
            <w:tcW w:w="920" w:type="dxa"/>
            <w:tcBorders/>
            <w:shd w:fill="CCEEFF" w:val="clear"/>
            <w:tcMar>
              <w:bottom w:w="0" w:type="dxa"/>
            </w:tcMar>
            <w:vAlign w:val="bottom"/>
          </w:tcPr>
          <w:p>
            <w:pPr>
              <w:pStyle w:val="TableContents"/>
              <w:spacing w:before="0" w:after="283"/>
              <w:jc w:val="right"/>
              <w:rPr>
                <w:rFonts w:ascii="helvetica" w:hAnsi="helvetica"/>
                <w:sz w:val="20"/>
              </w:rPr>
            </w:pPr>
            <w:r>
              <w:rPr>
                <w:rFonts w:ascii="helvetica" w:hAnsi="helvetica"/>
                <w:sz w:val="20"/>
              </w:rPr>
              <w:t>-</w:t>
            </w:r>
          </w:p>
        </w:tc>
        <w:tc>
          <w:tcPr>
            <w:tcW w:w="101" w:type="dxa"/>
            <w:tcBorders/>
            <w:shd w:fill="CCEEFF" w:val="clear"/>
            <w:tcMar>
              <w:bottom w:w="0" w:type="dxa"/>
            </w:tcMar>
            <w:vAlign w:val="bottom"/>
          </w:tcPr>
          <w:p>
            <w:pPr>
              <w:pStyle w:val="TableContents"/>
              <w:spacing w:before="0" w:after="283"/>
              <w:jc w:val="left"/>
              <w:rPr/>
            </w:pPr>
            <w:r>
              <w:rPr/>
              <w:t> </w:t>
            </w:r>
          </w:p>
        </w:tc>
        <w:tc>
          <w:tcPr>
            <w:tcW w:w="101" w:type="dxa"/>
            <w:tcBorders/>
            <w:shd w:fill="CCEEFF" w:val="clear"/>
            <w:tcMar>
              <w:bottom w:w="0" w:type="dxa"/>
            </w:tcMar>
            <w:vAlign w:val="bottom"/>
          </w:tcPr>
          <w:p>
            <w:pPr>
              <w:pStyle w:val="TableContents"/>
              <w:spacing w:before="0" w:after="283"/>
              <w:rPr/>
            </w:pPr>
            <w:r>
              <w:rPr/>
              <w:t> </w:t>
            </w:r>
          </w:p>
        </w:tc>
        <w:tc>
          <w:tcPr>
            <w:tcW w:w="101" w:type="dxa"/>
            <w:tcBorders/>
            <w:shd w:fill="CCEEFF" w:val="clear"/>
            <w:tcMar>
              <w:bottom w:w="0" w:type="dxa"/>
            </w:tcMar>
            <w:vAlign w:val="bottom"/>
          </w:tcPr>
          <w:p>
            <w:pPr>
              <w:pStyle w:val="TableContents"/>
              <w:spacing w:before="0" w:after="283"/>
              <w:jc w:val="left"/>
              <w:rPr/>
            </w:pPr>
            <w:r>
              <w:rPr/>
              <w:t> </w:t>
            </w:r>
          </w:p>
        </w:tc>
        <w:tc>
          <w:tcPr>
            <w:tcW w:w="920" w:type="dxa"/>
            <w:tcBorders/>
            <w:shd w:fill="CCEEFF" w:val="clear"/>
            <w:tcMar>
              <w:bottom w:w="0" w:type="dxa"/>
            </w:tcMar>
            <w:vAlign w:val="bottom"/>
          </w:tcPr>
          <w:p>
            <w:pPr>
              <w:pStyle w:val="TableContents"/>
              <w:spacing w:before="0" w:after="283"/>
              <w:jc w:val="right"/>
              <w:rPr>
                <w:rFonts w:ascii="helvetica" w:hAnsi="helvetica"/>
                <w:sz w:val="20"/>
              </w:rPr>
            </w:pPr>
            <w:r>
              <w:rPr>
                <w:rFonts w:ascii="helvetica" w:hAnsi="helvetica"/>
                <w:sz w:val="20"/>
              </w:rPr>
              <w:t>2,192</w:t>
            </w:r>
          </w:p>
        </w:tc>
        <w:tc>
          <w:tcPr>
            <w:tcW w:w="101" w:type="dxa"/>
            <w:tcBorders/>
            <w:shd w:fill="CCEEFF" w:val="clear"/>
            <w:tcMar>
              <w:bottom w:w="0" w:type="dxa"/>
            </w:tcMar>
            <w:vAlign w:val="bottom"/>
          </w:tcPr>
          <w:p>
            <w:pPr>
              <w:pStyle w:val="TableContents"/>
              <w:spacing w:before="0" w:after="283"/>
              <w:jc w:val="left"/>
              <w:rPr/>
            </w:pPr>
            <w:r>
              <w:rPr/>
              <w:t> </w:t>
            </w:r>
          </w:p>
        </w:tc>
        <w:tc>
          <w:tcPr>
            <w:tcW w:w="101" w:type="dxa"/>
            <w:tcBorders/>
            <w:shd w:fill="CCEEFF" w:val="clear"/>
            <w:tcMar>
              <w:bottom w:w="0" w:type="dxa"/>
            </w:tcMar>
            <w:vAlign w:val="bottom"/>
          </w:tcPr>
          <w:p>
            <w:pPr>
              <w:pStyle w:val="TableContents"/>
              <w:spacing w:before="0" w:after="283"/>
              <w:rPr/>
            </w:pPr>
            <w:r>
              <w:rPr/>
              <w:t> </w:t>
            </w:r>
          </w:p>
        </w:tc>
        <w:tc>
          <w:tcPr>
            <w:tcW w:w="101" w:type="dxa"/>
            <w:tcBorders/>
            <w:shd w:fill="CCEEFF" w:val="clear"/>
            <w:tcMar>
              <w:bottom w:w="0" w:type="dxa"/>
            </w:tcMar>
            <w:vAlign w:val="bottom"/>
          </w:tcPr>
          <w:p>
            <w:pPr>
              <w:pStyle w:val="TableContents"/>
              <w:spacing w:before="0" w:after="283"/>
              <w:jc w:val="left"/>
              <w:rPr/>
            </w:pPr>
            <w:r>
              <w:rPr/>
              <w:t> </w:t>
            </w:r>
          </w:p>
        </w:tc>
        <w:tc>
          <w:tcPr>
            <w:tcW w:w="920" w:type="dxa"/>
            <w:tcBorders/>
            <w:shd w:fill="CCEEFF" w:val="clear"/>
            <w:tcMar>
              <w:bottom w:w="0" w:type="dxa"/>
            </w:tcMar>
            <w:vAlign w:val="bottom"/>
          </w:tcPr>
          <w:p>
            <w:pPr>
              <w:pStyle w:val="TableContents"/>
              <w:spacing w:before="0" w:after="283"/>
              <w:jc w:val="right"/>
              <w:rPr>
                <w:rFonts w:ascii="helvetica" w:hAnsi="helvetica"/>
                <w:sz w:val="20"/>
              </w:rPr>
            </w:pPr>
            <w:r>
              <w:rPr>
                <w:rFonts w:ascii="helvetica" w:hAnsi="helvetica"/>
                <w:sz w:val="20"/>
              </w:rPr>
              <w:t>40,992</w:t>
            </w:r>
          </w:p>
        </w:tc>
        <w:tc>
          <w:tcPr>
            <w:tcW w:w="101" w:type="dxa"/>
            <w:tcBorders/>
            <w:shd w:fill="CCEEFF" w:val="clear"/>
            <w:tcMar>
              <w:bottom w:w="0" w:type="dxa"/>
            </w:tcMar>
            <w:vAlign w:val="bottom"/>
          </w:tcPr>
          <w:p>
            <w:pPr>
              <w:pStyle w:val="TableContents"/>
              <w:spacing w:before="0" w:after="283"/>
              <w:jc w:val="left"/>
              <w:rPr/>
            </w:pPr>
            <w:r>
              <w:rPr/>
              <w:t> </w:t>
            </w:r>
          </w:p>
        </w:tc>
      </w:tr>
      <w:tr>
        <w:trPr/>
        <w:tc>
          <w:tcPr>
            <w:tcW w:w="4395" w:type="dxa"/>
            <w:tcBorders/>
            <w:shd w:fill="FFFFFF" w:val="clear"/>
            <w:tcMar>
              <w:bottom w:w="0" w:type="dxa"/>
            </w:tcMar>
            <w:vAlign w:val="bottom"/>
          </w:tcPr>
          <w:p>
            <w:pPr>
              <w:pStyle w:val="TableContents"/>
              <w:spacing w:before="0" w:after="0"/>
              <w:ind w:left="0" w:right="0" w:hanging="0"/>
              <w:jc w:val="left"/>
              <w:rPr/>
            </w:pPr>
            <w:r>
              <w:rPr/>
              <w:t>  </w:t>
            </w:r>
            <w:r>
              <w:rPr>
                <w:rFonts w:ascii="helvetica" w:hAnsi="helvetica"/>
                <w:sz w:val="20"/>
              </w:rPr>
              <w:t>Chief Medical Officer</w:t>
            </w:r>
          </w:p>
        </w:tc>
        <w:tc>
          <w:tcPr>
            <w:tcW w:w="101" w:type="dxa"/>
            <w:tcBorders/>
            <w:shd w:fill="FFFFFF" w:val="clear"/>
            <w:tcMar>
              <w:bottom w:w="0" w:type="dxa"/>
            </w:tcMar>
            <w:vAlign w:val="bottom"/>
          </w:tcPr>
          <w:p>
            <w:pPr>
              <w:pStyle w:val="TableContents"/>
              <w:spacing w:before="0" w:after="283"/>
              <w:jc w:val="left"/>
              <w:rPr/>
            </w:pPr>
            <w:r>
              <w:rPr/>
              <w:t> </w:t>
            </w:r>
          </w:p>
        </w:tc>
        <w:tc>
          <w:tcPr>
            <w:tcW w:w="818" w:type="dxa"/>
            <w:tcBorders/>
            <w:shd w:fill="FFFFFF" w:val="clear"/>
            <w:tcMar>
              <w:bottom w:w="0" w:type="dxa"/>
            </w:tcMar>
            <w:vAlign w:val="bottom"/>
          </w:tcPr>
          <w:p>
            <w:pPr>
              <w:pStyle w:val="TableContents"/>
              <w:spacing w:before="0" w:after="0"/>
              <w:ind w:left="0" w:right="0" w:hanging="0"/>
              <w:jc w:val="center"/>
              <w:rPr>
                <w:rFonts w:ascii="helvetica" w:hAnsi="helvetica"/>
                <w:sz w:val="20"/>
              </w:rPr>
            </w:pPr>
            <w:r>
              <w:rPr>
                <w:rFonts w:ascii="helvetica" w:hAnsi="helvetica"/>
                <w:sz w:val="20"/>
              </w:rPr>
              <w:t>2010</w:t>
            </w:r>
          </w:p>
        </w:tc>
        <w:tc>
          <w:tcPr>
            <w:tcW w:w="101" w:type="dxa"/>
            <w:tcBorders/>
            <w:shd w:fill="FFFFFF" w:val="clear"/>
            <w:tcMar>
              <w:bottom w:w="0" w:type="dxa"/>
            </w:tcMar>
            <w:vAlign w:val="bottom"/>
          </w:tcPr>
          <w:p>
            <w:pPr>
              <w:pStyle w:val="TableContents"/>
              <w:spacing w:before="0" w:after="283"/>
              <w:rPr/>
            </w:pPr>
            <w:r>
              <w:rPr/>
              <w:t> </w:t>
            </w:r>
          </w:p>
        </w:tc>
        <w:tc>
          <w:tcPr>
            <w:tcW w:w="101" w:type="dxa"/>
            <w:tcBorders/>
            <w:shd w:fill="FFFFFF" w:val="clear"/>
            <w:tcMar>
              <w:bottom w:w="0" w:type="dxa"/>
            </w:tcMar>
            <w:vAlign w:val="bottom"/>
          </w:tcPr>
          <w:p>
            <w:pPr>
              <w:pStyle w:val="TableContents"/>
              <w:spacing w:before="0" w:after="283"/>
              <w:jc w:val="left"/>
              <w:rPr/>
            </w:pPr>
            <w:r>
              <w:rPr/>
              <w:t> </w:t>
            </w:r>
          </w:p>
        </w:tc>
        <w:tc>
          <w:tcPr>
            <w:tcW w:w="920" w:type="dxa"/>
            <w:tcBorders/>
            <w:shd w:fill="FFFFFF" w:val="clear"/>
            <w:tcMar>
              <w:bottom w:w="0" w:type="dxa"/>
            </w:tcMar>
            <w:vAlign w:val="bottom"/>
          </w:tcPr>
          <w:p>
            <w:pPr>
              <w:pStyle w:val="TableContents"/>
              <w:spacing w:before="0" w:after="283"/>
              <w:jc w:val="right"/>
              <w:rPr>
                <w:rFonts w:ascii="helvetica" w:hAnsi="helvetica"/>
                <w:sz w:val="20"/>
              </w:rPr>
            </w:pPr>
            <w:r>
              <w:rPr>
                <w:rFonts w:ascii="helvetica" w:hAnsi="helvetica"/>
                <w:sz w:val="20"/>
              </w:rPr>
              <w:t>180,000</w:t>
            </w:r>
          </w:p>
        </w:tc>
        <w:tc>
          <w:tcPr>
            <w:tcW w:w="101" w:type="dxa"/>
            <w:tcBorders/>
            <w:shd w:fill="FFFFFF" w:val="clear"/>
            <w:tcMar>
              <w:bottom w:w="0" w:type="dxa"/>
            </w:tcMar>
            <w:vAlign w:val="bottom"/>
          </w:tcPr>
          <w:p>
            <w:pPr>
              <w:pStyle w:val="TableContents"/>
              <w:spacing w:before="0" w:after="283"/>
              <w:jc w:val="left"/>
              <w:rPr/>
            </w:pPr>
            <w:r>
              <w:rPr/>
              <w:t> </w:t>
            </w:r>
          </w:p>
        </w:tc>
        <w:tc>
          <w:tcPr>
            <w:tcW w:w="100" w:type="dxa"/>
            <w:tcBorders/>
            <w:shd w:fill="FFFFFF" w:val="clear"/>
            <w:tcMar>
              <w:bottom w:w="0" w:type="dxa"/>
            </w:tcMar>
            <w:vAlign w:val="bottom"/>
          </w:tcPr>
          <w:p>
            <w:pPr>
              <w:pStyle w:val="TableContents"/>
              <w:spacing w:before="0" w:after="283"/>
              <w:rPr/>
            </w:pPr>
            <w:r>
              <w:rPr/>
              <w:t> </w:t>
            </w:r>
          </w:p>
        </w:tc>
        <w:tc>
          <w:tcPr>
            <w:tcW w:w="101" w:type="dxa"/>
            <w:tcBorders/>
            <w:shd w:fill="FFFFFF" w:val="clear"/>
            <w:tcMar>
              <w:bottom w:w="0" w:type="dxa"/>
            </w:tcMar>
            <w:vAlign w:val="bottom"/>
          </w:tcPr>
          <w:p>
            <w:pPr>
              <w:pStyle w:val="TableContents"/>
              <w:spacing w:before="0" w:after="283"/>
              <w:jc w:val="left"/>
              <w:rPr/>
            </w:pPr>
            <w:r>
              <w:rPr/>
              <w:t> </w:t>
            </w:r>
          </w:p>
        </w:tc>
        <w:tc>
          <w:tcPr>
            <w:tcW w:w="920" w:type="dxa"/>
            <w:tcBorders/>
            <w:shd w:fill="FFFFFF" w:val="clear"/>
            <w:tcMar>
              <w:bottom w:w="0" w:type="dxa"/>
            </w:tcMar>
            <w:vAlign w:val="bottom"/>
          </w:tcPr>
          <w:p>
            <w:pPr>
              <w:pStyle w:val="TableContents"/>
              <w:spacing w:before="0" w:after="283"/>
              <w:jc w:val="right"/>
              <w:rPr>
                <w:rFonts w:ascii="helvetica" w:hAnsi="helvetica"/>
                <w:sz w:val="20"/>
              </w:rPr>
            </w:pPr>
            <w:r>
              <w:rPr>
                <w:rFonts w:ascii="helvetica" w:hAnsi="helvetica"/>
                <w:sz w:val="20"/>
              </w:rPr>
              <w:t>-</w:t>
            </w:r>
          </w:p>
        </w:tc>
        <w:tc>
          <w:tcPr>
            <w:tcW w:w="101" w:type="dxa"/>
            <w:tcBorders/>
            <w:shd w:fill="FFFFFF" w:val="clear"/>
            <w:tcMar>
              <w:bottom w:w="0" w:type="dxa"/>
            </w:tcMar>
            <w:vAlign w:val="bottom"/>
          </w:tcPr>
          <w:p>
            <w:pPr>
              <w:pStyle w:val="TableContents"/>
              <w:spacing w:before="0" w:after="283"/>
              <w:jc w:val="left"/>
              <w:rPr/>
            </w:pPr>
            <w:r>
              <w:rPr/>
              <w:t> </w:t>
            </w:r>
          </w:p>
        </w:tc>
        <w:tc>
          <w:tcPr>
            <w:tcW w:w="101" w:type="dxa"/>
            <w:tcBorders/>
            <w:shd w:fill="FFFFFF" w:val="clear"/>
            <w:tcMar>
              <w:bottom w:w="0" w:type="dxa"/>
            </w:tcMar>
            <w:vAlign w:val="bottom"/>
          </w:tcPr>
          <w:p>
            <w:pPr>
              <w:pStyle w:val="TableContents"/>
              <w:spacing w:before="0" w:after="283"/>
              <w:rPr/>
            </w:pPr>
            <w:r>
              <w:rPr/>
              <w:t> </w:t>
            </w:r>
          </w:p>
        </w:tc>
        <w:tc>
          <w:tcPr>
            <w:tcW w:w="101" w:type="dxa"/>
            <w:tcBorders/>
            <w:shd w:fill="FFFFFF" w:val="clear"/>
            <w:tcMar>
              <w:bottom w:w="0" w:type="dxa"/>
            </w:tcMar>
            <w:vAlign w:val="bottom"/>
          </w:tcPr>
          <w:p>
            <w:pPr>
              <w:pStyle w:val="TableContents"/>
              <w:spacing w:before="0" w:after="283"/>
              <w:jc w:val="left"/>
              <w:rPr/>
            </w:pPr>
            <w:r>
              <w:rPr/>
              <w:t> </w:t>
            </w:r>
          </w:p>
        </w:tc>
        <w:tc>
          <w:tcPr>
            <w:tcW w:w="920" w:type="dxa"/>
            <w:tcBorders/>
            <w:shd w:fill="FFFFFF" w:val="clear"/>
            <w:tcMar>
              <w:bottom w:w="0" w:type="dxa"/>
            </w:tcMar>
            <w:vAlign w:val="bottom"/>
          </w:tcPr>
          <w:p>
            <w:pPr>
              <w:pStyle w:val="TableContents"/>
              <w:spacing w:before="0" w:after="283"/>
              <w:jc w:val="right"/>
              <w:rPr>
                <w:rFonts w:ascii="helvetica" w:hAnsi="helvetica"/>
                <w:sz w:val="20"/>
              </w:rPr>
            </w:pPr>
            <w:r>
              <w:rPr>
                <w:rFonts w:ascii="helvetica" w:hAnsi="helvetica"/>
                <w:sz w:val="20"/>
              </w:rPr>
              <w:t>-</w:t>
            </w:r>
          </w:p>
        </w:tc>
        <w:tc>
          <w:tcPr>
            <w:tcW w:w="101" w:type="dxa"/>
            <w:tcBorders/>
            <w:shd w:fill="FFFFFF" w:val="clear"/>
            <w:tcMar>
              <w:bottom w:w="0" w:type="dxa"/>
            </w:tcMar>
            <w:vAlign w:val="bottom"/>
          </w:tcPr>
          <w:p>
            <w:pPr>
              <w:pStyle w:val="TableContents"/>
              <w:spacing w:before="0" w:after="283"/>
              <w:jc w:val="left"/>
              <w:rPr/>
            </w:pPr>
            <w:r>
              <w:rPr/>
              <w:t> </w:t>
            </w:r>
          </w:p>
        </w:tc>
        <w:tc>
          <w:tcPr>
            <w:tcW w:w="101" w:type="dxa"/>
            <w:tcBorders/>
            <w:shd w:fill="FFFFFF" w:val="clear"/>
            <w:tcMar>
              <w:bottom w:w="0" w:type="dxa"/>
            </w:tcMar>
            <w:vAlign w:val="bottom"/>
          </w:tcPr>
          <w:p>
            <w:pPr>
              <w:pStyle w:val="TableContents"/>
              <w:spacing w:before="0" w:after="283"/>
              <w:rPr/>
            </w:pPr>
            <w:r>
              <w:rPr/>
              <w:t> </w:t>
            </w:r>
          </w:p>
        </w:tc>
        <w:tc>
          <w:tcPr>
            <w:tcW w:w="101" w:type="dxa"/>
            <w:tcBorders/>
            <w:shd w:fill="FFFFFF" w:val="clear"/>
            <w:tcMar>
              <w:bottom w:w="0" w:type="dxa"/>
            </w:tcMar>
            <w:vAlign w:val="bottom"/>
          </w:tcPr>
          <w:p>
            <w:pPr>
              <w:pStyle w:val="TableContents"/>
              <w:spacing w:before="0" w:after="283"/>
              <w:jc w:val="left"/>
              <w:rPr/>
            </w:pPr>
            <w:r>
              <w:rPr/>
              <w:t> </w:t>
            </w:r>
          </w:p>
        </w:tc>
        <w:tc>
          <w:tcPr>
            <w:tcW w:w="920" w:type="dxa"/>
            <w:tcBorders/>
            <w:shd w:fill="FFFFFF" w:val="clear"/>
            <w:tcMar>
              <w:bottom w:w="0" w:type="dxa"/>
            </w:tcMar>
            <w:vAlign w:val="bottom"/>
          </w:tcPr>
          <w:p>
            <w:pPr>
              <w:pStyle w:val="TableContents"/>
              <w:spacing w:before="0" w:after="283"/>
              <w:jc w:val="right"/>
              <w:rPr>
                <w:rFonts w:ascii="helvetica" w:hAnsi="helvetica"/>
                <w:sz w:val="20"/>
              </w:rPr>
            </w:pPr>
            <w:r>
              <w:rPr>
                <w:rFonts w:ascii="helvetica" w:hAnsi="helvetica"/>
                <w:sz w:val="20"/>
              </w:rPr>
              <w:t>180,000</w:t>
            </w:r>
          </w:p>
        </w:tc>
        <w:tc>
          <w:tcPr>
            <w:tcW w:w="101" w:type="dxa"/>
            <w:tcBorders/>
            <w:shd w:fill="FFFFFF" w:val="clear"/>
            <w:tcMar>
              <w:bottom w:w="0" w:type="dxa"/>
            </w:tcMar>
            <w:vAlign w:val="bottom"/>
          </w:tcPr>
          <w:p>
            <w:pPr>
              <w:pStyle w:val="TableContents"/>
              <w:spacing w:before="0" w:after="283"/>
              <w:jc w:val="left"/>
              <w:rPr/>
            </w:pPr>
            <w:r>
              <w:rPr/>
              <w:t> </w:t>
            </w:r>
          </w:p>
        </w:tc>
      </w:tr>
    </w:tbl>
    <w:p>
      <w:pPr>
        <w:pStyle w:val="TextBody"/>
        <w:spacing w:before="0" w:after="0"/>
        <w:ind w:left="0" w:right="0" w:hanging="0"/>
        <w:rPr/>
      </w:pPr>
      <w:r>
        <w:rPr/>
        <w:t> </w:t>
      </w:r>
    </w:p>
    <w:p>
      <w:pPr>
        <w:pStyle w:val="Normal"/>
        <w:spacing w:before="0" w:after="0"/>
        <w:rPr>
          <w:sz w:val="4"/>
          <w:szCs w:val="4"/>
        </w:rPr>
      </w:pPr>
      <w:r>
        <w:rPr>
          <w:sz w:val="4"/>
          <w:szCs w:val="4"/>
        </w:rPr>
      </w:r>
      <w:bookmarkStart w:id="792" w:name="list102"/>
      <w:bookmarkStart w:id="793" w:name="list102"/>
      <w:bookmarkEnd w:id="793"/>
    </w:p>
    <w:tbl>
      <w:tblPr>
        <w:tblW w:w="5000" w:type="pct"/>
        <w:jc w:val="left"/>
        <w:tblInd w:w="0" w:type="dxa"/>
        <w:tblCellMar>
          <w:top w:w="0" w:type="dxa"/>
          <w:left w:w="0" w:type="dxa"/>
          <w:bottom w:w="0" w:type="dxa"/>
          <w:right w:w="0" w:type="dxa"/>
        </w:tblCellMar>
      </w:tblPr>
      <w:tblGrid>
        <w:gridCol w:w="243"/>
        <w:gridCol w:w="9962"/>
      </w:tblGrid>
      <w:tr>
        <w:trPr/>
        <w:tc>
          <w:tcPr>
            <w:tcW w:w="243" w:type="dxa"/>
            <w:tcBorders/>
            <w:shd w:fill="auto" w:val="clear"/>
          </w:tcPr>
          <w:p>
            <w:pPr>
              <w:pStyle w:val="TableContents"/>
              <w:spacing w:before="0" w:after="0"/>
              <w:jc w:val="right"/>
              <w:rPr>
                <w:rFonts w:ascii="helvetica" w:hAnsi="helvetica"/>
                <w:sz w:val="20"/>
              </w:rPr>
            </w:pPr>
            <w:r>
              <w:rPr>
                <w:rFonts w:ascii="helvetica" w:hAnsi="helvetica"/>
                <w:sz w:val="20"/>
              </w:rPr>
              <w:t>(1)  </w:t>
            </w:r>
          </w:p>
        </w:tc>
        <w:tc>
          <w:tcPr>
            <w:tcW w:w="9962" w:type="dxa"/>
            <w:tcBorders/>
            <w:shd w:fill="auto" w:val="clear"/>
          </w:tcPr>
          <w:p>
            <w:pPr>
              <w:pStyle w:val="TableContents"/>
              <w:spacing w:before="0" w:after="0"/>
              <w:ind w:left="0" w:right="0" w:hanging="0"/>
              <w:jc w:val="both"/>
              <w:rPr>
                <w:rFonts w:ascii="helvetica" w:hAnsi="helvetica"/>
                <w:sz w:val="20"/>
              </w:rPr>
            </w:pPr>
            <w:r>
              <w:rPr>
                <w:rFonts w:ascii="helvetica" w:hAnsi="helvetica"/>
                <w:sz w:val="20"/>
              </w:rPr>
              <w:t>Represents the dollar value of the restricted stock awards calculated on the basis of the fair value of the underlying shares of our common stock on the respective grant dates in accordance with FASB ASC Topic 718 and without any adjustment for estimated forfeitures. The actual value that an executive will realize on each restricted stock award will depend on the price per share of our common stock at the time shares underlying the restricted stock awards are sold. The actual value realized by an executive may not  be at or near the grant date fair value of the restricted stock awarded.</w:t>
            </w:r>
          </w:p>
        </w:tc>
      </w:tr>
    </w:tbl>
    <w:p>
      <w:pPr>
        <w:pStyle w:val="TextBody"/>
        <w:spacing w:before="0" w:after="0"/>
        <w:ind w:left="0" w:right="0" w:hanging="0"/>
        <w:rPr/>
      </w:pPr>
      <w:r>
        <w:rPr/>
        <w:t> </w:t>
      </w:r>
    </w:p>
    <w:p>
      <w:pPr>
        <w:pStyle w:val="Normal"/>
        <w:spacing w:before="0" w:after="0"/>
        <w:rPr>
          <w:sz w:val="4"/>
          <w:szCs w:val="4"/>
        </w:rPr>
      </w:pPr>
      <w:r>
        <w:rPr>
          <w:sz w:val="4"/>
          <w:szCs w:val="4"/>
        </w:rPr>
      </w:r>
      <w:bookmarkStart w:id="794" w:name="list103"/>
      <w:bookmarkStart w:id="795" w:name="list103"/>
      <w:bookmarkEnd w:id="795"/>
    </w:p>
    <w:tbl>
      <w:tblPr>
        <w:tblW w:w="5000" w:type="pct"/>
        <w:jc w:val="left"/>
        <w:tblInd w:w="0" w:type="dxa"/>
        <w:tblCellMar>
          <w:top w:w="0" w:type="dxa"/>
          <w:left w:w="0" w:type="dxa"/>
          <w:bottom w:w="0" w:type="dxa"/>
          <w:right w:w="0" w:type="dxa"/>
        </w:tblCellMar>
      </w:tblPr>
      <w:tblGrid>
        <w:gridCol w:w="242"/>
        <w:gridCol w:w="9963"/>
      </w:tblGrid>
      <w:tr>
        <w:trPr/>
        <w:tc>
          <w:tcPr>
            <w:tcW w:w="242" w:type="dxa"/>
            <w:tcBorders/>
            <w:shd w:fill="auto" w:val="clear"/>
          </w:tcPr>
          <w:p>
            <w:pPr>
              <w:pStyle w:val="TableContents"/>
              <w:spacing w:before="0" w:after="0"/>
              <w:jc w:val="right"/>
              <w:rPr>
                <w:rFonts w:ascii="helvetica" w:hAnsi="helvetica"/>
                <w:sz w:val="20"/>
              </w:rPr>
            </w:pPr>
            <w:r>
              <w:rPr>
                <w:rFonts w:ascii="helvetica" w:hAnsi="helvetica"/>
                <w:sz w:val="20"/>
              </w:rPr>
              <w:t>(2)  </w:t>
            </w:r>
          </w:p>
        </w:tc>
        <w:tc>
          <w:tcPr>
            <w:tcW w:w="9963" w:type="dxa"/>
            <w:tcBorders/>
            <w:shd w:fill="auto" w:val="clear"/>
          </w:tcPr>
          <w:p>
            <w:pPr>
              <w:pStyle w:val="TableContents"/>
              <w:spacing w:before="0" w:after="0"/>
              <w:ind w:left="0" w:right="0" w:hanging="0"/>
              <w:jc w:val="both"/>
              <w:rPr>
                <w:rFonts w:ascii="helvetica" w:hAnsi="helvetica"/>
                <w:sz w:val="20"/>
              </w:rPr>
            </w:pPr>
            <w:r>
              <w:rPr>
                <w:rFonts w:ascii="helvetica" w:hAnsi="helvetica"/>
                <w:sz w:val="20"/>
              </w:rPr>
              <w:t>Reflects the dollar amount of the grant date fair value of awards granted during the respective fiscal years, measured in accordance with Accounting Standards Codification Topic 718 and without adjustment for estimated forfeitures. For a discussion of the assumptions used to calculate the value of option awards, refer to Note 7 "Stock Option Plan" of Notes to Consolidated Financial Statements for the fiscal year ended December 31, 2011 included in this prospectus. For a discussion of the material terms of each stock option award, see the table entitled "Outstanding Equity Awards at Fiscal Year End."</w:t>
            </w:r>
          </w:p>
        </w:tc>
      </w:tr>
    </w:tbl>
    <w:p>
      <w:pPr>
        <w:pStyle w:val="TextBody"/>
        <w:spacing w:before="0" w:after="0"/>
        <w:ind w:left="0" w:right="0" w:hanging="0"/>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796" w:name="PGBRK63"/>
      <w:bookmarkStart w:id="797" w:name="PGBRK63"/>
      <w:bookmarkEnd w:id="79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798" w:name="FTR63"/>
      <w:bookmarkStart w:id="799" w:name="FTR63"/>
      <w:bookmarkEnd w:id="79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800" w:name="GLFTR62"/>
      <w:bookmarkEnd w:id="800"/>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helvetica" w:hAnsi="helvetica"/>
          <w:sz w:val="20"/>
        </w:rPr>
      </w:pPr>
      <w:bookmarkStart w:id="801" w:name="PN62"/>
      <w:bookmarkEnd w:id="801"/>
      <w:r>
        <w:rPr>
          <w:rFonts w:ascii="helvetica" w:hAnsi="helvetica"/>
          <w:sz w:val="20"/>
        </w:rPr>
        <w:t>61</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802" w:name="HDR62"/>
      <w:bookmarkStart w:id="803" w:name="HDR62"/>
      <w:bookmarkEnd w:id="80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804" w:name="GLHDR62"/>
      <w:bookmarkEnd w:id="804"/>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t> </w:t>
      </w:r>
    </w:p>
    <w:p>
      <w:pPr>
        <w:pStyle w:val="Normal"/>
        <w:spacing w:before="0" w:after="0"/>
        <w:rPr>
          <w:sz w:val="4"/>
          <w:szCs w:val="4"/>
        </w:rPr>
      </w:pPr>
      <w:r>
        <w:rPr>
          <w:sz w:val="4"/>
          <w:szCs w:val="4"/>
        </w:rPr>
      </w:r>
      <w:bookmarkStart w:id="805" w:name="list104"/>
      <w:bookmarkStart w:id="806" w:name="list104"/>
      <w:bookmarkEnd w:id="806"/>
    </w:p>
    <w:tbl>
      <w:tblPr>
        <w:tblW w:w="5000" w:type="pct"/>
        <w:jc w:val="left"/>
        <w:tblInd w:w="0" w:type="dxa"/>
        <w:tblCellMar>
          <w:top w:w="0" w:type="dxa"/>
          <w:left w:w="0" w:type="dxa"/>
          <w:bottom w:w="0" w:type="dxa"/>
          <w:right w:w="0" w:type="dxa"/>
        </w:tblCellMar>
      </w:tblPr>
      <w:tblGrid>
        <w:gridCol w:w="225"/>
        <w:gridCol w:w="9980"/>
      </w:tblGrid>
      <w:tr>
        <w:trPr/>
        <w:tc>
          <w:tcPr>
            <w:tcW w:w="225" w:type="dxa"/>
            <w:tcBorders/>
            <w:shd w:fill="auto" w:val="clear"/>
          </w:tcPr>
          <w:p>
            <w:pPr>
              <w:pStyle w:val="TableContents"/>
              <w:spacing w:before="0" w:after="0"/>
              <w:jc w:val="right"/>
              <w:rPr>
                <w:rFonts w:ascii="helvetica" w:hAnsi="helvetica"/>
                <w:sz w:val="20"/>
              </w:rPr>
            </w:pPr>
            <w:r>
              <w:rPr>
                <w:rFonts w:ascii="helvetica" w:hAnsi="helvetica"/>
                <w:sz w:val="20"/>
              </w:rPr>
              <w:t>(3)  </w:t>
            </w:r>
          </w:p>
        </w:tc>
        <w:tc>
          <w:tcPr>
            <w:tcW w:w="9980" w:type="dxa"/>
            <w:tcBorders/>
            <w:shd w:fill="auto" w:val="clear"/>
          </w:tcPr>
          <w:p>
            <w:pPr>
              <w:pStyle w:val="TableContents"/>
              <w:spacing w:before="0" w:after="0"/>
              <w:ind w:left="0" w:right="0" w:hanging="0"/>
              <w:jc w:val="both"/>
              <w:rPr>
                <w:rFonts w:ascii="helvetica" w:hAnsi="helvetica"/>
                <w:sz w:val="20"/>
              </w:rPr>
            </w:pPr>
            <w:r>
              <w:rPr>
                <w:rFonts w:ascii="helvetica" w:hAnsi="helvetica"/>
                <w:sz w:val="20"/>
              </w:rPr>
              <w:t>Effective October 18, 2010, the Company appointed John N. Bonfiglio, Ph.D. as Chief Executive Officer and President of the Company. Dr. Bonfiglio was also appointed as a director on the Company’s Board. Dr. Bonfiglio resigned as Chief Executive Officer and President of the Company on May 13, 2011. On October 18, 2010, the Board granted Dr. Bonfiglio a stock option to purchase 10,000 shares of common stock and issued 1,250 shares of restricted common stock under the 2007 Plan. The stock option was granted with an exercise price of $32.00 and terminated 90 days after the date of the termination of Mr. Bonfiglio’s service to the Company.  The restricted common stock vests as follows: 25% vested immediately upon grant, with the balance vesting in equal monthly installments over the next 36 months beginning 30 days after the vesting commencement date of October 20, 2010.  Accordingly, as of the date of Dr. Bonfiglio’s resignation, 468 shares of the restricted common stock granted to him had vested and the remaining shares were forfeited upon his resignation.  On December 15, 2011, in connection with a release given by Dr. Bonfiglio upon DermaStar’s investment in the Company in December 2011, the Company granted Dr. Bonfiglio a stock option for 1,029 shares of the Company’s common stock, which option vested immediately on the date of grant, has an exercise price of $4.00 per share, and expires on December 15, 2014.</w:t>
            </w:r>
          </w:p>
        </w:tc>
      </w:tr>
    </w:tbl>
    <w:p>
      <w:pPr>
        <w:pStyle w:val="TextBody"/>
        <w:spacing w:before="0" w:after="0"/>
        <w:ind w:left="0" w:right="0" w:hanging="0"/>
        <w:rPr/>
      </w:pPr>
      <w:r>
        <w:rPr/>
        <w:t> </w:t>
      </w:r>
    </w:p>
    <w:p>
      <w:pPr>
        <w:pStyle w:val="Normal"/>
        <w:spacing w:before="0" w:after="0"/>
        <w:rPr>
          <w:sz w:val="4"/>
          <w:szCs w:val="4"/>
        </w:rPr>
      </w:pPr>
      <w:r>
        <w:rPr>
          <w:sz w:val="4"/>
          <w:szCs w:val="4"/>
        </w:rPr>
      </w:r>
      <w:bookmarkStart w:id="807" w:name="list105"/>
      <w:bookmarkStart w:id="808" w:name="list105"/>
      <w:bookmarkEnd w:id="808"/>
    </w:p>
    <w:tbl>
      <w:tblPr>
        <w:tblW w:w="5000" w:type="pct"/>
        <w:jc w:val="left"/>
        <w:tblInd w:w="0" w:type="dxa"/>
        <w:tblCellMar>
          <w:top w:w="0" w:type="dxa"/>
          <w:left w:w="0" w:type="dxa"/>
          <w:bottom w:w="0" w:type="dxa"/>
          <w:right w:w="0" w:type="dxa"/>
        </w:tblCellMar>
      </w:tblPr>
      <w:tblGrid>
        <w:gridCol w:w="250"/>
        <w:gridCol w:w="9955"/>
      </w:tblGrid>
      <w:tr>
        <w:trPr/>
        <w:tc>
          <w:tcPr>
            <w:tcW w:w="250" w:type="dxa"/>
            <w:tcBorders/>
            <w:shd w:fill="auto" w:val="clear"/>
          </w:tcPr>
          <w:p>
            <w:pPr>
              <w:pStyle w:val="TableContents"/>
              <w:spacing w:before="0" w:after="0"/>
              <w:jc w:val="right"/>
              <w:rPr>
                <w:rFonts w:ascii="helvetica" w:hAnsi="helvetica"/>
                <w:sz w:val="20"/>
              </w:rPr>
            </w:pPr>
            <w:r>
              <w:rPr>
                <w:rFonts w:ascii="helvetica" w:hAnsi="helvetica"/>
                <w:sz w:val="20"/>
              </w:rPr>
              <w:t>(4)  </w:t>
            </w:r>
          </w:p>
        </w:tc>
        <w:tc>
          <w:tcPr>
            <w:tcW w:w="9955" w:type="dxa"/>
            <w:tcBorders/>
            <w:shd w:fill="auto" w:val="clear"/>
          </w:tcPr>
          <w:p>
            <w:pPr>
              <w:pStyle w:val="TableContents"/>
              <w:spacing w:before="0" w:after="0"/>
              <w:ind w:left="0" w:right="0" w:hanging="0"/>
              <w:jc w:val="both"/>
              <w:rPr>
                <w:rFonts w:ascii="helvetica" w:hAnsi="helvetica"/>
                <w:sz w:val="20"/>
              </w:rPr>
            </w:pPr>
            <w:r>
              <w:rPr>
                <w:rFonts w:ascii="helvetica" w:hAnsi="helvetica"/>
                <w:sz w:val="20"/>
              </w:rPr>
              <w:t>Effective September 16, 2011, Mr. Lomoro resigned from his positions with the Company.  On December 15, 2011, in connection with a release given by Mr. Lomoro upon DermaStar’s investment in the Company in December 2011, the Company granted Mr. Lomoro a stock option for 1,440 shares of the Company’s common stock, which option vested immediately on the date of grant, has an exercise price of $4.00 per share, and expires on December 15, 2014.</w:t>
            </w:r>
          </w:p>
        </w:tc>
      </w:tr>
    </w:tbl>
    <w:p>
      <w:pPr>
        <w:pStyle w:val="TextBody"/>
        <w:spacing w:before="0" w:after="0"/>
        <w:ind w:left="0" w:right="0" w:hanging="0"/>
        <w:rPr/>
      </w:pPr>
      <w:r>
        <w:rPr/>
        <w:t> </w:t>
      </w:r>
    </w:p>
    <w:p>
      <w:pPr>
        <w:pStyle w:val="Normal"/>
        <w:spacing w:before="0" w:after="0"/>
        <w:rPr>
          <w:sz w:val="4"/>
          <w:szCs w:val="4"/>
        </w:rPr>
      </w:pPr>
      <w:r>
        <w:rPr>
          <w:sz w:val="4"/>
          <w:szCs w:val="4"/>
        </w:rPr>
      </w:r>
      <w:bookmarkStart w:id="809" w:name="list106"/>
      <w:bookmarkStart w:id="810" w:name="list106"/>
      <w:bookmarkEnd w:id="810"/>
    </w:p>
    <w:tbl>
      <w:tblPr>
        <w:tblW w:w="5000" w:type="pct"/>
        <w:jc w:val="left"/>
        <w:tblInd w:w="0" w:type="dxa"/>
        <w:tblCellMar>
          <w:top w:w="0" w:type="dxa"/>
          <w:left w:w="0" w:type="dxa"/>
          <w:bottom w:w="0" w:type="dxa"/>
          <w:right w:w="0" w:type="dxa"/>
        </w:tblCellMar>
      </w:tblPr>
      <w:tblGrid>
        <w:gridCol w:w="237"/>
        <w:gridCol w:w="9968"/>
      </w:tblGrid>
      <w:tr>
        <w:trPr/>
        <w:tc>
          <w:tcPr>
            <w:tcW w:w="237" w:type="dxa"/>
            <w:tcBorders/>
            <w:shd w:fill="auto" w:val="clear"/>
          </w:tcPr>
          <w:p>
            <w:pPr>
              <w:pStyle w:val="TableContents"/>
              <w:spacing w:before="0" w:after="0"/>
              <w:jc w:val="right"/>
              <w:rPr>
                <w:rFonts w:ascii="helvetica" w:hAnsi="helvetica"/>
                <w:sz w:val="20"/>
              </w:rPr>
            </w:pPr>
            <w:r>
              <w:rPr>
                <w:rFonts w:ascii="helvetica" w:hAnsi="helvetica"/>
                <w:sz w:val="20"/>
              </w:rPr>
              <w:t>(5)  </w:t>
            </w:r>
          </w:p>
        </w:tc>
        <w:tc>
          <w:tcPr>
            <w:tcW w:w="9968" w:type="dxa"/>
            <w:tcBorders/>
            <w:shd w:fill="auto" w:val="clear"/>
          </w:tcPr>
          <w:p>
            <w:pPr>
              <w:pStyle w:val="TableContents"/>
              <w:spacing w:before="0" w:after="0"/>
              <w:ind w:left="0" w:right="0" w:hanging="0"/>
              <w:jc w:val="both"/>
              <w:rPr>
                <w:rFonts w:ascii="helvetica" w:hAnsi="helvetica"/>
                <w:sz w:val="20"/>
              </w:rPr>
            </w:pPr>
            <w:r>
              <w:rPr>
                <w:rFonts w:ascii="helvetica" w:hAnsi="helvetica"/>
                <w:sz w:val="20"/>
              </w:rPr>
              <w:t>Mr. Nida resigned from his positions with the Company effective December 16, 2011.  On February 26, 2010, the Board of Directors granted to Mr. Nida an option to purchase 7,500 shares of the Company’s common stock with an exercise price of $36.00 per share.  The option terminated 90 days after the date of the termination of Mr. Nida’s service to the Company.  On December 15, 2011, in connection with a release given by Mr. Nida upon DermaStar’s investment in the Company, the Company granted Mr. Nida an option to purchase 3,639 shares of the Company’s common stock, which option vested immediately on the date of grant, has an exercise price of $4.00 per share, and expires on December 15, 2014.</w:t>
            </w:r>
          </w:p>
        </w:tc>
      </w:tr>
    </w:tbl>
    <w:p>
      <w:pPr>
        <w:pStyle w:val="TextBody"/>
        <w:spacing w:before="0" w:after="0"/>
        <w:ind w:left="0" w:right="0" w:hanging="0"/>
        <w:rPr/>
      </w:pPr>
      <w:r>
        <w:rPr/>
        <w:t> </w:t>
      </w:r>
    </w:p>
    <w:p>
      <w:pPr>
        <w:pStyle w:val="Normal"/>
        <w:spacing w:before="0" w:after="0"/>
        <w:rPr>
          <w:sz w:val="4"/>
          <w:szCs w:val="4"/>
        </w:rPr>
      </w:pPr>
      <w:r>
        <w:rPr>
          <w:sz w:val="4"/>
          <w:szCs w:val="4"/>
        </w:rPr>
      </w:r>
      <w:bookmarkStart w:id="811" w:name="list107"/>
      <w:bookmarkStart w:id="812" w:name="list107"/>
      <w:bookmarkEnd w:id="812"/>
    </w:p>
    <w:tbl>
      <w:tblPr>
        <w:tblW w:w="5000" w:type="pct"/>
        <w:jc w:val="left"/>
        <w:tblInd w:w="0" w:type="dxa"/>
        <w:tblCellMar>
          <w:top w:w="0" w:type="dxa"/>
          <w:left w:w="0" w:type="dxa"/>
          <w:bottom w:w="0" w:type="dxa"/>
          <w:right w:w="0" w:type="dxa"/>
        </w:tblCellMar>
      </w:tblPr>
      <w:tblGrid>
        <w:gridCol w:w="243"/>
        <w:gridCol w:w="9962"/>
      </w:tblGrid>
      <w:tr>
        <w:trPr/>
        <w:tc>
          <w:tcPr>
            <w:tcW w:w="243" w:type="dxa"/>
            <w:tcBorders/>
            <w:shd w:fill="auto" w:val="clear"/>
          </w:tcPr>
          <w:p>
            <w:pPr>
              <w:pStyle w:val="TableContents"/>
              <w:spacing w:before="0" w:after="0"/>
              <w:jc w:val="right"/>
              <w:rPr>
                <w:rFonts w:ascii="helvetica" w:hAnsi="helvetica"/>
                <w:sz w:val="20"/>
              </w:rPr>
            </w:pPr>
            <w:r>
              <w:rPr>
                <w:rFonts w:ascii="helvetica" w:hAnsi="helvetica"/>
                <w:sz w:val="20"/>
              </w:rPr>
              <w:t>(6)  </w:t>
            </w:r>
          </w:p>
        </w:tc>
        <w:tc>
          <w:tcPr>
            <w:tcW w:w="9962" w:type="dxa"/>
            <w:tcBorders/>
            <w:shd w:fill="auto" w:val="clear"/>
          </w:tcPr>
          <w:p>
            <w:pPr>
              <w:pStyle w:val="TableContents"/>
              <w:spacing w:before="0" w:after="0"/>
              <w:ind w:left="0" w:right="0" w:hanging="0"/>
              <w:jc w:val="both"/>
              <w:rPr>
                <w:rFonts w:ascii="helvetica" w:hAnsi="helvetica"/>
                <w:sz w:val="20"/>
              </w:rPr>
            </w:pPr>
            <w:r>
              <w:rPr>
                <w:rFonts w:ascii="helvetica" w:hAnsi="helvetica"/>
                <w:sz w:val="20"/>
              </w:rPr>
              <w:t>On October 12, 2009, Joachim P.H. Schupp, M.D. was appointed as our Chief Medical Officer.  Dr. Schupp resigned as Chief Medical Officer effective April 30, 2011, and was re-appointed effective February 15, 2012.  On December 15, 2011, in connection with a release given by Dr. Schupp upon DermaStar’s investment in the Company, the Company granted Dr. Schupp an option to purchase 492 shares of the Company’s common stock, which option vested immediately on the date of grant, has an exercise price of $4.00 per share, and expires on December 15, 2014.</w:t>
            </w:r>
          </w:p>
        </w:tc>
      </w:tr>
    </w:tbl>
    <w:p>
      <w:pPr>
        <w:pStyle w:val="TextBody"/>
        <w:spacing w:before="0" w:after="0"/>
        <w:ind w:left="0" w:right="0" w:hanging="0"/>
        <w:rPr/>
      </w:pPr>
      <w:r>
        <w:rPr/>
        <w:t> </w:t>
      </w:r>
    </w:p>
    <w:p>
      <w:pPr>
        <w:pStyle w:val="TextBody"/>
        <w:spacing w:before="0" w:after="0"/>
        <w:ind w:left="0" w:right="0" w:hanging="0"/>
        <w:jc w:val="both"/>
        <w:rPr/>
      </w:pPr>
      <w:r>
        <w:rPr/>
        <w:t> </w:t>
      </w:r>
      <w:r>
        <w:rPr>
          <w:rFonts w:ascii="helvetica" w:hAnsi="helvetica"/>
          <w:b/>
          <w:sz w:val="20"/>
        </w:rPr>
        <w:t>Outstanding Equity Awards at Fiscal Year-End</w:t>
      </w:r>
    </w:p>
    <w:p>
      <w:pPr>
        <w:pStyle w:val="TextBody"/>
        <w:spacing w:before="0" w:after="0"/>
        <w:ind w:left="0" w:right="0" w:hanging="0"/>
        <w:jc w:val="both"/>
        <w:rPr/>
      </w:pPr>
      <w:r>
        <w:rPr/>
        <w:t> </w:t>
      </w:r>
    </w:p>
    <w:p>
      <w:pPr>
        <w:pStyle w:val="TextBody"/>
        <w:spacing w:before="0" w:after="0"/>
        <w:ind w:left="0" w:right="0" w:firstLine="720"/>
        <w:jc w:val="both"/>
        <w:rPr>
          <w:rFonts w:ascii="helvetica" w:hAnsi="helvetica"/>
          <w:sz w:val="20"/>
        </w:rPr>
      </w:pPr>
      <w:r>
        <w:rPr>
          <w:rFonts w:ascii="helvetica" w:hAnsi="helvetica"/>
          <w:sz w:val="20"/>
        </w:rPr>
        <w:t>The following table sets forth certain information concerning outstanding stock awards held by our named executive officers serving during the fiscal year ended December 31, 2011.</w:t>
      </w:r>
    </w:p>
    <w:p>
      <w:pPr>
        <w:pStyle w:val="TextBody"/>
        <w:spacing w:before="0" w:after="0"/>
        <w:ind w:left="0" w:right="0" w:hanging="0"/>
        <w:rPr/>
      </w:pPr>
      <w:r>
        <w:rPr/>
        <w:t> </w:t>
      </w:r>
    </w:p>
    <w:tbl>
      <w:tblPr>
        <w:tblW w:w="5000" w:type="pct"/>
        <w:jc w:val="left"/>
        <w:tblInd w:w="0" w:type="dxa"/>
        <w:tblCellMar>
          <w:top w:w="0" w:type="dxa"/>
          <w:left w:w="0" w:type="dxa"/>
          <w:bottom w:w="28" w:type="dxa"/>
          <w:right w:w="0" w:type="dxa"/>
        </w:tblCellMar>
      </w:tblPr>
      <w:tblGrid>
        <w:gridCol w:w="2777"/>
        <w:gridCol w:w="112"/>
        <w:gridCol w:w="153"/>
        <w:gridCol w:w="1324"/>
        <w:gridCol w:w="112"/>
        <w:gridCol w:w="112"/>
        <w:gridCol w:w="486"/>
        <w:gridCol w:w="1111"/>
        <w:gridCol w:w="112"/>
        <w:gridCol w:w="112"/>
        <w:gridCol w:w="137"/>
        <w:gridCol w:w="1061"/>
        <w:gridCol w:w="112"/>
        <w:gridCol w:w="2484"/>
      </w:tblGrid>
      <w:tr>
        <w:trPr/>
        <w:tc>
          <w:tcPr>
            <w:tcW w:w="10205" w:type="dxa"/>
            <w:gridSpan w:val="14"/>
            <w:tcBorders>
              <w:bottom w:val="single" w:sz="12" w:space="0" w:color="000000"/>
            </w:tcBorders>
            <w:shd w:fill="auto" w:val="clear"/>
            <w:vAlign w:val="bottom"/>
          </w:tcPr>
          <w:p>
            <w:pPr>
              <w:pStyle w:val="TableContents"/>
              <w:spacing w:before="0" w:after="0"/>
              <w:ind w:left="0" w:right="0" w:hanging="0"/>
              <w:jc w:val="center"/>
              <w:rPr>
                <w:rFonts w:ascii="helvetica" w:hAnsi="helvetica"/>
                <w:b/>
                <w:sz w:val="16"/>
              </w:rPr>
            </w:pPr>
            <w:r>
              <w:rPr>
                <w:rFonts w:ascii="helvetica" w:hAnsi="helvetica"/>
                <w:b/>
                <w:sz w:val="16"/>
              </w:rPr>
              <w:t>Option Awards (1)</w:t>
            </w:r>
          </w:p>
        </w:tc>
      </w:tr>
      <w:tr>
        <w:trPr/>
        <w:tc>
          <w:tcPr>
            <w:tcW w:w="2777" w:type="dxa"/>
            <w:tcBorders/>
            <w:shd w:fill="auto" w:val="clear"/>
            <w:tcMar>
              <w:bottom w:w="0" w:type="dxa"/>
            </w:tcMar>
            <w:vAlign w:val="bottom"/>
          </w:tcPr>
          <w:p>
            <w:pPr>
              <w:pStyle w:val="TableContents"/>
              <w:spacing w:before="0" w:after="283"/>
              <w:rPr/>
            </w:pPr>
            <w:r>
              <w:rPr/>
              <w:t xml:space="preserve">  </w:t>
            </w:r>
          </w:p>
        </w:tc>
        <w:tc>
          <w:tcPr>
            <w:tcW w:w="112" w:type="dxa"/>
            <w:tcBorders/>
            <w:shd w:fill="auto" w:val="clear"/>
            <w:tcMar>
              <w:bottom w:w="0" w:type="dxa"/>
            </w:tcMar>
            <w:vAlign w:val="bottom"/>
          </w:tcPr>
          <w:p>
            <w:pPr>
              <w:pStyle w:val="TableContents"/>
              <w:spacing w:before="0" w:after="283"/>
              <w:rPr/>
            </w:pPr>
            <w:r>
              <w:rPr/>
              <w:t> </w:t>
            </w:r>
          </w:p>
        </w:tc>
        <w:tc>
          <w:tcPr>
            <w:tcW w:w="1477" w:type="dxa"/>
            <w:gridSpan w:val="2"/>
            <w:tcBorders/>
            <w:shd w:fill="auto" w:val="clear"/>
            <w:tcMar>
              <w:bottom w:w="0" w:type="dxa"/>
            </w:tcMar>
            <w:vAlign w:val="bottom"/>
          </w:tcPr>
          <w:p>
            <w:pPr>
              <w:pStyle w:val="TableContents"/>
              <w:spacing w:before="0" w:after="0"/>
              <w:ind w:left="0" w:right="0" w:hanging="0"/>
              <w:jc w:val="center"/>
              <w:rPr>
                <w:rFonts w:ascii="helvetica" w:hAnsi="helvetica"/>
                <w:b/>
                <w:sz w:val="16"/>
              </w:rPr>
            </w:pPr>
            <w:r>
              <w:rPr>
                <w:rFonts w:ascii="helvetica" w:hAnsi="helvetica"/>
                <w:b/>
                <w:sz w:val="16"/>
              </w:rPr>
              <w:t>Number of</w:t>
            </w:r>
          </w:p>
        </w:tc>
        <w:tc>
          <w:tcPr>
            <w:tcW w:w="112" w:type="dxa"/>
            <w:tcBorders/>
            <w:shd w:fill="auto" w:val="clear"/>
            <w:tcMar>
              <w:bottom w:w="0" w:type="dxa"/>
            </w:tcMar>
            <w:vAlign w:val="bottom"/>
          </w:tcPr>
          <w:p>
            <w:pPr>
              <w:pStyle w:val="TableContents"/>
              <w:spacing w:before="0" w:after="283"/>
              <w:jc w:val="left"/>
              <w:rPr/>
            </w:pPr>
            <w:r>
              <w:rPr/>
              <w:t> </w:t>
            </w:r>
          </w:p>
        </w:tc>
        <w:tc>
          <w:tcPr>
            <w:tcW w:w="112" w:type="dxa"/>
            <w:tcBorders/>
            <w:shd w:fill="auto" w:val="clear"/>
            <w:tcMar>
              <w:bottom w:w="0" w:type="dxa"/>
            </w:tcMar>
            <w:vAlign w:val="bottom"/>
          </w:tcPr>
          <w:p>
            <w:pPr>
              <w:pStyle w:val="TableContents"/>
              <w:spacing w:before="0" w:after="283"/>
              <w:rPr/>
            </w:pPr>
            <w:r>
              <w:rPr/>
              <w:t> </w:t>
            </w:r>
          </w:p>
        </w:tc>
        <w:tc>
          <w:tcPr>
            <w:tcW w:w="1597" w:type="dxa"/>
            <w:gridSpan w:val="2"/>
            <w:tcBorders/>
            <w:shd w:fill="auto" w:val="clear"/>
            <w:tcMar>
              <w:bottom w:w="0" w:type="dxa"/>
            </w:tcMar>
            <w:vAlign w:val="bottom"/>
          </w:tcPr>
          <w:p>
            <w:pPr>
              <w:pStyle w:val="TableContents"/>
              <w:spacing w:before="0" w:after="0"/>
              <w:ind w:left="0" w:right="0" w:hanging="0"/>
              <w:jc w:val="center"/>
              <w:rPr>
                <w:rFonts w:ascii="helvetica" w:hAnsi="helvetica"/>
                <w:b/>
                <w:sz w:val="16"/>
              </w:rPr>
            </w:pPr>
            <w:r>
              <w:rPr>
                <w:rFonts w:ascii="helvetica" w:hAnsi="helvetica"/>
                <w:b/>
                <w:sz w:val="16"/>
              </w:rPr>
              <w:t>Number of</w:t>
            </w:r>
          </w:p>
        </w:tc>
        <w:tc>
          <w:tcPr>
            <w:tcW w:w="112" w:type="dxa"/>
            <w:tcBorders/>
            <w:shd w:fill="auto" w:val="clear"/>
            <w:tcMar>
              <w:bottom w:w="0" w:type="dxa"/>
            </w:tcMar>
            <w:vAlign w:val="bottom"/>
          </w:tcPr>
          <w:p>
            <w:pPr>
              <w:pStyle w:val="TableContents"/>
              <w:spacing w:before="0" w:after="283"/>
              <w:jc w:val="left"/>
              <w:rPr/>
            </w:pPr>
            <w:r>
              <w:rPr/>
              <w:t> </w:t>
            </w:r>
          </w:p>
        </w:tc>
        <w:tc>
          <w:tcPr>
            <w:tcW w:w="112" w:type="dxa"/>
            <w:tcBorders/>
            <w:shd w:fill="auto" w:val="clear"/>
            <w:tcMar>
              <w:bottom w:w="0" w:type="dxa"/>
            </w:tcMar>
            <w:vAlign w:val="bottom"/>
          </w:tcPr>
          <w:p>
            <w:pPr>
              <w:pStyle w:val="TableContents"/>
              <w:spacing w:before="0" w:after="283"/>
              <w:rPr/>
            </w:pPr>
            <w:r>
              <w:rPr/>
              <w:t> </w:t>
            </w:r>
          </w:p>
        </w:tc>
        <w:tc>
          <w:tcPr>
            <w:tcW w:w="1198" w:type="dxa"/>
            <w:gridSpan w:val="2"/>
            <w:tcBorders/>
            <w:shd w:fill="auto" w:val="clear"/>
            <w:tcMar>
              <w:bottom w:w="0" w:type="dxa"/>
            </w:tcMar>
            <w:vAlign w:val="bottom"/>
          </w:tcPr>
          <w:p>
            <w:pPr>
              <w:pStyle w:val="TableContents"/>
              <w:spacing w:before="0" w:after="283"/>
              <w:rPr/>
            </w:pPr>
            <w:r>
              <w:rPr/>
              <w:t> </w:t>
            </w:r>
          </w:p>
        </w:tc>
        <w:tc>
          <w:tcPr>
            <w:tcW w:w="112" w:type="dxa"/>
            <w:tcBorders/>
            <w:shd w:fill="auto" w:val="clear"/>
            <w:tcMar>
              <w:bottom w:w="0" w:type="dxa"/>
            </w:tcMar>
            <w:vAlign w:val="bottom"/>
          </w:tcPr>
          <w:p>
            <w:pPr>
              <w:pStyle w:val="TableContents"/>
              <w:spacing w:before="0" w:after="283"/>
              <w:jc w:val="left"/>
              <w:rPr/>
            </w:pPr>
            <w:r>
              <w:rPr/>
              <w:t> </w:t>
            </w:r>
          </w:p>
        </w:tc>
        <w:tc>
          <w:tcPr>
            <w:tcW w:w="2484" w:type="dxa"/>
            <w:tcBorders/>
            <w:shd w:fill="auto" w:val="clear"/>
            <w:tcMar>
              <w:bottom w:w="0" w:type="dxa"/>
            </w:tcMar>
            <w:vAlign w:val="bottom"/>
          </w:tcPr>
          <w:p>
            <w:pPr>
              <w:pStyle w:val="TableContents"/>
              <w:spacing w:before="0" w:after="283"/>
              <w:rPr/>
            </w:pPr>
            <w:r>
              <w:rPr/>
              <w:t xml:space="preserve">  </w:t>
            </w:r>
          </w:p>
        </w:tc>
      </w:tr>
      <w:tr>
        <w:trPr/>
        <w:tc>
          <w:tcPr>
            <w:tcW w:w="2777" w:type="dxa"/>
            <w:tcBorders/>
            <w:shd w:fill="auto" w:val="clear"/>
            <w:tcMar>
              <w:bottom w:w="0" w:type="dxa"/>
            </w:tcMar>
            <w:vAlign w:val="bottom"/>
          </w:tcPr>
          <w:p>
            <w:pPr>
              <w:pStyle w:val="TableContents"/>
              <w:spacing w:before="0" w:after="283"/>
              <w:rPr/>
            </w:pPr>
            <w:r>
              <w:rPr/>
              <w:t xml:space="preserve">  </w:t>
            </w:r>
          </w:p>
        </w:tc>
        <w:tc>
          <w:tcPr>
            <w:tcW w:w="112" w:type="dxa"/>
            <w:tcBorders/>
            <w:shd w:fill="auto" w:val="clear"/>
            <w:tcMar>
              <w:bottom w:w="0" w:type="dxa"/>
            </w:tcMar>
            <w:vAlign w:val="bottom"/>
          </w:tcPr>
          <w:p>
            <w:pPr>
              <w:pStyle w:val="TableContents"/>
              <w:spacing w:before="0" w:after="283"/>
              <w:rPr/>
            </w:pPr>
            <w:r>
              <w:rPr/>
              <w:t> </w:t>
            </w:r>
          </w:p>
        </w:tc>
        <w:tc>
          <w:tcPr>
            <w:tcW w:w="1477" w:type="dxa"/>
            <w:gridSpan w:val="2"/>
            <w:tcBorders/>
            <w:shd w:fill="auto" w:val="clear"/>
            <w:tcMar>
              <w:bottom w:w="0" w:type="dxa"/>
            </w:tcMar>
            <w:vAlign w:val="bottom"/>
          </w:tcPr>
          <w:p>
            <w:pPr>
              <w:pStyle w:val="TableContents"/>
              <w:spacing w:before="0" w:after="0"/>
              <w:ind w:left="0" w:right="0" w:hanging="0"/>
              <w:jc w:val="center"/>
              <w:rPr>
                <w:rFonts w:ascii="helvetica" w:hAnsi="helvetica"/>
                <w:b/>
                <w:sz w:val="16"/>
              </w:rPr>
            </w:pPr>
            <w:r>
              <w:rPr>
                <w:rFonts w:ascii="helvetica" w:hAnsi="helvetica"/>
                <w:b/>
                <w:sz w:val="16"/>
              </w:rPr>
              <w:t>Securities</w:t>
            </w:r>
          </w:p>
        </w:tc>
        <w:tc>
          <w:tcPr>
            <w:tcW w:w="112" w:type="dxa"/>
            <w:tcBorders/>
            <w:shd w:fill="auto" w:val="clear"/>
            <w:tcMar>
              <w:bottom w:w="0" w:type="dxa"/>
            </w:tcMar>
            <w:vAlign w:val="bottom"/>
          </w:tcPr>
          <w:p>
            <w:pPr>
              <w:pStyle w:val="TableContents"/>
              <w:spacing w:before="0" w:after="283"/>
              <w:jc w:val="left"/>
              <w:rPr/>
            </w:pPr>
            <w:r>
              <w:rPr/>
              <w:t> </w:t>
            </w:r>
          </w:p>
        </w:tc>
        <w:tc>
          <w:tcPr>
            <w:tcW w:w="112" w:type="dxa"/>
            <w:tcBorders/>
            <w:shd w:fill="auto" w:val="clear"/>
            <w:tcMar>
              <w:bottom w:w="0" w:type="dxa"/>
            </w:tcMar>
            <w:vAlign w:val="bottom"/>
          </w:tcPr>
          <w:p>
            <w:pPr>
              <w:pStyle w:val="TableContents"/>
              <w:spacing w:before="0" w:after="283"/>
              <w:rPr/>
            </w:pPr>
            <w:r>
              <w:rPr/>
              <w:t> </w:t>
            </w:r>
          </w:p>
        </w:tc>
        <w:tc>
          <w:tcPr>
            <w:tcW w:w="1597" w:type="dxa"/>
            <w:gridSpan w:val="2"/>
            <w:tcBorders/>
            <w:shd w:fill="auto" w:val="clear"/>
            <w:tcMar>
              <w:bottom w:w="0" w:type="dxa"/>
            </w:tcMar>
            <w:vAlign w:val="bottom"/>
          </w:tcPr>
          <w:p>
            <w:pPr>
              <w:pStyle w:val="TableContents"/>
              <w:spacing w:before="0" w:after="0"/>
              <w:ind w:left="0" w:right="0" w:hanging="0"/>
              <w:jc w:val="center"/>
              <w:rPr>
                <w:rFonts w:ascii="helvetica" w:hAnsi="helvetica"/>
                <w:b/>
                <w:sz w:val="16"/>
              </w:rPr>
            </w:pPr>
            <w:r>
              <w:rPr>
                <w:rFonts w:ascii="helvetica" w:hAnsi="helvetica"/>
                <w:b/>
                <w:sz w:val="16"/>
              </w:rPr>
              <w:t>Securities</w:t>
            </w:r>
          </w:p>
        </w:tc>
        <w:tc>
          <w:tcPr>
            <w:tcW w:w="112" w:type="dxa"/>
            <w:tcBorders/>
            <w:shd w:fill="auto" w:val="clear"/>
            <w:tcMar>
              <w:bottom w:w="0" w:type="dxa"/>
            </w:tcMar>
            <w:vAlign w:val="bottom"/>
          </w:tcPr>
          <w:p>
            <w:pPr>
              <w:pStyle w:val="TableContents"/>
              <w:spacing w:before="0" w:after="283"/>
              <w:jc w:val="left"/>
              <w:rPr/>
            </w:pPr>
            <w:r>
              <w:rPr/>
              <w:t> </w:t>
            </w:r>
          </w:p>
        </w:tc>
        <w:tc>
          <w:tcPr>
            <w:tcW w:w="112" w:type="dxa"/>
            <w:tcBorders/>
            <w:shd w:fill="auto" w:val="clear"/>
            <w:tcMar>
              <w:bottom w:w="0" w:type="dxa"/>
            </w:tcMar>
            <w:vAlign w:val="bottom"/>
          </w:tcPr>
          <w:p>
            <w:pPr>
              <w:pStyle w:val="TableContents"/>
              <w:spacing w:before="0" w:after="283"/>
              <w:rPr/>
            </w:pPr>
            <w:r>
              <w:rPr/>
              <w:t> </w:t>
            </w:r>
          </w:p>
        </w:tc>
        <w:tc>
          <w:tcPr>
            <w:tcW w:w="1198" w:type="dxa"/>
            <w:gridSpan w:val="2"/>
            <w:tcBorders/>
            <w:shd w:fill="auto" w:val="clear"/>
            <w:tcMar>
              <w:bottom w:w="0" w:type="dxa"/>
            </w:tcMar>
            <w:vAlign w:val="bottom"/>
          </w:tcPr>
          <w:p>
            <w:pPr>
              <w:pStyle w:val="TableContents"/>
              <w:spacing w:before="0" w:after="283"/>
              <w:rPr/>
            </w:pPr>
            <w:r>
              <w:rPr/>
              <w:t> </w:t>
            </w:r>
          </w:p>
        </w:tc>
        <w:tc>
          <w:tcPr>
            <w:tcW w:w="112" w:type="dxa"/>
            <w:tcBorders/>
            <w:shd w:fill="auto" w:val="clear"/>
            <w:tcMar>
              <w:bottom w:w="0" w:type="dxa"/>
            </w:tcMar>
            <w:vAlign w:val="bottom"/>
          </w:tcPr>
          <w:p>
            <w:pPr>
              <w:pStyle w:val="TableContents"/>
              <w:spacing w:before="0" w:after="283"/>
              <w:jc w:val="left"/>
              <w:rPr/>
            </w:pPr>
            <w:r>
              <w:rPr/>
              <w:t> </w:t>
            </w:r>
          </w:p>
        </w:tc>
        <w:tc>
          <w:tcPr>
            <w:tcW w:w="2484" w:type="dxa"/>
            <w:tcBorders/>
            <w:shd w:fill="auto" w:val="clear"/>
            <w:tcMar>
              <w:bottom w:w="0" w:type="dxa"/>
            </w:tcMar>
            <w:vAlign w:val="bottom"/>
          </w:tcPr>
          <w:p>
            <w:pPr>
              <w:pStyle w:val="TableContents"/>
              <w:spacing w:before="0" w:after="283"/>
              <w:rPr/>
            </w:pPr>
            <w:r>
              <w:rPr/>
              <w:t xml:space="preserve">  </w:t>
            </w:r>
          </w:p>
        </w:tc>
      </w:tr>
      <w:tr>
        <w:trPr/>
        <w:tc>
          <w:tcPr>
            <w:tcW w:w="2777" w:type="dxa"/>
            <w:tcBorders/>
            <w:shd w:fill="auto" w:val="clear"/>
            <w:tcMar>
              <w:bottom w:w="0" w:type="dxa"/>
            </w:tcMar>
            <w:vAlign w:val="bottom"/>
          </w:tcPr>
          <w:p>
            <w:pPr>
              <w:pStyle w:val="TableContents"/>
              <w:spacing w:before="0" w:after="283"/>
              <w:rPr/>
            </w:pPr>
            <w:r>
              <w:rPr/>
              <w:t xml:space="preserve">  </w:t>
            </w:r>
          </w:p>
        </w:tc>
        <w:tc>
          <w:tcPr>
            <w:tcW w:w="112" w:type="dxa"/>
            <w:tcBorders/>
            <w:shd w:fill="auto" w:val="clear"/>
            <w:tcMar>
              <w:bottom w:w="0" w:type="dxa"/>
            </w:tcMar>
            <w:vAlign w:val="bottom"/>
          </w:tcPr>
          <w:p>
            <w:pPr>
              <w:pStyle w:val="TableContents"/>
              <w:spacing w:before="0" w:after="283"/>
              <w:rPr/>
            </w:pPr>
            <w:r>
              <w:rPr/>
              <w:t> </w:t>
            </w:r>
          </w:p>
        </w:tc>
        <w:tc>
          <w:tcPr>
            <w:tcW w:w="1477" w:type="dxa"/>
            <w:gridSpan w:val="2"/>
            <w:tcBorders/>
            <w:shd w:fill="auto" w:val="clear"/>
            <w:tcMar>
              <w:bottom w:w="0" w:type="dxa"/>
            </w:tcMar>
            <w:vAlign w:val="bottom"/>
          </w:tcPr>
          <w:p>
            <w:pPr>
              <w:pStyle w:val="TableContents"/>
              <w:spacing w:before="0" w:after="0"/>
              <w:ind w:left="0" w:right="0" w:hanging="0"/>
              <w:jc w:val="center"/>
              <w:rPr>
                <w:rFonts w:ascii="helvetica" w:hAnsi="helvetica"/>
                <w:b/>
                <w:sz w:val="16"/>
              </w:rPr>
            </w:pPr>
            <w:r>
              <w:rPr>
                <w:rFonts w:ascii="helvetica" w:hAnsi="helvetica"/>
                <w:b/>
                <w:sz w:val="16"/>
              </w:rPr>
              <w:t>Underlying</w:t>
            </w:r>
          </w:p>
        </w:tc>
        <w:tc>
          <w:tcPr>
            <w:tcW w:w="112" w:type="dxa"/>
            <w:tcBorders/>
            <w:shd w:fill="auto" w:val="clear"/>
            <w:tcMar>
              <w:bottom w:w="0" w:type="dxa"/>
            </w:tcMar>
            <w:vAlign w:val="bottom"/>
          </w:tcPr>
          <w:p>
            <w:pPr>
              <w:pStyle w:val="TableContents"/>
              <w:spacing w:before="0" w:after="283"/>
              <w:jc w:val="left"/>
              <w:rPr/>
            </w:pPr>
            <w:r>
              <w:rPr/>
              <w:t> </w:t>
            </w:r>
          </w:p>
        </w:tc>
        <w:tc>
          <w:tcPr>
            <w:tcW w:w="112" w:type="dxa"/>
            <w:tcBorders/>
            <w:shd w:fill="auto" w:val="clear"/>
            <w:tcMar>
              <w:bottom w:w="0" w:type="dxa"/>
            </w:tcMar>
            <w:vAlign w:val="bottom"/>
          </w:tcPr>
          <w:p>
            <w:pPr>
              <w:pStyle w:val="TableContents"/>
              <w:spacing w:before="0" w:after="283"/>
              <w:rPr/>
            </w:pPr>
            <w:r>
              <w:rPr/>
              <w:t> </w:t>
            </w:r>
          </w:p>
        </w:tc>
        <w:tc>
          <w:tcPr>
            <w:tcW w:w="1597" w:type="dxa"/>
            <w:gridSpan w:val="2"/>
            <w:tcBorders/>
            <w:shd w:fill="auto" w:val="clear"/>
            <w:tcMar>
              <w:bottom w:w="0" w:type="dxa"/>
            </w:tcMar>
            <w:vAlign w:val="bottom"/>
          </w:tcPr>
          <w:p>
            <w:pPr>
              <w:pStyle w:val="TableContents"/>
              <w:spacing w:before="0" w:after="0"/>
              <w:ind w:left="0" w:right="0" w:hanging="0"/>
              <w:jc w:val="center"/>
              <w:rPr>
                <w:rFonts w:ascii="helvetica" w:hAnsi="helvetica"/>
                <w:b/>
                <w:sz w:val="16"/>
              </w:rPr>
            </w:pPr>
            <w:r>
              <w:rPr>
                <w:rFonts w:ascii="helvetica" w:hAnsi="helvetica"/>
                <w:b/>
                <w:sz w:val="16"/>
              </w:rPr>
              <w:t>Underlying</w:t>
            </w:r>
          </w:p>
        </w:tc>
        <w:tc>
          <w:tcPr>
            <w:tcW w:w="112" w:type="dxa"/>
            <w:tcBorders/>
            <w:shd w:fill="auto" w:val="clear"/>
            <w:tcMar>
              <w:bottom w:w="0" w:type="dxa"/>
            </w:tcMar>
            <w:vAlign w:val="bottom"/>
          </w:tcPr>
          <w:p>
            <w:pPr>
              <w:pStyle w:val="TableContents"/>
              <w:spacing w:before="0" w:after="283"/>
              <w:jc w:val="left"/>
              <w:rPr/>
            </w:pPr>
            <w:r>
              <w:rPr/>
              <w:t> </w:t>
            </w:r>
          </w:p>
        </w:tc>
        <w:tc>
          <w:tcPr>
            <w:tcW w:w="112" w:type="dxa"/>
            <w:tcBorders/>
            <w:shd w:fill="auto" w:val="clear"/>
            <w:tcMar>
              <w:bottom w:w="0" w:type="dxa"/>
            </w:tcMar>
            <w:vAlign w:val="bottom"/>
          </w:tcPr>
          <w:p>
            <w:pPr>
              <w:pStyle w:val="TableContents"/>
              <w:spacing w:before="0" w:after="283"/>
              <w:rPr/>
            </w:pPr>
            <w:r>
              <w:rPr/>
              <w:t> </w:t>
            </w:r>
          </w:p>
        </w:tc>
        <w:tc>
          <w:tcPr>
            <w:tcW w:w="1198" w:type="dxa"/>
            <w:gridSpan w:val="2"/>
            <w:tcBorders/>
            <w:shd w:fill="auto" w:val="clear"/>
            <w:tcMar>
              <w:bottom w:w="0" w:type="dxa"/>
            </w:tcMar>
            <w:vAlign w:val="bottom"/>
          </w:tcPr>
          <w:p>
            <w:pPr>
              <w:pStyle w:val="TableContents"/>
              <w:spacing w:before="0" w:after="283"/>
              <w:rPr/>
            </w:pPr>
            <w:r>
              <w:rPr/>
              <w:t> </w:t>
            </w:r>
          </w:p>
        </w:tc>
        <w:tc>
          <w:tcPr>
            <w:tcW w:w="112" w:type="dxa"/>
            <w:tcBorders/>
            <w:shd w:fill="auto" w:val="clear"/>
            <w:tcMar>
              <w:bottom w:w="0" w:type="dxa"/>
            </w:tcMar>
            <w:vAlign w:val="bottom"/>
          </w:tcPr>
          <w:p>
            <w:pPr>
              <w:pStyle w:val="TableContents"/>
              <w:spacing w:before="0" w:after="283"/>
              <w:jc w:val="left"/>
              <w:rPr/>
            </w:pPr>
            <w:r>
              <w:rPr/>
              <w:t> </w:t>
            </w:r>
          </w:p>
        </w:tc>
        <w:tc>
          <w:tcPr>
            <w:tcW w:w="2484" w:type="dxa"/>
            <w:tcBorders/>
            <w:shd w:fill="auto" w:val="clear"/>
            <w:tcMar>
              <w:bottom w:w="0" w:type="dxa"/>
            </w:tcMar>
            <w:vAlign w:val="bottom"/>
          </w:tcPr>
          <w:p>
            <w:pPr>
              <w:pStyle w:val="TableContents"/>
              <w:spacing w:before="0" w:after="283"/>
              <w:rPr/>
            </w:pPr>
            <w:r>
              <w:rPr/>
              <w:t xml:space="preserve">  </w:t>
            </w:r>
          </w:p>
        </w:tc>
      </w:tr>
      <w:tr>
        <w:trPr/>
        <w:tc>
          <w:tcPr>
            <w:tcW w:w="2777" w:type="dxa"/>
            <w:tcBorders/>
            <w:shd w:fill="auto" w:val="clear"/>
            <w:tcMar>
              <w:bottom w:w="0" w:type="dxa"/>
            </w:tcMar>
            <w:vAlign w:val="bottom"/>
          </w:tcPr>
          <w:p>
            <w:pPr>
              <w:pStyle w:val="TableContents"/>
              <w:spacing w:before="0" w:after="283"/>
              <w:rPr/>
            </w:pPr>
            <w:r>
              <w:rPr/>
              <w:t xml:space="preserve">  </w:t>
            </w:r>
          </w:p>
        </w:tc>
        <w:tc>
          <w:tcPr>
            <w:tcW w:w="112" w:type="dxa"/>
            <w:tcBorders/>
            <w:shd w:fill="auto" w:val="clear"/>
            <w:tcMar>
              <w:bottom w:w="0" w:type="dxa"/>
            </w:tcMar>
            <w:vAlign w:val="bottom"/>
          </w:tcPr>
          <w:p>
            <w:pPr>
              <w:pStyle w:val="TableContents"/>
              <w:spacing w:before="0" w:after="283"/>
              <w:rPr/>
            </w:pPr>
            <w:r>
              <w:rPr/>
              <w:t> </w:t>
            </w:r>
          </w:p>
        </w:tc>
        <w:tc>
          <w:tcPr>
            <w:tcW w:w="1477" w:type="dxa"/>
            <w:gridSpan w:val="2"/>
            <w:tcBorders/>
            <w:shd w:fill="auto" w:val="clear"/>
            <w:tcMar>
              <w:bottom w:w="0" w:type="dxa"/>
            </w:tcMar>
            <w:vAlign w:val="bottom"/>
          </w:tcPr>
          <w:p>
            <w:pPr>
              <w:pStyle w:val="TableContents"/>
              <w:spacing w:before="0" w:after="0"/>
              <w:ind w:left="0" w:right="0" w:hanging="0"/>
              <w:jc w:val="center"/>
              <w:rPr>
                <w:rFonts w:ascii="helvetica" w:hAnsi="helvetica"/>
                <w:b/>
                <w:sz w:val="16"/>
              </w:rPr>
            </w:pPr>
            <w:r>
              <w:rPr>
                <w:rFonts w:ascii="helvetica" w:hAnsi="helvetica"/>
                <w:b/>
                <w:sz w:val="16"/>
              </w:rPr>
              <w:t>Unexercised</w:t>
            </w:r>
          </w:p>
        </w:tc>
        <w:tc>
          <w:tcPr>
            <w:tcW w:w="112" w:type="dxa"/>
            <w:tcBorders/>
            <w:shd w:fill="auto" w:val="clear"/>
            <w:tcMar>
              <w:bottom w:w="0" w:type="dxa"/>
            </w:tcMar>
            <w:vAlign w:val="bottom"/>
          </w:tcPr>
          <w:p>
            <w:pPr>
              <w:pStyle w:val="TableContents"/>
              <w:spacing w:before="0" w:after="283"/>
              <w:jc w:val="left"/>
              <w:rPr/>
            </w:pPr>
            <w:r>
              <w:rPr/>
              <w:t> </w:t>
            </w:r>
          </w:p>
        </w:tc>
        <w:tc>
          <w:tcPr>
            <w:tcW w:w="112" w:type="dxa"/>
            <w:tcBorders/>
            <w:shd w:fill="auto" w:val="clear"/>
            <w:tcMar>
              <w:bottom w:w="0" w:type="dxa"/>
            </w:tcMar>
            <w:vAlign w:val="bottom"/>
          </w:tcPr>
          <w:p>
            <w:pPr>
              <w:pStyle w:val="TableContents"/>
              <w:spacing w:before="0" w:after="283"/>
              <w:rPr/>
            </w:pPr>
            <w:r>
              <w:rPr/>
              <w:t> </w:t>
            </w:r>
          </w:p>
        </w:tc>
        <w:tc>
          <w:tcPr>
            <w:tcW w:w="1597" w:type="dxa"/>
            <w:gridSpan w:val="2"/>
            <w:tcBorders/>
            <w:shd w:fill="auto" w:val="clear"/>
            <w:tcMar>
              <w:bottom w:w="0" w:type="dxa"/>
            </w:tcMar>
            <w:vAlign w:val="bottom"/>
          </w:tcPr>
          <w:p>
            <w:pPr>
              <w:pStyle w:val="TableContents"/>
              <w:spacing w:before="0" w:after="0"/>
              <w:ind w:left="0" w:right="0" w:hanging="0"/>
              <w:jc w:val="center"/>
              <w:rPr>
                <w:rFonts w:ascii="helvetica" w:hAnsi="helvetica"/>
                <w:b/>
                <w:sz w:val="16"/>
              </w:rPr>
            </w:pPr>
            <w:r>
              <w:rPr>
                <w:rFonts w:ascii="helvetica" w:hAnsi="helvetica"/>
                <w:b/>
                <w:sz w:val="16"/>
              </w:rPr>
              <w:t>Unexercised</w:t>
            </w:r>
          </w:p>
        </w:tc>
        <w:tc>
          <w:tcPr>
            <w:tcW w:w="112" w:type="dxa"/>
            <w:tcBorders/>
            <w:shd w:fill="auto" w:val="clear"/>
            <w:tcMar>
              <w:bottom w:w="0" w:type="dxa"/>
            </w:tcMar>
            <w:vAlign w:val="bottom"/>
          </w:tcPr>
          <w:p>
            <w:pPr>
              <w:pStyle w:val="TableContents"/>
              <w:spacing w:before="0" w:after="283"/>
              <w:jc w:val="left"/>
              <w:rPr/>
            </w:pPr>
            <w:r>
              <w:rPr/>
              <w:t> </w:t>
            </w:r>
          </w:p>
        </w:tc>
        <w:tc>
          <w:tcPr>
            <w:tcW w:w="112" w:type="dxa"/>
            <w:tcBorders/>
            <w:shd w:fill="auto" w:val="clear"/>
            <w:tcMar>
              <w:bottom w:w="0" w:type="dxa"/>
            </w:tcMar>
            <w:vAlign w:val="bottom"/>
          </w:tcPr>
          <w:p>
            <w:pPr>
              <w:pStyle w:val="TableContents"/>
              <w:spacing w:before="0" w:after="283"/>
              <w:rPr/>
            </w:pPr>
            <w:r>
              <w:rPr/>
              <w:t> </w:t>
            </w:r>
          </w:p>
        </w:tc>
        <w:tc>
          <w:tcPr>
            <w:tcW w:w="1198" w:type="dxa"/>
            <w:gridSpan w:val="2"/>
            <w:tcBorders/>
            <w:shd w:fill="auto" w:val="clear"/>
            <w:tcMar>
              <w:bottom w:w="0" w:type="dxa"/>
            </w:tcMar>
            <w:vAlign w:val="bottom"/>
          </w:tcPr>
          <w:p>
            <w:pPr>
              <w:pStyle w:val="TableContents"/>
              <w:spacing w:before="0" w:after="0"/>
              <w:ind w:left="0" w:right="0" w:hanging="0"/>
              <w:jc w:val="center"/>
              <w:rPr>
                <w:rFonts w:ascii="helvetica" w:hAnsi="helvetica"/>
                <w:b/>
                <w:sz w:val="16"/>
              </w:rPr>
            </w:pPr>
            <w:r>
              <w:rPr>
                <w:rFonts w:ascii="helvetica" w:hAnsi="helvetica"/>
                <w:b/>
                <w:sz w:val="16"/>
              </w:rPr>
              <w:t>Option</w:t>
            </w:r>
          </w:p>
        </w:tc>
        <w:tc>
          <w:tcPr>
            <w:tcW w:w="112" w:type="dxa"/>
            <w:tcBorders/>
            <w:shd w:fill="auto" w:val="clear"/>
            <w:tcMar>
              <w:bottom w:w="0" w:type="dxa"/>
            </w:tcMar>
            <w:vAlign w:val="bottom"/>
          </w:tcPr>
          <w:p>
            <w:pPr>
              <w:pStyle w:val="TableContents"/>
              <w:spacing w:before="0" w:after="283"/>
              <w:jc w:val="left"/>
              <w:rPr/>
            </w:pPr>
            <w:r>
              <w:rPr/>
              <w:t> </w:t>
            </w:r>
          </w:p>
        </w:tc>
        <w:tc>
          <w:tcPr>
            <w:tcW w:w="2484" w:type="dxa"/>
            <w:tcBorders/>
            <w:shd w:fill="auto" w:val="clear"/>
            <w:tcMar>
              <w:bottom w:w="0" w:type="dxa"/>
            </w:tcMar>
            <w:vAlign w:val="bottom"/>
          </w:tcPr>
          <w:p>
            <w:pPr>
              <w:pStyle w:val="TableContents"/>
              <w:spacing w:before="0" w:after="0"/>
              <w:ind w:left="0" w:right="0" w:hanging="0"/>
              <w:jc w:val="center"/>
              <w:rPr>
                <w:rFonts w:ascii="helvetica" w:hAnsi="helvetica"/>
                <w:b/>
                <w:sz w:val="16"/>
              </w:rPr>
            </w:pPr>
            <w:r>
              <w:rPr>
                <w:rFonts w:ascii="helvetica" w:hAnsi="helvetica"/>
                <w:b/>
                <w:sz w:val="16"/>
              </w:rPr>
              <w:t>Option</w:t>
            </w:r>
          </w:p>
        </w:tc>
      </w:tr>
      <w:tr>
        <w:trPr/>
        <w:tc>
          <w:tcPr>
            <w:tcW w:w="2777" w:type="dxa"/>
            <w:tcBorders/>
            <w:shd w:fill="auto" w:val="clear"/>
            <w:tcMar>
              <w:bottom w:w="0" w:type="dxa"/>
            </w:tcMar>
            <w:vAlign w:val="bottom"/>
          </w:tcPr>
          <w:p>
            <w:pPr>
              <w:pStyle w:val="TableContents"/>
              <w:spacing w:before="0" w:after="283"/>
              <w:rPr/>
            </w:pPr>
            <w:r>
              <w:rPr/>
              <w:t xml:space="preserve">  </w:t>
            </w:r>
          </w:p>
        </w:tc>
        <w:tc>
          <w:tcPr>
            <w:tcW w:w="112" w:type="dxa"/>
            <w:tcBorders/>
            <w:shd w:fill="auto" w:val="clear"/>
            <w:tcMar>
              <w:bottom w:w="0" w:type="dxa"/>
            </w:tcMar>
            <w:vAlign w:val="bottom"/>
          </w:tcPr>
          <w:p>
            <w:pPr>
              <w:pStyle w:val="TableContents"/>
              <w:spacing w:before="0" w:after="283"/>
              <w:rPr/>
            </w:pPr>
            <w:r>
              <w:rPr/>
              <w:t> </w:t>
            </w:r>
          </w:p>
        </w:tc>
        <w:tc>
          <w:tcPr>
            <w:tcW w:w="1477" w:type="dxa"/>
            <w:gridSpan w:val="2"/>
            <w:tcBorders/>
            <w:shd w:fill="auto" w:val="clear"/>
            <w:tcMar>
              <w:bottom w:w="0" w:type="dxa"/>
            </w:tcMar>
            <w:vAlign w:val="bottom"/>
          </w:tcPr>
          <w:p>
            <w:pPr>
              <w:pStyle w:val="TableContents"/>
              <w:spacing w:before="0" w:after="0"/>
              <w:ind w:left="0" w:right="0" w:hanging="0"/>
              <w:jc w:val="center"/>
              <w:rPr>
                <w:rFonts w:ascii="helvetica" w:hAnsi="helvetica"/>
                <w:b/>
                <w:sz w:val="16"/>
              </w:rPr>
            </w:pPr>
            <w:r>
              <w:rPr>
                <w:rFonts w:ascii="helvetica" w:hAnsi="helvetica"/>
                <w:b/>
                <w:sz w:val="16"/>
              </w:rPr>
              <w:t>Options (#)</w:t>
            </w:r>
          </w:p>
        </w:tc>
        <w:tc>
          <w:tcPr>
            <w:tcW w:w="112" w:type="dxa"/>
            <w:tcBorders/>
            <w:shd w:fill="auto" w:val="clear"/>
            <w:tcMar>
              <w:bottom w:w="0" w:type="dxa"/>
            </w:tcMar>
            <w:vAlign w:val="bottom"/>
          </w:tcPr>
          <w:p>
            <w:pPr>
              <w:pStyle w:val="TableContents"/>
              <w:spacing w:before="0" w:after="283"/>
              <w:jc w:val="left"/>
              <w:rPr/>
            </w:pPr>
            <w:r>
              <w:rPr/>
              <w:t> </w:t>
            </w:r>
          </w:p>
        </w:tc>
        <w:tc>
          <w:tcPr>
            <w:tcW w:w="112" w:type="dxa"/>
            <w:tcBorders/>
            <w:shd w:fill="auto" w:val="clear"/>
            <w:tcMar>
              <w:bottom w:w="0" w:type="dxa"/>
            </w:tcMar>
            <w:vAlign w:val="bottom"/>
          </w:tcPr>
          <w:p>
            <w:pPr>
              <w:pStyle w:val="TableContents"/>
              <w:spacing w:before="0" w:after="283"/>
              <w:rPr/>
            </w:pPr>
            <w:r>
              <w:rPr/>
              <w:t> </w:t>
            </w:r>
          </w:p>
        </w:tc>
        <w:tc>
          <w:tcPr>
            <w:tcW w:w="1597" w:type="dxa"/>
            <w:gridSpan w:val="2"/>
            <w:tcBorders/>
            <w:shd w:fill="auto" w:val="clear"/>
            <w:tcMar>
              <w:bottom w:w="0" w:type="dxa"/>
            </w:tcMar>
            <w:vAlign w:val="bottom"/>
          </w:tcPr>
          <w:p>
            <w:pPr>
              <w:pStyle w:val="TableContents"/>
              <w:spacing w:before="0" w:after="0"/>
              <w:ind w:left="0" w:right="0" w:hanging="0"/>
              <w:jc w:val="center"/>
              <w:rPr>
                <w:rFonts w:ascii="helvetica" w:hAnsi="helvetica"/>
                <w:b/>
                <w:sz w:val="16"/>
              </w:rPr>
            </w:pPr>
            <w:r>
              <w:rPr>
                <w:rFonts w:ascii="helvetica" w:hAnsi="helvetica"/>
                <w:b/>
                <w:sz w:val="16"/>
              </w:rPr>
              <w:t>Options (#)</w:t>
            </w:r>
          </w:p>
        </w:tc>
        <w:tc>
          <w:tcPr>
            <w:tcW w:w="112" w:type="dxa"/>
            <w:tcBorders/>
            <w:shd w:fill="auto" w:val="clear"/>
            <w:tcMar>
              <w:bottom w:w="0" w:type="dxa"/>
            </w:tcMar>
            <w:vAlign w:val="bottom"/>
          </w:tcPr>
          <w:p>
            <w:pPr>
              <w:pStyle w:val="TableContents"/>
              <w:spacing w:before="0" w:after="283"/>
              <w:jc w:val="left"/>
              <w:rPr/>
            </w:pPr>
            <w:r>
              <w:rPr/>
              <w:t> </w:t>
            </w:r>
          </w:p>
        </w:tc>
        <w:tc>
          <w:tcPr>
            <w:tcW w:w="112" w:type="dxa"/>
            <w:tcBorders/>
            <w:shd w:fill="auto" w:val="clear"/>
            <w:tcMar>
              <w:bottom w:w="0" w:type="dxa"/>
            </w:tcMar>
            <w:vAlign w:val="bottom"/>
          </w:tcPr>
          <w:p>
            <w:pPr>
              <w:pStyle w:val="TableContents"/>
              <w:spacing w:before="0" w:after="283"/>
              <w:rPr/>
            </w:pPr>
            <w:r>
              <w:rPr/>
              <w:t> </w:t>
            </w:r>
          </w:p>
        </w:tc>
        <w:tc>
          <w:tcPr>
            <w:tcW w:w="1198" w:type="dxa"/>
            <w:gridSpan w:val="2"/>
            <w:tcBorders/>
            <w:shd w:fill="auto" w:val="clear"/>
            <w:tcMar>
              <w:bottom w:w="0" w:type="dxa"/>
            </w:tcMar>
            <w:vAlign w:val="bottom"/>
          </w:tcPr>
          <w:p>
            <w:pPr>
              <w:pStyle w:val="TableContents"/>
              <w:spacing w:before="0" w:after="0"/>
              <w:ind w:left="0" w:right="0" w:hanging="0"/>
              <w:jc w:val="center"/>
              <w:rPr>
                <w:rFonts w:ascii="helvetica" w:hAnsi="helvetica"/>
                <w:b/>
                <w:sz w:val="16"/>
              </w:rPr>
            </w:pPr>
            <w:r>
              <w:rPr>
                <w:rFonts w:ascii="helvetica" w:hAnsi="helvetica"/>
                <w:b/>
                <w:sz w:val="16"/>
              </w:rPr>
              <w:t>Exercise</w:t>
            </w:r>
          </w:p>
        </w:tc>
        <w:tc>
          <w:tcPr>
            <w:tcW w:w="112" w:type="dxa"/>
            <w:tcBorders/>
            <w:shd w:fill="auto" w:val="clear"/>
            <w:tcMar>
              <w:bottom w:w="0" w:type="dxa"/>
            </w:tcMar>
            <w:vAlign w:val="bottom"/>
          </w:tcPr>
          <w:p>
            <w:pPr>
              <w:pStyle w:val="TableContents"/>
              <w:spacing w:before="0" w:after="283"/>
              <w:jc w:val="left"/>
              <w:rPr/>
            </w:pPr>
            <w:r>
              <w:rPr/>
              <w:t> </w:t>
            </w:r>
          </w:p>
        </w:tc>
        <w:tc>
          <w:tcPr>
            <w:tcW w:w="2484" w:type="dxa"/>
            <w:tcBorders/>
            <w:shd w:fill="auto" w:val="clear"/>
            <w:tcMar>
              <w:bottom w:w="0" w:type="dxa"/>
            </w:tcMar>
            <w:vAlign w:val="bottom"/>
          </w:tcPr>
          <w:p>
            <w:pPr>
              <w:pStyle w:val="TableContents"/>
              <w:spacing w:before="0" w:after="0"/>
              <w:ind w:left="0" w:right="0" w:hanging="0"/>
              <w:jc w:val="center"/>
              <w:rPr>
                <w:rFonts w:ascii="helvetica" w:hAnsi="helvetica"/>
                <w:b/>
                <w:sz w:val="16"/>
              </w:rPr>
            </w:pPr>
            <w:r>
              <w:rPr>
                <w:rFonts w:ascii="helvetica" w:hAnsi="helvetica"/>
                <w:b/>
                <w:sz w:val="16"/>
              </w:rPr>
              <w:t>Expiration</w:t>
            </w:r>
          </w:p>
        </w:tc>
      </w:tr>
      <w:tr>
        <w:trPr/>
        <w:tc>
          <w:tcPr>
            <w:tcW w:w="2777" w:type="dxa"/>
            <w:tcBorders>
              <w:bottom w:val="single" w:sz="12" w:space="0" w:color="000000"/>
            </w:tcBorders>
            <w:shd w:fill="auto" w:val="clear"/>
            <w:vAlign w:val="bottom"/>
          </w:tcPr>
          <w:p>
            <w:pPr>
              <w:pStyle w:val="TableContents"/>
              <w:spacing w:before="0" w:after="0"/>
              <w:ind w:left="0" w:right="0" w:hanging="0"/>
              <w:jc w:val="left"/>
              <w:rPr>
                <w:rFonts w:ascii="helvetica" w:hAnsi="helvetica"/>
                <w:b/>
                <w:sz w:val="16"/>
              </w:rPr>
            </w:pPr>
            <w:r>
              <w:rPr>
                <w:rFonts w:ascii="helvetica" w:hAnsi="helvetica"/>
                <w:b/>
                <w:sz w:val="16"/>
              </w:rPr>
              <w:t>Name</w:t>
            </w:r>
          </w:p>
        </w:tc>
        <w:tc>
          <w:tcPr>
            <w:tcW w:w="112" w:type="dxa"/>
            <w:tcBorders/>
            <w:shd w:fill="auto" w:val="clear"/>
            <w:tcMar>
              <w:bottom w:w="0" w:type="dxa"/>
            </w:tcMar>
            <w:vAlign w:val="bottom"/>
          </w:tcPr>
          <w:p>
            <w:pPr>
              <w:pStyle w:val="TableContents"/>
              <w:spacing w:before="0" w:after="283"/>
              <w:rPr/>
            </w:pPr>
            <w:r>
              <w:rPr/>
              <w:t> </w:t>
            </w:r>
          </w:p>
        </w:tc>
        <w:tc>
          <w:tcPr>
            <w:tcW w:w="1477" w:type="dxa"/>
            <w:gridSpan w:val="2"/>
            <w:tcBorders>
              <w:bottom w:val="single" w:sz="12" w:space="0" w:color="000000"/>
            </w:tcBorders>
            <w:shd w:fill="auto" w:val="clear"/>
            <w:vAlign w:val="bottom"/>
          </w:tcPr>
          <w:p>
            <w:pPr>
              <w:pStyle w:val="TableContents"/>
              <w:spacing w:before="0" w:after="0"/>
              <w:ind w:left="0" w:right="0" w:hanging="0"/>
              <w:jc w:val="center"/>
              <w:rPr>
                <w:rFonts w:ascii="helvetica" w:hAnsi="helvetica"/>
                <w:b/>
                <w:sz w:val="16"/>
              </w:rPr>
            </w:pPr>
            <w:r>
              <w:rPr>
                <w:rFonts w:ascii="helvetica" w:hAnsi="helvetica"/>
                <w:b/>
                <w:sz w:val="16"/>
              </w:rPr>
              <w:t>Exercisable</w:t>
            </w:r>
          </w:p>
        </w:tc>
        <w:tc>
          <w:tcPr>
            <w:tcW w:w="112" w:type="dxa"/>
            <w:tcBorders/>
            <w:shd w:fill="auto" w:val="clear"/>
            <w:tcMar>
              <w:bottom w:w="0" w:type="dxa"/>
            </w:tcMar>
            <w:vAlign w:val="bottom"/>
          </w:tcPr>
          <w:p>
            <w:pPr>
              <w:pStyle w:val="TableContents"/>
              <w:spacing w:before="0" w:after="283"/>
              <w:jc w:val="left"/>
              <w:rPr/>
            </w:pPr>
            <w:r>
              <w:rPr/>
              <w:t> </w:t>
            </w:r>
          </w:p>
        </w:tc>
        <w:tc>
          <w:tcPr>
            <w:tcW w:w="112" w:type="dxa"/>
            <w:tcBorders/>
            <w:shd w:fill="auto" w:val="clear"/>
            <w:tcMar>
              <w:bottom w:w="0" w:type="dxa"/>
            </w:tcMar>
            <w:vAlign w:val="bottom"/>
          </w:tcPr>
          <w:p>
            <w:pPr>
              <w:pStyle w:val="TableContents"/>
              <w:spacing w:before="0" w:after="283"/>
              <w:rPr/>
            </w:pPr>
            <w:r>
              <w:rPr/>
              <w:t> </w:t>
            </w:r>
          </w:p>
        </w:tc>
        <w:tc>
          <w:tcPr>
            <w:tcW w:w="1597" w:type="dxa"/>
            <w:gridSpan w:val="2"/>
            <w:tcBorders>
              <w:bottom w:val="single" w:sz="12" w:space="0" w:color="000000"/>
            </w:tcBorders>
            <w:shd w:fill="auto" w:val="clear"/>
            <w:vAlign w:val="bottom"/>
          </w:tcPr>
          <w:p>
            <w:pPr>
              <w:pStyle w:val="TableContents"/>
              <w:spacing w:before="0" w:after="0"/>
              <w:ind w:left="0" w:right="0" w:hanging="0"/>
              <w:jc w:val="center"/>
              <w:rPr>
                <w:rFonts w:ascii="helvetica" w:hAnsi="helvetica"/>
                <w:b/>
                <w:sz w:val="16"/>
              </w:rPr>
            </w:pPr>
            <w:r>
              <w:rPr>
                <w:rFonts w:ascii="helvetica" w:hAnsi="helvetica"/>
                <w:b/>
                <w:sz w:val="16"/>
              </w:rPr>
              <w:t>Unexercisable</w:t>
            </w:r>
          </w:p>
        </w:tc>
        <w:tc>
          <w:tcPr>
            <w:tcW w:w="112" w:type="dxa"/>
            <w:tcBorders/>
            <w:shd w:fill="auto" w:val="clear"/>
            <w:tcMar>
              <w:bottom w:w="0" w:type="dxa"/>
            </w:tcMar>
            <w:vAlign w:val="bottom"/>
          </w:tcPr>
          <w:p>
            <w:pPr>
              <w:pStyle w:val="TableContents"/>
              <w:spacing w:before="0" w:after="283"/>
              <w:jc w:val="left"/>
              <w:rPr/>
            </w:pPr>
            <w:r>
              <w:rPr/>
              <w:t> </w:t>
            </w:r>
          </w:p>
        </w:tc>
        <w:tc>
          <w:tcPr>
            <w:tcW w:w="112" w:type="dxa"/>
            <w:tcBorders/>
            <w:shd w:fill="auto" w:val="clear"/>
            <w:tcMar>
              <w:bottom w:w="0" w:type="dxa"/>
            </w:tcMar>
            <w:vAlign w:val="bottom"/>
          </w:tcPr>
          <w:p>
            <w:pPr>
              <w:pStyle w:val="TableContents"/>
              <w:spacing w:before="0" w:after="283"/>
              <w:rPr/>
            </w:pPr>
            <w:r>
              <w:rPr/>
              <w:t> </w:t>
            </w:r>
          </w:p>
        </w:tc>
        <w:tc>
          <w:tcPr>
            <w:tcW w:w="1198" w:type="dxa"/>
            <w:gridSpan w:val="2"/>
            <w:tcBorders>
              <w:bottom w:val="single" w:sz="12" w:space="0" w:color="000000"/>
            </w:tcBorders>
            <w:shd w:fill="auto" w:val="clear"/>
            <w:vAlign w:val="bottom"/>
          </w:tcPr>
          <w:p>
            <w:pPr>
              <w:pStyle w:val="TableContents"/>
              <w:spacing w:before="0" w:after="0"/>
              <w:ind w:left="0" w:right="0" w:hanging="0"/>
              <w:jc w:val="center"/>
              <w:rPr>
                <w:rFonts w:ascii="helvetica" w:hAnsi="helvetica"/>
                <w:b/>
                <w:sz w:val="16"/>
              </w:rPr>
            </w:pPr>
            <w:r>
              <w:rPr>
                <w:rFonts w:ascii="helvetica" w:hAnsi="helvetica"/>
                <w:b/>
                <w:sz w:val="16"/>
              </w:rPr>
              <w:t>Price ($)</w:t>
            </w:r>
          </w:p>
        </w:tc>
        <w:tc>
          <w:tcPr>
            <w:tcW w:w="112" w:type="dxa"/>
            <w:tcBorders/>
            <w:shd w:fill="auto" w:val="clear"/>
            <w:tcMar>
              <w:bottom w:w="0" w:type="dxa"/>
            </w:tcMar>
            <w:vAlign w:val="bottom"/>
          </w:tcPr>
          <w:p>
            <w:pPr>
              <w:pStyle w:val="TableContents"/>
              <w:spacing w:before="0" w:after="283"/>
              <w:jc w:val="left"/>
              <w:rPr/>
            </w:pPr>
            <w:r>
              <w:rPr/>
              <w:t> </w:t>
            </w:r>
          </w:p>
        </w:tc>
        <w:tc>
          <w:tcPr>
            <w:tcW w:w="2484" w:type="dxa"/>
            <w:tcBorders>
              <w:bottom w:val="single" w:sz="12" w:space="0" w:color="000000"/>
            </w:tcBorders>
            <w:shd w:fill="auto" w:val="clear"/>
            <w:vAlign w:val="bottom"/>
          </w:tcPr>
          <w:p>
            <w:pPr>
              <w:pStyle w:val="TableContents"/>
              <w:spacing w:before="0" w:after="0"/>
              <w:ind w:left="0" w:right="0" w:hanging="0"/>
              <w:jc w:val="center"/>
              <w:rPr>
                <w:rFonts w:ascii="helvetica" w:hAnsi="helvetica"/>
                <w:b/>
                <w:sz w:val="16"/>
              </w:rPr>
            </w:pPr>
            <w:r>
              <w:rPr>
                <w:rFonts w:ascii="helvetica" w:hAnsi="helvetica"/>
                <w:b/>
                <w:sz w:val="16"/>
              </w:rPr>
              <w:t>Date</w:t>
            </w:r>
          </w:p>
        </w:tc>
      </w:tr>
      <w:tr>
        <w:trPr/>
        <w:tc>
          <w:tcPr>
            <w:tcW w:w="2777" w:type="dxa"/>
            <w:tcBorders/>
            <w:shd w:fill="CCEEFF" w:val="clear"/>
            <w:tcMar>
              <w:bottom w:w="0" w:type="dxa"/>
            </w:tcMar>
            <w:vAlign w:val="bottom"/>
          </w:tcPr>
          <w:p>
            <w:pPr>
              <w:pStyle w:val="TableContents"/>
              <w:spacing w:before="0" w:after="0"/>
              <w:ind w:left="0" w:right="0" w:hanging="0"/>
              <w:jc w:val="left"/>
              <w:rPr>
                <w:rFonts w:ascii="helvetica" w:hAnsi="helvetica"/>
                <w:sz w:val="20"/>
              </w:rPr>
            </w:pPr>
            <w:r>
              <w:rPr>
                <w:rFonts w:ascii="helvetica" w:hAnsi="helvetica"/>
                <w:sz w:val="20"/>
              </w:rPr>
              <w:t>John Bonfiglio (1)</w:t>
            </w:r>
          </w:p>
        </w:tc>
        <w:tc>
          <w:tcPr>
            <w:tcW w:w="112" w:type="dxa"/>
            <w:tcBorders/>
            <w:shd w:fill="CCEEFF" w:val="clear"/>
            <w:tcMar>
              <w:bottom w:w="0" w:type="dxa"/>
            </w:tcMar>
            <w:vAlign w:val="bottom"/>
          </w:tcPr>
          <w:p>
            <w:pPr>
              <w:pStyle w:val="TableContents"/>
              <w:spacing w:before="0" w:after="283"/>
              <w:jc w:val="left"/>
              <w:rPr/>
            </w:pPr>
            <w:r>
              <w:rPr/>
              <w:t> </w:t>
            </w:r>
          </w:p>
        </w:tc>
        <w:tc>
          <w:tcPr>
            <w:tcW w:w="153" w:type="dxa"/>
            <w:tcBorders/>
            <w:shd w:fill="CCEEFF" w:val="clear"/>
            <w:tcMar>
              <w:bottom w:w="0" w:type="dxa"/>
            </w:tcMar>
            <w:vAlign w:val="bottom"/>
          </w:tcPr>
          <w:p>
            <w:pPr>
              <w:pStyle w:val="TableContents"/>
              <w:spacing w:before="0" w:after="283"/>
              <w:jc w:val="left"/>
              <w:rPr/>
            </w:pPr>
            <w:r>
              <w:rPr/>
              <w:t> </w:t>
            </w:r>
          </w:p>
        </w:tc>
        <w:tc>
          <w:tcPr>
            <w:tcW w:w="1324" w:type="dxa"/>
            <w:tcBorders/>
            <w:shd w:fill="CCEEFF" w:val="clear"/>
            <w:tcMar>
              <w:bottom w:w="0" w:type="dxa"/>
            </w:tcMar>
            <w:vAlign w:val="bottom"/>
          </w:tcPr>
          <w:p>
            <w:pPr>
              <w:pStyle w:val="TableContents"/>
              <w:spacing w:before="0" w:after="283"/>
              <w:jc w:val="right"/>
              <w:rPr>
                <w:rFonts w:ascii="helvetica" w:hAnsi="helvetica"/>
                <w:sz w:val="20"/>
              </w:rPr>
            </w:pPr>
            <w:r>
              <w:rPr>
                <w:rFonts w:ascii="helvetica" w:hAnsi="helvetica"/>
                <w:sz w:val="20"/>
              </w:rPr>
              <w:t>1,029</w:t>
            </w:r>
          </w:p>
        </w:tc>
        <w:tc>
          <w:tcPr>
            <w:tcW w:w="112" w:type="dxa"/>
            <w:tcBorders/>
            <w:shd w:fill="CCEEFF" w:val="clear"/>
            <w:tcMar>
              <w:bottom w:w="0" w:type="dxa"/>
            </w:tcMar>
            <w:vAlign w:val="bottom"/>
          </w:tcPr>
          <w:p>
            <w:pPr>
              <w:pStyle w:val="TableContents"/>
              <w:spacing w:before="0" w:after="283"/>
              <w:jc w:val="left"/>
              <w:rPr/>
            </w:pPr>
            <w:r>
              <w:rPr/>
              <w:t> </w:t>
            </w:r>
          </w:p>
        </w:tc>
        <w:tc>
          <w:tcPr>
            <w:tcW w:w="112" w:type="dxa"/>
            <w:tcBorders/>
            <w:shd w:fill="CCEEFF" w:val="clear"/>
            <w:tcMar>
              <w:bottom w:w="0" w:type="dxa"/>
            </w:tcMar>
            <w:vAlign w:val="bottom"/>
          </w:tcPr>
          <w:p>
            <w:pPr>
              <w:pStyle w:val="TableContents"/>
              <w:spacing w:before="0" w:after="283"/>
              <w:jc w:val="left"/>
              <w:rPr/>
            </w:pPr>
            <w:r>
              <w:rPr/>
              <w:t> </w:t>
            </w:r>
          </w:p>
        </w:tc>
        <w:tc>
          <w:tcPr>
            <w:tcW w:w="486" w:type="dxa"/>
            <w:tcBorders/>
            <w:shd w:fill="CCEEFF" w:val="clear"/>
            <w:tcMar>
              <w:bottom w:w="0" w:type="dxa"/>
            </w:tcMar>
            <w:vAlign w:val="bottom"/>
          </w:tcPr>
          <w:p>
            <w:pPr>
              <w:pStyle w:val="TableContents"/>
              <w:spacing w:before="0" w:after="283"/>
              <w:jc w:val="left"/>
              <w:rPr/>
            </w:pPr>
            <w:r>
              <w:rPr/>
              <w:t> </w:t>
            </w:r>
          </w:p>
        </w:tc>
        <w:tc>
          <w:tcPr>
            <w:tcW w:w="1111" w:type="dxa"/>
            <w:tcBorders/>
            <w:shd w:fill="CCEEFF" w:val="clear"/>
            <w:tcMar>
              <w:bottom w:w="0" w:type="dxa"/>
            </w:tcMar>
            <w:vAlign w:val="bottom"/>
          </w:tcPr>
          <w:p>
            <w:pPr>
              <w:pStyle w:val="TableContents"/>
              <w:spacing w:before="0" w:after="283"/>
              <w:jc w:val="right"/>
              <w:rPr>
                <w:rFonts w:ascii="helvetica" w:hAnsi="helvetica"/>
                <w:sz w:val="20"/>
              </w:rPr>
            </w:pPr>
            <w:r>
              <w:rPr>
                <w:rFonts w:ascii="helvetica" w:hAnsi="helvetica"/>
                <w:sz w:val="20"/>
              </w:rPr>
              <w:t>-</w:t>
            </w:r>
          </w:p>
        </w:tc>
        <w:tc>
          <w:tcPr>
            <w:tcW w:w="112" w:type="dxa"/>
            <w:tcBorders/>
            <w:shd w:fill="CCEEFF" w:val="clear"/>
            <w:tcMar>
              <w:bottom w:w="0" w:type="dxa"/>
            </w:tcMar>
            <w:vAlign w:val="bottom"/>
          </w:tcPr>
          <w:p>
            <w:pPr>
              <w:pStyle w:val="TableContents"/>
              <w:spacing w:before="0" w:after="283"/>
              <w:jc w:val="left"/>
              <w:rPr/>
            </w:pPr>
            <w:r>
              <w:rPr/>
              <w:t> </w:t>
            </w:r>
          </w:p>
        </w:tc>
        <w:tc>
          <w:tcPr>
            <w:tcW w:w="112" w:type="dxa"/>
            <w:tcBorders/>
            <w:shd w:fill="CCEEFF" w:val="clear"/>
            <w:tcMar>
              <w:bottom w:w="0" w:type="dxa"/>
            </w:tcMar>
            <w:vAlign w:val="bottom"/>
          </w:tcPr>
          <w:p>
            <w:pPr>
              <w:pStyle w:val="TableContents"/>
              <w:spacing w:before="0" w:after="283"/>
              <w:jc w:val="left"/>
              <w:rPr/>
            </w:pPr>
            <w:r>
              <w:rPr/>
              <w:t> </w:t>
            </w:r>
          </w:p>
        </w:tc>
        <w:tc>
          <w:tcPr>
            <w:tcW w:w="137" w:type="dxa"/>
            <w:tcBorders/>
            <w:shd w:fill="CCEEFF" w:val="clear"/>
            <w:tcMar>
              <w:bottom w:w="0" w:type="dxa"/>
            </w:tcMar>
            <w:vAlign w:val="bottom"/>
          </w:tcPr>
          <w:p>
            <w:pPr>
              <w:pStyle w:val="TableContents"/>
              <w:spacing w:before="0" w:after="283"/>
              <w:jc w:val="left"/>
              <w:rPr/>
            </w:pPr>
            <w:r>
              <w:rPr/>
              <w:t> </w:t>
            </w:r>
          </w:p>
        </w:tc>
        <w:tc>
          <w:tcPr>
            <w:tcW w:w="1061" w:type="dxa"/>
            <w:tcBorders/>
            <w:shd w:fill="CCEEFF" w:val="clear"/>
            <w:tcMar>
              <w:bottom w:w="0" w:type="dxa"/>
            </w:tcMar>
            <w:vAlign w:val="bottom"/>
          </w:tcPr>
          <w:p>
            <w:pPr>
              <w:pStyle w:val="TableContents"/>
              <w:spacing w:before="0" w:after="283"/>
              <w:jc w:val="right"/>
              <w:rPr>
                <w:rFonts w:ascii="helvetica" w:hAnsi="helvetica"/>
                <w:sz w:val="20"/>
              </w:rPr>
            </w:pPr>
            <w:r>
              <w:rPr>
                <w:rFonts w:ascii="helvetica" w:hAnsi="helvetica"/>
                <w:sz w:val="20"/>
              </w:rPr>
              <w:t>4.00</w:t>
            </w:r>
          </w:p>
        </w:tc>
        <w:tc>
          <w:tcPr>
            <w:tcW w:w="112" w:type="dxa"/>
            <w:tcBorders/>
            <w:shd w:fill="CCEEFF" w:val="clear"/>
            <w:tcMar>
              <w:bottom w:w="0" w:type="dxa"/>
            </w:tcMar>
            <w:vAlign w:val="bottom"/>
          </w:tcPr>
          <w:p>
            <w:pPr>
              <w:pStyle w:val="TableContents"/>
              <w:spacing w:before="0" w:after="283"/>
              <w:jc w:val="left"/>
              <w:rPr/>
            </w:pPr>
            <w:r>
              <w:rPr/>
              <w:t> </w:t>
            </w:r>
          </w:p>
        </w:tc>
        <w:tc>
          <w:tcPr>
            <w:tcW w:w="2484" w:type="dxa"/>
            <w:tcBorders/>
            <w:shd w:fill="CCEEFF" w:val="clear"/>
            <w:tcMar>
              <w:bottom w:w="0" w:type="dxa"/>
            </w:tcMar>
            <w:vAlign w:val="bottom"/>
          </w:tcPr>
          <w:p>
            <w:pPr>
              <w:pStyle w:val="TableContents"/>
              <w:spacing w:before="0" w:after="0"/>
              <w:ind w:left="0" w:right="0" w:hanging="0"/>
              <w:jc w:val="right"/>
              <w:rPr>
                <w:rFonts w:ascii="helvetica" w:hAnsi="helvetica"/>
                <w:sz w:val="20"/>
              </w:rPr>
            </w:pPr>
            <w:r>
              <w:rPr>
                <w:rFonts w:ascii="helvetica" w:hAnsi="helvetica"/>
                <w:sz w:val="20"/>
              </w:rPr>
              <w:t>12/15/2014</w:t>
            </w:r>
          </w:p>
        </w:tc>
      </w:tr>
      <w:tr>
        <w:trPr/>
        <w:tc>
          <w:tcPr>
            <w:tcW w:w="2777" w:type="dxa"/>
            <w:tcBorders/>
            <w:shd w:fill="FFFFFF" w:val="clear"/>
            <w:tcMar>
              <w:bottom w:w="0" w:type="dxa"/>
            </w:tcMar>
            <w:vAlign w:val="bottom"/>
          </w:tcPr>
          <w:p>
            <w:pPr>
              <w:pStyle w:val="TableContents"/>
              <w:spacing w:before="0" w:after="0"/>
              <w:ind w:left="0" w:right="0" w:hanging="0"/>
              <w:jc w:val="left"/>
              <w:rPr>
                <w:rFonts w:ascii="helvetica" w:hAnsi="helvetica"/>
                <w:sz w:val="20"/>
              </w:rPr>
            </w:pPr>
            <w:r>
              <w:rPr>
                <w:rFonts w:ascii="helvetica" w:hAnsi="helvetica"/>
                <w:sz w:val="20"/>
              </w:rPr>
              <w:t>John Lomoro (2)</w:t>
            </w:r>
          </w:p>
        </w:tc>
        <w:tc>
          <w:tcPr>
            <w:tcW w:w="112" w:type="dxa"/>
            <w:tcBorders/>
            <w:shd w:fill="FFFFFF" w:val="clear"/>
            <w:tcMar>
              <w:bottom w:w="0" w:type="dxa"/>
            </w:tcMar>
            <w:vAlign w:val="bottom"/>
          </w:tcPr>
          <w:p>
            <w:pPr>
              <w:pStyle w:val="TableContents"/>
              <w:spacing w:before="0" w:after="283"/>
              <w:jc w:val="left"/>
              <w:rPr/>
            </w:pPr>
            <w:r>
              <w:rPr/>
              <w:t> </w:t>
            </w:r>
          </w:p>
        </w:tc>
        <w:tc>
          <w:tcPr>
            <w:tcW w:w="153" w:type="dxa"/>
            <w:tcBorders/>
            <w:shd w:fill="FFFFFF" w:val="clear"/>
            <w:tcMar>
              <w:bottom w:w="0" w:type="dxa"/>
            </w:tcMar>
            <w:vAlign w:val="bottom"/>
          </w:tcPr>
          <w:p>
            <w:pPr>
              <w:pStyle w:val="TableContents"/>
              <w:spacing w:before="0" w:after="283"/>
              <w:jc w:val="left"/>
              <w:rPr/>
            </w:pPr>
            <w:r>
              <w:rPr/>
              <w:t> </w:t>
            </w:r>
          </w:p>
        </w:tc>
        <w:tc>
          <w:tcPr>
            <w:tcW w:w="1324" w:type="dxa"/>
            <w:tcBorders/>
            <w:shd w:fill="FFFFFF" w:val="clear"/>
            <w:tcMar>
              <w:bottom w:w="0" w:type="dxa"/>
            </w:tcMar>
            <w:vAlign w:val="bottom"/>
          </w:tcPr>
          <w:p>
            <w:pPr>
              <w:pStyle w:val="TableContents"/>
              <w:spacing w:before="0" w:after="283"/>
              <w:jc w:val="right"/>
              <w:rPr>
                <w:rFonts w:ascii="helvetica" w:hAnsi="helvetica"/>
                <w:sz w:val="20"/>
              </w:rPr>
            </w:pPr>
            <w:r>
              <w:rPr>
                <w:rFonts w:ascii="helvetica" w:hAnsi="helvetica"/>
                <w:sz w:val="20"/>
              </w:rPr>
              <w:t>1,440</w:t>
            </w:r>
          </w:p>
        </w:tc>
        <w:tc>
          <w:tcPr>
            <w:tcW w:w="112" w:type="dxa"/>
            <w:tcBorders/>
            <w:shd w:fill="FFFFFF" w:val="clear"/>
            <w:tcMar>
              <w:bottom w:w="0" w:type="dxa"/>
            </w:tcMar>
            <w:vAlign w:val="bottom"/>
          </w:tcPr>
          <w:p>
            <w:pPr>
              <w:pStyle w:val="TableContents"/>
              <w:spacing w:before="0" w:after="283"/>
              <w:jc w:val="left"/>
              <w:rPr/>
            </w:pPr>
            <w:r>
              <w:rPr/>
              <w:t> </w:t>
            </w:r>
          </w:p>
        </w:tc>
        <w:tc>
          <w:tcPr>
            <w:tcW w:w="112" w:type="dxa"/>
            <w:tcBorders/>
            <w:shd w:fill="FFFFFF" w:val="clear"/>
            <w:tcMar>
              <w:bottom w:w="0" w:type="dxa"/>
            </w:tcMar>
            <w:vAlign w:val="bottom"/>
          </w:tcPr>
          <w:p>
            <w:pPr>
              <w:pStyle w:val="TableContents"/>
              <w:spacing w:before="0" w:after="283"/>
              <w:jc w:val="left"/>
              <w:rPr/>
            </w:pPr>
            <w:r>
              <w:rPr/>
              <w:t> </w:t>
            </w:r>
          </w:p>
        </w:tc>
        <w:tc>
          <w:tcPr>
            <w:tcW w:w="486" w:type="dxa"/>
            <w:tcBorders/>
            <w:shd w:fill="FFFFFF" w:val="clear"/>
            <w:tcMar>
              <w:bottom w:w="0" w:type="dxa"/>
            </w:tcMar>
            <w:vAlign w:val="bottom"/>
          </w:tcPr>
          <w:p>
            <w:pPr>
              <w:pStyle w:val="TableContents"/>
              <w:spacing w:before="0" w:after="283"/>
              <w:jc w:val="left"/>
              <w:rPr/>
            </w:pPr>
            <w:r>
              <w:rPr/>
              <w:t> </w:t>
            </w:r>
          </w:p>
        </w:tc>
        <w:tc>
          <w:tcPr>
            <w:tcW w:w="1111" w:type="dxa"/>
            <w:tcBorders/>
            <w:shd w:fill="FFFFFF" w:val="clear"/>
            <w:tcMar>
              <w:bottom w:w="0" w:type="dxa"/>
            </w:tcMar>
            <w:vAlign w:val="bottom"/>
          </w:tcPr>
          <w:p>
            <w:pPr>
              <w:pStyle w:val="TableContents"/>
              <w:spacing w:before="0" w:after="283"/>
              <w:jc w:val="right"/>
              <w:rPr>
                <w:rFonts w:ascii="helvetica" w:hAnsi="helvetica"/>
                <w:sz w:val="20"/>
              </w:rPr>
            </w:pPr>
            <w:r>
              <w:rPr>
                <w:rFonts w:ascii="helvetica" w:hAnsi="helvetica"/>
                <w:sz w:val="20"/>
              </w:rPr>
              <w:t>-</w:t>
            </w:r>
          </w:p>
        </w:tc>
        <w:tc>
          <w:tcPr>
            <w:tcW w:w="112" w:type="dxa"/>
            <w:tcBorders/>
            <w:shd w:fill="FFFFFF" w:val="clear"/>
            <w:tcMar>
              <w:bottom w:w="0" w:type="dxa"/>
            </w:tcMar>
            <w:vAlign w:val="bottom"/>
          </w:tcPr>
          <w:p>
            <w:pPr>
              <w:pStyle w:val="TableContents"/>
              <w:spacing w:before="0" w:after="283"/>
              <w:jc w:val="left"/>
              <w:rPr/>
            </w:pPr>
            <w:r>
              <w:rPr/>
              <w:t> </w:t>
            </w:r>
          </w:p>
        </w:tc>
        <w:tc>
          <w:tcPr>
            <w:tcW w:w="112" w:type="dxa"/>
            <w:tcBorders/>
            <w:shd w:fill="FFFFFF" w:val="clear"/>
            <w:tcMar>
              <w:bottom w:w="0" w:type="dxa"/>
            </w:tcMar>
            <w:vAlign w:val="bottom"/>
          </w:tcPr>
          <w:p>
            <w:pPr>
              <w:pStyle w:val="TableContents"/>
              <w:spacing w:before="0" w:after="283"/>
              <w:jc w:val="left"/>
              <w:rPr/>
            </w:pPr>
            <w:r>
              <w:rPr/>
              <w:t> </w:t>
            </w:r>
          </w:p>
        </w:tc>
        <w:tc>
          <w:tcPr>
            <w:tcW w:w="137" w:type="dxa"/>
            <w:tcBorders/>
            <w:shd w:fill="FFFFFF" w:val="clear"/>
            <w:tcMar>
              <w:bottom w:w="0" w:type="dxa"/>
            </w:tcMar>
            <w:vAlign w:val="bottom"/>
          </w:tcPr>
          <w:p>
            <w:pPr>
              <w:pStyle w:val="TableContents"/>
              <w:spacing w:before="0" w:after="283"/>
              <w:jc w:val="left"/>
              <w:rPr/>
            </w:pPr>
            <w:r>
              <w:rPr/>
              <w:t> </w:t>
            </w:r>
          </w:p>
        </w:tc>
        <w:tc>
          <w:tcPr>
            <w:tcW w:w="1061" w:type="dxa"/>
            <w:tcBorders/>
            <w:shd w:fill="FFFFFF" w:val="clear"/>
            <w:tcMar>
              <w:bottom w:w="0" w:type="dxa"/>
            </w:tcMar>
            <w:vAlign w:val="bottom"/>
          </w:tcPr>
          <w:p>
            <w:pPr>
              <w:pStyle w:val="TableContents"/>
              <w:spacing w:before="0" w:after="283"/>
              <w:jc w:val="right"/>
              <w:rPr>
                <w:rFonts w:ascii="helvetica" w:hAnsi="helvetica"/>
                <w:sz w:val="20"/>
              </w:rPr>
            </w:pPr>
            <w:r>
              <w:rPr>
                <w:rFonts w:ascii="helvetica" w:hAnsi="helvetica"/>
                <w:sz w:val="20"/>
              </w:rPr>
              <w:t>4.00</w:t>
            </w:r>
          </w:p>
        </w:tc>
        <w:tc>
          <w:tcPr>
            <w:tcW w:w="112" w:type="dxa"/>
            <w:tcBorders/>
            <w:shd w:fill="FFFFFF" w:val="clear"/>
            <w:tcMar>
              <w:bottom w:w="0" w:type="dxa"/>
            </w:tcMar>
            <w:vAlign w:val="bottom"/>
          </w:tcPr>
          <w:p>
            <w:pPr>
              <w:pStyle w:val="TableContents"/>
              <w:spacing w:before="0" w:after="283"/>
              <w:jc w:val="left"/>
              <w:rPr/>
            </w:pPr>
            <w:r>
              <w:rPr/>
              <w:t> </w:t>
            </w:r>
          </w:p>
        </w:tc>
        <w:tc>
          <w:tcPr>
            <w:tcW w:w="2484" w:type="dxa"/>
            <w:tcBorders/>
            <w:shd w:fill="FFFFFF" w:val="clear"/>
            <w:tcMar>
              <w:bottom w:w="0" w:type="dxa"/>
            </w:tcMar>
            <w:vAlign w:val="bottom"/>
          </w:tcPr>
          <w:p>
            <w:pPr>
              <w:pStyle w:val="TableContents"/>
              <w:spacing w:before="0" w:after="0"/>
              <w:ind w:left="0" w:right="0" w:hanging="0"/>
              <w:jc w:val="right"/>
              <w:rPr>
                <w:rFonts w:ascii="helvetica" w:hAnsi="helvetica"/>
                <w:sz w:val="20"/>
              </w:rPr>
            </w:pPr>
            <w:r>
              <w:rPr>
                <w:rFonts w:ascii="helvetica" w:hAnsi="helvetica"/>
                <w:sz w:val="20"/>
              </w:rPr>
              <w:t>12/15/2014</w:t>
            </w:r>
          </w:p>
        </w:tc>
      </w:tr>
      <w:tr>
        <w:trPr/>
        <w:tc>
          <w:tcPr>
            <w:tcW w:w="2777" w:type="dxa"/>
            <w:tcBorders/>
            <w:shd w:fill="CCEEFF" w:val="clear"/>
            <w:tcMar>
              <w:bottom w:w="0" w:type="dxa"/>
            </w:tcMar>
            <w:vAlign w:val="bottom"/>
          </w:tcPr>
          <w:p>
            <w:pPr>
              <w:pStyle w:val="TableContents"/>
              <w:spacing w:before="0" w:after="0"/>
              <w:ind w:left="0" w:right="0" w:hanging="0"/>
              <w:jc w:val="left"/>
              <w:rPr>
                <w:rFonts w:ascii="helvetica" w:hAnsi="helvetica"/>
                <w:sz w:val="20"/>
              </w:rPr>
            </w:pPr>
            <w:r>
              <w:rPr>
                <w:rFonts w:ascii="helvetica" w:hAnsi="helvetica"/>
                <w:sz w:val="20"/>
              </w:rPr>
              <w:t>Terry Nida (3)</w:t>
            </w:r>
          </w:p>
        </w:tc>
        <w:tc>
          <w:tcPr>
            <w:tcW w:w="112" w:type="dxa"/>
            <w:tcBorders/>
            <w:shd w:fill="CCEEFF" w:val="clear"/>
            <w:tcMar>
              <w:bottom w:w="0" w:type="dxa"/>
            </w:tcMar>
            <w:vAlign w:val="bottom"/>
          </w:tcPr>
          <w:p>
            <w:pPr>
              <w:pStyle w:val="TableContents"/>
              <w:spacing w:before="0" w:after="283"/>
              <w:jc w:val="left"/>
              <w:rPr/>
            </w:pPr>
            <w:r>
              <w:rPr/>
              <w:t> </w:t>
            </w:r>
          </w:p>
        </w:tc>
        <w:tc>
          <w:tcPr>
            <w:tcW w:w="153" w:type="dxa"/>
            <w:tcBorders/>
            <w:shd w:fill="CCEEFF" w:val="clear"/>
            <w:tcMar>
              <w:bottom w:w="0" w:type="dxa"/>
            </w:tcMar>
            <w:vAlign w:val="bottom"/>
          </w:tcPr>
          <w:p>
            <w:pPr>
              <w:pStyle w:val="TableContents"/>
              <w:spacing w:before="0" w:after="283"/>
              <w:jc w:val="left"/>
              <w:rPr/>
            </w:pPr>
            <w:r>
              <w:rPr/>
              <w:t> </w:t>
            </w:r>
          </w:p>
        </w:tc>
        <w:tc>
          <w:tcPr>
            <w:tcW w:w="1324" w:type="dxa"/>
            <w:tcBorders/>
            <w:shd w:fill="CCEEFF" w:val="clear"/>
            <w:tcMar>
              <w:bottom w:w="0" w:type="dxa"/>
            </w:tcMar>
            <w:vAlign w:val="bottom"/>
          </w:tcPr>
          <w:p>
            <w:pPr>
              <w:pStyle w:val="TableContents"/>
              <w:spacing w:before="0" w:after="283"/>
              <w:jc w:val="right"/>
              <w:rPr>
                <w:rFonts w:ascii="helvetica" w:hAnsi="helvetica"/>
                <w:sz w:val="20"/>
              </w:rPr>
            </w:pPr>
            <w:r>
              <w:rPr>
                <w:rFonts w:ascii="helvetica" w:hAnsi="helvetica"/>
                <w:sz w:val="20"/>
              </w:rPr>
              <w:t>3,639</w:t>
            </w:r>
          </w:p>
        </w:tc>
        <w:tc>
          <w:tcPr>
            <w:tcW w:w="112" w:type="dxa"/>
            <w:tcBorders/>
            <w:shd w:fill="CCEEFF" w:val="clear"/>
            <w:tcMar>
              <w:bottom w:w="0" w:type="dxa"/>
            </w:tcMar>
            <w:vAlign w:val="bottom"/>
          </w:tcPr>
          <w:p>
            <w:pPr>
              <w:pStyle w:val="TableContents"/>
              <w:spacing w:before="0" w:after="283"/>
              <w:jc w:val="left"/>
              <w:rPr/>
            </w:pPr>
            <w:r>
              <w:rPr/>
              <w:t> </w:t>
            </w:r>
          </w:p>
        </w:tc>
        <w:tc>
          <w:tcPr>
            <w:tcW w:w="112" w:type="dxa"/>
            <w:tcBorders/>
            <w:shd w:fill="CCEEFF" w:val="clear"/>
            <w:tcMar>
              <w:bottom w:w="0" w:type="dxa"/>
            </w:tcMar>
            <w:vAlign w:val="bottom"/>
          </w:tcPr>
          <w:p>
            <w:pPr>
              <w:pStyle w:val="TableContents"/>
              <w:spacing w:before="0" w:after="283"/>
              <w:jc w:val="left"/>
              <w:rPr/>
            </w:pPr>
            <w:r>
              <w:rPr/>
              <w:t> </w:t>
            </w:r>
          </w:p>
        </w:tc>
        <w:tc>
          <w:tcPr>
            <w:tcW w:w="486" w:type="dxa"/>
            <w:tcBorders/>
            <w:shd w:fill="CCEEFF" w:val="clear"/>
            <w:tcMar>
              <w:bottom w:w="0" w:type="dxa"/>
            </w:tcMar>
            <w:vAlign w:val="bottom"/>
          </w:tcPr>
          <w:p>
            <w:pPr>
              <w:pStyle w:val="TableContents"/>
              <w:spacing w:before="0" w:after="283"/>
              <w:jc w:val="left"/>
              <w:rPr/>
            </w:pPr>
            <w:r>
              <w:rPr/>
              <w:t> </w:t>
            </w:r>
          </w:p>
        </w:tc>
        <w:tc>
          <w:tcPr>
            <w:tcW w:w="1111" w:type="dxa"/>
            <w:tcBorders/>
            <w:shd w:fill="CCEEFF" w:val="clear"/>
            <w:tcMar>
              <w:bottom w:w="0" w:type="dxa"/>
            </w:tcMar>
            <w:vAlign w:val="bottom"/>
          </w:tcPr>
          <w:p>
            <w:pPr>
              <w:pStyle w:val="TableContents"/>
              <w:spacing w:before="0" w:after="283"/>
              <w:jc w:val="right"/>
              <w:rPr>
                <w:rFonts w:ascii="helvetica" w:hAnsi="helvetica"/>
                <w:sz w:val="20"/>
              </w:rPr>
            </w:pPr>
            <w:r>
              <w:rPr>
                <w:rFonts w:ascii="helvetica" w:hAnsi="helvetica"/>
                <w:sz w:val="20"/>
              </w:rPr>
              <w:t>-</w:t>
            </w:r>
          </w:p>
        </w:tc>
        <w:tc>
          <w:tcPr>
            <w:tcW w:w="112" w:type="dxa"/>
            <w:tcBorders/>
            <w:shd w:fill="CCEEFF" w:val="clear"/>
            <w:tcMar>
              <w:bottom w:w="0" w:type="dxa"/>
            </w:tcMar>
            <w:vAlign w:val="bottom"/>
          </w:tcPr>
          <w:p>
            <w:pPr>
              <w:pStyle w:val="TableContents"/>
              <w:spacing w:before="0" w:after="283"/>
              <w:jc w:val="left"/>
              <w:rPr/>
            </w:pPr>
            <w:r>
              <w:rPr/>
              <w:t> </w:t>
            </w:r>
          </w:p>
        </w:tc>
        <w:tc>
          <w:tcPr>
            <w:tcW w:w="112" w:type="dxa"/>
            <w:tcBorders/>
            <w:shd w:fill="CCEEFF" w:val="clear"/>
            <w:tcMar>
              <w:bottom w:w="0" w:type="dxa"/>
            </w:tcMar>
            <w:vAlign w:val="bottom"/>
          </w:tcPr>
          <w:p>
            <w:pPr>
              <w:pStyle w:val="TableContents"/>
              <w:spacing w:before="0" w:after="283"/>
              <w:jc w:val="left"/>
              <w:rPr/>
            </w:pPr>
            <w:r>
              <w:rPr/>
              <w:t> </w:t>
            </w:r>
          </w:p>
        </w:tc>
        <w:tc>
          <w:tcPr>
            <w:tcW w:w="137" w:type="dxa"/>
            <w:tcBorders/>
            <w:shd w:fill="CCEEFF" w:val="clear"/>
            <w:tcMar>
              <w:bottom w:w="0" w:type="dxa"/>
            </w:tcMar>
            <w:vAlign w:val="bottom"/>
          </w:tcPr>
          <w:p>
            <w:pPr>
              <w:pStyle w:val="TableContents"/>
              <w:spacing w:before="0" w:after="283"/>
              <w:jc w:val="left"/>
              <w:rPr/>
            </w:pPr>
            <w:r>
              <w:rPr/>
              <w:t> </w:t>
            </w:r>
          </w:p>
        </w:tc>
        <w:tc>
          <w:tcPr>
            <w:tcW w:w="1061" w:type="dxa"/>
            <w:tcBorders/>
            <w:shd w:fill="CCEEFF" w:val="clear"/>
            <w:tcMar>
              <w:bottom w:w="0" w:type="dxa"/>
            </w:tcMar>
            <w:vAlign w:val="bottom"/>
          </w:tcPr>
          <w:p>
            <w:pPr>
              <w:pStyle w:val="TableContents"/>
              <w:spacing w:before="0" w:after="283"/>
              <w:jc w:val="right"/>
              <w:rPr>
                <w:rFonts w:ascii="helvetica" w:hAnsi="helvetica"/>
                <w:sz w:val="20"/>
              </w:rPr>
            </w:pPr>
            <w:r>
              <w:rPr>
                <w:rFonts w:ascii="helvetica" w:hAnsi="helvetica"/>
                <w:sz w:val="20"/>
              </w:rPr>
              <w:t>4.00</w:t>
            </w:r>
          </w:p>
        </w:tc>
        <w:tc>
          <w:tcPr>
            <w:tcW w:w="112" w:type="dxa"/>
            <w:tcBorders/>
            <w:shd w:fill="CCEEFF" w:val="clear"/>
            <w:tcMar>
              <w:bottom w:w="0" w:type="dxa"/>
            </w:tcMar>
            <w:vAlign w:val="bottom"/>
          </w:tcPr>
          <w:p>
            <w:pPr>
              <w:pStyle w:val="TableContents"/>
              <w:spacing w:before="0" w:after="283"/>
              <w:jc w:val="left"/>
              <w:rPr/>
            </w:pPr>
            <w:r>
              <w:rPr/>
              <w:t> </w:t>
            </w:r>
          </w:p>
        </w:tc>
        <w:tc>
          <w:tcPr>
            <w:tcW w:w="2484" w:type="dxa"/>
            <w:tcBorders/>
            <w:shd w:fill="CCEEFF" w:val="clear"/>
            <w:tcMar>
              <w:bottom w:w="0" w:type="dxa"/>
            </w:tcMar>
            <w:vAlign w:val="bottom"/>
          </w:tcPr>
          <w:p>
            <w:pPr>
              <w:pStyle w:val="TableContents"/>
              <w:spacing w:before="0" w:after="0"/>
              <w:ind w:left="0" w:right="0" w:hanging="0"/>
              <w:jc w:val="right"/>
              <w:rPr>
                <w:rFonts w:ascii="helvetica" w:hAnsi="helvetica"/>
                <w:sz w:val="20"/>
              </w:rPr>
            </w:pPr>
            <w:r>
              <w:rPr>
                <w:rFonts w:ascii="helvetica" w:hAnsi="helvetica"/>
                <w:sz w:val="20"/>
              </w:rPr>
              <w:t>12/15/2014</w:t>
            </w:r>
          </w:p>
        </w:tc>
      </w:tr>
      <w:tr>
        <w:trPr/>
        <w:tc>
          <w:tcPr>
            <w:tcW w:w="2777" w:type="dxa"/>
            <w:tcBorders/>
            <w:shd w:fill="FFFFFF" w:val="clear"/>
            <w:tcMar>
              <w:bottom w:w="0" w:type="dxa"/>
            </w:tcMar>
            <w:vAlign w:val="bottom"/>
          </w:tcPr>
          <w:p>
            <w:pPr>
              <w:pStyle w:val="TableContents"/>
              <w:spacing w:before="0" w:after="0"/>
              <w:ind w:left="0" w:right="0" w:hanging="0"/>
              <w:jc w:val="left"/>
              <w:rPr>
                <w:rFonts w:ascii="helvetica" w:hAnsi="helvetica"/>
                <w:sz w:val="20"/>
              </w:rPr>
            </w:pPr>
            <w:r>
              <w:rPr>
                <w:rFonts w:ascii="helvetica" w:hAnsi="helvetica"/>
                <w:sz w:val="20"/>
              </w:rPr>
              <w:t>Joachim Schupp (4)</w:t>
            </w:r>
          </w:p>
        </w:tc>
        <w:tc>
          <w:tcPr>
            <w:tcW w:w="112" w:type="dxa"/>
            <w:tcBorders/>
            <w:shd w:fill="FFFFFF" w:val="clear"/>
            <w:tcMar>
              <w:bottom w:w="0" w:type="dxa"/>
            </w:tcMar>
            <w:vAlign w:val="bottom"/>
          </w:tcPr>
          <w:p>
            <w:pPr>
              <w:pStyle w:val="TableContents"/>
              <w:spacing w:before="0" w:after="283"/>
              <w:jc w:val="left"/>
              <w:rPr/>
            </w:pPr>
            <w:r>
              <w:rPr/>
              <w:t> </w:t>
            </w:r>
          </w:p>
        </w:tc>
        <w:tc>
          <w:tcPr>
            <w:tcW w:w="153" w:type="dxa"/>
            <w:tcBorders/>
            <w:shd w:fill="FFFFFF" w:val="clear"/>
            <w:tcMar>
              <w:bottom w:w="0" w:type="dxa"/>
            </w:tcMar>
            <w:vAlign w:val="bottom"/>
          </w:tcPr>
          <w:p>
            <w:pPr>
              <w:pStyle w:val="TableContents"/>
              <w:spacing w:before="0" w:after="283"/>
              <w:jc w:val="left"/>
              <w:rPr/>
            </w:pPr>
            <w:r>
              <w:rPr/>
              <w:t> </w:t>
            </w:r>
          </w:p>
        </w:tc>
        <w:tc>
          <w:tcPr>
            <w:tcW w:w="1324" w:type="dxa"/>
            <w:tcBorders/>
            <w:shd w:fill="FFFFFF" w:val="clear"/>
            <w:tcMar>
              <w:bottom w:w="0" w:type="dxa"/>
            </w:tcMar>
            <w:vAlign w:val="bottom"/>
          </w:tcPr>
          <w:p>
            <w:pPr>
              <w:pStyle w:val="TableContents"/>
              <w:spacing w:before="0" w:after="283"/>
              <w:jc w:val="right"/>
              <w:rPr>
                <w:rFonts w:ascii="helvetica" w:hAnsi="helvetica"/>
                <w:sz w:val="20"/>
              </w:rPr>
            </w:pPr>
            <w:r>
              <w:rPr>
                <w:rFonts w:ascii="helvetica" w:hAnsi="helvetica"/>
                <w:sz w:val="20"/>
              </w:rPr>
              <w:t>492</w:t>
            </w:r>
          </w:p>
        </w:tc>
        <w:tc>
          <w:tcPr>
            <w:tcW w:w="112" w:type="dxa"/>
            <w:tcBorders/>
            <w:shd w:fill="FFFFFF" w:val="clear"/>
            <w:tcMar>
              <w:bottom w:w="0" w:type="dxa"/>
            </w:tcMar>
            <w:vAlign w:val="bottom"/>
          </w:tcPr>
          <w:p>
            <w:pPr>
              <w:pStyle w:val="TableContents"/>
              <w:spacing w:before="0" w:after="283"/>
              <w:jc w:val="left"/>
              <w:rPr/>
            </w:pPr>
            <w:r>
              <w:rPr/>
              <w:t> </w:t>
            </w:r>
          </w:p>
        </w:tc>
        <w:tc>
          <w:tcPr>
            <w:tcW w:w="112" w:type="dxa"/>
            <w:tcBorders/>
            <w:shd w:fill="FFFFFF" w:val="clear"/>
            <w:tcMar>
              <w:bottom w:w="0" w:type="dxa"/>
            </w:tcMar>
            <w:vAlign w:val="bottom"/>
          </w:tcPr>
          <w:p>
            <w:pPr>
              <w:pStyle w:val="TableContents"/>
              <w:spacing w:before="0" w:after="283"/>
              <w:jc w:val="left"/>
              <w:rPr/>
            </w:pPr>
            <w:r>
              <w:rPr/>
              <w:t> </w:t>
            </w:r>
          </w:p>
        </w:tc>
        <w:tc>
          <w:tcPr>
            <w:tcW w:w="486" w:type="dxa"/>
            <w:tcBorders/>
            <w:shd w:fill="FFFFFF" w:val="clear"/>
            <w:tcMar>
              <w:bottom w:w="0" w:type="dxa"/>
            </w:tcMar>
            <w:vAlign w:val="bottom"/>
          </w:tcPr>
          <w:p>
            <w:pPr>
              <w:pStyle w:val="TableContents"/>
              <w:spacing w:before="0" w:after="283"/>
              <w:jc w:val="left"/>
              <w:rPr/>
            </w:pPr>
            <w:r>
              <w:rPr/>
              <w:t> </w:t>
            </w:r>
          </w:p>
        </w:tc>
        <w:tc>
          <w:tcPr>
            <w:tcW w:w="1111" w:type="dxa"/>
            <w:tcBorders/>
            <w:shd w:fill="FFFFFF" w:val="clear"/>
            <w:tcMar>
              <w:bottom w:w="0" w:type="dxa"/>
            </w:tcMar>
            <w:vAlign w:val="bottom"/>
          </w:tcPr>
          <w:p>
            <w:pPr>
              <w:pStyle w:val="TableContents"/>
              <w:spacing w:before="0" w:after="283"/>
              <w:jc w:val="right"/>
              <w:rPr>
                <w:rFonts w:ascii="helvetica" w:hAnsi="helvetica"/>
                <w:sz w:val="20"/>
              </w:rPr>
            </w:pPr>
            <w:r>
              <w:rPr>
                <w:rFonts w:ascii="helvetica" w:hAnsi="helvetica"/>
                <w:sz w:val="20"/>
              </w:rPr>
              <w:t>-</w:t>
            </w:r>
          </w:p>
        </w:tc>
        <w:tc>
          <w:tcPr>
            <w:tcW w:w="112" w:type="dxa"/>
            <w:tcBorders/>
            <w:shd w:fill="FFFFFF" w:val="clear"/>
            <w:tcMar>
              <w:bottom w:w="0" w:type="dxa"/>
            </w:tcMar>
            <w:vAlign w:val="bottom"/>
          </w:tcPr>
          <w:p>
            <w:pPr>
              <w:pStyle w:val="TableContents"/>
              <w:spacing w:before="0" w:after="283"/>
              <w:jc w:val="left"/>
              <w:rPr/>
            </w:pPr>
            <w:r>
              <w:rPr/>
              <w:t> </w:t>
            </w:r>
          </w:p>
        </w:tc>
        <w:tc>
          <w:tcPr>
            <w:tcW w:w="112" w:type="dxa"/>
            <w:tcBorders/>
            <w:shd w:fill="FFFFFF" w:val="clear"/>
            <w:tcMar>
              <w:bottom w:w="0" w:type="dxa"/>
            </w:tcMar>
            <w:vAlign w:val="bottom"/>
          </w:tcPr>
          <w:p>
            <w:pPr>
              <w:pStyle w:val="TableContents"/>
              <w:spacing w:before="0" w:after="283"/>
              <w:jc w:val="left"/>
              <w:rPr/>
            </w:pPr>
            <w:r>
              <w:rPr/>
              <w:t> </w:t>
            </w:r>
          </w:p>
        </w:tc>
        <w:tc>
          <w:tcPr>
            <w:tcW w:w="137" w:type="dxa"/>
            <w:tcBorders/>
            <w:shd w:fill="FFFFFF" w:val="clear"/>
            <w:tcMar>
              <w:bottom w:w="0" w:type="dxa"/>
            </w:tcMar>
            <w:vAlign w:val="bottom"/>
          </w:tcPr>
          <w:p>
            <w:pPr>
              <w:pStyle w:val="TableContents"/>
              <w:spacing w:before="0" w:after="283"/>
              <w:jc w:val="left"/>
              <w:rPr/>
            </w:pPr>
            <w:r>
              <w:rPr/>
              <w:t> </w:t>
            </w:r>
          </w:p>
        </w:tc>
        <w:tc>
          <w:tcPr>
            <w:tcW w:w="1061" w:type="dxa"/>
            <w:tcBorders/>
            <w:shd w:fill="FFFFFF" w:val="clear"/>
            <w:tcMar>
              <w:bottom w:w="0" w:type="dxa"/>
            </w:tcMar>
            <w:vAlign w:val="bottom"/>
          </w:tcPr>
          <w:p>
            <w:pPr>
              <w:pStyle w:val="TableContents"/>
              <w:spacing w:before="0" w:after="283"/>
              <w:jc w:val="right"/>
              <w:rPr>
                <w:rFonts w:ascii="helvetica" w:hAnsi="helvetica"/>
                <w:sz w:val="20"/>
              </w:rPr>
            </w:pPr>
            <w:r>
              <w:rPr>
                <w:rFonts w:ascii="helvetica" w:hAnsi="helvetica"/>
                <w:sz w:val="20"/>
              </w:rPr>
              <w:t>4.00</w:t>
            </w:r>
          </w:p>
        </w:tc>
        <w:tc>
          <w:tcPr>
            <w:tcW w:w="112" w:type="dxa"/>
            <w:tcBorders/>
            <w:shd w:fill="FFFFFF" w:val="clear"/>
            <w:tcMar>
              <w:bottom w:w="0" w:type="dxa"/>
            </w:tcMar>
            <w:vAlign w:val="bottom"/>
          </w:tcPr>
          <w:p>
            <w:pPr>
              <w:pStyle w:val="TableContents"/>
              <w:spacing w:before="0" w:after="283"/>
              <w:jc w:val="left"/>
              <w:rPr/>
            </w:pPr>
            <w:r>
              <w:rPr/>
              <w:t> </w:t>
            </w:r>
          </w:p>
        </w:tc>
        <w:tc>
          <w:tcPr>
            <w:tcW w:w="2484" w:type="dxa"/>
            <w:tcBorders/>
            <w:shd w:fill="FFFFFF" w:val="clear"/>
            <w:tcMar>
              <w:bottom w:w="0" w:type="dxa"/>
            </w:tcMar>
            <w:vAlign w:val="bottom"/>
          </w:tcPr>
          <w:p>
            <w:pPr>
              <w:pStyle w:val="TableContents"/>
              <w:spacing w:before="0" w:after="0"/>
              <w:ind w:left="0" w:right="0" w:hanging="0"/>
              <w:jc w:val="right"/>
              <w:rPr>
                <w:rFonts w:ascii="helvetica" w:hAnsi="helvetica"/>
                <w:sz w:val="20"/>
              </w:rPr>
            </w:pPr>
            <w:r>
              <w:rPr>
                <w:rFonts w:ascii="helvetica" w:hAnsi="helvetica"/>
                <w:sz w:val="20"/>
              </w:rPr>
              <w:t>12/15/2014</w:t>
            </w:r>
          </w:p>
        </w:tc>
      </w:tr>
    </w:tbl>
    <w:p>
      <w:pPr>
        <w:pStyle w:val="TextBody"/>
        <w:spacing w:before="0" w:after="0"/>
        <w:ind w:left="0" w:right="0" w:hanging="0"/>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813" w:name="PGBRK64"/>
      <w:bookmarkStart w:id="814" w:name="PGBRK64"/>
      <w:bookmarkEnd w:id="81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815" w:name="FTR64"/>
      <w:bookmarkStart w:id="816" w:name="FTR64"/>
      <w:bookmarkEnd w:id="81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817" w:name="GLFTR63"/>
      <w:bookmarkEnd w:id="817"/>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helvetica" w:hAnsi="helvetica"/>
          <w:sz w:val="20"/>
        </w:rPr>
      </w:pPr>
      <w:bookmarkStart w:id="818" w:name="PN63"/>
      <w:bookmarkEnd w:id="818"/>
      <w:r>
        <w:rPr>
          <w:rFonts w:ascii="helvetica" w:hAnsi="helvetica"/>
          <w:sz w:val="20"/>
        </w:rPr>
        <w:t>62</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819" w:name="HDR63"/>
      <w:bookmarkStart w:id="820" w:name="HDR63"/>
      <w:bookmarkEnd w:id="82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821" w:name="GLHDR63"/>
      <w:bookmarkEnd w:id="821"/>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Normal"/>
        <w:spacing w:before="0" w:after="0"/>
        <w:rPr>
          <w:sz w:val="4"/>
          <w:szCs w:val="4"/>
        </w:rPr>
      </w:pPr>
      <w:r>
        <w:rPr>
          <w:sz w:val="4"/>
          <w:szCs w:val="4"/>
        </w:rPr>
      </w:r>
      <w:bookmarkStart w:id="822" w:name="list108"/>
      <w:bookmarkStart w:id="823" w:name="list108"/>
      <w:bookmarkEnd w:id="823"/>
    </w:p>
    <w:tbl>
      <w:tblPr>
        <w:tblW w:w="5000" w:type="pct"/>
        <w:jc w:val="left"/>
        <w:tblInd w:w="0" w:type="dxa"/>
        <w:tblCellMar>
          <w:top w:w="0" w:type="dxa"/>
          <w:left w:w="0" w:type="dxa"/>
          <w:bottom w:w="0" w:type="dxa"/>
          <w:right w:w="0" w:type="dxa"/>
        </w:tblCellMar>
      </w:tblPr>
      <w:tblGrid>
        <w:gridCol w:w="249"/>
        <w:gridCol w:w="9956"/>
      </w:tblGrid>
      <w:tr>
        <w:trPr/>
        <w:tc>
          <w:tcPr>
            <w:tcW w:w="249" w:type="dxa"/>
            <w:tcBorders/>
            <w:shd w:fill="auto" w:val="clear"/>
          </w:tcPr>
          <w:p>
            <w:pPr>
              <w:pStyle w:val="TableContents"/>
              <w:spacing w:before="0" w:after="0"/>
              <w:jc w:val="right"/>
              <w:rPr>
                <w:rFonts w:ascii="helvetica" w:hAnsi="helvetica"/>
                <w:sz w:val="20"/>
              </w:rPr>
            </w:pPr>
            <w:r>
              <w:rPr>
                <w:rFonts w:ascii="helvetica" w:hAnsi="helvetica"/>
                <w:sz w:val="20"/>
              </w:rPr>
              <w:t>(1)  </w:t>
            </w:r>
          </w:p>
        </w:tc>
        <w:tc>
          <w:tcPr>
            <w:tcW w:w="9956" w:type="dxa"/>
            <w:tcBorders/>
            <w:shd w:fill="auto" w:val="clear"/>
          </w:tcPr>
          <w:p>
            <w:pPr>
              <w:pStyle w:val="TableContents"/>
              <w:spacing w:before="0" w:after="0"/>
              <w:ind w:left="0" w:right="0" w:hanging="0"/>
              <w:jc w:val="both"/>
              <w:rPr>
                <w:rFonts w:ascii="helvetica" w:hAnsi="helvetica"/>
                <w:sz w:val="20"/>
              </w:rPr>
            </w:pPr>
            <w:r>
              <w:rPr>
                <w:rFonts w:ascii="helvetica" w:hAnsi="helvetica"/>
                <w:sz w:val="20"/>
              </w:rPr>
              <w:t>The Board accepted the resignation of John N. Bonfiglio, Ph.D. as Chief Executive Officer of the Company and as a director on the Board, effective May 13, 2011. Except for the options reflected in the table, which were granted on December 15, 2011 in connection with a release given by Dr. Bonfiglio upon DermaStar’s investment in the Company, any unvested options were forfeited at the resignation date and all vested options expired 90 days subsequent to the resignation date.</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824" w:name="list109"/>
      <w:bookmarkStart w:id="825" w:name="list109"/>
      <w:bookmarkEnd w:id="825"/>
    </w:p>
    <w:tbl>
      <w:tblPr>
        <w:tblW w:w="5000" w:type="pct"/>
        <w:jc w:val="left"/>
        <w:tblInd w:w="0" w:type="dxa"/>
        <w:tblCellMar>
          <w:top w:w="0" w:type="dxa"/>
          <w:left w:w="0" w:type="dxa"/>
          <w:bottom w:w="0" w:type="dxa"/>
          <w:right w:w="0" w:type="dxa"/>
        </w:tblCellMar>
      </w:tblPr>
      <w:tblGrid>
        <w:gridCol w:w="248"/>
        <w:gridCol w:w="9957"/>
      </w:tblGrid>
      <w:tr>
        <w:trPr/>
        <w:tc>
          <w:tcPr>
            <w:tcW w:w="248" w:type="dxa"/>
            <w:tcBorders/>
            <w:shd w:fill="auto" w:val="clear"/>
          </w:tcPr>
          <w:p>
            <w:pPr>
              <w:pStyle w:val="TableContents"/>
              <w:spacing w:before="0" w:after="0"/>
              <w:jc w:val="right"/>
              <w:rPr>
                <w:rFonts w:ascii="helvetica" w:hAnsi="helvetica"/>
                <w:sz w:val="20"/>
              </w:rPr>
            </w:pPr>
            <w:r>
              <w:rPr>
                <w:rFonts w:ascii="helvetica" w:hAnsi="helvetica"/>
                <w:sz w:val="20"/>
              </w:rPr>
              <w:t>(2)  </w:t>
            </w:r>
          </w:p>
        </w:tc>
        <w:tc>
          <w:tcPr>
            <w:tcW w:w="9957" w:type="dxa"/>
            <w:tcBorders/>
            <w:shd w:fill="auto" w:val="clear"/>
          </w:tcPr>
          <w:p>
            <w:pPr>
              <w:pStyle w:val="TableContents"/>
              <w:spacing w:before="0" w:after="0"/>
              <w:ind w:left="0" w:right="0" w:hanging="0"/>
              <w:jc w:val="both"/>
              <w:rPr>
                <w:rFonts w:ascii="helvetica" w:hAnsi="helvetica"/>
                <w:sz w:val="20"/>
              </w:rPr>
            </w:pPr>
            <w:r>
              <w:rPr>
                <w:rFonts w:ascii="helvetica" w:hAnsi="helvetica"/>
                <w:sz w:val="20"/>
              </w:rPr>
              <w:t>The Board accepted the resignation of John T. Lomoro as Principal Executive Officer, Chief Financial Officer and Treasurer of the Company, effective September 16, 2011.  Except for the options reflected in the table, which were granted on December 15, 2011 in connection with a release given by Mr. Lomoro upon DermaStar’s investment in the Company, any unvested options were forfeited at the resignation date and all vested options expired 90 days subsequent to the resignation date.</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826" w:name="list110"/>
      <w:bookmarkStart w:id="827" w:name="list110"/>
      <w:bookmarkEnd w:id="827"/>
    </w:p>
    <w:tbl>
      <w:tblPr>
        <w:tblW w:w="5000" w:type="pct"/>
        <w:jc w:val="left"/>
        <w:tblInd w:w="0" w:type="dxa"/>
        <w:tblCellMar>
          <w:top w:w="0" w:type="dxa"/>
          <w:left w:w="0" w:type="dxa"/>
          <w:bottom w:w="0" w:type="dxa"/>
          <w:right w:w="0" w:type="dxa"/>
        </w:tblCellMar>
      </w:tblPr>
      <w:tblGrid>
        <w:gridCol w:w="251"/>
        <w:gridCol w:w="9954"/>
      </w:tblGrid>
      <w:tr>
        <w:trPr/>
        <w:tc>
          <w:tcPr>
            <w:tcW w:w="251" w:type="dxa"/>
            <w:tcBorders/>
            <w:shd w:fill="auto" w:val="clear"/>
          </w:tcPr>
          <w:p>
            <w:pPr>
              <w:pStyle w:val="TableContents"/>
              <w:spacing w:before="0" w:after="0"/>
              <w:jc w:val="right"/>
              <w:rPr>
                <w:rFonts w:ascii="helvetica" w:hAnsi="helvetica"/>
                <w:sz w:val="20"/>
              </w:rPr>
            </w:pPr>
            <w:r>
              <w:rPr>
                <w:rFonts w:ascii="helvetica" w:hAnsi="helvetica"/>
                <w:sz w:val="20"/>
              </w:rPr>
              <w:t>(3)  </w:t>
            </w:r>
          </w:p>
        </w:tc>
        <w:tc>
          <w:tcPr>
            <w:tcW w:w="9954" w:type="dxa"/>
            <w:tcBorders/>
            <w:shd w:fill="auto" w:val="clear"/>
          </w:tcPr>
          <w:p>
            <w:pPr>
              <w:pStyle w:val="TableContents"/>
              <w:spacing w:before="0" w:after="0"/>
              <w:ind w:left="0" w:right="0" w:hanging="0"/>
              <w:jc w:val="both"/>
              <w:rPr>
                <w:rFonts w:ascii="helvetica" w:hAnsi="helvetica"/>
                <w:sz w:val="20"/>
              </w:rPr>
            </w:pPr>
            <w:r>
              <w:rPr>
                <w:rFonts w:ascii="helvetica" w:hAnsi="helvetica"/>
                <w:sz w:val="20"/>
              </w:rPr>
              <w:t>Effective December 16, 2011, Terry Nida resigned as Principal Executive Officer and Principal Financial Officer of the Company.  Except for the options reflected in the table, which were granted on December 15, 2011 in connection with a release given by Mr. Nida upon DermaStar’s investment in the Company, any unvested options were forfeited at the resignation date and all vested options expire 90 days subsequent to the resignation date.</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828" w:name="list111"/>
      <w:bookmarkStart w:id="829" w:name="list111"/>
      <w:bookmarkEnd w:id="829"/>
    </w:p>
    <w:tbl>
      <w:tblPr>
        <w:tblW w:w="5000" w:type="pct"/>
        <w:jc w:val="left"/>
        <w:tblInd w:w="0" w:type="dxa"/>
        <w:tblCellMar>
          <w:top w:w="0" w:type="dxa"/>
          <w:left w:w="0" w:type="dxa"/>
          <w:bottom w:w="0" w:type="dxa"/>
          <w:right w:w="0" w:type="dxa"/>
        </w:tblCellMar>
      </w:tblPr>
      <w:tblGrid>
        <w:gridCol w:w="253"/>
        <w:gridCol w:w="9952"/>
      </w:tblGrid>
      <w:tr>
        <w:trPr/>
        <w:tc>
          <w:tcPr>
            <w:tcW w:w="253" w:type="dxa"/>
            <w:tcBorders/>
            <w:shd w:fill="auto" w:val="clear"/>
          </w:tcPr>
          <w:p>
            <w:pPr>
              <w:pStyle w:val="TableContents"/>
              <w:spacing w:before="0" w:after="0"/>
              <w:jc w:val="right"/>
              <w:rPr>
                <w:rFonts w:ascii="helvetica" w:hAnsi="helvetica"/>
                <w:sz w:val="20"/>
              </w:rPr>
            </w:pPr>
            <w:r>
              <w:rPr>
                <w:rFonts w:ascii="helvetica" w:hAnsi="helvetica"/>
                <w:sz w:val="20"/>
              </w:rPr>
              <w:t>(4)  </w:t>
            </w:r>
          </w:p>
        </w:tc>
        <w:tc>
          <w:tcPr>
            <w:tcW w:w="9952" w:type="dxa"/>
            <w:tcBorders/>
            <w:shd w:fill="auto" w:val="clear"/>
          </w:tcPr>
          <w:p>
            <w:pPr>
              <w:pStyle w:val="TableContents"/>
              <w:spacing w:before="0" w:after="0"/>
              <w:ind w:left="0" w:right="0" w:hanging="0"/>
              <w:jc w:val="both"/>
              <w:rPr>
                <w:rFonts w:ascii="helvetica" w:hAnsi="helvetica"/>
                <w:sz w:val="20"/>
              </w:rPr>
            </w:pPr>
            <w:r>
              <w:rPr>
                <w:rFonts w:ascii="helvetica" w:hAnsi="helvetica"/>
                <w:sz w:val="20"/>
              </w:rPr>
              <w:t>Effective April 30, 2011, Joachim P.H. Schupp resigned as Chief Medical Officer of the Company.  Except for the options reflected in the table, which were granted on December 15, 2011 in connection with a release given by Dr. Schupp upon DermaStar’s investment in the Company, any unvested options were forfeited at the resignation date and all vested options expired 90 days subsequent to the resignation date.</w:t>
            </w:r>
          </w:p>
        </w:tc>
      </w:tr>
    </w:tbl>
    <w:p>
      <w:pPr>
        <w:pStyle w:val="TextBody"/>
        <w:spacing w:before="0" w:after="0"/>
        <w:ind w:left="0" w:right="0" w:hanging="0"/>
        <w:rPr/>
      </w:pPr>
      <w:r>
        <w:rPr/>
        <w:t> </w:t>
      </w:r>
    </w:p>
    <w:p>
      <w:pPr>
        <w:pStyle w:val="TextBody"/>
        <w:spacing w:before="0" w:after="0"/>
        <w:ind w:left="0" w:right="0" w:hanging="0"/>
        <w:jc w:val="left"/>
        <w:rPr>
          <w:rFonts w:ascii="helvetica" w:hAnsi="helvetica"/>
          <w:b/>
          <w:sz w:val="20"/>
        </w:rPr>
      </w:pPr>
      <w:r>
        <w:rPr>
          <w:rFonts w:ascii="helvetica" w:hAnsi="helvetica"/>
          <w:b/>
          <w:sz w:val="20"/>
        </w:rPr>
        <w:t>Employment Agreements</w:t>
      </w:r>
    </w:p>
    <w:p>
      <w:pPr>
        <w:pStyle w:val="TextBody"/>
        <w:spacing w:before="0" w:after="0"/>
        <w:ind w:left="0" w:right="0" w:hanging="0"/>
        <w:rPr/>
      </w:pPr>
      <w:r>
        <w:rPr/>
        <w:t> </w:t>
      </w:r>
    </w:p>
    <w:p>
      <w:pPr>
        <w:pStyle w:val="TextBody"/>
        <w:spacing w:before="0" w:after="0"/>
        <w:ind w:left="0" w:right="0" w:hanging="0"/>
        <w:jc w:val="left"/>
        <w:rPr>
          <w:rFonts w:ascii="helvetica" w:hAnsi="helvetica"/>
          <w:i/>
          <w:sz w:val="20"/>
        </w:rPr>
      </w:pPr>
      <w:r>
        <w:rPr>
          <w:rFonts w:ascii="helvetica" w:hAnsi="helvetica"/>
          <w:i/>
          <w:sz w:val="20"/>
        </w:rPr>
        <w:t>Mark Baum</w:t>
      </w:r>
    </w:p>
    <w:p>
      <w:pPr>
        <w:pStyle w:val="TextBody"/>
        <w:spacing w:before="0" w:after="0"/>
        <w:ind w:left="0" w:right="0" w:hanging="0"/>
        <w:rPr/>
      </w:pPr>
      <w:r>
        <w:rPr/>
        <w:t> </w:t>
      </w:r>
    </w:p>
    <w:p>
      <w:pPr>
        <w:pStyle w:val="TextBody"/>
        <w:spacing w:before="0" w:after="0"/>
        <w:ind w:left="0" w:right="0" w:firstLine="720"/>
        <w:jc w:val="left"/>
        <w:rPr>
          <w:rFonts w:ascii="helvetica" w:hAnsi="helvetica"/>
          <w:sz w:val="20"/>
        </w:rPr>
      </w:pPr>
      <w:r>
        <w:rPr>
          <w:rFonts w:ascii="helvetica" w:hAnsi="helvetica"/>
          <w:sz w:val="20"/>
        </w:rPr>
        <w:t>On April 1, 2012, the Board of Directors appointed Mr. Mark L. Baum, Esq. as our Chief Executive Officer. Mr. Baum had served as our Chairman of the Board of Directors and principal executive officer and Secretary since December 17, 2011. Concurrently with Mr. Baum’s appointment to Chief Executive Officer, Mr. Baum resigned from his position as Chairman of the Board. Mr. Baum continues to serve as a member of the Board of Directors and as Secretary. Concurrent with his appointment as Chief Executive Officer, we entered into an employment agreement with Mr. Baum, effective as of April 1, 2012, which was subsequently amended and restated on July 24, 2012 (as amended, the “Baum Employment Agreement”). Under the terms of the Baum Employment Agreement, Mr. Baum’s initial base annual salary is $200,400, with a minimum salary increase of no less than 15% annually. Mr. Baum may be eligible, at the sole discretion of the Board, to receive an annual cash bonus of up to 30% of his annual base salary beginning in the fiscal year ending 2013 contingent upon his satisfaction of certain company and individual performance criteria. Mr. Baum may be terminated by us at any time.  Upon the closing of a financing transaction that results in aggregate cash proceeds to the Company of over $5,000,000 at any time after July 24, 2012, Mr. Baum will automatically become entitled to receive a severance package of one year’s base salary and annual bonus in effect at the time of termination and continued Company paid healthcare expenses for one year upon the Company’s termination of Mr. Baum’s employment without cause.</w:t>
      </w:r>
    </w:p>
    <w:p>
      <w:pPr>
        <w:pStyle w:val="TextBody"/>
        <w:spacing w:before="0" w:after="0"/>
        <w:ind w:left="0" w:right="0" w:hanging="0"/>
        <w:rPr/>
      </w:pPr>
      <w:r>
        <w:rPr/>
        <w:t> </w:t>
      </w:r>
    </w:p>
    <w:p>
      <w:pPr>
        <w:pStyle w:val="TextBody"/>
        <w:spacing w:before="0" w:after="0"/>
        <w:ind w:left="0" w:right="0" w:firstLine="720"/>
        <w:jc w:val="left"/>
        <w:rPr>
          <w:rFonts w:ascii="helvetica" w:hAnsi="helvetica"/>
          <w:sz w:val="20"/>
        </w:rPr>
      </w:pPr>
      <w:r>
        <w:rPr>
          <w:rFonts w:ascii="helvetica" w:hAnsi="helvetica"/>
          <w:sz w:val="20"/>
        </w:rPr>
        <w:t>Also on April 1, 2012, the Company granted to Mr. Baum an option to purchase up to 60,000 shares of common stock at an exercise price of $4.50 per share under the 2007 Plan . The option terminates on March 31, 2017 and vests over a two year period, with 15,000 options vesting immediately upon issuance and an additional 1,875 options vesting monthly for the next twenty-four months thereafter.  The option vests immediately upon the involuntary termination of Mr. Baum’s employment within 12 months following a change in control, as defined in the 2007 Plan.</w:t>
      </w:r>
    </w:p>
    <w:p>
      <w:pPr>
        <w:pStyle w:val="TextBody"/>
        <w:spacing w:before="0" w:after="0"/>
        <w:ind w:left="0" w:right="0" w:hanging="0"/>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830" w:name="PGBRK65"/>
      <w:bookmarkStart w:id="831" w:name="PGBRK65"/>
      <w:bookmarkEnd w:id="83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832" w:name="FTR65"/>
      <w:bookmarkStart w:id="833" w:name="FTR65"/>
      <w:bookmarkEnd w:id="83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834" w:name="GLFTR64"/>
      <w:bookmarkEnd w:id="834"/>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helvetica" w:hAnsi="helvetica"/>
          <w:sz w:val="20"/>
        </w:rPr>
      </w:pPr>
      <w:bookmarkStart w:id="835" w:name="PN64"/>
      <w:bookmarkEnd w:id="835"/>
      <w:r>
        <w:rPr>
          <w:rFonts w:ascii="helvetica" w:hAnsi="helvetica"/>
          <w:sz w:val="20"/>
        </w:rPr>
        <w:t>63</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836" w:name="HDR64"/>
      <w:bookmarkStart w:id="837" w:name="HDR64"/>
      <w:bookmarkEnd w:id="83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838" w:name="GLHDR64"/>
      <w:bookmarkEnd w:id="838"/>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firstLine="720"/>
        <w:jc w:val="left"/>
        <w:rPr>
          <w:rFonts w:ascii="helvetica" w:hAnsi="helvetica"/>
          <w:sz w:val="20"/>
        </w:rPr>
      </w:pPr>
      <w:r>
        <w:rPr>
          <w:rFonts w:ascii="helvetica" w:hAnsi="helvetica"/>
          <w:sz w:val="20"/>
        </w:rPr>
        <w:t>On January 25, 2012, the Board approved an option grant to Mr. Baum to purchase up to 125,000 shares pursuant to the 2007 Plan. The options were issued to Mr. Baum for his uncompensated services as Chairman of the Board of Directors and significant ongoing services related, but not limited to, the Company’s emergence from Chapter 11 bankruptcy protection, negotiation with creditors, pursuit of additional financing opportunities and hiring of executive officers.  The option vests in twelve equal monthly periods commencing on January 25, 2012 and ending on January 25, 2013, and has an exercise price of $2.40.</w:t>
      </w:r>
    </w:p>
    <w:p>
      <w:pPr>
        <w:pStyle w:val="TextBody"/>
        <w:spacing w:before="0" w:after="0"/>
        <w:ind w:left="0" w:right="0" w:hanging="0"/>
        <w:rPr/>
      </w:pPr>
      <w:r>
        <w:rPr/>
        <w:t> </w:t>
      </w:r>
    </w:p>
    <w:p>
      <w:pPr>
        <w:pStyle w:val="TextBody"/>
        <w:spacing w:before="0" w:after="0"/>
        <w:ind w:left="0" w:right="0" w:firstLine="720"/>
        <w:jc w:val="left"/>
        <w:rPr>
          <w:rFonts w:ascii="helvetica" w:hAnsi="helvetica"/>
          <w:sz w:val="20"/>
        </w:rPr>
      </w:pPr>
      <w:r>
        <w:rPr>
          <w:rFonts w:ascii="helvetica" w:hAnsi="helvetica"/>
          <w:sz w:val="20"/>
        </w:rPr>
        <w:t>On July 18, 2012, the Board granted to Mr. Baum, in connection with his services as the Chief Executive Officer of the Company, 160,000 restricted stock units (RSUs) outside of the 2007 Plan.  The restricted stock units granted to Mr. Baum are subject to certain performance-based vesting criteria, such that 40,000 RSUs will vest upon the satisfaction of each of the following events:  (i) successful completion of a financing that results in aggregate cash proceeds to the Company of at least $5,000,000 at any time following the effective date of the grant; (ii) the Company meets the primary endpoints of its Phase III clinical studies for Impracor; (iii) the Company submits a New Drug Application for Impracor to the U.S. Food and Drug Administration; and (iv) the Company enters into a definitive license, collaboration or similar agreement for Impracor that would reasonably be expected to generate cash flow for the Company.   The RSUs vest in full upon a change in control of the Company.</w:t>
      </w:r>
    </w:p>
    <w:p>
      <w:pPr>
        <w:pStyle w:val="TextBody"/>
        <w:spacing w:before="0" w:after="0"/>
        <w:ind w:left="0" w:right="0" w:hanging="0"/>
        <w:rPr/>
      </w:pPr>
      <w:r>
        <w:rPr/>
        <w:t> </w:t>
      </w:r>
    </w:p>
    <w:p>
      <w:pPr>
        <w:pStyle w:val="TextBody"/>
        <w:spacing w:before="0" w:after="0"/>
        <w:ind w:left="0" w:right="0" w:hanging="0"/>
        <w:jc w:val="left"/>
        <w:rPr>
          <w:rFonts w:ascii="helvetica" w:hAnsi="helvetica"/>
          <w:i/>
          <w:sz w:val="20"/>
        </w:rPr>
      </w:pPr>
      <w:r>
        <w:rPr>
          <w:rFonts w:ascii="helvetica" w:hAnsi="helvetica"/>
          <w:i/>
          <w:sz w:val="20"/>
        </w:rPr>
        <w:t>Dr. Balbir Brar</w:t>
      </w:r>
    </w:p>
    <w:p>
      <w:pPr>
        <w:pStyle w:val="TextBody"/>
        <w:spacing w:before="0" w:after="0"/>
        <w:ind w:left="0" w:right="0" w:hanging="0"/>
        <w:rPr/>
      </w:pPr>
      <w:r>
        <w:rPr/>
        <w:t> </w:t>
      </w:r>
    </w:p>
    <w:p>
      <w:pPr>
        <w:pStyle w:val="TextBody"/>
        <w:spacing w:before="0" w:after="0"/>
        <w:ind w:left="720" w:right="0" w:hanging="0"/>
        <w:jc w:val="left"/>
        <w:rPr>
          <w:rFonts w:ascii="helvetica" w:hAnsi="helvetica"/>
          <w:sz w:val="20"/>
        </w:rPr>
      </w:pPr>
      <w:bookmarkStart w:id="839" w:name="TAB15"/>
      <w:bookmarkEnd w:id="839"/>
      <w:r>
        <w:rPr>
          <w:rFonts w:ascii="helvetica" w:hAnsi="helvetica"/>
          <w:sz w:val="20"/>
        </w:rPr>
        <w:t>On January 17, 2012, we entered into an Employment Agreement with Dr. Balbir Brar in connection with his appointment as our President, effective January 1, 2012.  Under the agreement, Dr. Brar must commit 20 hours each week to the Company and will receive an initial base salary of $84,000 per year. On January 25, 2012, the Board granted Dr. Brar an option to purchase 225,000 shares of common stock with an exercise price of $3.68 under the 2007 Plan.  The option has a four year term and vests monthly over a 36 month period following the date of grant and vests in full upon a change of control, as defined in the 2007 Plan.  Dr. Brar has agreed to not sell more than 5% of the shares of the Company’s common stock acquired through the exercise of his stock options in any monthly period without the approval of the Board of Directors.  We may terminate Dr. Brar’s employment without notice for cause, and upon 60 days’ notice without cause.  Dr. Brar’s employment will also terminate upon his death or disability, or Dr. Brar may terminate his employment upon 60 days’ notice.</w:t>
      </w:r>
    </w:p>
    <w:p>
      <w:pPr>
        <w:pStyle w:val="TextBody"/>
        <w:spacing w:before="0" w:after="0"/>
        <w:ind w:left="0" w:right="0" w:hanging="0"/>
        <w:rPr/>
      </w:pPr>
      <w:r>
        <w:rPr/>
        <w:t> </w:t>
      </w:r>
    </w:p>
    <w:p>
      <w:pPr>
        <w:pStyle w:val="TextBody"/>
        <w:spacing w:before="0" w:after="0"/>
        <w:ind w:left="0" w:right="0" w:hanging="0"/>
        <w:jc w:val="left"/>
        <w:rPr>
          <w:rFonts w:ascii="helvetica" w:hAnsi="helvetica"/>
          <w:i/>
          <w:sz w:val="20"/>
        </w:rPr>
      </w:pPr>
      <w:r>
        <w:rPr>
          <w:rFonts w:ascii="helvetica" w:hAnsi="helvetica"/>
          <w:i/>
          <w:sz w:val="20"/>
        </w:rPr>
        <w:t>Dr. Joachim Schupp</w:t>
      </w:r>
    </w:p>
    <w:p>
      <w:pPr>
        <w:pStyle w:val="TextBody"/>
        <w:spacing w:before="0" w:after="0"/>
        <w:ind w:left="0" w:right="0" w:hanging="0"/>
        <w:jc w:val="left"/>
        <w:rPr/>
      </w:pPr>
      <w:r>
        <w:rPr/>
        <w:t> </w:t>
      </w:r>
    </w:p>
    <w:p>
      <w:pPr>
        <w:pStyle w:val="TextBody"/>
        <w:spacing w:before="0" w:after="0"/>
        <w:ind w:left="720" w:right="0" w:hanging="0"/>
        <w:jc w:val="left"/>
        <w:rPr>
          <w:rFonts w:ascii="helvetica" w:hAnsi="helvetica"/>
          <w:sz w:val="20"/>
        </w:rPr>
      </w:pPr>
      <w:bookmarkStart w:id="840" w:name="TAB16"/>
      <w:bookmarkEnd w:id="840"/>
      <w:r>
        <w:rPr>
          <w:rFonts w:ascii="helvetica" w:hAnsi="helvetica"/>
          <w:sz w:val="20"/>
        </w:rPr>
        <w:t>On February 15, 2012, we entered into an Employment Agreement with Dr. Joachim Schupp in connection with his appointment as our Chief Medical Officer.  Under the terms of his Employment Agreement, Dr. Schupp will receive an initial base salary of $204,000 per year.  Also on February 15, 2012, Dr. Schupp was issued an option to purchase 75,000 shares of common stock with an exercise price of $3.60 per share under the 2007 Plan.  The option has a four year term and vests monthly over a 36 month period following the date of grant. The option vests in full upon a change of control as defined in the 2007 Plan. Dr. Schupp has agreed to not sell more than 5% of the shares of the Company’s common stock acquired through the exercise of his stock options in any monthly period without the approval of the Board of Directors. We may terminate Dr. Schupp’s employment without notice for cause, and upon 60 days’ notice without cause.  Dr. Schupp’s employment will also terminate upon his death or disability, or Dr. Schupp may terminate his employment upon 60 days’ notice.</w:t>
      </w:r>
    </w:p>
    <w:p>
      <w:pPr>
        <w:pStyle w:val="TextBody"/>
        <w:spacing w:before="0" w:after="0"/>
        <w:ind w:left="0" w:right="0" w:hanging="0"/>
        <w:rPr/>
      </w:pPr>
      <w:r>
        <w:rPr/>
        <w:t> </w:t>
      </w:r>
    </w:p>
    <w:p>
      <w:pPr>
        <w:pStyle w:val="TextBody"/>
        <w:spacing w:before="0" w:after="0"/>
        <w:ind w:left="0" w:right="0" w:hanging="0"/>
        <w:jc w:val="left"/>
        <w:rPr>
          <w:rFonts w:ascii="helvetica" w:hAnsi="helvetica"/>
          <w:i/>
          <w:sz w:val="20"/>
        </w:rPr>
      </w:pPr>
      <w:r>
        <w:rPr>
          <w:rFonts w:ascii="helvetica" w:hAnsi="helvetica"/>
          <w:i/>
          <w:sz w:val="20"/>
        </w:rPr>
        <w:t>Andrew R. Boll</w:t>
      </w:r>
    </w:p>
    <w:p>
      <w:pPr>
        <w:pStyle w:val="TextBody"/>
        <w:spacing w:before="0" w:after="0"/>
        <w:ind w:left="0" w:right="0" w:hanging="0"/>
        <w:rPr/>
      </w:pPr>
      <w:r>
        <w:rPr/>
        <w:t> </w:t>
      </w:r>
    </w:p>
    <w:p>
      <w:pPr>
        <w:pStyle w:val="TextBody"/>
        <w:spacing w:before="0" w:after="0"/>
        <w:ind w:left="720" w:right="0" w:hanging="0"/>
        <w:jc w:val="left"/>
        <w:rPr>
          <w:rFonts w:ascii="helvetica" w:hAnsi="helvetica"/>
          <w:sz w:val="20"/>
        </w:rPr>
      </w:pPr>
      <w:bookmarkStart w:id="841" w:name="TAB17"/>
      <w:bookmarkEnd w:id="841"/>
      <w:r>
        <w:rPr>
          <w:rFonts w:ascii="helvetica" w:hAnsi="helvetica"/>
          <w:sz w:val="20"/>
        </w:rPr>
        <w:t>On January 25, 2012, the Company entered into an Employment Agreement with Mr. Boll, effective as of February 1, 2012. Under the terms of the Employment Agreement, Mr. Boll will receive an initial base salary of $60,000 per year. On January 25, 2012, the Board approved the issuance of an option to purchase 15,000 shares of common stock under the 2007 Plan to Mr. Boll, which was granted on February 1, 2012, the date of his employment with the Company.  The option has an exercise price of $3.68 per share, has a four year term and vests monthly over a 36 month period following the date of grant.  The option vests in full upon a change of control as defined in the 2007 Plan.  Mr. Boll has agreed to not sell more than 5% of the shares of the Company’s common stock acquired through the exercise of his stock option in any monthly period without the approval of the Board of Directors.  We may terminate Mr. Boll’s employment without notice for cause, and upon 60 days’ notice without cause.  Mr. Boll’s employment will also terminate upon his death or disability, or Mr. Boll may terminate his employment upon 60 days’ notice.</w:t>
      </w:r>
    </w:p>
    <w:p>
      <w:pPr>
        <w:pStyle w:val="TextBody"/>
        <w:spacing w:before="0" w:after="0"/>
        <w:ind w:left="0" w:right="0" w:hanging="0"/>
        <w:jc w:val="left"/>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842" w:name="PGBRK66"/>
      <w:bookmarkStart w:id="843" w:name="PGBRK66"/>
      <w:bookmarkEnd w:id="84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844" w:name="FTR66"/>
      <w:bookmarkStart w:id="845" w:name="FTR66"/>
      <w:bookmarkEnd w:id="84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846" w:name="GLFTR65"/>
      <w:bookmarkEnd w:id="846"/>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helvetica" w:hAnsi="helvetica"/>
          <w:sz w:val="20"/>
        </w:rPr>
      </w:pPr>
      <w:bookmarkStart w:id="847" w:name="PN65"/>
      <w:bookmarkEnd w:id="847"/>
      <w:r>
        <w:rPr>
          <w:rFonts w:ascii="helvetica" w:hAnsi="helvetica"/>
          <w:sz w:val="20"/>
        </w:rPr>
        <w:t>64</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848" w:name="HDR65"/>
      <w:bookmarkStart w:id="849" w:name="HDR65"/>
      <w:bookmarkEnd w:id="84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850" w:name="GLHDR65"/>
      <w:bookmarkEnd w:id="850"/>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pPr>
      <w:r>
        <w:rPr/>
        <w:t> </w:t>
      </w:r>
    </w:p>
    <w:p>
      <w:pPr>
        <w:pStyle w:val="TextBody"/>
        <w:spacing w:before="0" w:after="0"/>
        <w:ind w:left="0" w:right="0" w:hanging="0"/>
        <w:jc w:val="both"/>
        <w:rPr>
          <w:rFonts w:ascii="helvetica" w:hAnsi="helvetica"/>
          <w:b/>
          <w:sz w:val="20"/>
        </w:rPr>
      </w:pPr>
      <w:r>
        <w:rPr>
          <w:rFonts w:ascii="helvetica" w:hAnsi="helvetica"/>
          <w:b/>
          <w:sz w:val="20"/>
        </w:rPr>
        <w:t>2007 Incentive Stock and Awards Plan</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r>
        <w:rPr>
          <w:rFonts w:ascii="helvetica" w:hAnsi="helvetica"/>
          <w:sz w:val="20"/>
        </w:rPr>
        <w:t>On September 17, 2007, our Board of Directors and stockholders adopted the 2007 Incentive Stock and Awards Plan (the “2007 Plan”). The purpose of the 2007 Plan is to provide an incentive to attract and retain directors, officers, consultants, advisors and employees whose services are considered valuable, to encourage a sense of proprietorship and to stimulate an active interest of such persons in our development and financial success. Under the 2007 Plan, we are authorized to issue incentive stock options intended to qualify under Section 422 of the Internal Revenue Code of 1986, as amended, non-qualified stock options, and restricted stock. The 2007 Plan is administered by our Board of Directors until such time as such authority has been delegated to a committee of the Board of Directors.  Effective November 5, 2008, our stockholders approved an amendment to the 2007 Plan to increase the number of authorized shares to 75,000 from 37,500.  On January 25, 2012, our Board of Directors and stockholders approved an amendment to, among other things, increase the maximum number of shares issuable under the 2007 Plan to 750,000 shares. The amendment became effective following our compliance with certain information requirements of the SEC.  Effective as of July 18, 2012, our Board of Directors and stockholders approved a further amendment to increase the maximum number of shares to 2,400,000 shares and to increase the number of shares that may be granted to an individual in a calendar year.  The stockholder approval of the amendment will become effective following our compliance with certain information requirements of the SEC.</w:t>
      </w:r>
    </w:p>
    <w:p>
      <w:pPr>
        <w:pStyle w:val="TextBody"/>
        <w:spacing w:before="0" w:after="0"/>
        <w:ind w:left="0" w:right="0" w:hanging="0"/>
        <w:jc w:val="both"/>
        <w:rPr/>
      </w:pPr>
      <w:r>
        <w:rPr/>
        <w:t> </w:t>
      </w:r>
    </w:p>
    <w:p>
      <w:pPr>
        <w:pStyle w:val="TextBody"/>
        <w:spacing w:before="0" w:after="0"/>
        <w:ind w:left="0" w:right="0" w:hanging="0"/>
        <w:jc w:val="left"/>
        <w:rPr>
          <w:rFonts w:ascii="helvetica" w:hAnsi="helvetica"/>
          <w:b/>
          <w:sz w:val="20"/>
        </w:rPr>
      </w:pPr>
      <w:r>
        <w:rPr>
          <w:rFonts w:ascii="helvetica" w:hAnsi="helvetica"/>
          <w:b/>
          <w:sz w:val="20"/>
        </w:rPr>
        <w:t>Director Compensation</w:t>
      </w:r>
    </w:p>
    <w:p>
      <w:pPr>
        <w:pStyle w:val="TextBody"/>
        <w:spacing w:before="0" w:after="0"/>
        <w:ind w:left="0" w:right="0" w:hanging="0"/>
        <w:jc w:val="left"/>
        <w:rPr/>
      </w:pPr>
      <w:r>
        <w:rPr/>
        <w:t> </w:t>
      </w:r>
    </w:p>
    <w:p>
      <w:pPr>
        <w:pStyle w:val="TextBody"/>
        <w:spacing w:before="0" w:after="0"/>
        <w:ind w:left="0" w:right="0" w:firstLine="720"/>
        <w:jc w:val="left"/>
        <w:rPr>
          <w:rFonts w:ascii="helvetica" w:hAnsi="helvetica"/>
          <w:sz w:val="20"/>
        </w:rPr>
      </w:pPr>
      <w:r>
        <w:rPr>
          <w:rFonts w:ascii="helvetica" w:hAnsi="helvetica"/>
          <w:sz w:val="20"/>
        </w:rPr>
        <w:t>We did not compensate any of our directors for their service on our Board during the fiscal year ended December 31, 2011.  We do not currently have a director compensation program in place; however, on April 1, 2012, the Board of Directors approved the issuance of options to purchase 25,000 shares of common stock to each of our directors on that date, including our employee and non-employee directors, under the 2007 Plan.  Each of the options has an exercise price of $4.50 per share.  The options have a term of five years and vest quarterly over a one year period, such that options to purchase 6,250 shares vest on each of June 30, 2012, September 30, 2012, December 31, 2012 and March 31, 2013. Also on April 1, 2012, the Board of Directors approved the issuance to Dr. Jeffrey Abrams, in consideration of his service as a director of the Company during 2011 and 2012, of an additional option to purchase 60,000 shares of common stock under the 2007 Plan, which option has an exercise price of $4.50 per share, a term of ten years, and vests monthly over a one year period.  In connection with his appointment as a director, on July 26, 2012 Mr. Austin was granted an option to purchase up to 17,123 shares of our common stock under the 2007 Plan. That option has an exercise price of $4.50 per share, a term of five years, and vests monthly over a period of one year commencing on January 1, 2013. In addition, we have agreed to pay Mr. Austin a quarterly cash payment of $5,000 for his services as a director and a quarterly cash payment of $1,250 for his services as the chair of the Audit Committee.</w:t>
      </w:r>
    </w:p>
    <w:p>
      <w:pPr>
        <w:pStyle w:val="TextBody"/>
        <w:spacing w:before="0" w:after="0"/>
        <w:ind w:left="0" w:right="0" w:firstLine="720"/>
        <w:jc w:val="left"/>
        <w:rPr/>
      </w:pPr>
      <w:r>
        <w:rPr/>
        <w:t>  </w:t>
      </w:r>
    </w:p>
    <w:p>
      <w:pPr>
        <w:pStyle w:val="TextBody"/>
        <w:spacing w:before="0" w:after="0"/>
        <w:ind w:left="720" w:right="0" w:hanging="0"/>
        <w:jc w:val="center"/>
        <w:rPr>
          <w:rFonts w:ascii="helvetica" w:hAnsi="helvetica"/>
          <w:b/>
          <w:sz w:val="20"/>
        </w:rPr>
      </w:pPr>
      <w:bookmarkStart w:id="851" w:name="TAB18"/>
      <w:bookmarkEnd w:id="851"/>
      <w:r>
        <w:rPr>
          <w:rFonts w:ascii="helvetica" w:hAnsi="helvetica"/>
          <w:b/>
          <w:sz w:val="20"/>
        </w:rPr>
        <w:t>CERTAIN RELATIONSHIPS AND RELATED TRANSACTIONS</w:t>
      </w:r>
    </w:p>
    <w:p>
      <w:pPr>
        <w:pStyle w:val="TextBody"/>
        <w:spacing w:before="0" w:after="0"/>
        <w:ind w:left="0" w:right="0" w:hanging="0"/>
        <w:jc w:val="center"/>
        <w:rPr/>
      </w:pPr>
      <w:r>
        <w:rPr/>
        <w:t> </w:t>
      </w:r>
    </w:p>
    <w:p>
      <w:pPr>
        <w:pStyle w:val="TextBody"/>
        <w:spacing w:before="0" w:after="0"/>
        <w:ind w:left="0" w:right="0" w:hanging="0"/>
        <w:jc w:val="left"/>
        <w:rPr>
          <w:rFonts w:ascii="helvetica" w:hAnsi="helvetica"/>
          <w:b/>
          <w:sz w:val="20"/>
        </w:rPr>
      </w:pPr>
      <w:r>
        <w:rPr>
          <w:rFonts w:ascii="helvetica" w:hAnsi="helvetica"/>
          <w:b/>
          <w:sz w:val="20"/>
        </w:rPr>
        <w:t>Transactions with Related Persons</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r>
        <w:rPr>
          <w:rFonts w:ascii="helvetica" w:hAnsi="helvetica"/>
          <w:sz w:val="20"/>
        </w:rPr>
        <w:t>During the fiscal years ended December 31, 2011, 2010 and 2009, and through the date of this prospectus, other than as described below, there have been no transactions, and there are no currently proposed transactions, in which we were or are to be a participant and the amount involved exceeds the lesser of $120,000 or one percent of the average of our total assets at year end for the last two completed fiscal years and in which any related person had or will have a direct or indirect material interest.</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r>
        <w:rPr>
          <w:rFonts w:ascii="helvetica" w:hAnsi="helvetica"/>
          <w:sz w:val="20"/>
        </w:rPr>
        <w:t>Our Chief Executive Officer and director, Mr. Mark L. Baum, and the Chairman of our Board of Directors, Robert J. Kammer, served as Managing Members of DermaStar prior to DermaStar’s conversion of all of the outstanding shares of Series A Preferred Stock into common stock and the distribution of all shares of capital stock and warrants held by it to its members in July 2012.  Mr. Baum and Dr. Kammer were appointed to our Board on December 16, 2011, following the closing of the Line of Credit Agreement and the purchase of the Series A Preferred Stock by DermaStar described below and elsewhere in this prospectus.</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r>
        <w:rPr>
          <w:rFonts w:ascii="helvetica" w:hAnsi="helvetica"/>
          <w:sz w:val="20"/>
        </w:rPr>
        <w:t>All information regarding share amounts of common stock and prices per share of common stock contained under the heading “Certain Relationship and Related Transactions” assumes the consummation of the one-for-five reverse stock split to be effected following effectiveness of the registration statement of which this prospectus forms a part and prior to the closing of this offering.</w:t>
      </w:r>
    </w:p>
    <w:p>
      <w:pPr>
        <w:pStyle w:val="TextBody"/>
        <w:spacing w:before="0" w:after="0"/>
        <w:ind w:left="0" w:right="0" w:hanging="0"/>
        <w:jc w:val="both"/>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852" w:name="PGBRK67"/>
      <w:bookmarkStart w:id="853" w:name="PGBRK67"/>
      <w:bookmarkEnd w:id="85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854" w:name="FTR67"/>
      <w:bookmarkStart w:id="855" w:name="FTR67"/>
      <w:bookmarkEnd w:id="85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856" w:name="GLFTR66"/>
      <w:bookmarkEnd w:id="856"/>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helvetica" w:hAnsi="helvetica"/>
          <w:sz w:val="20"/>
        </w:rPr>
      </w:pPr>
      <w:bookmarkStart w:id="857" w:name="PN66"/>
      <w:bookmarkEnd w:id="857"/>
      <w:r>
        <w:rPr>
          <w:rFonts w:ascii="helvetica" w:hAnsi="helvetica"/>
          <w:sz w:val="20"/>
        </w:rPr>
        <w:t>65</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858" w:name="HDR66"/>
      <w:bookmarkStart w:id="859" w:name="HDR66"/>
      <w:bookmarkEnd w:id="85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860" w:name="GLHDR66"/>
      <w:bookmarkEnd w:id="860"/>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left"/>
        <w:rPr/>
      </w:pPr>
      <w:r>
        <w:rPr/>
        <w:t> </w:t>
      </w:r>
    </w:p>
    <w:p>
      <w:pPr>
        <w:pStyle w:val="TextBody"/>
        <w:spacing w:before="0" w:after="0"/>
        <w:ind w:left="0" w:right="0" w:hanging="0"/>
        <w:jc w:val="left"/>
        <w:rPr>
          <w:rFonts w:ascii="helvetica" w:hAnsi="helvetica"/>
          <w:i/>
          <w:sz w:val="20"/>
        </w:rPr>
      </w:pPr>
      <w:r>
        <w:rPr>
          <w:rFonts w:ascii="helvetica" w:hAnsi="helvetica"/>
          <w:i/>
          <w:sz w:val="20"/>
        </w:rPr>
        <w:t>Secured Line of Credit</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r>
        <w:rPr>
          <w:rFonts w:ascii="helvetica" w:hAnsi="helvetica"/>
          <w:sz w:val="20"/>
        </w:rPr>
        <w:t>On November 21, 2011, we entered into a Secured Line of Credit Letter Agreement (the “Line of Credit Agreement”) with DermaStar, pursuant to which DermaStar agreed to lend us funds under a line of credit upon certain conditions, including the dismissal of the Chapter 11 Case by the Bankruptcy Court.   The Line of Credit Agreement became effective on December 9, 2011, in connection with the dismissal of the Chapter 11 Case by the Bankruptcy Court.  The Line of Credit Agreement provided for advances of up to an aggregate of $750,000, subject to the satisfaction by us of certain conditions in connection with the initial advance and each subsequent advance. The largest outstanding principal balance under the line of credit at any time was $750,000.   Interest accrued at 10% per annum.  No interest payments were made by us during the period other than in connection with the conversion of the line of credit described below.</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r>
        <w:rPr>
          <w:rFonts w:ascii="helvetica" w:hAnsi="helvetica"/>
          <w:sz w:val="20"/>
        </w:rPr>
        <w:t>On April 25, 2012, the entire outstanding principal balance and all accrued and unpaid interest under the line of credit, an aggregate of $762,534, was converted into 193,047 shares of common stock and warrants to purchase 48,262 shares of common stock at the offering price and on the terms of the April Private Placement described below, pursuant to the terms of a conversion agreement we entered into with DermaStar on April 20, 2012.  The warrants have substantially the same terms as the warrants issued in the April Private Placement.  The line of credit was terminated upon the completion of the conversion.</w:t>
      </w:r>
    </w:p>
    <w:p>
      <w:pPr>
        <w:pStyle w:val="TextBody"/>
        <w:spacing w:before="0" w:after="0"/>
        <w:ind w:left="0" w:right="0" w:hanging="0"/>
        <w:jc w:val="both"/>
        <w:rPr/>
      </w:pPr>
      <w:r>
        <w:rPr/>
        <w:t> </w:t>
      </w:r>
    </w:p>
    <w:p>
      <w:pPr>
        <w:pStyle w:val="TextBody"/>
        <w:spacing w:before="0" w:after="0"/>
        <w:ind w:left="0" w:right="0" w:hanging="0"/>
        <w:jc w:val="left"/>
        <w:rPr>
          <w:rFonts w:ascii="helvetica" w:hAnsi="helvetica"/>
          <w:i/>
          <w:sz w:val="20"/>
        </w:rPr>
      </w:pPr>
      <w:r>
        <w:rPr>
          <w:rFonts w:ascii="helvetica" w:hAnsi="helvetica"/>
          <w:i/>
          <w:sz w:val="20"/>
        </w:rPr>
        <w:t>Series A Preferred Stock Purchase</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r>
        <w:rPr>
          <w:rFonts w:ascii="helvetica" w:hAnsi="helvetica"/>
          <w:sz w:val="20"/>
        </w:rPr>
        <w:t>In partial consideration for and in connection with the Line of Credit Agreement, on November 21, 2011 we executed a Securities Purchase Agreement with DermaStar, pursuant to which we agreed to issue 10 shares of newly-designated Series A Convertible Preferred Stock (the “Series A Preferred Stock”) to DermaStar for an aggregate purchase price of $100,000.   The Securities Purchase Agreement, as amended, became effective on December 9, 2011, in connection with the dismissal of the Chapter 11 Case by the Bankruptcy Court.  On December 12, 2011, we and DermaStar consummated the transactions contemplated by the Securities Purchase Agreement.  The shares of Series A Preferred Stock issued to DermaStar in the offering are convertible into 1,499,700 shares of our common stock.</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r>
        <w:rPr>
          <w:rFonts w:ascii="helvetica" w:hAnsi="helvetica"/>
          <w:sz w:val="20"/>
        </w:rPr>
        <w:t>On June 29, 2012, DermaStar converted the 10 shares of Series A Preferred Stock held by it into 1,499,700 shares of our common stock.   In connection with the conversion, we paid to DermaStar $200,000 as partial consideration for the conversion pursuant to a conversion agreement.  Immediately following the conversion of the Series A Preferred Stock, all 10 shares were retired to our treasury and cancelled.  The conversion agreement was unanimously approved by the Company’s disinterested directors, with Mr. Baum and Dr. Kammer abstaining.</w:t>
      </w:r>
    </w:p>
    <w:p>
      <w:pPr>
        <w:pStyle w:val="TextBody"/>
        <w:spacing w:before="0" w:after="0"/>
        <w:ind w:left="0" w:right="0" w:hanging="0"/>
        <w:jc w:val="both"/>
        <w:rPr/>
      </w:pPr>
      <w:r>
        <w:rPr/>
        <w:t> </w:t>
      </w:r>
    </w:p>
    <w:p>
      <w:pPr>
        <w:pStyle w:val="TextBody"/>
        <w:spacing w:before="0" w:after="0"/>
        <w:ind w:left="0" w:right="0" w:hanging="0"/>
        <w:jc w:val="left"/>
        <w:rPr>
          <w:rFonts w:ascii="helvetica" w:hAnsi="helvetica"/>
          <w:i/>
          <w:sz w:val="20"/>
        </w:rPr>
      </w:pPr>
      <w:r>
        <w:rPr>
          <w:rFonts w:ascii="helvetica" w:hAnsi="helvetica"/>
          <w:i/>
          <w:sz w:val="20"/>
        </w:rPr>
        <w:t>7.5% Convertible Promissory Note</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r>
        <w:rPr>
          <w:rFonts w:ascii="helvetica" w:hAnsi="helvetica"/>
          <w:sz w:val="20"/>
        </w:rPr>
        <w:t>On April 5, 2010, we issued a $1,000,000 7.5% Convertible Promissory Note (the “Convertible Note”) to Alexej Ladonnikov, an existing stockholder of the Company.  The Convertible Note had an annual interest rate of 7.5% and all principal and interest were due and payable on its maturity date, April 5, 2012.</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r>
        <w:rPr>
          <w:rFonts w:ascii="helvetica" w:hAnsi="helvetica"/>
          <w:sz w:val="20"/>
        </w:rPr>
        <w:t>During January 2012, Mr. Ladonnikov sold 80% of the Convertible Note to DermaStar in a private transaction.  Effective as of January 25, 2012, we entered into separate waiver and settlement agreements with DermaStar and Mr. Ladonnikov.  Under each of the waiver and settlement agreements, the holders of the Convertible Note agreed to forever waive (i) their rights to accelerate the entire unpaid principal sum of the Convertible Note and all accrued interest pursuant to Section 1 of the Convertible Note, (ii) their rights under Section 7 of the Senior Convertible Note Purchase Agreement dated April 5, 2010, and (iii) certain conversion rights pursuant to Section 3 of the Convertible Note.  Under the terms of the waiver and settlement agreement with DermaStar, we and DermaStar agreed to the mandatory conversion of the principal and accrued and unpaid interest of the Convertible Note and $56,087 in current accounts payable of the Company held by DermaStar into our common stock at a conversion price of approximately $0.06668 per share at such time as we had a sufficient number of shares of authorized common stock to effect such conversion.  Under the terms of the waiver and settlement agreement with Mr. Ladonnikov, we and Mr. Ladonnikov agreed to the mandatory conversion of the 20% of the principal and accrued and unpaid interest of the Convertible Note held by Mr. Ladonnikov, at such time as we had a sufficient number of authorized common shares to effect such a conversion, into our common stock at a conversion price of $0.60. Mr. Ladonnikov also agreed to make a one-time payment of $50,000 to us at such time as the Convertible Note was converted into common stock.</w:t>
      </w:r>
    </w:p>
    <w:p>
      <w:pPr>
        <w:pStyle w:val="TextBody"/>
        <w:spacing w:before="0" w:after="0"/>
        <w:ind w:left="0" w:right="0" w:hanging="0"/>
        <w:jc w:val="both"/>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861" w:name="PGBRK68"/>
      <w:bookmarkStart w:id="862" w:name="PGBRK68"/>
      <w:bookmarkEnd w:id="86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863" w:name="FTR68"/>
      <w:bookmarkStart w:id="864" w:name="FTR68"/>
      <w:bookmarkEnd w:id="86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865" w:name="GLFTR67"/>
      <w:bookmarkEnd w:id="865"/>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helvetica" w:hAnsi="helvetica"/>
          <w:sz w:val="20"/>
        </w:rPr>
      </w:pPr>
      <w:bookmarkStart w:id="866" w:name="PN67"/>
      <w:bookmarkEnd w:id="866"/>
      <w:r>
        <w:rPr>
          <w:rFonts w:ascii="helvetica" w:hAnsi="helvetica"/>
          <w:sz w:val="20"/>
        </w:rPr>
        <w:t>66</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867" w:name="HDR67"/>
      <w:bookmarkStart w:id="868" w:name="HDR67"/>
      <w:bookmarkEnd w:id="86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869" w:name="GLHDR67"/>
      <w:bookmarkEnd w:id="869"/>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firstLine="720"/>
        <w:jc w:val="left"/>
        <w:rPr>
          <w:rFonts w:ascii="helvetica" w:hAnsi="helvetica"/>
          <w:sz w:val="20"/>
        </w:rPr>
      </w:pPr>
      <w:r>
        <w:rPr>
          <w:rFonts w:ascii="helvetica" w:hAnsi="helvetica"/>
          <w:sz w:val="20"/>
        </w:rPr>
        <w:t>On February 28, 2012, effective immediately following the effective time of our Certificate of Amendment to our Certificate of Incorporation increasing the number of authorized shares of common stock and implementing the one-for-eight reverse split of our common stock, the entire outstanding balance and all accrued but unpaid interest owing under the Convertible Note and the accounts payable held by DermaStar were converted into 1,835,830 shares of common stock, and the Convertible Note was terminated.  At the time of conversion, there was approximately $142,603 in accrued and unpaid interest due under the Convertible Note.  Mr. Ladonnikov made the required one-time payment of $50,000 to us at the time of the conversion.</w:t>
      </w:r>
    </w:p>
    <w:p>
      <w:pPr>
        <w:pStyle w:val="TextBody"/>
        <w:spacing w:before="0" w:after="0"/>
        <w:ind w:left="0" w:right="0" w:hanging="0"/>
        <w:jc w:val="both"/>
        <w:rPr/>
      </w:pPr>
      <w:r>
        <w:rPr/>
        <w:t> </w:t>
      </w:r>
    </w:p>
    <w:p>
      <w:pPr>
        <w:pStyle w:val="TextBody"/>
        <w:spacing w:before="0" w:after="0"/>
        <w:ind w:left="0" w:right="0" w:hanging="0"/>
        <w:jc w:val="left"/>
        <w:rPr>
          <w:rFonts w:ascii="helvetica" w:hAnsi="helvetica"/>
          <w:i/>
          <w:sz w:val="20"/>
        </w:rPr>
      </w:pPr>
      <w:r>
        <w:rPr>
          <w:rFonts w:ascii="helvetica" w:hAnsi="helvetica"/>
          <w:i/>
          <w:sz w:val="20"/>
        </w:rPr>
        <w:t>Consulting Relationships</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r>
        <w:rPr>
          <w:rFonts w:ascii="helvetica" w:hAnsi="helvetica"/>
          <w:sz w:val="20"/>
        </w:rPr>
        <w:t>On January 17, 2012, Dr. Finnegan entered into a senior advisory agreement with the Company, pursuant to which he was to provide certain consulting services to the Company in addition to his services as a director. Under the terms of the senior advisory agreement, Dr. Finnegan provided consulting services in the area of drug and technology development, among other things, for consideration of $18,000 per quarter.  The agreement was to terminate on the earlier of the completion of the services or the fourth anniversary of the date of the agreement. In addition, on January 25, 2012, the Company granted Dr. Finnegan a non-qualified stock option to purchase 125,000 shares of common stock under the 2007 Plan with an exercise price of $3.20 per share. Effective May 9, 2012, we entered into a termination agreement terminating the advisory agreement with Dr. Finnegan.  No compensation was paid to Dr. Finnegan under this advisory agreement.</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r>
        <w:rPr>
          <w:rFonts w:ascii="helvetica" w:hAnsi="helvetica"/>
          <w:sz w:val="20"/>
        </w:rPr>
        <w:t>Effective May 9, 2012, we also entered into an amendment to Dr. Finnegan’s option agreement which modifies the vesting schedule of the option to provide that the option to purchase 40% of the shares covered by the grant will vest on September 30, 2012, 40% will vest on March 31, 2013 and 20% will vest on September 30, 2013, provided that Dr. Finnegan is serving as a director, employee or consultant at the time of such vesting.  Pursuant to a second amendment to Dr. Finnegan’s stock option agreement, Dr. Finnegan has agreed to not sell more than 5% of the shares of our common stock acquired through the exercise of his stock option in any monthly period.</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r>
        <w:rPr>
          <w:rFonts w:ascii="helvetica" w:hAnsi="helvetica"/>
          <w:sz w:val="20"/>
        </w:rPr>
        <w:t>Effective April 1, 2012, we entered into an advisory agreement with director Dr. Robert Kammer, the Chairman of our Board of Directors, pursuant to which Dr. Kammer will provide certain services to us in addition to his services as a director.  These services include providing management and advice regarding the operations of the registration clinical trials including start-up and on-going clinical operational and development activities, manufacturing and quality control of the clinical and commercial supplies, project and operational management, assistance in the identification of new drug delivery technologies that may be available for acquisition or license and assistance in the development of our intellectual property strategy. Under the terms of the advisory agreement, Dr. Kammer is to be compensated $10,000 per month in the form of common stock based on a per share price of $4.50. Dr. Kammer and the Company have agreed that the common stock issuable to Dr. Kammer as compensation under his advisory agreement is to be accrued and issued on a quarterly or annual basis; accordingly, as of the date hereof no such shares have been issued to Dr. Kammer. Upon the completion of a financing transaction yielding not less than $15,000,000, Dr. Kammer may unilaterally choose to be paid in either cash or common stock at the $4.50 per share price described above. As additional compensation under the advisory agreement, on April 1, 2012 the Company granted Dr. Kammer a non-qualified stock option to purchase 60,000 shares of common stock under the 2007 Plan, which stock option has an exercise price of $4.50 per share, expires on May 31, 2017, and vests according to the following schedule:  15,000 shares vest on the date of grant and the remaining shares vest monthly over a two year period beginning on May 1, 2012.  The advisory agreement is to terminate on the earlier of the completion of the services or the second anniversary of the agreement. Pursuant to an amendment to Dr. Kammer’s advisory agreement, Dr. Kammer has agreed to not sell more than 5% of the shares of the Company’s common stock acquired as compensation under that agreement, through the exercise of stock options or otherwise, in any monthly period without the approval of the Board of Directors.</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r>
        <w:rPr>
          <w:rFonts w:ascii="helvetica" w:hAnsi="helvetica"/>
          <w:sz w:val="20"/>
        </w:rPr>
        <w:t>On July 18, 2012, the Board of Directors granted to Dr. Kammer, in connection with his services as a consultant and advisor to the Company, 40,000 RSUs outside of the Plan.  The RSUs are subject to certain performance-based vesting criteria, such that all 40,000 RSUs will vest at such time as the Company meets the primary endpoints of its Phase III clinical studies for Impracor.</w:t>
      </w:r>
    </w:p>
    <w:p>
      <w:pPr>
        <w:pStyle w:val="TextBody"/>
        <w:spacing w:before="0" w:after="0"/>
        <w:ind w:left="0" w:right="0" w:hanging="0"/>
        <w:jc w:val="both"/>
        <w:rPr/>
      </w:pPr>
      <w:r>
        <w:rPr/>
        <w:t> </w:t>
      </w:r>
    </w:p>
    <w:p>
      <w:pPr>
        <w:pStyle w:val="TextBody"/>
        <w:spacing w:before="0" w:after="0"/>
        <w:ind w:left="0" w:right="0" w:hanging="0"/>
        <w:jc w:val="both"/>
        <w:rPr>
          <w:rFonts w:ascii="helvetica" w:hAnsi="helvetica"/>
          <w:b/>
          <w:sz w:val="20"/>
        </w:rPr>
      </w:pPr>
      <w:r>
        <w:rPr>
          <w:rFonts w:ascii="helvetica" w:hAnsi="helvetica"/>
          <w:b/>
          <w:sz w:val="20"/>
        </w:rPr>
        <w:t>Company Policy Regarding Related Party Transactions</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r>
        <w:rPr>
          <w:rFonts w:ascii="helvetica" w:hAnsi="helvetica"/>
          <w:sz w:val="20"/>
        </w:rPr>
        <w:t>The charter of the Audit Committee of our Board tasks the Audit Committee with reviewing and overseeing all related party transactions for potential conflict of interest situations on an ongoing basis.  In accordance with that policy, the Audit Committee’s general practice is to review and oversee those transactions that are reportable as related party transactions under the Financial Accounting Standards Board and Securities and Exchange Commission rules and regulations. Management advises the Board of Directors on a regular basis of any such transaction that is proposed to be entered into or continued and seeks approval.</w:t>
      </w:r>
    </w:p>
    <w:p>
      <w:pPr>
        <w:pStyle w:val="TextBody"/>
        <w:spacing w:before="0" w:after="0"/>
        <w:ind w:left="0" w:right="0" w:hanging="0"/>
        <w:jc w:val="both"/>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870" w:name="PGBRK69"/>
      <w:bookmarkStart w:id="871" w:name="PGBRK69"/>
      <w:bookmarkEnd w:id="87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872" w:name="FTR69"/>
      <w:bookmarkStart w:id="873" w:name="FTR69"/>
      <w:bookmarkEnd w:id="87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874" w:name="GLFTR68"/>
      <w:bookmarkEnd w:id="874"/>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helvetica" w:hAnsi="helvetica"/>
          <w:sz w:val="20"/>
        </w:rPr>
      </w:pPr>
      <w:bookmarkStart w:id="875" w:name="PN68"/>
      <w:bookmarkEnd w:id="875"/>
      <w:r>
        <w:rPr>
          <w:rFonts w:ascii="helvetica" w:hAnsi="helvetica"/>
          <w:sz w:val="20"/>
        </w:rPr>
        <w:t>67</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876" w:name="HDR68"/>
      <w:bookmarkStart w:id="877" w:name="HDR68"/>
      <w:bookmarkEnd w:id="87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878" w:name="GLHDR68"/>
      <w:bookmarkEnd w:id="878"/>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center"/>
        <w:rPr/>
      </w:pPr>
      <w:r>
        <w:rPr/>
        <w:t> </w:t>
      </w:r>
    </w:p>
    <w:p>
      <w:pPr>
        <w:pStyle w:val="TextBody"/>
        <w:spacing w:before="0" w:after="0"/>
        <w:ind w:left="0" w:right="0" w:hanging="0"/>
        <w:jc w:val="center"/>
        <w:rPr>
          <w:rFonts w:ascii="helvetica" w:hAnsi="helvetica"/>
          <w:b/>
          <w:sz w:val="20"/>
        </w:rPr>
      </w:pPr>
      <w:r>
        <w:rPr>
          <w:rFonts w:ascii="helvetica" w:hAnsi="helvetica"/>
          <w:b/>
          <w:sz w:val="20"/>
        </w:rPr>
        <w:t>SECURITY OWNERSHIP OF CERTAIN BENEFICIAL OWNERS AND MANAGEMENT AND RELATED STOCKHOLDER MATTERS</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r>
        <w:rPr>
          <w:rFonts w:ascii="helvetica" w:hAnsi="helvetica"/>
          <w:sz w:val="20"/>
        </w:rPr>
        <w:t>The following table sets forth the shares of our common stock beneficially owned by (1) each of our directors, (2) the named executive officers, (3) all of our directors and executive officers as a group, and (4) all persons known by us to beneficially own more than 5% of our outstanding voting stock.  We have determined the beneficial ownership shown on this table in accordance with the rules of the Securities and Exchange Commission. Under those rules, shares are considered beneficially owned if held by the person indicated, or if such person, directly or indirectly, through any contract, arrangement, understanding, relationship or otherwise has or shares the power to vote, to direct the voting of and/or to dispose of or to direct the disposition of such security. Except as otherwise indicated in the accompanying footnotes, beneficial ownership is shown as of August 31, 2012.  Unless otherwise indicated in the footnotes to the following table, each person named in the table has sole voting and investment power with respect to shares of common stock and the address is c/o Imprimis Pharmaceuticals, Inc. 437 S. Hwy 101, Suite 209, Solana Beach, CA 92075.  All information regarding share amounts assumes the consummation of the one-for-five reverse stock split to be effected following effectiveness of the registration statement of which this prospectus forms a part and prior to the closing of this offering.</w:t>
      </w:r>
    </w:p>
    <w:p>
      <w:pPr>
        <w:pStyle w:val="TextBody"/>
        <w:spacing w:before="0" w:after="0"/>
        <w:ind w:left="0" w:right="0" w:firstLine="720"/>
        <w:jc w:val="left"/>
        <w:rPr/>
      </w:pPr>
      <w:r>
        <w:rPr/>
        <w:t> </w:t>
      </w:r>
    </w:p>
    <w:tbl>
      <w:tblPr>
        <w:tblW w:w="5000" w:type="pct"/>
        <w:jc w:val="left"/>
        <w:tblInd w:w="0" w:type="dxa"/>
        <w:tblCellMar>
          <w:top w:w="0" w:type="dxa"/>
          <w:left w:w="0" w:type="dxa"/>
          <w:bottom w:w="0" w:type="dxa"/>
          <w:right w:w="0" w:type="dxa"/>
        </w:tblCellMar>
      </w:tblPr>
      <w:tblGrid>
        <w:gridCol w:w="6596"/>
        <w:gridCol w:w="119"/>
        <w:gridCol w:w="119"/>
        <w:gridCol w:w="1318"/>
        <w:gridCol w:w="163"/>
        <w:gridCol w:w="119"/>
        <w:gridCol w:w="247"/>
        <w:gridCol w:w="1244"/>
        <w:gridCol w:w="280"/>
      </w:tblGrid>
      <w:tr>
        <w:trPr/>
        <w:tc>
          <w:tcPr>
            <w:tcW w:w="6596" w:type="dxa"/>
            <w:tcBorders/>
            <w:shd w:fill="auto" w:val="clear"/>
            <w:vAlign w:val="bottom"/>
          </w:tcPr>
          <w:p>
            <w:pPr>
              <w:pStyle w:val="TableContents"/>
              <w:spacing w:before="0" w:after="0"/>
              <w:ind w:left="0" w:right="0" w:hanging="0"/>
              <w:jc w:val="left"/>
              <w:rPr/>
            </w:pPr>
            <w:r>
              <w:rPr>
                <w:rFonts w:ascii="helvetica" w:hAnsi="helvetica"/>
                <w:sz w:val="20"/>
                <w:u w:val="single"/>
              </w:rPr>
              <w:t>Beneficial Owner</w:t>
            </w:r>
            <w:r>
              <w:rPr/>
              <w:t xml:space="preserve"> </w:t>
            </w:r>
          </w:p>
        </w:tc>
        <w:tc>
          <w:tcPr>
            <w:tcW w:w="119" w:type="dxa"/>
            <w:tcBorders/>
            <w:shd w:fill="auto" w:val="clear"/>
            <w:vAlign w:val="bottom"/>
          </w:tcPr>
          <w:p>
            <w:pPr>
              <w:pStyle w:val="TableContents"/>
              <w:spacing w:before="0" w:after="283"/>
              <w:rPr/>
            </w:pPr>
            <w:r>
              <w:rPr/>
              <w:t xml:space="preserve">  </w:t>
            </w:r>
          </w:p>
        </w:tc>
        <w:tc>
          <w:tcPr>
            <w:tcW w:w="3210" w:type="dxa"/>
            <w:gridSpan w:val="6"/>
            <w:tcBorders>
              <w:bottom w:val="single" w:sz="12" w:space="0" w:color="000000"/>
            </w:tcBorders>
            <w:shd w:fill="auto" w:val="clear"/>
            <w:tcMar>
              <w:bottom w:w="28" w:type="dxa"/>
            </w:tcMar>
            <w:vAlign w:val="bottom"/>
          </w:tcPr>
          <w:p>
            <w:pPr>
              <w:pStyle w:val="TableContents"/>
              <w:spacing w:before="0" w:after="0"/>
              <w:ind w:left="0" w:right="0" w:hanging="0"/>
              <w:jc w:val="center"/>
              <w:rPr/>
            </w:pPr>
            <w:r>
              <w:rPr>
                <w:rFonts w:ascii="helvetica" w:hAnsi="helvetica"/>
                <w:sz w:val="20"/>
              </w:rPr>
              <w:t>Amount and Nature of Beneficial Ownership</w:t>
            </w:r>
            <w:r>
              <w:rPr/>
              <w:t xml:space="preserve"> </w:t>
            </w:r>
          </w:p>
        </w:tc>
        <w:tc>
          <w:tcPr>
            <w:tcW w:w="280" w:type="dxa"/>
            <w:tcBorders/>
            <w:shd w:fill="auto" w:val="clear"/>
            <w:vAlign w:val="bottom"/>
          </w:tcPr>
          <w:p>
            <w:pPr>
              <w:pStyle w:val="TableContents"/>
              <w:spacing w:before="0" w:after="283"/>
              <w:jc w:val="left"/>
              <w:rPr/>
            </w:pPr>
            <w:r>
              <w:rPr/>
              <w:t xml:space="preserve">  </w:t>
            </w:r>
          </w:p>
        </w:tc>
      </w:tr>
      <w:tr>
        <w:trPr/>
        <w:tc>
          <w:tcPr>
            <w:tcW w:w="6596" w:type="dxa"/>
            <w:tcBorders/>
            <w:shd w:fill="auto" w:val="clear"/>
            <w:vAlign w:val="bottom"/>
          </w:tcPr>
          <w:p>
            <w:pPr>
              <w:pStyle w:val="TableContents"/>
              <w:spacing w:before="0" w:after="283"/>
              <w:rPr/>
            </w:pPr>
            <w:r>
              <w:rPr/>
              <w:t xml:space="preserve">  </w:t>
            </w:r>
          </w:p>
        </w:tc>
        <w:tc>
          <w:tcPr>
            <w:tcW w:w="119" w:type="dxa"/>
            <w:tcBorders/>
            <w:shd w:fill="auto" w:val="clear"/>
            <w:vAlign w:val="bottom"/>
          </w:tcPr>
          <w:p>
            <w:pPr>
              <w:pStyle w:val="TableContents"/>
              <w:spacing w:before="0" w:after="283"/>
              <w:rPr/>
            </w:pPr>
            <w:r>
              <w:rPr/>
              <w:t xml:space="preserve">  </w:t>
            </w:r>
          </w:p>
        </w:tc>
        <w:tc>
          <w:tcPr>
            <w:tcW w:w="1437"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pPr>
            <w:r>
              <w:rPr>
                <w:rFonts w:ascii="helvetica" w:hAnsi="helvetica"/>
                <w:sz w:val="20"/>
              </w:rPr>
              <w:t>Number of Shares</w:t>
            </w:r>
            <w:r>
              <w:rPr/>
              <w:t xml:space="preserve"> </w:t>
            </w:r>
          </w:p>
        </w:tc>
        <w:tc>
          <w:tcPr>
            <w:tcW w:w="163" w:type="dxa"/>
            <w:tcBorders/>
            <w:shd w:fill="auto" w:val="clear"/>
            <w:vAlign w:val="bottom"/>
          </w:tcPr>
          <w:p>
            <w:pPr>
              <w:pStyle w:val="TableContents"/>
              <w:spacing w:before="0" w:after="283"/>
              <w:jc w:val="left"/>
              <w:rPr/>
            </w:pPr>
            <w:r>
              <w:rPr/>
              <w:t xml:space="preserve">  </w:t>
            </w:r>
          </w:p>
        </w:tc>
        <w:tc>
          <w:tcPr>
            <w:tcW w:w="119" w:type="dxa"/>
            <w:tcBorders/>
            <w:shd w:fill="auto" w:val="clear"/>
            <w:vAlign w:val="bottom"/>
          </w:tcPr>
          <w:p>
            <w:pPr>
              <w:pStyle w:val="TableContents"/>
              <w:spacing w:before="0" w:after="283"/>
              <w:rPr/>
            </w:pPr>
            <w:r>
              <w:rPr/>
              <w:t xml:space="preserve">  </w:t>
            </w:r>
          </w:p>
        </w:tc>
        <w:tc>
          <w:tcPr>
            <w:tcW w:w="1491"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pPr>
            <w:r>
              <w:rPr>
                <w:rFonts w:ascii="helvetica" w:hAnsi="helvetica"/>
                <w:sz w:val="20"/>
              </w:rPr>
              <w:t>Percentage (1)</w:t>
            </w:r>
            <w:r>
              <w:rPr/>
              <w:t xml:space="preserve"> </w:t>
            </w:r>
          </w:p>
        </w:tc>
        <w:tc>
          <w:tcPr>
            <w:tcW w:w="280" w:type="dxa"/>
            <w:tcBorders/>
            <w:shd w:fill="auto" w:val="clear"/>
            <w:vAlign w:val="bottom"/>
          </w:tcPr>
          <w:p>
            <w:pPr>
              <w:pStyle w:val="TableContents"/>
              <w:spacing w:before="0" w:after="283"/>
              <w:jc w:val="left"/>
              <w:rPr/>
            </w:pPr>
            <w:r>
              <w:rPr/>
              <w:t xml:space="preserve">  </w:t>
            </w:r>
          </w:p>
        </w:tc>
      </w:tr>
      <w:tr>
        <w:trPr/>
        <w:tc>
          <w:tcPr>
            <w:tcW w:w="6596" w:type="dxa"/>
            <w:tcBorders/>
            <w:shd w:fill="auto" w:val="clear"/>
            <w:vAlign w:val="bottom"/>
          </w:tcPr>
          <w:p>
            <w:pPr>
              <w:pStyle w:val="TableContents"/>
              <w:spacing w:before="0" w:after="0"/>
              <w:ind w:left="0" w:right="0" w:hanging="0"/>
              <w:jc w:val="left"/>
              <w:rPr/>
            </w:pPr>
            <w:r>
              <w:rPr>
                <w:rFonts w:ascii="helvetica" w:hAnsi="helvetica"/>
                <w:i/>
                <w:sz w:val="20"/>
                <w:u w:val="single"/>
              </w:rPr>
              <w:t>5% + Stockholders</w:t>
            </w:r>
            <w:r>
              <w:rPr/>
              <w:t xml:space="preserve"> </w:t>
            </w:r>
          </w:p>
        </w:tc>
        <w:tc>
          <w:tcPr>
            <w:tcW w:w="119" w:type="dxa"/>
            <w:tcBorders/>
            <w:shd w:fill="auto" w:val="clear"/>
            <w:vAlign w:val="bottom"/>
          </w:tcPr>
          <w:p>
            <w:pPr>
              <w:pStyle w:val="TableContents"/>
              <w:spacing w:before="0" w:after="283"/>
              <w:rPr/>
            </w:pPr>
            <w:r>
              <w:rPr/>
              <w:t xml:space="preserve">  </w:t>
            </w:r>
          </w:p>
        </w:tc>
        <w:tc>
          <w:tcPr>
            <w:tcW w:w="1437" w:type="dxa"/>
            <w:gridSpan w:val="2"/>
            <w:tcBorders/>
            <w:shd w:fill="auto" w:val="clear"/>
            <w:vAlign w:val="bottom"/>
          </w:tcPr>
          <w:p>
            <w:pPr>
              <w:pStyle w:val="TableContents"/>
              <w:spacing w:before="0" w:after="283"/>
              <w:rPr/>
            </w:pPr>
            <w:r>
              <w:rPr/>
              <w:t xml:space="preserve">  </w:t>
            </w:r>
          </w:p>
        </w:tc>
        <w:tc>
          <w:tcPr>
            <w:tcW w:w="163" w:type="dxa"/>
            <w:tcBorders/>
            <w:shd w:fill="auto" w:val="clear"/>
            <w:vAlign w:val="bottom"/>
          </w:tcPr>
          <w:p>
            <w:pPr>
              <w:pStyle w:val="TableContents"/>
              <w:spacing w:before="0" w:after="283"/>
              <w:jc w:val="left"/>
              <w:rPr/>
            </w:pPr>
            <w:r>
              <w:rPr/>
              <w:t xml:space="preserve">  </w:t>
            </w:r>
          </w:p>
        </w:tc>
        <w:tc>
          <w:tcPr>
            <w:tcW w:w="119" w:type="dxa"/>
            <w:tcBorders/>
            <w:shd w:fill="auto" w:val="clear"/>
            <w:vAlign w:val="bottom"/>
          </w:tcPr>
          <w:p>
            <w:pPr>
              <w:pStyle w:val="TableContents"/>
              <w:spacing w:before="0" w:after="283"/>
              <w:rPr/>
            </w:pPr>
            <w:r>
              <w:rPr/>
              <w:t xml:space="preserve">  </w:t>
            </w:r>
          </w:p>
        </w:tc>
        <w:tc>
          <w:tcPr>
            <w:tcW w:w="1491" w:type="dxa"/>
            <w:gridSpan w:val="2"/>
            <w:tcBorders/>
            <w:shd w:fill="auto" w:val="clear"/>
            <w:vAlign w:val="bottom"/>
          </w:tcPr>
          <w:p>
            <w:pPr>
              <w:pStyle w:val="TableContents"/>
              <w:spacing w:before="0" w:after="283"/>
              <w:rPr/>
            </w:pPr>
            <w:r>
              <w:rPr/>
              <w:t xml:space="preserve">  </w:t>
            </w:r>
          </w:p>
        </w:tc>
        <w:tc>
          <w:tcPr>
            <w:tcW w:w="280" w:type="dxa"/>
            <w:tcBorders/>
            <w:shd w:fill="auto" w:val="clear"/>
            <w:vAlign w:val="bottom"/>
          </w:tcPr>
          <w:p>
            <w:pPr>
              <w:pStyle w:val="TableContents"/>
              <w:spacing w:before="0" w:after="283"/>
              <w:jc w:val="left"/>
              <w:rPr/>
            </w:pPr>
            <w:r>
              <w:rPr/>
              <w:t xml:space="preserve">  </w:t>
            </w:r>
          </w:p>
        </w:tc>
      </w:tr>
      <w:tr>
        <w:trPr/>
        <w:tc>
          <w:tcPr>
            <w:tcW w:w="6596" w:type="dxa"/>
            <w:tcBorders/>
            <w:shd w:fill="CCEEFF" w:val="clear"/>
            <w:vAlign w:val="bottom"/>
          </w:tcPr>
          <w:p>
            <w:pPr>
              <w:pStyle w:val="TableContents"/>
              <w:spacing w:before="0" w:after="0"/>
              <w:ind w:left="0" w:right="0" w:hanging="0"/>
              <w:jc w:val="left"/>
              <w:rPr/>
            </w:pPr>
            <w:r>
              <w:rPr>
                <w:rFonts w:ascii="helvetica" w:hAnsi="helvetica"/>
                <w:sz w:val="20"/>
              </w:rPr>
              <w:t>Alexej Ladonnikov (2)</w:t>
            </w:r>
            <w:r>
              <w:rPr/>
              <w:t xml:space="preserve"> </w:t>
            </w:r>
          </w:p>
        </w:tc>
        <w:tc>
          <w:tcPr>
            <w:tcW w:w="119" w:type="dxa"/>
            <w:tcBorders/>
            <w:shd w:fill="CCEEFF" w:val="clear"/>
            <w:vAlign w:val="bottom"/>
          </w:tcPr>
          <w:p>
            <w:pPr>
              <w:pStyle w:val="TableContents"/>
              <w:spacing w:before="0" w:after="283"/>
              <w:rPr/>
            </w:pPr>
            <w:r>
              <w:rPr/>
              <w:t xml:space="preserve">  </w:t>
            </w:r>
          </w:p>
        </w:tc>
        <w:tc>
          <w:tcPr>
            <w:tcW w:w="119" w:type="dxa"/>
            <w:tcBorders/>
            <w:shd w:fill="CCEEFF" w:val="clear"/>
            <w:vAlign w:val="bottom"/>
          </w:tcPr>
          <w:p>
            <w:pPr>
              <w:pStyle w:val="TableContents"/>
              <w:spacing w:before="0" w:after="283"/>
              <w:jc w:val="left"/>
              <w:rPr/>
            </w:pPr>
            <w:r>
              <w:rPr/>
              <w:t xml:space="preserve">  </w:t>
            </w:r>
          </w:p>
        </w:tc>
        <w:tc>
          <w:tcPr>
            <w:tcW w:w="1318" w:type="dxa"/>
            <w:tcBorders/>
            <w:shd w:fill="CCEEFF" w:val="clear"/>
            <w:vAlign w:val="bottom"/>
          </w:tcPr>
          <w:p>
            <w:pPr>
              <w:pStyle w:val="TableContents"/>
              <w:spacing w:before="0" w:after="283"/>
              <w:jc w:val="right"/>
              <w:rPr/>
            </w:pPr>
            <w:r>
              <w:rPr>
                <w:rFonts w:ascii="helvetica" w:hAnsi="helvetica"/>
                <w:sz w:val="20"/>
              </w:rPr>
              <w:t>396,831</w:t>
            </w:r>
            <w:r>
              <w:rPr/>
              <w:t xml:space="preserve"> </w:t>
            </w:r>
          </w:p>
        </w:tc>
        <w:tc>
          <w:tcPr>
            <w:tcW w:w="163" w:type="dxa"/>
            <w:tcBorders/>
            <w:shd w:fill="CCEEFF" w:val="clear"/>
            <w:vAlign w:val="bottom"/>
          </w:tcPr>
          <w:p>
            <w:pPr>
              <w:pStyle w:val="TableContents"/>
              <w:spacing w:before="0" w:after="283"/>
              <w:jc w:val="left"/>
              <w:rPr/>
            </w:pPr>
            <w:r>
              <w:rPr/>
              <w:t xml:space="preserve">  </w:t>
            </w:r>
          </w:p>
        </w:tc>
        <w:tc>
          <w:tcPr>
            <w:tcW w:w="119" w:type="dxa"/>
            <w:tcBorders/>
            <w:shd w:fill="CCEEFF" w:val="clear"/>
            <w:vAlign w:val="bottom"/>
          </w:tcPr>
          <w:p>
            <w:pPr>
              <w:pStyle w:val="TableContents"/>
              <w:spacing w:before="0" w:after="283"/>
              <w:jc w:val="right"/>
              <w:rPr/>
            </w:pPr>
            <w:r>
              <w:rPr/>
              <w:t xml:space="preserve">  </w:t>
            </w:r>
          </w:p>
        </w:tc>
        <w:tc>
          <w:tcPr>
            <w:tcW w:w="247" w:type="dxa"/>
            <w:tcBorders/>
            <w:shd w:fill="CCEEFF" w:val="clear"/>
            <w:vAlign w:val="bottom"/>
          </w:tcPr>
          <w:p>
            <w:pPr>
              <w:pStyle w:val="TableContents"/>
              <w:spacing w:before="0" w:after="283"/>
              <w:jc w:val="left"/>
              <w:rPr/>
            </w:pPr>
            <w:r>
              <w:rPr/>
              <w:t xml:space="preserve">  </w:t>
            </w:r>
          </w:p>
        </w:tc>
        <w:tc>
          <w:tcPr>
            <w:tcW w:w="1244" w:type="dxa"/>
            <w:tcBorders/>
            <w:shd w:fill="CCEEFF" w:val="clear"/>
            <w:vAlign w:val="bottom"/>
          </w:tcPr>
          <w:p>
            <w:pPr>
              <w:pStyle w:val="TableContents"/>
              <w:spacing w:before="0" w:after="283"/>
              <w:jc w:val="right"/>
              <w:rPr/>
            </w:pPr>
            <w:r>
              <w:rPr>
                <w:rFonts w:ascii="helvetica" w:hAnsi="helvetica"/>
                <w:sz w:val="20"/>
              </w:rPr>
              <w:t>5.86</w:t>
            </w:r>
            <w:r>
              <w:rPr/>
              <w:t xml:space="preserve"> </w:t>
            </w:r>
          </w:p>
        </w:tc>
        <w:tc>
          <w:tcPr>
            <w:tcW w:w="280" w:type="dxa"/>
            <w:tcBorders/>
            <w:shd w:fill="CCEEFF" w:val="clear"/>
            <w:vAlign w:val="bottom"/>
          </w:tcPr>
          <w:p>
            <w:pPr>
              <w:pStyle w:val="TableContents"/>
              <w:spacing w:before="0" w:after="283"/>
              <w:jc w:val="left"/>
              <w:rPr/>
            </w:pPr>
            <w:r>
              <w:rPr>
                <w:rFonts w:ascii="helvetica" w:hAnsi="helvetica"/>
                <w:sz w:val="20"/>
              </w:rPr>
              <w:t>%</w:t>
            </w:r>
            <w:r>
              <w:rPr/>
              <w:t xml:space="preserve"> </w:t>
            </w:r>
          </w:p>
        </w:tc>
      </w:tr>
      <w:tr>
        <w:trPr/>
        <w:tc>
          <w:tcPr>
            <w:tcW w:w="6596" w:type="dxa"/>
            <w:tcBorders/>
            <w:shd w:fill="FFFFFF" w:val="clear"/>
            <w:vAlign w:val="bottom"/>
          </w:tcPr>
          <w:p>
            <w:pPr>
              <w:pStyle w:val="TableContents"/>
              <w:spacing w:before="0" w:after="0"/>
              <w:ind w:left="0" w:right="0" w:hanging="0"/>
              <w:jc w:val="left"/>
              <w:rPr/>
            </w:pPr>
            <w:r>
              <w:rPr>
                <w:rFonts w:ascii="helvetica" w:hAnsi="helvetica"/>
                <w:sz w:val="20"/>
              </w:rPr>
              <w:t>John W. Fish, Jr. (3)</w:t>
            </w:r>
            <w:r>
              <w:rPr/>
              <w:t xml:space="preserve"> </w:t>
            </w:r>
          </w:p>
        </w:tc>
        <w:tc>
          <w:tcPr>
            <w:tcW w:w="119" w:type="dxa"/>
            <w:tcBorders/>
            <w:shd w:fill="FFFFFF" w:val="clear"/>
            <w:vAlign w:val="bottom"/>
          </w:tcPr>
          <w:p>
            <w:pPr>
              <w:pStyle w:val="TableContents"/>
              <w:spacing w:before="0" w:after="283"/>
              <w:rPr/>
            </w:pPr>
            <w:r>
              <w:rPr/>
              <w:t xml:space="preserve">  </w:t>
            </w:r>
          </w:p>
        </w:tc>
        <w:tc>
          <w:tcPr>
            <w:tcW w:w="119" w:type="dxa"/>
            <w:tcBorders/>
            <w:shd w:fill="FFFFFF" w:val="clear"/>
            <w:vAlign w:val="bottom"/>
          </w:tcPr>
          <w:p>
            <w:pPr>
              <w:pStyle w:val="TableContents"/>
              <w:spacing w:before="0" w:after="283"/>
              <w:jc w:val="left"/>
              <w:rPr/>
            </w:pPr>
            <w:r>
              <w:rPr/>
              <w:t xml:space="preserve">  </w:t>
            </w:r>
          </w:p>
        </w:tc>
        <w:tc>
          <w:tcPr>
            <w:tcW w:w="1318" w:type="dxa"/>
            <w:tcBorders/>
            <w:shd w:fill="FFFFFF" w:val="clear"/>
            <w:vAlign w:val="bottom"/>
          </w:tcPr>
          <w:p>
            <w:pPr>
              <w:pStyle w:val="TableContents"/>
              <w:spacing w:before="0" w:after="283"/>
              <w:jc w:val="right"/>
              <w:rPr/>
            </w:pPr>
            <w:r>
              <w:rPr>
                <w:rFonts w:ascii="helvetica" w:hAnsi="helvetica"/>
                <w:sz w:val="20"/>
              </w:rPr>
              <w:t>603,171</w:t>
            </w:r>
            <w:r>
              <w:rPr/>
              <w:t xml:space="preserve"> </w:t>
            </w:r>
          </w:p>
        </w:tc>
        <w:tc>
          <w:tcPr>
            <w:tcW w:w="163" w:type="dxa"/>
            <w:tcBorders/>
            <w:shd w:fill="FFFFFF" w:val="clear"/>
            <w:vAlign w:val="bottom"/>
          </w:tcPr>
          <w:p>
            <w:pPr>
              <w:pStyle w:val="TableContents"/>
              <w:spacing w:before="0" w:after="283"/>
              <w:jc w:val="left"/>
              <w:rPr/>
            </w:pPr>
            <w:r>
              <w:rPr/>
              <w:t xml:space="preserve">  </w:t>
            </w:r>
          </w:p>
        </w:tc>
        <w:tc>
          <w:tcPr>
            <w:tcW w:w="119" w:type="dxa"/>
            <w:tcBorders/>
            <w:shd w:fill="FFFFFF" w:val="clear"/>
            <w:vAlign w:val="bottom"/>
          </w:tcPr>
          <w:p>
            <w:pPr>
              <w:pStyle w:val="TableContents"/>
              <w:spacing w:before="0" w:after="283"/>
              <w:jc w:val="right"/>
              <w:rPr/>
            </w:pPr>
            <w:r>
              <w:rPr/>
              <w:t xml:space="preserve">  </w:t>
            </w:r>
          </w:p>
        </w:tc>
        <w:tc>
          <w:tcPr>
            <w:tcW w:w="247" w:type="dxa"/>
            <w:tcBorders/>
            <w:shd w:fill="FFFFFF" w:val="clear"/>
            <w:vAlign w:val="bottom"/>
          </w:tcPr>
          <w:p>
            <w:pPr>
              <w:pStyle w:val="TableContents"/>
              <w:spacing w:before="0" w:after="283"/>
              <w:jc w:val="left"/>
              <w:rPr/>
            </w:pPr>
            <w:r>
              <w:rPr/>
              <w:t xml:space="preserve">  </w:t>
            </w:r>
          </w:p>
        </w:tc>
        <w:tc>
          <w:tcPr>
            <w:tcW w:w="1244" w:type="dxa"/>
            <w:tcBorders/>
            <w:shd w:fill="FFFFFF" w:val="clear"/>
            <w:vAlign w:val="bottom"/>
          </w:tcPr>
          <w:p>
            <w:pPr>
              <w:pStyle w:val="TableContents"/>
              <w:spacing w:before="0" w:after="283"/>
              <w:jc w:val="right"/>
              <w:rPr/>
            </w:pPr>
            <w:r>
              <w:rPr>
                <w:rFonts w:ascii="helvetica" w:hAnsi="helvetica"/>
                <w:sz w:val="20"/>
              </w:rPr>
              <w:t>8.89</w:t>
            </w:r>
            <w:r>
              <w:rPr/>
              <w:t xml:space="preserve"> </w:t>
            </w:r>
          </w:p>
        </w:tc>
        <w:tc>
          <w:tcPr>
            <w:tcW w:w="280" w:type="dxa"/>
            <w:tcBorders/>
            <w:shd w:fill="FFFFFF" w:val="clear"/>
            <w:vAlign w:val="bottom"/>
          </w:tcPr>
          <w:p>
            <w:pPr>
              <w:pStyle w:val="TableContents"/>
              <w:spacing w:before="0" w:after="283"/>
              <w:jc w:val="left"/>
              <w:rPr/>
            </w:pPr>
            <w:r>
              <w:rPr>
                <w:rFonts w:ascii="helvetica" w:hAnsi="helvetica"/>
                <w:sz w:val="20"/>
              </w:rPr>
              <w:t>%</w:t>
            </w:r>
            <w:r>
              <w:rPr/>
              <w:t xml:space="preserve"> </w:t>
            </w:r>
          </w:p>
        </w:tc>
      </w:tr>
      <w:tr>
        <w:trPr/>
        <w:tc>
          <w:tcPr>
            <w:tcW w:w="6596" w:type="dxa"/>
            <w:tcBorders/>
            <w:shd w:fill="CCEEFF" w:val="clear"/>
            <w:vAlign w:val="bottom"/>
          </w:tcPr>
          <w:p>
            <w:pPr>
              <w:pStyle w:val="TableContents"/>
              <w:spacing w:before="0" w:after="0"/>
              <w:ind w:left="0" w:right="0" w:hanging="0"/>
              <w:jc w:val="left"/>
              <w:rPr/>
            </w:pPr>
            <w:r>
              <w:rPr>
                <w:rFonts w:ascii="helvetica" w:hAnsi="helvetica"/>
                <w:sz w:val="20"/>
              </w:rPr>
              <w:t>Don Miloni (4)</w:t>
            </w:r>
            <w:r>
              <w:rPr/>
              <w:t xml:space="preserve"> </w:t>
            </w:r>
          </w:p>
        </w:tc>
        <w:tc>
          <w:tcPr>
            <w:tcW w:w="119" w:type="dxa"/>
            <w:tcBorders/>
            <w:shd w:fill="CCEEFF" w:val="clear"/>
            <w:vAlign w:val="bottom"/>
          </w:tcPr>
          <w:p>
            <w:pPr>
              <w:pStyle w:val="TableContents"/>
              <w:spacing w:before="0" w:after="283"/>
              <w:rPr/>
            </w:pPr>
            <w:r>
              <w:rPr/>
              <w:t xml:space="preserve">  </w:t>
            </w:r>
          </w:p>
        </w:tc>
        <w:tc>
          <w:tcPr>
            <w:tcW w:w="119" w:type="dxa"/>
            <w:tcBorders/>
            <w:shd w:fill="CCEEFF" w:val="clear"/>
            <w:vAlign w:val="bottom"/>
          </w:tcPr>
          <w:p>
            <w:pPr>
              <w:pStyle w:val="TableContents"/>
              <w:spacing w:before="0" w:after="283"/>
              <w:jc w:val="left"/>
              <w:rPr/>
            </w:pPr>
            <w:r>
              <w:rPr/>
              <w:t xml:space="preserve">  </w:t>
            </w:r>
          </w:p>
        </w:tc>
        <w:tc>
          <w:tcPr>
            <w:tcW w:w="1318" w:type="dxa"/>
            <w:tcBorders/>
            <w:shd w:fill="CCEEFF" w:val="clear"/>
            <w:vAlign w:val="bottom"/>
          </w:tcPr>
          <w:p>
            <w:pPr>
              <w:pStyle w:val="TableContents"/>
              <w:spacing w:before="0" w:after="283"/>
              <w:jc w:val="right"/>
              <w:rPr/>
            </w:pPr>
            <w:r>
              <w:rPr>
                <w:rFonts w:ascii="helvetica" w:hAnsi="helvetica"/>
                <w:sz w:val="20"/>
              </w:rPr>
              <w:t>1,243,513</w:t>
            </w:r>
            <w:r>
              <w:rPr/>
              <w:t xml:space="preserve"> </w:t>
            </w:r>
          </w:p>
        </w:tc>
        <w:tc>
          <w:tcPr>
            <w:tcW w:w="163" w:type="dxa"/>
            <w:tcBorders/>
            <w:shd w:fill="CCEEFF" w:val="clear"/>
            <w:vAlign w:val="bottom"/>
          </w:tcPr>
          <w:p>
            <w:pPr>
              <w:pStyle w:val="TableContents"/>
              <w:spacing w:before="0" w:after="283"/>
              <w:jc w:val="left"/>
              <w:rPr/>
            </w:pPr>
            <w:r>
              <w:rPr/>
              <w:t xml:space="preserve">  </w:t>
            </w:r>
          </w:p>
        </w:tc>
        <w:tc>
          <w:tcPr>
            <w:tcW w:w="119" w:type="dxa"/>
            <w:tcBorders/>
            <w:shd w:fill="CCEEFF" w:val="clear"/>
            <w:vAlign w:val="bottom"/>
          </w:tcPr>
          <w:p>
            <w:pPr>
              <w:pStyle w:val="TableContents"/>
              <w:spacing w:before="0" w:after="283"/>
              <w:jc w:val="right"/>
              <w:rPr/>
            </w:pPr>
            <w:r>
              <w:rPr/>
              <w:t xml:space="preserve">  </w:t>
            </w:r>
          </w:p>
        </w:tc>
        <w:tc>
          <w:tcPr>
            <w:tcW w:w="247" w:type="dxa"/>
            <w:tcBorders/>
            <w:shd w:fill="CCEEFF" w:val="clear"/>
            <w:vAlign w:val="bottom"/>
          </w:tcPr>
          <w:p>
            <w:pPr>
              <w:pStyle w:val="TableContents"/>
              <w:spacing w:before="0" w:after="283"/>
              <w:jc w:val="left"/>
              <w:rPr/>
            </w:pPr>
            <w:r>
              <w:rPr/>
              <w:t xml:space="preserve">  </w:t>
            </w:r>
          </w:p>
        </w:tc>
        <w:tc>
          <w:tcPr>
            <w:tcW w:w="1244" w:type="dxa"/>
            <w:tcBorders/>
            <w:shd w:fill="CCEEFF" w:val="clear"/>
            <w:vAlign w:val="bottom"/>
          </w:tcPr>
          <w:p>
            <w:pPr>
              <w:pStyle w:val="TableContents"/>
              <w:spacing w:before="0" w:after="283"/>
              <w:jc w:val="right"/>
              <w:rPr/>
            </w:pPr>
            <w:r>
              <w:rPr>
                <w:rFonts w:ascii="helvetica" w:hAnsi="helvetica"/>
                <w:sz w:val="20"/>
              </w:rPr>
              <w:t>18.14</w:t>
            </w:r>
            <w:r>
              <w:rPr/>
              <w:t xml:space="preserve"> </w:t>
            </w:r>
          </w:p>
        </w:tc>
        <w:tc>
          <w:tcPr>
            <w:tcW w:w="280" w:type="dxa"/>
            <w:tcBorders/>
            <w:shd w:fill="CCEEFF" w:val="clear"/>
            <w:vAlign w:val="bottom"/>
          </w:tcPr>
          <w:p>
            <w:pPr>
              <w:pStyle w:val="TableContents"/>
              <w:spacing w:before="0" w:after="283"/>
              <w:jc w:val="left"/>
              <w:rPr/>
            </w:pPr>
            <w:r>
              <w:rPr>
                <w:rFonts w:ascii="helvetica" w:hAnsi="helvetica"/>
                <w:sz w:val="20"/>
              </w:rPr>
              <w:t>%</w:t>
            </w:r>
            <w:r>
              <w:rPr/>
              <w:t xml:space="preserve"> </w:t>
            </w:r>
          </w:p>
        </w:tc>
      </w:tr>
      <w:tr>
        <w:trPr/>
        <w:tc>
          <w:tcPr>
            <w:tcW w:w="6596" w:type="dxa"/>
            <w:tcBorders/>
            <w:shd w:fill="FFFFFF" w:val="clear"/>
            <w:vAlign w:val="bottom"/>
          </w:tcPr>
          <w:p>
            <w:pPr>
              <w:pStyle w:val="TableContents"/>
              <w:spacing w:before="0" w:after="0"/>
              <w:ind w:left="0" w:right="0" w:hanging="0"/>
              <w:jc w:val="left"/>
              <w:rPr/>
            </w:pPr>
            <w:r>
              <w:rPr>
                <w:rFonts w:ascii="helvetica" w:hAnsi="helvetica"/>
                <w:sz w:val="20"/>
              </w:rPr>
              <w:t>Professional Compounding Centers of America, Inc. (5)</w:t>
            </w:r>
            <w:r>
              <w:rPr/>
              <w:t xml:space="preserve"> </w:t>
            </w:r>
          </w:p>
        </w:tc>
        <w:tc>
          <w:tcPr>
            <w:tcW w:w="119" w:type="dxa"/>
            <w:tcBorders/>
            <w:shd w:fill="FFFFFF" w:val="clear"/>
            <w:vAlign w:val="bottom"/>
          </w:tcPr>
          <w:p>
            <w:pPr>
              <w:pStyle w:val="TableContents"/>
              <w:spacing w:before="0" w:after="283"/>
              <w:rPr/>
            </w:pPr>
            <w:r>
              <w:rPr/>
              <w:t xml:space="preserve">  </w:t>
            </w:r>
          </w:p>
        </w:tc>
        <w:tc>
          <w:tcPr>
            <w:tcW w:w="119" w:type="dxa"/>
            <w:tcBorders/>
            <w:shd w:fill="FFFFFF" w:val="clear"/>
            <w:vAlign w:val="bottom"/>
          </w:tcPr>
          <w:p>
            <w:pPr>
              <w:pStyle w:val="TableContents"/>
              <w:spacing w:before="0" w:after="283"/>
              <w:jc w:val="left"/>
              <w:rPr/>
            </w:pPr>
            <w:r>
              <w:rPr/>
              <w:t xml:space="preserve">  </w:t>
            </w:r>
          </w:p>
        </w:tc>
        <w:tc>
          <w:tcPr>
            <w:tcW w:w="1318" w:type="dxa"/>
            <w:tcBorders/>
            <w:shd w:fill="FFFFFF" w:val="clear"/>
            <w:vAlign w:val="bottom"/>
          </w:tcPr>
          <w:p>
            <w:pPr>
              <w:pStyle w:val="TableContents"/>
              <w:spacing w:before="0" w:after="283"/>
              <w:jc w:val="right"/>
              <w:rPr/>
            </w:pPr>
            <w:r>
              <w:rPr>
                <w:rFonts w:ascii="helvetica" w:hAnsi="helvetica"/>
                <w:sz w:val="20"/>
              </w:rPr>
              <w:t>832,683</w:t>
            </w:r>
            <w:r>
              <w:rPr/>
              <w:t xml:space="preserve"> </w:t>
            </w:r>
          </w:p>
        </w:tc>
        <w:tc>
          <w:tcPr>
            <w:tcW w:w="163" w:type="dxa"/>
            <w:tcBorders/>
            <w:shd w:fill="FFFFFF" w:val="clear"/>
            <w:vAlign w:val="bottom"/>
          </w:tcPr>
          <w:p>
            <w:pPr>
              <w:pStyle w:val="TableContents"/>
              <w:spacing w:before="0" w:after="283"/>
              <w:jc w:val="left"/>
              <w:rPr/>
            </w:pPr>
            <w:r>
              <w:rPr/>
              <w:t xml:space="preserve">  </w:t>
            </w:r>
          </w:p>
        </w:tc>
        <w:tc>
          <w:tcPr>
            <w:tcW w:w="119" w:type="dxa"/>
            <w:tcBorders/>
            <w:shd w:fill="FFFFFF" w:val="clear"/>
            <w:vAlign w:val="bottom"/>
          </w:tcPr>
          <w:p>
            <w:pPr>
              <w:pStyle w:val="TableContents"/>
              <w:spacing w:before="0" w:after="283"/>
              <w:jc w:val="right"/>
              <w:rPr/>
            </w:pPr>
            <w:r>
              <w:rPr/>
              <w:t xml:space="preserve">  </w:t>
            </w:r>
          </w:p>
        </w:tc>
        <w:tc>
          <w:tcPr>
            <w:tcW w:w="247" w:type="dxa"/>
            <w:tcBorders/>
            <w:shd w:fill="FFFFFF" w:val="clear"/>
            <w:vAlign w:val="bottom"/>
          </w:tcPr>
          <w:p>
            <w:pPr>
              <w:pStyle w:val="TableContents"/>
              <w:spacing w:before="0" w:after="283"/>
              <w:jc w:val="left"/>
              <w:rPr/>
            </w:pPr>
            <w:r>
              <w:rPr/>
              <w:t xml:space="preserve">  </w:t>
            </w:r>
          </w:p>
        </w:tc>
        <w:tc>
          <w:tcPr>
            <w:tcW w:w="1244" w:type="dxa"/>
            <w:tcBorders/>
            <w:shd w:fill="FFFFFF" w:val="clear"/>
            <w:vAlign w:val="bottom"/>
          </w:tcPr>
          <w:p>
            <w:pPr>
              <w:pStyle w:val="TableContents"/>
              <w:spacing w:before="0" w:after="283"/>
              <w:jc w:val="right"/>
              <w:rPr/>
            </w:pPr>
            <w:r>
              <w:rPr>
                <w:rFonts w:ascii="helvetica" w:hAnsi="helvetica"/>
                <w:sz w:val="20"/>
              </w:rPr>
              <w:t>12.30</w:t>
            </w:r>
            <w:r>
              <w:rPr/>
              <w:t xml:space="preserve"> </w:t>
            </w:r>
          </w:p>
        </w:tc>
        <w:tc>
          <w:tcPr>
            <w:tcW w:w="280" w:type="dxa"/>
            <w:tcBorders/>
            <w:shd w:fill="FFFFFF" w:val="clear"/>
            <w:vAlign w:val="bottom"/>
          </w:tcPr>
          <w:p>
            <w:pPr>
              <w:pStyle w:val="TableContents"/>
              <w:spacing w:before="0" w:after="283"/>
              <w:jc w:val="left"/>
              <w:rPr/>
            </w:pPr>
            <w:r>
              <w:rPr>
                <w:rFonts w:ascii="helvetica" w:hAnsi="helvetica"/>
                <w:sz w:val="20"/>
              </w:rPr>
              <w:t>%</w:t>
            </w:r>
            <w:r>
              <w:rPr/>
              <w:t xml:space="preserve"> </w:t>
            </w:r>
          </w:p>
        </w:tc>
      </w:tr>
      <w:tr>
        <w:trPr/>
        <w:tc>
          <w:tcPr>
            <w:tcW w:w="6596" w:type="dxa"/>
            <w:tcBorders/>
            <w:shd w:fill="CCEEFF" w:val="clear"/>
            <w:vAlign w:val="bottom"/>
          </w:tcPr>
          <w:p>
            <w:pPr>
              <w:pStyle w:val="TableContents"/>
              <w:spacing w:before="0" w:after="283"/>
              <w:rPr/>
            </w:pPr>
            <w:r>
              <w:rPr/>
              <w:t xml:space="preserve">  </w:t>
            </w:r>
          </w:p>
        </w:tc>
        <w:tc>
          <w:tcPr>
            <w:tcW w:w="119" w:type="dxa"/>
            <w:tcBorders/>
            <w:shd w:fill="CCEEFF" w:val="clear"/>
            <w:vAlign w:val="bottom"/>
          </w:tcPr>
          <w:p>
            <w:pPr>
              <w:pStyle w:val="TableContents"/>
              <w:spacing w:before="0" w:after="283"/>
              <w:rPr/>
            </w:pPr>
            <w:r>
              <w:rPr/>
              <w:t xml:space="preserve">  </w:t>
            </w:r>
          </w:p>
        </w:tc>
        <w:tc>
          <w:tcPr>
            <w:tcW w:w="119" w:type="dxa"/>
            <w:tcBorders/>
            <w:shd w:fill="CCEEFF" w:val="clear"/>
            <w:vAlign w:val="bottom"/>
          </w:tcPr>
          <w:p>
            <w:pPr>
              <w:pStyle w:val="TableContents"/>
              <w:spacing w:before="0" w:after="283"/>
              <w:jc w:val="left"/>
              <w:rPr/>
            </w:pPr>
            <w:r>
              <w:rPr/>
              <w:t xml:space="preserve">  </w:t>
            </w:r>
          </w:p>
        </w:tc>
        <w:tc>
          <w:tcPr>
            <w:tcW w:w="1318" w:type="dxa"/>
            <w:tcBorders/>
            <w:shd w:fill="CCEEFF" w:val="clear"/>
            <w:vAlign w:val="bottom"/>
          </w:tcPr>
          <w:p>
            <w:pPr>
              <w:pStyle w:val="TableContents"/>
              <w:spacing w:before="0" w:after="283"/>
              <w:jc w:val="right"/>
              <w:rPr/>
            </w:pPr>
            <w:r>
              <w:rPr/>
              <w:t xml:space="preserve">  </w:t>
            </w:r>
          </w:p>
        </w:tc>
        <w:tc>
          <w:tcPr>
            <w:tcW w:w="163" w:type="dxa"/>
            <w:tcBorders/>
            <w:shd w:fill="CCEEFF" w:val="clear"/>
            <w:vAlign w:val="bottom"/>
          </w:tcPr>
          <w:p>
            <w:pPr>
              <w:pStyle w:val="TableContents"/>
              <w:spacing w:before="0" w:after="283"/>
              <w:jc w:val="left"/>
              <w:rPr/>
            </w:pPr>
            <w:r>
              <w:rPr/>
              <w:t xml:space="preserve">  </w:t>
            </w:r>
          </w:p>
        </w:tc>
        <w:tc>
          <w:tcPr>
            <w:tcW w:w="119" w:type="dxa"/>
            <w:tcBorders/>
            <w:shd w:fill="CCEEFF" w:val="clear"/>
            <w:vAlign w:val="bottom"/>
          </w:tcPr>
          <w:p>
            <w:pPr>
              <w:pStyle w:val="TableContents"/>
              <w:spacing w:before="0" w:after="283"/>
              <w:rPr/>
            </w:pPr>
            <w:r>
              <w:rPr/>
              <w:t xml:space="preserve">  </w:t>
            </w:r>
          </w:p>
        </w:tc>
        <w:tc>
          <w:tcPr>
            <w:tcW w:w="247" w:type="dxa"/>
            <w:tcBorders/>
            <w:shd w:fill="CCEEFF" w:val="clear"/>
            <w:vAlign w:val="bottom"/>
          </w:tcPr>
          <w:p>
            <w:pPr>
              <w:pStyle w:val="TableContents"/>
              <w:spacing w:before="0" w:after="283"/>
              <w:jc w:val="left"/>
              <w:rPr/>
            </w:pPr>
            <w:r>
              <w:rPr/>
              <w:t xml:space="preserve">  </w:t>
            </w:r>
          </w:p>
        </w:tc>
        <w:tc>
          <w:tcPr>
            <w:tcW w:w="1244" w:type="dxa"/>
            <w:tcBorders/>
            <w:shd w:fill="CCEEFF" w:val="clear"/>
            <w:vAlign w:val="bottom"/>
          </w:tcPr>
          <w:p>
            <w:pPr>
              <w:pStyle w:val="TableContents"/>
              <w:spacing w:before="0" w:after="283"/>
              <w:jc w:val="right"/>
              <w:rPr/>
            </w:pPr>
            <w:r>
              <w:rPr/>
              <w:t xml:space="preserve">  </w:t>
            </w:r>
          </w:p>
        </w:tc>
        <w:tc>
          <w:tcPr>
            <w:tcW w:w="280" w:type="dxa"/>
            <w:tcBorders/>
            <w:shd w:fill="CCEEFF" w:val="clear"/>
            <w:vAlign w:val="bottom"/>
          </w:tcPr>
          <w:p>
            <w:pPr>
              <w:pStyle w:val="TableContents"/>
              <w:spacing w:before="0" w:after="283"/>
              <w:jc w:val="left"/>
              <w:rPr/>
            </w:pPr>
            <w:r>
              <w:rPr/>
              <w:t xml:space="preserve">  </w:t>
            </w:r>
          </w:p>
        </w:tc>
      </w:tr>
      <w:tr>
        <w:trPr/>
        <w:tc>
          <w:tcPr>
            <w:tcW w:w="6596" w:type="dxa"/>
            <w:tcBorders/>
            <w:shd w:fill="FFFFFF" w:val="clear"/>
            <w:vAlign w:val="bottom"/>
          </w:tcPr>
          <w:p>
            <w:pPr>
              <w:pStyle w:val="TableContents"/>
              <w:spacing w:before="0" w:after="0"/>
              <w:ind w:left="0" w:right="0" w:hanging="0"/>
              <w:jc w:val="left"/>
              <w:rPr/>
            </w:pPr>
            <w:r>
              <w:rPr>
                <w:rFonts w:ascii="helvetica" w:hAnsi="helvetica"/>
                <w:i/>
                <w:sz w:val="20"/>
                <w:u w:val="single"/>
              </w:rPr>
              <w:t>Directors and Officers</w:t>
            </w:r>
            <w:r>
              <w:rPr/>
              <w:t xml:space="preserve"> </w:t>
            </w:r>
          </w:p>
        </w:tc>
        <w:tc>
          <w:tcPr>
            <w:tcW w:w="119" w:type="dxa"/>
            <w:tcBorders/>
            <w:shd w:fill="FFFFFF" w:val="clear"/>
            <w:vAlign w:val="bottom"/>
          </w:tcPr>
          <w:p>
            <w:pPr>
              <w:pStyle w:val="TableContents"/>
              <w:spacing w:before="0" w:after="283"/>
              <w:rPr/>
            </w:pPr>
            <w:r>
              <w:rPr/>
              <w:t xml:space="preserve">  </w:t>
            </w:r>
          </w:p>
        </w:tc>
        <w:tc>
          <w:tcPr>
            <w:tcW w:w="119" w:type="dxa"/>
            <w:tcBorders/>
            <w:shd w:fill="FFFFFF" w:val="clear"/>
            <w:vAlign w:val="bottom"/>
          </w:tcPr>
          <w:p>
            <w:pPr>
              <w:pStyle w:val="TableContents"/>
              <w:spacing w:before="0" w:after="283"/>
              <w:jc w:val="left"/>
              <w:rPr/>
            </w:pPr>
            <w:r>
              <w:rPr/>
              <w:t xml:space="preserve">  </w:t>
            </w:r>
          </w:p>
        </w:tc>
        <w:tc>
          <w:tcPr>
            <w:tcW w:w="1318" w:type="dxa"/>
            <w:tcBorders/>
            <w:shd w:fill="FFFFFF" w:val="clear"/>
            <w:vAlign w:val="bottom"/>
          </w:tcPr>
          <w:p>
            <w:pPr>
              <w:pStyle w:val="TableContents"/>
              <w:spacing w:before="0" w:after="283"/>
              <w:jc w:val="right"/>
              <w:rPr/>
            </w:pPr>
            <w:r>
              <w:rPr/>
              <w:t xml:space="preserve">  </w:t>
            </w:r>
          </w:p>
        </w:tc>
        <w:tc>
          <w:tcPr>
            <w:tcW w:w="163" w:type="dxa"/>
            <w:tcBorders/>
            <w:shd w:fill="FFFFFF" w:val="clear"/>
            <w:vAlign w:val="bottom"/>
          </w:tcPr>
          <w:p>
            <w:pPr>
              <w:pStyle w:val="TableContents"/>
              <w:spacing w:before="0" w:after="283"/>
              <w:jc w:val="left"/>
              <w:rPr/>
            </w:pPr>
            <w:r>
              <w:rPr/>
              <w:t xml:space="preserve">  </w:t>
            </w:r>
          </w:p>
        </w:tc>
        <w:tc>
          <w:tcPr>
            <w:tcW w:w="119" w:type="dxa"/>
            <w:tcBorders/>
            <w:shd w:fill="FFFFFF" w:val="clear"/>
            <w:vAlign w:val="bottom"/>
          </w:tcPr>
          <w:p>
            <w:pPr>
              <w:pStyle w:val="TableContents"/>
              <w:spacing w:before="0" w:after="283"/>
              <w:rPr/>
            </w:pPr>
            <w:r>
              <w:rPr/>
              <w:t xml:space="preserve">  </w:t>
            </w:r>
          </w:p>
        </w:tc>
        <w:tc>
          <w:tcPr>
            <w:tcW w:w="247" w:type="dxa"/>
            <w:tcBorders/>
            <w:shd w:fill="FFFFFF" w:val="clear"/>
            <w:vAlign w:val="bottom"/>
          </w:tcPr>
          <w:p>
            <w:pPr>
              <w:pStyle w:val="TableContents"/>
              <w:spacing w:before="0" w:after="283"/>
              <w:jc w:val="left"/>
              <w:rPr/>
            </w:pPr>
            <w:r>
              <w:rPr/>
              <w:t xml:space="preserve">  </w:t>
            </w:r>
          </w:p>
        </w:tc>
        <w:tc>
          <w:tcPr>
            <w:tcW w:w="1244" w:type="dxa"/>
            <w:tcBorders/>
            <w:shd w:fill="FFFFFF" w:val="clear"/>
            <w:vAlign w:val="bottom"/>
          </w:tcPr>
          <w:p>
            <w:pPr>
              <w:pStyle w:val="TableContents"/>
              <w:spacing w:before="0" w:after="283"/>
              <w:jc w:val="right"/>
              <w:rPr/>
            </w:pPr>
            <w:r>
              <w:rPr/>
              <w:t xml:space="preserve">  </w:t>
            </w:r>
          </w:p>
        </w:tc>
        <w:tc>
          <w:tcPr>
            <w:tcW w:w="280" w:type="dxa"/>
            <w:tcBorders/>
            <w:shd w:fill="FFFFFF" w:val="clear"/>
            <w:vAlign w:val="bottom"/>
          </w:tcPr>
          <w:p>
            <w:pPr>
              <w:pStyle w:val="TableContents"/>
              <w:spacing w:before="0" w:after="283"/>
              <w:jc w:val="left"/>
              <w:rPr/>
            </w:pPr>
            <w:r>
              <w:rPr/>
              <w:t xml:space="preserve">  </w:t>
            </w:r>
          </w:p>
        </w:tc>
      </w:tr>
      <w:tr>
        <w:trPr/>
        <w:tc>
          <w:tcPr>
            <w:tcW w:w="6596" w:type="dxa"/>
            <w:tcBorders/>
            <w:shd w:fill="CCEEFF" w:val="clear"/>
            <w:vAlign w:val="bottom"/>
          </w:tcPr>
          <w:p>
            <w:pPr>
              <w:pStyle w:val="TableContents"/>
              <w:spacing w:before="0" w:after="0"/>
              <w:ind w:left="0" w:right="0" w:hanging="0"/>
              <w:jc w:val="left"/>
              <w:rPr/>
            </w:pPr>
            <w:r>
              <w:rPr>
                <w:rFonts w:ascii="helvetica" w:hAnsi="helvetica"/>
                <w:sz w:val="20"/>
              </w:rPr>
              <w:t>Jeffery J. Abrams, M.D. (6)</w:t>
            </w:r>
            <w:r>
              <w:rPr/>
              <w:t xml:space="preserve"> </w:t>
            </w:r>
          </w:p>
        </w:tc>
        <w:tc>
          <w:tcPr>
            <w:tcW w:w="119" w:type="dxa"/>
            <w:tcBorders/>
            <w:shd w:fill="CCEEFF" w:val="clear"/>
            <w:vAlign w:val="bottom"/>
          </w:tcPr>
          <w:p>
            <w:pPr>
              <w:pStyle w:val="TableContents"/>
              <w:spacing w:before="0" w:after="283"/>
              <w:rPr/>
            </w:pPr>
            <w:r>
              <w:rPr/>
              <w:t xml:space="preserve">  </w:t>
            </w:r>
          </w:p>
        </w:tc>
        <w:tc>
          <w:tcPr>
            <w:tcW w:w="119" w:type="dxa"/>
            <w:tcBorders/>
            <w:shd w:fill="CCEEFF" w:val="clear"/>
            <w:vAlign w:val="bottom"/>
          </w:tcPr>
          <w:p>
            <w:pPr>
              <w:pStyle w:val="TableContents"/>
              <w:spacing w:before="0" w:after="283"/>
              <w:jc w:val="left"/>
              <w:rPr/>
            </w:pPr>
            <w:r>
              <w:rPr/>
              <w:t xml:space="preserve">  </w:t>
            </w:r>
          </w:p>
        </w:tc>
        <w:tc>
          <w:tcPr>
            <w:tcW w:w="1318" w:type="dxa"/>
            <w:tcBorders/>
            <w:shd w:fill="CCEEFF" w:val="clear"/>
            <w:vAlign w:val="bottom"/>
          </w:tcPr>
          <w:p>
            <w:pPr>
              <w:pStyle w:val="TableContents"/>
              <w:spacing w:before="0" w:after="283"/>
              <w:jc w:val="right"/>
              <w:rPr/>
            </w:pPr>
            <w:r>
              <w:rPr>
                <w:rFonts w:ascii="helvetica" w:hAnsi="helvetica"/>
                <w:sz w:val="20"/>
              </w:rPr>
              <w:t>88,413</w:t>
            </w:r>
            <w:r>
              <w:rPr/>
              <w:t xml:space="preserve"> </w:t>
            </w:r>
          </w:p>
        </w:tc>
        <w:tc>
          <w:tcPr>
            <w:tcW w:w="163" w:type="dxa"/>
            <w:tcBorders/>
            <w:shd w:fill="CCEEFF" w:val="clear"/>
            <w:vAlign w:val="bottom"/>
          </w:tcPr>
          <w:p>
            <w:pPr>
              <w:pStyle w:val="TableContents"/>
              <w:spacing w:before="0" w:after="283"/>
              <w:jc w:val="left"/>
              <w:rPr/>
            </w:pPr>
            <w:r>
              <w:rPr/>
              <w:t xml:space="preserve">  </w:t>
            </w:r>
          </w:p>
        </w:tc>
        <w:tc>
          <w:tcPr>
            <w:tcW w:w="119" w:type="dxa"/>
            <w:tcBorders/>
            <w:shd w:fill="CCEEFF" w:val="clear"/>
            <w:vAlign w:val="bottom"/>
          </w:tcPr>
          <w:p>
            <w:pPr>
              <w:pStyle w:val="TableContents"/>
              <w:spacing w:before="0" w:after="283"/>
              <w:jc w:val="right"/>
              <w:rPr/>
            </w:pPr>
            <w:r>
              <w:rPr/>
              <w:t xml:space="preserve">  </w:t>
            </w:r>
          </w:p>
        </w:tc>
        <w:tc>
          <w:tcPr>
            <w:tcW w:w="247" w:type="dxa"/>
            <w:tcBorders/>
            <w:shd w:fill="CCEEFF" w:val="clear"/>
            <w:vAlign w:val="bottom"/>
          </w:tcPr>
          <w:p>
            <w:pPr>
              <w:pStyle w:val="TableContents"/>
              <w:spacing w:before="0" w:after="283"/>
              <w:jc w:val="left"/>
              <w:rPr/>
            </w:pPr>
            <w:r>
              <w:rPr/>
              <w:t xml:space="preserve">  </w:t>
            </w:r>
          </w:p>
        </w:tc>
        <w:tc>
          <w:tcPr>
            <w:tcW w:w="1244" w:type="dxa"/>
            <w:tcBorders/>
            <w:shd w:fill="CCEEFF" w:val="clear"/>
            <w:vAlign w:val="bottom"/>
          </w:tcPr>
          <w:p>
            <w:pPr>
              <w:pStyle w:val="TableContents"/>
              <w:spacing w:before="0" w:after="283"/>
              <w:jc w:val="right"/>
              <w:rPr/>
            </w:pPr>
            <w:r>
              <w:rPr>
                <w:rFonts w:ascii="helvetica" w:hAnsi="helvetica"/>
                <w:sz w:val="20"/>
              </w:rPr>
              <w:t>1.30</w:t>
            </w:r>
            <w:r>
              <w:rPr/>
              <w:t xml:space="preserve"> </w:t>
            </w:r>
          </w:p>
        </w:tc>
        <w:tc>
          <w:tcPr>
            <w:tcW w:w="280" w:type="dxa"/>
            <w:tcBorders/>
            <w:shd w:fill="CCEEFF" w:val="clear"/>
            <w:vAlign w:val="bottom"/>
          </w:tcPr>
          <w:p>
            <w:pPr>
              <w:pStyle w:val="TableContents"/>
              <w:spacing w:before="0" w:after="283"/>
              <w:jc w:val="left"/>
              <w:rPr/>
            </w:pPr>
            <w:r>
              <w:rPr>
                <w:rFonts w:ascii="helvetica" w:hAnsi="helvetica"/>
                <w:sz w:val="20"/>
              </w:rPr>
              <w:t>%</w:t>
            </w:r>
            <w:r>
              <w:rPr/>
              <w:t xml:space="preserve"> </w:t>
            </w:r>
          </w:p>
        </w:tc>
      </w:tr>
      <w:tr>
        <w:trPr/>
        <w:tc>
          <w:tcPr>
            <w:tcW w:w="6596" w:type="dxa"/>
            <w:tcBorders/>
            <w:shd w:fill="FFFFFF" w:val="clear"/>
            <w:vAlign w:val="bottom"/>
          </w:tcPr>
          <w:p>
            <w:pPr>
              <w:pStyle w:val="TableContents"/>
              <w:spacing w:before="0" w:after="0"/>
              <w:ind w:left="0" w:right="0" w:hanging="0"/>
              <w:jc w:val="left"/>
              <w:rPr/>
            </w:pPr>
            <w:r>
              <w:rPr>
                <w:rFonts w:ascii="helvetica" w:hAnsi="helvetica"/>
                <w:sz w:val="20"/>
              </w:rPr>
              <w:t>Mark L. Baum, Esq. (7)</w:t>
            </w:r>
            <w:r>
              <w:rPr/>
              <w:t xml:space="preserve"> </w:t>
            </w:r>
          </w:p>
        </w:tc>
        <w:tc>
          <w:tcPr>
            <w:tcW w:w="119" w:type="dxa"/>
            <w:tcBorders/>
            <w:shd w:fill="FFFFFF" w:val="clear"/>
            <w:vAlign w:val="bottom"/>
          </w:tcPr>
          <w:p>
            <w:pPr>
              <w:pStyle w:val="TableContents"/>
              <w:spacing w:before="0" w:after="283"/>
              <w:rPr/>
            </w:pPr>
            <w:r>
              <w:rPr/>
              <w:t xml:space="preserve">  </w:t>
            </w:r>
          </w:p>
        </w:tc>
        <w:tc>
          <w:tcPr>
            <w:tcW w:w="119" w:type="dxa"/>
            <w:tcBorders/>
            <w:shd w:fill="FFFFFF" w:val="clear"/>
            <w:vAlign w:val="bottom"/>
          </w:tcPr>
          <w:p>
            <w:pPr>
              <w:pStyle w:val="TableContents"/>
              <w:spacing w:before="0" w:after="283"/>
              <w:jc w:val="left"/>
              <w:rPr/>
            </w:pPr>
            <w:r>
              <w:rPr/>
              <w:t xml:space="preserve">  </w:t>
            </w:r>
          </w:p>
        </w:tc>
        <w:tc>
          <w:tcPr>
            <w:tcW w:w="1318" w:type="dxa"/>
            <w:tcBorders/>
            <w:shd w:fill="FFFFFF" w:val="clear"/>
            <w:vAlign w:val="bottom"/>
          </w:tcPr>
          <w:p>
            <w:pPr>
              <w:pStyle w:val="TableContents"/>
              <w:spacing w:before="0" w:after="283"/>
              <w:jc w:val="right"/>
              <w:rPr/>
            </w:pPr>
            <w:r>
              <w:rPr>
                <w:rFonts w:ascii="helvetica" w:hAnsi="helvetica"/>
                <w:sz w:val="20"/>
              </w:rPr>
              <w:t>306,174</w:t>
            </w:r>
            <w:r>
              <w:rPr/>
              <w:t xml:space="preserve"> </w:t>
            </w:r>
          </w:p>
        </w:tc>
        <w:tc>
          <w:tcPr>
            <w:tcW w:w="163" w:type="dxa"/>
            <w:tcBorders/>
            <w:shd w:fill="FFFFFF" w:val="clear"/>
            <w:vAlign w:val="bottom"/>
          </w:tcPr>
          <w:p>
            <w:pPr>
              <w:pStyle w:val="TableContents"/>
              <w:spacing w:before="0" w:after="283"/>
              <w:jc w:val="left"/>
              <w:rPr/>
            </w:pPr>
            <w:r>
              <w:rPr/>
              <w:t xml:space="preserve">  </w:t>
            </w:r>
          </w:p>
        </w:tc>
        <w:tc>
          <w:tcPr>
            <w:tcW w:w="119" w:type="dxa"/>
            <w:tcBorders/>
            <w:shd w:fill="FFFFFF" w:val="clear"/>
            <w:vAlign w:val="bottom"/>
          </w:tcPr>
          <w:p>
            <w:pPr>
              <w:pStyle w:val="TableContents"/>
              <w:spacing w:before="0" w:after="283"/>
              <w:jc w:val="right"/>
              <w:rPr/>
            </w:pPr>
            <w:r>
              <w:rPr/>
              <w:t xml:space="preserve">  </w:t>
            </w:r>
          </w:p>
        </w:tc>
        <w:tc>
          <w:tcPr>
            <w:tcW w:w="247" w:type="dxa"/>
            <w:tcBorders/>
            <w:shd w:fill="FFFFFF" w:val="clear"/>
            <w:vAlign w:val="bottom"/>
          </w:tcPr>
          <w:p>
            <w:pPr>
              <w:pStyle w:val="TableContents"/>
              <w:spacing w:before="0" w:after="283"/>
              <w:jc w:val="left"/>
              <w:rPr/>
            </w:pPr>
            <w:r>
              <w:rPr/>
              <w:t xml:space="preserve">  </w:t>
            </w:r>
          </w:p>
        </w:tc>
        <w:tc>
          <w:tcPr>
            <w:tcW w:w="1244" w:type="dxa"/>
            <w:tcBorders/>
            <w:shd w:fill="FFFFFF" w:val="clear"/>
            <w:vAlign w:val="bottom"/>
          </w:tcPr>
          <w:p>
            <w:pPr>
              <w:pStyle w:val="TableContents"/>
              <w:spacing w:before="0" w:after="283"/>
              <w:jc w:val="right"/>
              <w:rPr/>
            </w:pPr>
            <w:r>
              <w:rPr>
                <w:rFonts w:ascii="helvetica" w:hAnsi="helvetica"/>
                <w:sz w:val="20"/>
              </w:rPr>
              <w:t>4.43</w:t>
            </w:r>
            <w:r>
              <w:rPr/>
              <w:t xml:space="preserve"> </w:t>
            </w:r>
          </w:p>
        </w:tc>
        <w:tc>
          <w:tcPr>
            <w:tcW w:w="280" w:type="dxa"/>
            <w:tcBorders/>
            <w:shd w:fill="FFFFFF" w:val="clear"/>
            <w:vAlign w:val="bottom"/>
          </w:tcPr>
          <w:p>
            <w:pPr>
              <w:pStyle w:val="TableContents"/>
              <w:spacing w:before="0" w:after="283"/>
              <w:jc w:val="left"/>
              <w:rPr/>
            </w:pPr>
            <w:r>
              <w:rPr>
                <w:rFonts w:ascii="helvetica" w:hAnsi="helvetica"/>
                <w:sz w:val="20"/>
              </w:rPr>
              <w:t>%</w:t>
            </w:r>
            <w:r>
              <w:rPr/>
              <w:t xml:space="preserve"> </w:t>
            </w:r>
          </w:p>
        </w:tc>
      </w:tr>
      <w:tr>
        <w:trPr/>
        <w:tc>
          <w:tcPr>
            <w:tcW w:w="6596" w:type="dxa"/>
            <w:tcBorders/>
            <w:shd w:fill="CCEEFF" w:val="clear"/>
            <w:vAlign w:val="bottom"/>
          </w:tcPr>
          <w:p>
            <w:pPr>
              <w:pStyle w:val="TableContents"/>
              <w:spacing w:before="0" w:after="0"/>
              <w:ind w:left="0" w:right="0" w:hanging="0"/>
              <w:jc w:val="left"/>
              <w:rPr/>
            </w:pPr>
            <w:r>
              <w:rPr>
                <w:rFonts w:ascii="helvetica" w:hAnsi="helvetica"/>
                <w:sz w:val="20"/>
              </w:rPr>
              <w:t>Andrew R. Boll (8)</w:t>
            </w:r>
            <w:r>
              <w:rPr/>
              <w:t xml:space="preserve"> </w:t>
            </w:r>
          </w:p>
        </w:tc>
        <w:tc>
          <w:tcPr>
            <w:tcW w:w="119" w:type="dxa"/>
            <w:tcBorders/>
            <w:shd w:fill="CCEEFF" w:val="clear"/>
            <w:vAlign w:val="bottom"/>
          </w:tcPr>
          <w:p>
            <w:pPr>
              <w:pStyle w:val="TableContents"/>
              <w:spacing w:before="0" w:after="283"/>
              <w:rPr/>
            </w:pPr>
            <w:r>
              <w:rPr/>
              <w:t xml:space="preserve">  </w:t>
            </w:r>
          </w:p>
        </w:tc>
        <w:tc>
          <w:tcPr>
            <w:tcW w:w="119" w:type="dxa"/>
            <w:tcBorders/>
            <w:shd w:fill="CCEEFF" w:val="clear"/>
            <w:vAlign w:val="bottom"/>
          </w:tcPr>
          <w:p>
            <w:pPr>
              <w:pStyle w:val="TableContents"/>
              <w:spacing w:before="0" w:after="283"/>
              <w:jc w:val="left"/>
              <w:rPr/>
            </w:pPr>
            <w:r>
              <w:rPr/>
              <w:t xml:space="preserve">  </w:t>
            </w:r>
          </w:p>
        </w:tc>
        <w:tc>
          <w:tcPr>
            <w:tcW w:w="1318" w:type="dxa"/>
            <w:tcBorders/>
            <w:shd w:fill="CCEEFF" w:val="clear"/>
            <w:vAlign w:val="bottom"/>
          </w:tcPr>
          <w:p>
            <w:pPr>
              <w:pStyle w:val="TableContents"/>
              <w:spacing w:before="0" w:after="283"/>
              <w:jc w:val="right"/>
              <w:rPr/>
            </w:pPr>
            <w:r>
              <w:rPr>
                <w:rFonts w:ascii="helvetica" w:hAnsi="helvetica"/>
                <w:sz w:val="20"/>
              </w:rPr>
              <w:t>3,750</w:t>
            </w:r>
            <w:r>
              <w:rPr/>
              <w:t xml:space="preserve"> </w:t>
            </w:r>
          </w:p>
        </w:tc>
        <w:tc>
          <w:tcPr>
            <w:tcW w:w="163" w:type="dxa"/>
            <w:tcBorders/>
            <w:shd w:fill="CCEEFF" w:val="clear"/>
            <w:vAlign w:val="bottom"/>
          </w:tcPr>
          <w:p>
            <w:pPr>
              <w:pStyle w:val="TableContents"/>
              <w:spacing w:before="0" w:after="283"/>
              <w:jc w:val="left"/>
              <w:rPr/>
            </w:pPr>
            <w:r>
              <w:rPr/>
              <w:t xml:space="preserve">  </w:t>
            </w:r>
          </w:p>
        </w:tc>
        <w:tc>
          <w:tcPr>
            <w:tcW w:w="119" w:type="dxa"/>
            <w:tcBorders/>
            <w:shd w:fill="CCEEFF" w:val="clear"/>
            <w:vAlign w:val="bottom"/>
          </w:tcPr>
          <w:p>
            <w:pPr>
              <w:pStyle w:val="TableContents"/>
              <w:spacing w:before="0" w:after="283"/>
              <w:jc w:val="right"/>
              <w:rPr/>
            </w:pPr>
            <w:r>
              <w:rPr/>
              <w:t xml:space="preserve">  </w:t>
            </w:r>
          </w:p>
        </w:tc>
        <w:tc>
          <w:tcPr>
            <w:tcW w:w="247" w:type="dxa"/>
            <w:tcBorders/>
            <w:shd w:fill="CCEEFF" w:val="clear"/>
            <w:vAlign w:val="bottom"/>
          </w:tcPr>
          <w:p>
            <w:pPr>
              <w:pStyle w:val="TableContents"/>
              <w:spacing w:before="0" w:after="283"/>
              <w:jc w:val="left"/>
              <w:rPr/>
            </w:pPr>
            <w:r>
              <w:rPr/>
              <w:t xml:space="preserve">  </w:t>
            </w:r>
          </w:p>
        </w:tc>
        <w:tc>
          <w:tcPr>
            <w:tcW w:w="1244" w:type="dxa"/>
            <w:tcBorders/>
            <w:shd w:fill="CCEEFF" w:val="clear"/>
            <w:vAlign w:val="bottom"/>
          </w:tcPr>
          <w:p>
            <w:pPr>
              <w:pStyle w:val="TableContents"/>
              <w:spacing w:before="0" w:after="283"/>
              <w:jc w:val="right"/>
              <w:rPr/>
            </w:pPr>
            <w:r>
              <w:rPr>
                <w:rFonts w:ascii="helvetica" w:hAnsi="helvetica"/>
                <w:sz w:val="20"/>
              </w:rPr>
              <w:t>*</w:t>
            </w:r>
            <w:r>
              <w:rPr/>
              <w:t xml:space="preserve"> </w:t>
            </w:r>
          </w:p>
        </w:tc>
        <w:tc>
          <w:tcPr>
            <w:tcW w:w="280" w:type="dxa"/>
            <w:tcBorders/>
            <w:shd w:fill="CCEEFF" w:val="clear"/>
            <w:vAlign w:val="bottom"/>
          </w:tcPr>
          <w:p>
            <w:pPr>
              <w:pStyle w:val="TableContents"/>
              <w:spacing w:before="0" w:after="283"/>
              <w:jc w:val="left"/>
              <w:rPr/>
            </w:pPr>
            <w:r>
              <w:rPr/>
              <w:t xml:space="preserve">  </w:t>
            </w:r>
          </w:p>
        </w:tc>
      </w:tr>
      <w:tr>
        <w:trPr/>
        <w:tc>
          <w:tcPr>
            <w:tcW w:w="6596" w:type="dxa"/>
            <w:tcBorders/>
            <w:shd w:fill="FFFFFF" w:val="clear"/>
            <w:vAlign w:val="bottom"/>
          </w:tcPr>
          <w:p>
            <w:pPr>
              <w:pStyle w:val="TableContents"/>
              <w:spacing w:before="0" w:after="0"/>
              <w:ind w:left="0" w:right="0" w:hanging="0"/>
              <w:jc w:val="left"/>
              <w:rPr/>
            </w:pPr>
            <w:r>
              <w:rPr>
                <w:rFonts w:ascii="helvetica" w:hAnsi="helvetica"/>
                <w:sz w:val="20"/>
              </w:rPr>
              <w:t>John Bonfigilio</w:t>
            </w:r>
            <w:r>
              <w:rPr/>
              <w:t xml:space="preserve"> </w:t>
            </w:r>
          </w:p>
        </w:tc>
        <w:tc>
          <w:tcPr>
            <w:tcW w:w="119" w:type="dxa"/>
            <w:tcBorders/>
            <w:shd w:fill="FFFFFF" w:val="clear"/>
            <w:vAlign w:val="bottom"/>
          </w:tcPr>
          <w:p>
            <w:pPr>
              <w:pStyle w:val="TableContents"/>
              <w:spacing w:before="0" w:after="283"/>
              <w:rPr/>
            </w:pPr>
            <w:r>
              <w:rPr/>
              <w:t xml:space="preserve">  </w:t>
            </w:r>
          </w:p>
        </w:tc>
        <w:tc>
          <w:tcPr>
            <w:tcW w:w="119" w:type="dxa"/>
            <w:tcBorders/>
            <w:shd w:fill="FFFFFF" w:val="clear"/>
            <w:vAlign w:val="bottom"/>
          </w:tcPr>
          <w:p>
            <w:pPr>
              <w:pStyle w:val="TableContents"/>
              <w:spacing w:before="0" w:after="283"/>
              <w:jc w:val="left"/>
              <w:rPr/>
            </w:pPr>
            <w:r>
              <w:rPr/>
              <w:t xml:space="preserve">  </w:t>
            </w:r>
          </w:p>
        </w:tc>
        <w:tc>
          <w:tcPr>
            <w:tcW w:w="1318" w:type="dxa"/>
            <w:tcBorders/>
            <w:shd w:fill="FFFFFF" w:val="clear"/>
            <w:vAlign w:val="bottom"/>
          </w:tcPr>
          <w:p>
            <w:pPr>
              <w:pStyle w:val="TableContents"/>
              <w:spacing w:before="0" w:after="283"/>
              <w:jc w:val="right"/>
              <w:rPr/>
            </w:pPr>
            <w:r>
              <w:rPr>
                <w:rFonts w:ascii="helvetica" w:hAnsi="helvetica"/>
                <w:sz w:val="20"/>
              </w:rPr>
              <w:t>469</w:t>
            </w:r>
            <w:r>
              <w:rPr/>
              <w:t xml:space="preserve"> </w:t>
            </w:r>
          </w:p>
        </w:tc>
        <w:tc>
          <w:tcPr>
            <w:tcW w:w="163" w:type="dxa"/>
            <w:tcBorders/>
            <w:shd w:fill="FFFFFF" w:val="clear"/>
            <w:vAlign w:val="bottom"/>
          </w:tcPr>
          <w:p>
            <w:pPr>
              <w:pStyle w:val="TableContents"/>
              <w:spacing w:before="0" w:after="283"/>
              <w:jc w:val="left"/>
              <w:rPr/>
            </w:pPr>
            <w:r>
              <w:rPr/>
              <w:t xml:space="preserve">  </w:t>
            </w:r>
          </w:p>
        </w:tc>
        <w:tc>
          <w:tcPr>
            <w:tcW w:w="119" w:type="dxa"/>
            <w:tcBorders/>
            <w:shd w:fill="FFFFFF" w:val="clear"/>
            <w:vAlign w:val="bottom"/>
          </w:tcPr>
          <w:p>
            <w:pPr>
              <w:pStyle w:val="TableContents"/>
              <w:spacing w:before="0" w:after="283"/>
              <w:jc w:val="right"/>
              <w:rPr/>
            </w:pPr>
            <w:r>
              <w:rPr/>
              <w:t xml:space="preserve">  </w:t>
            </w:r>
          </w:p>
        </w:tc>
        <w:tc>
          <w:tcPr>
            <w:tcW w:w="247" w:type="dxa"/>
            <w:tcBorders/>
            <w:shd w:fill="FFFFFF" w:val="clear"/>
            <w:vAlign w:val="bottom"/>
          </w:tcPr>
          <w:p>
            <w:pPr>
              <w:pStyle w:val="TableContents"/>
              <w:spacing w:before="0" w:after="283"/>
              <w:jc w:val="left"/>
              <w:rPr/>
            </w:pPr>
            <w:r>
              <w:rPr/>
              <w:t xml:space="preserve">  </w:t>
            </w:r>
          </w:p>
        </w:tc>
        <w:tc>
          <w:tcPr>
            <w:tcW w:w="1244" w:type="dxa"/>
            <w:tcBorders/>
            <w:shd w:fill="FFFFFF" w:val="clear"/>
            <w:vAlign w:val="bottom"/>
          </w:tcPr>
          <w:p>
            <w:pPr>
              <w:pStyle w:val="TableContents"/>
              <w:spacing w:before="0" w:after="283"/>
              <w:jc w:val="right"/>
              <w:rPr/>
            </w:pPr>
            <w:r>
              <w:rPr>
                <w:rFonts w:ascii="helvetica" w:hAnsi="helvetica"/>
                <w:sz w:val="20"/>
              </w:rPr>
              <w:t>*</w:t>
            </w:r>
            <w:r>
              <w:rPr/>
              <w:t xml:space="preserve"> </w:t>
            </w:r>
          </w:p>
        </w:tc>
        <w:tc>
          <w:tcPr>
            <w:tcW w:w="280" w:type="dxa"/>
            <w:tcBorders/>
            <w:shd w:fill="FFFFFF" w:val="clear"/>
            <w:vAlign w:val="bottom"/>
          </w:tcPr>
          <w:p>
            <w:pPr>
              <w:pStyle w:val="TableContents"/>
              <w:spacing w:before="0" w:after="283"/>
              <w:jc w:val="left"/>
              <w:rPr/>
            </w:pPr>
            <w:r>
              <w:rPr/>
              <w:t xml:space="preserve">  </w:t>
            </w:r>
          </w:p>
        </w:tc>
      </w:tr>
      <w:tr>
        <w:trPr/>
        <w:tc>
          <w:tcPr>
            <w:tcW w:w="6596" w:type="dxa"/>
            <w:tcBorders/>
            <w:shd w:fill="CCEEFF" w:val="clear"/>
            <w:vAlign w:val="bottom"/>
          </w:tcPr>
          <w:p>
            <w:pPr>
              <w:pStyle w:val="TableContents"/>
              <w:spacing w:before="0" w:after="0"/>
              <w:ind w:left="0" w:right="0" w:hanging="0"/>
              <w:jc w:val="left"/>
              <w:rPr/>
            </w:pPr>
            <w:r>
              <w:rPr>
                <w:rFonts w:ascii="helvetica" w:hAnsi="helvetica"/>
                <w:sz w:val="20"/>
              </w:rPr>
              <w:t>Balbir Brar, D.V.M., Ph.D. (9)</w:t>
            </w:r>
            <w:r>
              <w:rPr/>
              <w:t xml:space="preserve"> </w:t>
            </w:r>
          </w:p>
        </w:tc>
        <w:tc>
          <w:tcPr>
            <w:tcW w:w="119" w:type="dxa"/>
            <w:tcBorders/>
            <w:shd w:fill="CCEEFF" w:val="clear"/>
            <w:vAlign w:val="bottom"/>
          </w:tcPr>
          <w:p>
            <w:pPr>
              <w:pStyle w:val="TableContents"/>
              <w:spacing w:before="0" w:after="283"/>
              <w:rPr/>
            </w:pPr>
            <w:r>
              <w:rPr/>
              <w:t xml:space="preserve">  </w:t>
            </w:r>
          </w:p>
        </w:tc>
        <w:tc>
          <w:tcPr>
            <w:tcW w:w="119" w:type="dxa"/>
            <w:tcBorders/>
            <w:shd w:fill="CCEEFF" w:val="clear"/>
            <w:vAlign w:val="bottom"/>
          </w:tcPr>
          <w:p>
            <w:pPr>
              <w:pStyle w:val="TableContents"/>
              <w:spacing w:before="0" w:after="283"/>
              <w:jc w:val="left"/>
              <w:rPr/>
            </w:pPr>
            <w:r>
              <w:rPr/>
              <w:t xml:space="preserve">  </w:t>
            </w:r>
          </w:p>
        </w:tc>
        <w:tc>
          <w:tcPr>
            <w:tcW w:w="1318" w:type="dxa"/>
            <w:tcBorders/>
            <w:shd w:fill="CCEEFF" w:val="clear"/>
            <w:vAlign w:val="bottom"/>
          </w:tcPr>
          <w:p>
            <w:pPr>
              <w:pStyle w:val="TableContents"/>
              <w:spacing w:before="0" w:after="283"/>
              <w:jc w:val="right"/>
              <w:rPr/>
            </w:pPr>
            <w:r>
              <w:rPr>
                <w:rFonts w:ascii="helvetica" w:hAnsi="helvetica"/>
                <w:sz w:val="20"/>
              </w:rPr>
              <w:t>81,954</w:t>
            </w:r>
            <w:r>
              <w:rPr/>
              <w:t xml:space="preserve"> </w:t>
            </w:r>
          </w:p>
        </w:tc>
        <w:tc>
          <w:tcPr>
            <w:tcW w:w="163" w:type="dxa"/>
            <w:tcBorders/>
            <w:shd w:fill="CCEEFF" w:val="clear"/>
            <w:vAlign w:val="bottom"/>
          </w:tcPr>
          <w:p>
            <w:pPr>
              <w:pStyle w:val="TableContents"/>
              <w:spacing w:before="0" w:after="283"/>
              <w:jc w:val="left"/>
              <w:rPr/>
            </w:pPr>
            <w:r>
              <w:rPr/>
              <w:t xml:space="preserve">  </w:t>
            </w:r>
          </w:p>
        </w:tc>
        <w:tc>
          <w:tcPr>
            <w:tcW w:w="119" w:type="dxa"/>
            <w:tcBorders/>
            <w:shd w:fill="CCEEFF" w:val="clear"/>
            <w:vAlign w:val="bottom"/>
          </w:tcPr>
          <w:p>
            <w:pPr>
              <w:pStyle w:val="TableContents"/>
              <w:spacing w:before="0" w:after="283"/>
              <w:jc w:val="right"/>
              <w:rPr/>
            </w:pPr>
            <w:r>
              <w:rPr/>
              <w:t xml:space="preserve">  </w:t>
            </w:r>
          </w:p>
        </w:tc>
        <w:tc>
          <w:tcPr>
            <w:tcW w:w="247" w:type="dxa"/>
            <w:tcBorders/>
            <w:shd w:fill="CCEEFF" w:val="clear"/>
            <w:vAlign w:val="bottom"/>
          </w:tcPr>
          <w:p>
            <w:pPr>
              <w:pStyle w:val="TableContents"/>
              <w:spacing w:before="0" w:after="283"/>
              <w:jc w:val="left"/>
              <w:rPr/>
            </w:pPr>
            <w:r>
              <w:rPr/>
              <w:t xml:space="preserve">  </w:t>
            </w:r>
          </w:p>
        </w:tc>
        <w:tc>
          <w:tcPr>
            <w:tcW w:w="1244" w:type="dxa"/>
            <w:tcBorders/>
            <w:shd w:fill="CCEEFF" w:val="clear"/>
            <w:vAlign w:val="bottom"/>
          </w:tcPr>
          <w:p>
            <w:pPr>
              <w:pStyle w:val="TableContents"/>
              <w:spacing w:before="0" w:after="283"/>
              <w:jc w:val="right"/>
              <w:rPr/>
            </w:pPr>
            <w:r>
              <w:rPr>
                <w:rFonts w:ascii="helvetica" w:hAnsi="helvetica"/>
                <w:sz w:val="20"/>
              </w:rPr>
              <w:t>1.20</w:t>
            </w:r>
            <w:r>
              <w:rPr/>
              <w:t xml:space="preserve"> </w:t>
            </w:r>
          </w:p>
        </w:tc>
        <w:tc>
          <w:tcPr>
            <w:tcW w:w="280" w:type="dxa"/>
            <w:tcBorders/>
            <w:shd w:fill="CCEEFF" w:val="clear"/>
            <w:vAlign w:val="bottom"/>
          </w:tcPr>
          <w:p>
            <w:pPr>
              <w:pStyle w:val="TableContents"/>
              <w:spacing w:before="0" w:after="283"/>
              <w:jc w:val="left"/>
              <w:rPr/>
            </w:pPr>
            <w:r>
              <w:rPr>
                <w:rFonts w:ascii="helvetica" w:hAnsi="helvetica"/>
                <w:sz w:val="20"/>
              </w:rPr>
              <w:t>%</w:t>
            </w:r>
            <w:r>
              <w:rPr/>
              <w:t xml:space="preserve"> </w:t>
            </w:r>
          </w:p>
        </w:tc>
      </w:tr>
      <w:tr>
        <w:trPr/>
        <w:tc>
          <w:tcPr>
            <w:tcW w:w="6596" w:type="dxa"/>
            <w:tcBorders/>
            <w:shd w:fill="FFFFFF" w:val="clear"/>
            <w:vAlign w:val="bottom"/>
          </w:tcPr>
          <w:p>
            <w:pPr>
              <w:pStyle w:val="TableContents"/>
              <w:spacing w:before="0" w:after="0"/>
              <w:ind w:left="0" w:right="0" w:hanging="0"/>
              <w:jc w:val="left"/>
              <w:rPr/>
            </w:pPr>
            <w:r>
              <w:rPr>
                <w:rFonts w:ascii="helvetica" w:hAnsi="helvetica"/>
                <w:sz w:val="20"/>
              </w:rPr>
              <w:t>Paul Finnegan, M.D. (10)</w:t>
            </w:r>
            <w:r>
              <w:rPr/>
              <w:t xml:space="preserve"> </w:t>
            </w:r>
          </w:p>
        </w:tc>
        <w:tc>
          <w:tcPr>
            <w:tcW w:w="119" w:type="dxa"/>
            <w:tcBorders/>
            <w:shd w:fill="FFFFFF" w:val="clear"/>
            <w:vAlign w:val="bottom"/>
          </w:tcPr>
          <w:p>
            <w:pPr>
              <w:pStyle w:val="TableContents"/>
              <w:spacing w:before="0" w:after="283"/>
              <w:rPr/>
            </w:pPr>
            <w:r>
              <w:rPr/>
              <w:t xml:space="preserve">  </w:t>
            </w:r>
          </w:p>
        </w:tc>
        <w:tc>
          <w:tcPr>
            <w:tcW w:w="119" w:type="dxa"/>
            <w:tcBorders/>
            <w:shd w:fill="FFFFFF" w:val="clear"/>
            <w:vAlign w:val="bottom"/>
          </w:tcPr>
          <w:p>
            <w:pPr>
              <w:pStyle w:val="TableContents"/>
              <w:spacing w:before="0" w:after="283"/>
              <w:jc w:val="left"/>
              <w:rPr/>
            </w:pPr>
            <w:r>
              <w:rPr/>
              <w:t xml:space="preserve">  </w:t>
            </w:r>
          </w:p>
        </w:tc>
        <w:tc>
          <w:tcPr>
            <w:tcW w:w="1318" w:type="dxa"/>
            <w:tcBorders/>
            <w:shd w:fill="FFFFFF" w:val="clear"/>
            <w:vAlign w:val="bottom"/>
          </w:tcPr>
          <w:p>
            <w:pPr>
              <w:pStyle w:val="TableContents"/>
              <w:spacing w:before="0" w:after="283"/>
              <w:jc w:val="right"/>
              <w:rPr/>
            </w:pPr>
            <w:r>
              <w:rPr>
                <w:rFonts w:ascii="helvetica" w:hAnsi="helvetica"/>
                <w:sz w:val="20"/>
              </w:rPr>
              <w:t>62,500</w:t>
            </w:r>
            <w:r>
              <w:rPr/>
              <w:t xml:space="preserve"> </w:t>
            </w:r>
          </w:p>
        </w:tc>
        <w:tc>
          <w:tcPr>
            <w:tcW w:w="163" w:type="dxa"/>
            <w:tcBorders/>
            <w:shd w:fill="FFFFFF" w:val="clear"/>
            <w:vAlign w:val="bottom"/>
          </w:tcPr>
          <w:p>
            <w:pPr>
              <w:pStyle w:val="TableContents"/>
              <w:spacing w:before="0" w:after="283"/>
              <w:jc w:val="left"/>
              <w:rPr/>
            </w:pPr>
            <w:r>
              <w:rPr/>
              <w:t xml:space="preserve">  </w:t>
            </w:r>
          </w:p>
        </w:tc>
        <w:tc>
          <w:tcPr>
            <w:tcW w:w="119" w:type="dxa"/>
            <w:tcBorders/>
            <w:shd w:fill="FFFFFF" w:val="clear"/>
            <w:vAlign w:val="bottom"/>
          </w:tcPr>
          <w:p>
            <w:pPr>
              <w:pStyle w:val="TableContents"/>
              <w:spacing w:before="0" w:after="283"/>
              <w:jc w:val="right"/>
              <w:rPr/>
            </w:pPr>
            <w:r>
              <w:rPr/>
              <w:t xml:space="preserve">  </w:t>
            </w:r>
          </w:p>
        </w:tc>
        <w:tc>
          <w:tcPr>
            <w:tcW w:w="247" w:type="dxa"/>
            <w:tcBorders/>
            <w:shd w:fill="FFFFFF" w:val="clear"/>
            <w:vAlign w:val="bottom"/>
          </w:tcPr>
          <w:p>
            <w:pPr>
              <w:pStyle w:val="TableContents"/>
              <w:spacing w:before="0" w:after="283"/>
              <w:jc w:val="left"/>
              <w:rPr/>
            </w:pPr>
            <w:r>
              <w:rPr/>
              <w:t xml:space="preserve">  </w:t>
            </w:r>
          </w:p>
        </w:tc>
        <w:tc>
          <w:tcPr>
            <w:tcW w:w="1244" w:type="dxa"/>
            <w:tcBorders/>
            <w:shd w:fill="FFFFFF" w:val="clear"/>
            <w:vAlign w:val="bottom"/>
          </w:tcPr>
          <w:p>
            <w:pPr>
              <w:pStyle w:val="TableContents"/>
              <w:spacing w:before="0" w:after="283"/>
              <w:jc w:val="right"/>
              <w:rPr/>
            </w:pPr>
            <w:r>
              <w:rPr>
                <w:rFonts w:ascii="helvetica" w:hAnsi="helvetica"/>
                <w:sz w:val="20"/>
              </w:rPr>
              <w:t>*</w:t>
            </w:r>
            <w:r>
              <w:rPr/>
              <w:t xml:space="preserve"> </w:t>
            </w:r>
          </w:p>
        </w:tc>
        <w:tc>
          <w:tcPr>
            <w:tcW w:w="280" w:type="dxa"/>
            <w:tcBorders/>
            <w:shd w:fill="FFFFFF" w:val="clear"/>
            <w:vAlign w:val="bottom"/>
          </w:tcPr>
          <w:p>
            <w:pPr>
              <w:pStyle w:val="TableContents"/>
              <w:spacing w:before="0" w:after="283"/>
              <w:jc w:val="left"/>
              <w:rPr/>
            </w:pPr>
            <w:r>
              <w:rPr/>
              <w:t xml:space="preserve">  </w:t>
            </w:r>
          </w:p>
        </w:tc>
      </w:tr>
      <w:tr>
        <w:trPr/>
        <w:tc>
          <w:tcPr>
            <w:tcW w:w="6596" w:type="dxa"/>
            <w:tcBorders/>
            <w:shd w:fill="CCEEFF" w:val="clear"/>
            <w:vAlign w:val="bottom"/>
          </w:tcPr>
          <w:p>
            <w:pPr>
              <w:pStyle w:val="TableContents"/>
              <w:spacing w:before="0" w:after="0"/>
              <w:ind w:left="0" w:right="0" w:hanging="0"/>
              <w:jc w:val="left"/>
              <w:rPr/>
            </w:pPr>
            <w:r>
              <w:rPr>
                <w:rFonts w:ascii="helvetica" w:hAnsi="helvetica"/>
                <w:sz w:val="20"/>
              </w:rPr>
              <w:t>Robert J. Kammer, D.D.S. (11)</w:t>
            </w:r>
            <w:r>
              <w:rPr/>
              <w:t xml:space="preserve"> </w:t>
            </w:r>
          </w:p>
        </w:tc>
        <w:tc>
          <w:tcPr>
            <w:tcW w:w="119" w:type="dxa"/>
            <w:tcBorders/>
            <w:shd w:fill="CCEEFF" w:val="clear"/>
            <w:vAlign w:val="bottom"/>
          </w:tcPr>
          <w:p>
            <w:pPr>
              <w:pStyle w:val="TableContents"/>
              <w:spacing w:before="0" w:after="283"/>
              <w:rPr/>
            </w:pPr>
            <w:r>
              <w:rPr/>
              <w:t xml:space="preserve">  </w:t>
            </w:r>
          </w:p>
        </w:tc>
        <w:tc>
          <w:tcPr>
            <w:tcW w:w="119" w:type="dxa"/>
            <w:tcBorders/>
            <w:shd w:fill="CCEEFF" w:val="clear"/>
            <w:vAlign w:val="bottom"/>
          </w:tcPr>
          <w:p>
            <w:pPr>
              <w:pStyle w:val="TableContents"/>
              <w:spacing w:before="0" w:after="283"/>
              <w:jc w:val="left"/>
              <w:rPr/>
            </w:pPr>
            <w:r>
              <w:rPr/>
              <w:t xml:space="preserve">  </w:t>
            </w:r>
          </w:p>
        </w:tc>
        <w:tc>
          <w:tcPr>
            <w:tcW w:w="1318" w:type="dxa"/>
            <w:tcBorders/>
            <w:shd w:fill="CCEEFF" w:val="clear"/>
            <w:vAlign w:val="bottom"/>
          </w:tcPr>
          <w:p>
            <w:pPr>
              <w:pStyle w:val="TableContents"/>
              <w:spacing w:before="0" w:after="283"/>
              <w:jc w:val="right"/>
              <w:rPr/>
            </w:pPr>
            <w:r>
              <w:rPr>
                <w:rFonts w:ascii="helvetica" w:hAnsi="helvetica"/>
                <w:sz w:val="20"/>
              </w:rPr>
              <w:t>958,823</w:t>
            </w:r>
            <w:r>
              <w:rPr/>
              <w:t xml:space="preserve"> </w:t>
            </w:r>
          </w:p>
        </w:tc>
        <w:tc>
          <w:tcPr>
            <w:tcW w:w="163" w:type="dxa"/>
            <w:tcBorders/>
            <w:shd w:fill="CCEEFF" w:val="clear"/>
            <w:vAlign w:val="bottom"/>
          </w:tcPr>
          <w:p>
            <w:pPr>
              <w:pStyle w:val="TableContents"/>
              <w:spacing w:before="0" w:after="283"/>
              <w:jc w:val="left"/>
              <w:rPr/>
            </w:pPr>
            <w:r>
              <w:rPr/>
              <w:t xml:space="preserve">  </w:t>
            </w:r>
          </w:p>
        </w:tc>
        <w:tc>
          <w:tcPr>
            <w:tcW w:w="119" w:type="dxa"/>
            <w:tcBorders/>
            <w:shd w:fill="CCEEFF" w:val="clear"/>
            <w:vAlign w:val="bottom"/>
          </w:tcPr>
          <w:p>
            <w:pPr>
              <w:pStyle w:val="TableContents"/>
              <w:spacing w:before="0" w:after="283"/>
              <w:jc w:val="right"/>
              <w:rPr/>
            </w:pPr>
            <w:r>
              <w:rPr/>
              <w:t xml:space="preserve">  </w:t>
            </w:r>
          </w:p>
        </w:tc>
        <w:tc>
          <w:tcPr>
            <w:tcW w:w="247" w:type="dxa"/>
            <w:tcBorders/>
            <w:shd w:fill="CCEEFF" w:val="clear"/>
            <w:vAlign w:val="bottom"/>
          </w:tcPr>
          <w:p>
            <w:pPr>
              <w:pStyle w:val="TableContents"/>
              <w:spacing w:before="0" w:after="283"/>
              <w:jc w:val="left"/>
              <w:rPr/>
            </w:pPr>
            <w:r>
              <w:rPr/>
              <w:t xml:space="preserve">  </w:t>
            </w:r>
          </w:p>
        </w:tc>
        <w:tc>
          <w:tcPr>
            <w:tcW w:w="1244" w:type="dxa"/>
            <w:tcBorders/>
            <w:shd w:fill="CCEEFF" w:val="clear"/>
            <w:vAlign w:val="bottom"/>
          </w:tcPr>
          <w:p>
            <w:pPr>
              <w:pStyle w:val="TableContents"/>
              <w:spacing w:before="0" w:after="283"/>
              <w:jc w:val="right"/>
              <w:rPr/>
            </w:pPr>
            <w:r>
              <w:rPr>
                <w:rFonts w:ascii="helvetica" w:hAnsi="helvetica"/>
                <w:sz w:val="20"/>
              </w:rPr>
              <w:t>14.02</w:t>
            </w:r>
            <w:r>
              <w:rPr/>
              <w:t xml:space="preserve"> </w:t>
            </w:r>
          </w:p>
        </w:tc>
        <w:tc>
          <w:tcPr>
            <w:tcW w:w="280" w:type="dxa"/>
            <w:tcBorders/>
            <w:shd w:fill="CCEEFF" w:val="clear"/>
            <w:vAlign w:val="bottom"/>
          </w:tcPr>
          <w:p>
            <w:pPr>
              <w:pStyle w:val="TableContents"/>
              <w:spacing w:before="0" w:after="283"/>
              <w:jc w:val="left"/>
              <w:rPr/>
            </w:pPr>
            <w:r>
              <w:rPr>
                <w:rFonts w:ascii="helvetica" w:hAnsi="helvetica"/>
                <w:sz w:val="20"/>
              </w:rPr>
              <w:t>%</w:t>
            </w:r>
            <w:r>
              <w:rPr/>
              <w:t xml:space="preserve"> </w:t>
            </w:r>
          </w:p>
        </w:tc>
      </w:tr>
      <w:tr>
        <w:trPr/>
        <w:tc>
          <w:tcPr>
            <w:tcW w:w="6596" w:type="dxa"/>
            <w:tcBorders/>
            <w:shd w:fill="FFFFFF" w:val="clear"/>
            <w:vAlign w:val="bottom"/>
          </w:tcPr>
          <w:p>
            <w:pPr>
              <w:pStyle w:val="TableContents"/>
              <w:spacing w:before="0" w:after="0"/>
              <w:ind w:left="0" w:right="0" w:hanging="0"/>
              <w:jc w:val="left"/>
              <w:rPr/>
            </w:pPr>
            <w:r>
              <w:rPr>
                <w:rFonts w:ascii="helvetica" w:hAnsi="helvetica"/>
                <w:sz w:val="20"/>
              </w:rPr>
              <w:t>John Lomoro</w:t>
            </w:r>
            <w:r>
              <w:rPr/>
              <w:t xml:space="preserve"> </w:t>
            </w:r>
          </w:p>
        </w:tc>
        <w:tc>
          <w:tcPr>
            <w:tcW w:w="119" w:type="dxa"/>
            <w:tcBorders/>
            <w:shd w:fill="FFFFFF" w:val="clear"/>
            <w:vAlign w:val="bottom"/>
          </w:tcPr>
          <w:p>
            <w:pPr>
              <w:pStyle w:val="TableContents"/>
              <w:spacing w:before="0" w:after="283"/>
              <w:rPr/>
            </w:pPr>
            <w:r>
              <w:rPr/>
              <w:t xml:space="preserve">  </w:t>
            </w:r>
          </w:p>
        </w:tc>
        <w:tc>
          <w:tcPr>
            <w:tcW w:w="119" w:type="dxa"/>
            <w:tcBorders/>
            <w:shd w:fill="FFFFFF" w:val="clear"/>
            <w:vAlign w:val="bottom"/>
          </w:tcPr>
          <w:p>
            <w:pPr>
              <w:pStyle w:val="TableContents"/>
              <w:spacing w:before="0" w:after="283"/>
              <w:jc w:val="left"/>
              <w:rPr/>
            </w:pPr>
            <w:r>
              <w:rPr/>
              <w:t xml:space="preserve">  </w:t>
            </w:r>
          </w:p>
        </w:tc>
        <w:tc>
          <w:tcPr>
            <w:tcW w:w="1318" w:type="dxa"/>
            <w:tcBorders/>
            <w:shd w:fill="FFFFFF" w:val="clear"/>
            <w:vAlign w:val="bottom"/>
          </w:tcPr>
          <w:p>
            <w:pPr>
              <w:pStyle w:val="TableContents"/>
              <w:spacing w:before="0" w:after="283"/>
              <w:jc w:val="right"/>
              <w:rPr/>
            </w:pPr>
            <w:r>
              <w:rPr>
                <w:rFonts w:ascii="helvetica" w:hAnsi="helvetica"/>
                <w:sz w:val="20"/>
              </w:rPr>
              <w:t>1,441</w:t>
            </w:r>
            <w:r>
              <w:rPr/>
              <w:t xml:space="preserve"> </w:t>
            </w:r>
          </w:p>
        </w:tc>
        <w:tc>
          <w:tcPr>
            <w:tcW w:w="163" w:type="dxa"/>
            <w:tcBorders/>
            <w:shd w:fill="FFFFFF" w:val="clear"/>
            <w:vAlign w:val="bottom"/>
          </w:tcPr>
          <w:p>
            <w:pPr>
              <w:pStyle w:val="TableContents"/>
              <w:spacing w:before="0" w:after="283"/>
              <w:jc w:val="left"/>
              <w:rPr/>
            </w:pPr>
            <w:r>
              <w:rPr/>
              <w:t xml:space="preserve">  </w:t>
            </w:r>
          </w:p>
        </w:tc>
        <w:tc>
          <w:tcPr>
            <w:tcW w:w="119" w:type="dxa"/>
            <w:tcBorders/>
            <w:shd w:fill="FFFFFF" w:val="clear"/>
            <w:vAlign w:val="bottom"/>
          </w:tcPr>
          <w:p>
            <w:pPr>
              <w:pStyle w:val="TableContents"/>
              <w:spacing w:before="0" w:after="283"/>
              <w:jc w:val="right"/>
              <w:rPr/>
            </w:pPr>
            <w:r>
              <w:rPr/>
              <w:t xml:space="preserve">  </w:t>
            </w:r>
          </w:p>
        </w:tc>
        <w:tc>
          <w:tcPr>
            <w:tcW w:w="247" w:type="dxa"/>
            <w:tcBorders/>
            <w:shd w:fill="FFFFFF" w:val="clear"/>
            <w:vAlign w:val="bottom"/>
          </w:tcPr>
          <w:p>
            <w:pPr>
              <w:pStyle w:val="TableContents"/>
              <w:spacing w:before="0" w:after="283"/>
              <w:jc w:val="left"/>
              <w:rPr/>
            </w:pPr>
            <w:r>
              <w:rPr/>
              <w:t xml:space="preserve">  </w:t>
            </w:r>
          </w:p>
        </w:tc>
        <w:tc>
          <w:tcPr>
            <w:tcW w:w="1244" w:type="dxa"/>
            <w:tcBorders/>
            <w:shd w:fill="FFFFFF" w:val="clear"/>
            <w:vAlign w:val="bottom"/>
          </w:tcPr>
          <w:p>
            <w:pPr>
              <w:pStyle w:val="TableContents"/>
              <w:spacing w:before="0" w:after="283"/>
              <w:jc w:val="right"/>
              <w:rPr/>
            </w:pPr>
            <w:r>
              <w:rPr>
                <w:rFonts w:ascii="helvetica" w:hAnsi="helvetica"/>
                <w:sz w:val="20"/>
              </w:rPr>
              <w:t>*</w:t>
            </w:r>
            <w:r>
              <w:rPr/>
              <w:t xml:space="preserve"> </w:t>
            </w:r>
          </w:p>
        </w:tc>
        <w:tc>
          <w:tcPr>
            <w:tcW w:w="280" w:type="dxa"/>
            <w:tcBorders/>
            <w:shd w:fill="FFFFFF" w:val="clear"/>
            <w:vAlign w:val="bottom"/>
          </w:tcPr>
          <w:p>
            <w:pPr>
              <w:pStyle w:val="TableContents"/>
              <w:spacing w:before="0" w:after="283"/>
              <w:jc w:val="left"/>
              <w:rPr/>
            </w:pPr>
            <w:r>
              <w:rPr/>
              <w:t xml:space="preserve">  </w:t>
            </w:r>
          </w:p>
        </w:tc>
      </w:tr>
      <w:tr>
        <w:trPr/>
        <w:tc>
          <w:tcPr>
            <w:tcW w:w="6596" w:type="dxa"/>
            <w:tcBorders/>
            <w:shd w:fill="CCEEFF" w:val="clear"/>
            <w:vAlign w:val="bottom"/>
          </w:tcPr>
          <w:p>
            <w:pPr>
              <w:pStyle w:val="TableContents"/>
              <w:spacing w:before="0" w:after="0"/>
              <w:ind w:left="0" w:right="0" w:hanging="0"/>
              <w:jc w:val="left"/>
              <w:rPr/>
            </w:pPr>
            <w:r>
              <w:rPr>
                <w:rFonts w:ascii="helvetica" w:hAnsi="helvetica"/>
                <w:sz w:val="20"/>
              </w:rPr>
              <w:t>Terry Nida</w:t>
            </w:r>
            <w:r>
              <w:rPr/>
              <w:t xml:space="preserve"> </w:t>
            </w:r>
          </w:p>
        </w:tc>
        <w:tc>
          <w:tcPr>
            <w:tcW w:w="119" w:type="dxa"/>
            <w:tcBorders/>
            <w:shd w:fill="CCEEFF" w:val="clear"/>
            <w:vAlign w:val="bottom"/>
          </w:tcPr>
          <w:p>
            <w:pPr>
              <w:pStyle w:val="TableContents"/>
              <w:spacing w:before="0" w:after="283"/>
              <w:rPr/>
            </w:pPr>
            <w:r>
              <w:rPr/>
              <w:t xml:space="preserve">  </w:t>
            </w:r>
          </w:p>
        </w:tc>
        <w:tc>
          <w:tcPr>
            <w:tcW w:w="119" w:type="dxa"/>
            <w:tcBorders/>
            <w:shd w:fill="CCEEFF" w:val="clear"/>
            <w:vAlign w:val="bottom"/>
          </w:tcPr>
          <w:p>
            <w:pPr>
              <w:pStyle w:val="TableContents"/>
              <w:spacing w:before="0" w:after="283"/>
              <w:jc w:val="left"/>
              <w:rPr/>
            </w:pPr>
            <w:r>
              <w:rPr/>
              <w:t xml:space="preserve">  </w:t>
            </w:r>
          </w:p>
        </w:tc>
        <w:tc>
          <w:tcPr>
            <w:tcW w:w="1318" w:type="dxa"/>
            <w:tcBorders/>
            <w:shd w:fill="CCEEFF" w:val="clear"/>
            <w:vAlign w:val="bottom"/>
          </w:tcPr>
          <w:p>
            <w:pPr>
              <w:pStyle w:val="TableContents"/>
              <w:spacing w:before="0" w:after="283"/>
              <w:jc w:val="right"/>
              <w:rPr/>
            </w:pPr>
            <w:r>
              <w:rPr>
                <w:rFonts w:ascii="helvetica" w:hAnsi="helvetica"/>
                <w:sz w:val="20"/>
              </w:rPr>
              <w:t>3,639</w:t>
            </w:r>
            <w:r>
              <w:rPr/>
              <w:t xml:space="preserve"> </w:t>
            </w:r>
          </w:p>
        </w:tc>
        <w:tc>
          <w:tcPr>
            <w:tcW w:w="163" w:type="dxa"/>
            <w:tcBorders/>
            <w:shd w:fill="CCEEFF" w:val="clear"/>
            <w:vAlign w:val="bottom"/>
          </w:tcPr>
          <w:p>
            <w:pPr>
              <w:pStyle w:val="TableContents"/>
              <w:spacing w:before="0" w:after="283"/>
              <w:jc w:val="left"/>
              <w:rPr/>
            </w:pPr>
            <w:r>
              <w:rPr/>
              <w:t xml:space="preserve">  </w:t>
            </w:r>
          </w:p>
        </w:tc>
        <w:tc>
          <w:tcPr>
            <w:tcW w:w="119" w:type="dxa"/>
            <w:tcBorders/>
            <w:shd w:fill="CCEEFF" w:val="clear"/>
            <w:vAlign w:val="bottom"/>
          </w:tcPr>
          <w:p>
            <w:pPr>
              <w:pStyle w:val="TableContents"/>
              <w:spacing w:before="0" w:after="283"/>
              <w:jc w:val="right"/>
              <w:rPr/>
            </w:pPr>
            <w:r>
              <w:rPr/>
              <w:t xml:space="preserve">  </w:t>
            </w:r>
          </w:p>
        </w:tc>
        <w:tc>
          <w:tcPr>
            <w:tcW w:w="247" w:type="dxa"/>
            <w:tcBorders/>
            <w:shd w:fill="CCEEFF" w:val="clear"/>
            <w:vAlign w:val="bottom"/>
          </w:tcPr>
          <w:p>
            <w:pPr>
              <w:pStyle w:val="TableContents"/>
              <w:spacing w:before="0" w:after="283"/>
              <w:jc w:val="left"/>
              <w:rPr/>
            </w:pPr>
            <w:r>
              <w:rPr/>
              <w:t xml:space="preserve">  </w:t>
            </w:r>
          </w:p>
        </w:tc>
        <w:tc>
          <w:tcPr>
            <w:tcW w:w="1244" w:type="dxa"/>
            <w:tcBorders/>
            <w:shd w:fill="CCEEFF" w:val="clear"/>
            <w:vAlign w:val="bottom"/>
          </w:tcPr>
          <w:p>
            <w:pPr>
              <w:pStyle w:val="TableContents"/>
              <w:spacing w:before="0" w:after="283"/>
              <w:jc w:val="right"/>
              <w:rPr/>
            </w:pPr>
            <w:r>
              <w:rPr>
                <w:rFonts w:ascii="helvetica" w:hAnsi="helvetica"/>
                <w:sz w:val="20"/>
              </w:rPr>
              <w:t>*</w:t>
            </w:r>
            <w:r>
              <w:rPr/>
              <w:t xml:space="preserve"> </w:t>
            </w:r>
          </w:p>
        </w:tc>
        <w:tc>
          <w:tcPr>
            <w:tcW w:w="280" w:type="dxa"/>
            <w:tcBorders/>
            <w:shd w:fill="CCEEFF" w:val="clear"/>
            <w:vAlign w:val="bottom"/>
          </w:tcPr>
          <w:p>
            <w:pPr>
              <w:pStyle w:val="TableContents"/>
              <w:spacing w:before="0" w:after="283"/>
              <w:jc w:val="left"/>
              <w:rPr/>
            </w:pPr>
            <w:r>
              <w:rPr/>
              <w:t xml:space="preserve">  </w:t>
            </w:r>
          </w:p>
        </w:tc>
      </w:tr>
      <w:tr>
        <w:trPr/>
        <w:tc>
          <w:tcPr>
            <w:tcW w:w="6596" w:type="dxa"/>
            <w:tcBorders/>
            <w:shd w:fill="FFFFFF" w:val="clear"/>
            <w:vAlign w:val="bottom"/>
          </w:tcPr>
          <w:p>
            <w:pPr>
              <w:pStyle w:val="TableContents"/>
              <w:spacing w:before="0" w:after="0"/>
              <w:ind w:left="0" w:right="0" w:hanging="0"/>
              <w:jc w:val="left"/>
              <w:rPr/>
            </w:pPr>
            <w:r>
              <w:rPr>
                <w:rFonts w:ascii="helvetica" w:hAnsi="helvetica"/>
                <w:sz w:val="20"/>
              </w:rPr>
              <w:t>Stephen G. Austin, CPA</w:t>
            </w:r>
            <w:r>
              <w:rPr/>
              <w:t xml:space="preserve"> </w:t>
            </w:r>
          </w:p>
        </w:tc>
        <w:tc>
          <w:tcPr>
            <w:tcW w:w="119" w:type="dxa"/>
            <w:tcBorders/>
            <w:shd w:fill="FFFFFF" w:val="clear"/>
            <w:vAlign w:val="bottom"/>
          </w:tcPr>
          <w:p>
            <w:pPr>
              <w:pStyle w:val="TableContents"/>
              <w:spacing w:before="0" w:after="283"/>
              <w:rPr/>
            </w:pPr>
            <w:r>
              <w:rPr/>
              <w:t xml:space="preserve">  </w:t>
            </w:r>
          </w:p>
        </w:tc>
        <w:tc>
          <w:tcPr>
            <w:tcW w:w="119" w:type="dxa"/>
            <w:tcBorders/>
            <w:shd w:fill="FFFFFF" w:val="clear"/>
            <w:vAlign w:val="bottom"/>
          </w:tcPr>
          <w:p>
            <w:pPr>
              <w:pStyle w:val="TableContents"/>
              <w:spacing w:before="0" w:after="283"/>
              <w:jc w:val="left"/>
              <w:rPr/>
            </w:pPr>
            <w:r>
              <w:rPr/>
              <w:t xml:space="preserve">  </w:t>
            </w:r>
          </w:p>
        </w:tc>
        <w:tc>
          <w:tcPr>
            <w:tcW w:w="1318" w:type="dxa"/>
            <w:tcBorders/>
            <w:shd w:fill="FFFFFF" w:val="clear"/>
            <w:vAlign w:val="bottom"/>
          </w:tcPr>
          <w:p>
            <w:pPr>
              <w:pStyle w:val="TableContents"/>
              <w:spacing w:before="0" w:after="283"/>
              <w:jc w:val="right"/>
              <w:rPr/>
            </w:pPr>
            <w:r>
              <w:rPr>
                <w:rFonts w:ascii="helvetica" w:hAnsi="helvetica"/>
                <w:sz w:val="20"/>
              </w:rPr>
              <w:t>-</w:t>
            </w:r>
            <w:r>
              <w:rPr/>
              <w:t xml:space="preserve"> </w:t>
            </w:r>
          </w:p>
        </w:tc>
        <w:tc>
          <w:tcPr>
            <w:tcW w:w="163" w:type="dxa"/>
            <w:tcBorders/>
            <w:shd w:fill="FFFFFF" w:val="clear"/>
            <w:vAlign w:val="bottom"/>
          </w:tcPr>
          <w:p>
            <w:pPr>
              <w:pStyle w:val="TableContents"/>
              <w:spacing w:before="0" w:after="283"/>
              <w:jc w:val="left"/>
              <w:rPr/>
            </w:pPr>
            <w:r>
              <w:rPr/>
              <w:t xml:space="preserve">  </w:t>
            </w:r>
          </w:p>
        </w:tc>
        <w:tc>
          <w:tcPr>
            <w:tcW w:w="119" w:type="dxa"/>
            <w:tcBorders/>
            <w:shd w:fill="FFFFFF" w:val="clear"/>
            <w:vAlign w:val="bottom"/>
          </w:tcPr>
          <w:p>
            <w:pPr>
              <w:pStyle w:val="TableContents"/>
              <w:spacing w:before="0" w:after="283"/>
              <w:jc w:val="right"/>
              <w:rPr/>
            </w:pPr>
            <w:r>
              <w:rPr/>
              <w:t xml:space="preserve">  </w:t>
            </w:r>
          </w:p>
        </w:tc>
        <w:tc>
          <w:tcPr>
            <w:tcW w:w="247" w:type="dxa"/>
            <w:tcBorders/>
            <w:shd w:fill="FFFFFF" w:val="clear"/>
            <w:vAlign w:val="bottom"/>
          </w:tcPr>
          <w:p>
            <w:pPr>
              <w:pStyle w:val="TableContents"/>
              <w:spacing w:before="0" w:after="283"/>
              <w:jc w:val="left"/>
              <w:rPr/>
            </w:pPr>
            <w:r>
              <w:rPr/>
              <w:t xml:space="preserve">  </w:t>
            </w:r>
          </w:p>
        </w:tc>
        <w:tc>
          <w:tcPr>
            <w:tcW w:w="1244" w:type="dxa"/>
            <w:tcBorders/>
            <w:shd w:fill="FFFFFF" w:val="clear"/>
            <w:vAlign w:val="bottom"/>
          </w:tcPr>
          <w:p>
            <w:pPr>
              <w:pStyle w:val="TableContents"/>
              <w:spacing w:before="0" w:after="283"/>
              <w:jc w:val="right"/>
              <w:rPr/>
            </w:pPr>
            <w:r>
              <w:rPr>
                <w:rFonts w:ascii="helvetica" w:hAnsi="helvetica"/>
                <w:sz w:val="20"/>
              </w:rPr>
              <w:t>*</w:t>
            </w:r>
            <w:r>
              <w:rPr/>
              <w:t xml:space="preserve"> </w:t>
            </w:r>
          </w:p>
        </w:tc>
        <w:tc>
          <w:tcPr>
            <w:tcW w:w="280" w:type="dxa"/>
            <w:tcBorders/>
            <w:shd w:fill="FFFFFF" w:val="clear"/>
            <w:vAlign w:val="bottom"/>
          </w:tcPr>
          <w:p>
            <w:pPr>
              <w:pStyle w:val="TableContents"/>
              <w:spacing w:before="0" w:after="283"/>
              <w:jc w:val="left"/>
              <w:rPr/>
            </w:pPr>
            <w:r>
              <w:rPr/>
              <w:t xml:space="preserve">  </w:t>
            </w:r>
          </w:p>
        </w:tc>
      </w:tr>
      <w:tr>
        <w:trPr/>
        <w:tc>
          <w:tcPr>
            <w:tcW w:w="6596" w:type="dxa"/>
            <w:tcBorders/>
            <w:shd w:fill="CCEEFF" w:val="clear"/>
            <w:vAlign w:val="bottom"/>
          </w:tcPr>
          <w:p>
            <w:pPr>
              <w:pStyle w:val="TableContents"/>
              <w:spacing w:before="0" w:after="0"/>
              <w:ind w:left="0" w:right="0" w:hanging="0"/>
              <w:jc w:val="left"/>
              <w:rPr/>
            </w:pPr>
            <w:r>
              <w:rPr>
                <w:rFonts w:ascii="helvetica" w:hAnsi="helvetica"/>
                <w:sz w:val="20"/>
              </w:rPr>
              <w:t>Joachim Schupp, M.D. (12)</w:t>
            </w:r>
            <w:r>
              <w:rPr/>
              <w:t xml:space="preserve"> </w:t>
            </w:r>
          </w:p>
        </w:tc>
        <w:tc>
          <w:tcPr>
            <w:tcW w:w="119" w:type="dxa"/>
            <w:tcBorders/>
            <w:shd w:fill="CCEEFF" w:val="clear"/>
            <w:vAlign w:val="bottom"/>
          </w:tcPr>
          <w:p>
            <w:pPr>
              <w:pStyle w:val="TableContents"/>
              <w:spacing w:before="0" w:after="283"/>
              <w:rPr/>
            </w:pPr>
            <w:r>
              <w:rPr/>
              <w:t xml:space="preserve">  </w:t>
            </w:r>
          </w:p>
        </w:tc>
        <w:tc>
          <w:tcPr>
            <w:tcW w:w="119" w:type="dxa"/>
            <w:tcBorders>
              <w:bottom w:val="single" w:sz="12" w:space="0" w:color="000000"/>
            </w:tcBorders>
            <w:shd w:fill="CCEEFF" w:val="clear"/>
            <w:tcMar>
              <w:bottom w:w="28" w:type="dxa"/>
            </w:tcMar>
            <w:vAlign w:val="bottom"/>
          </w:tcPr>
          <w:p>
            <w:pPr>
              <w:pStyle w:val="TableContents"/>
              <w:spacing w:before="0" w:after="283"/>
              <w:jc w:val="left"/>
              <w:rPr/>
            </w:pPr>
            <w:r>
              <w:rPr/>
              <w:t xml:space="preserve">  </w:t>
            </w:r>
          </w:p>
        </w:tc>
        <w:tc>
          <w:tcPr>
            <w:tcW w:w="1318" w:type="dxa"/>
            <w:tcBorders>
              <w:bottom w:val="single" w:sz="12" w:space="0" w:color="000000"/>
            </w:tcBorders>
            <w:shd w:fill="CCEEFF" w:val="clear"/>
            <w:tcMar>
              <w:bottom w:w="28" w:type="dxa"/>
            </w:tcMar>
            <w:vAlign w:val="bottom"/>
          </w:tcPr>
          <w:p>
            <w:pPr>
              <w:pStyle w:val="TableContents"/>
              <w:spacing w:before="0" w:after="283"/>
              <w:jc w:val="right"/>
              <w:rPr/>
            </w:pPr>
            <w:r>
              <w:rPr>
                <w:rFonts w:ascii="helvetica" w:hAnsi="helvetica"/>
                <w:sz w:val="20"/>
              </w:rPr>
              <w:t>17,159</w:t>
            </w:r>
            <w:r>
              <w:rPr/>
              <w:t xml:space="preserve"> </w:t>
            </w:r>
          </w:p>
        </w:tc>
        <w:tc>
          <w:tcPr>
            <w:tcW w:w="163" w:type="dxa"/>
            <w:tcBorders/>
            <w:shd w:fill="CCEEFF" w:val="clear"/>
            <w:vAlign w:val="bottom"/>
          </w:tcPr>
          <w:p>
            <w:pPr>
              <w:pStyle w:val="TableContents"/>
              <w:spacing w:before="0" w:after="283"/>
              <w:jc w:val="left"/>
              <w:rPr/>
            </w:pPr>
            <w:r>
              <w:rPr/>
              <w:t xml:space="preserve">  </w:t>
            </w:r>
          </w:p>
        </w:tc>
        <w:tc>
          <w:tcPr>
            <w:tcW w:w="119" w:type="dxa"/>
            <w:tcBorders/>
            <w:shd w:fill="CCEEFF" w:val="clear"/>
            <w:vAlign w:val="bottom"/>
          </w:tcPr>
          <w:p>
            <w:pPr>
              <w:pStyle w:val="TableContents"/>
              <w:spacing w:before="0" w:after="283"/>
              <w:jc w:val="right"/>
              <w:rPr/>
            </w:pPr>
            <w:r>
              <w:rPr/>
              <w:t xml:space="preserve">  </w:t>
            </w:r>
          </w:p>
        </w:tc>
        <w:tc>
          <w:tcPr>
            <w:tcW w:w="247" w:type="dxa"/>
            <w:tcBorders>
              <w:bottom w:val="single" w:sz="12" w:space="0" w:color="000000"/>
            </w:tcBorders>
            <w:shd w:fill="CCEEFF" w:val="clear"/>
            <w:tcMar>
              <w:bottom w:w="28" w:type="dxa"/>
            </w:tcMar>
            <w:vAlign w:val="bottom"/>
          </w:tcPr>
          <w:p>
            <w:pPr>
              <w:pStyle w:val="TableContents"/>
              <w:spacing w:before="0" w:after="283"/>
              <w:jc w:val="left"/>
              <w:rPr/>
            </w:pPr>
            <w:r>
              <w:rPr/>
              <w:t xml:space="preserve">  </w:t>
            </w:r>
          </w:p>
        </w:tc>
        <w:tc>
          <w:tcPr>
            <w:tcW w:w="1244" w:type="dxa"/>
            <w:tcBorders>
              <w:bottom w:val="single" w:sz="12" w:space="0" w:color="000000"/>
            </w:tcBorders>
            <w:shd w:fill="CCEEFF" w:val="clear"/>
            <w:tcMar>
              <w:bottom w:w="28" w:type="dxa"/>
            </w:tcMar>
            <w:vAlign w:val="bottom"/>
          </w:tcPr>
          <w:p>
            <w:pPr>
              <w:pStyle w:val="TableContents"/>
              <w:spacing w:before="0" w:after="283"/>
              <w:jc w:val="right"/>
              <w:rPr/>
            </w:pPr>
            <w:r>
              <w:rPr>
                <w:rFonts w:ascii="helvetica" w:hAnsi="helvetica"/>
                <w:sz w:val="20"/>
              </w:rPr>
              <w:t>*</w:t>
            </w:r>
            <w:r>
              <w:rPr/>
              <w:t xml:space="preserve"> </w:t>
            </w:r>
          </w:p>
        </w:tc>
        <w:tc>
          <w:tcPr>
            <w:tcW w:w="280" w:type="dxa"/>
            <w:tcBorders/>
            <w:shd w:fill="CCEEFF" w:val="clear"/>
            <w:vAlign w:val="bottom"/>
          </w:tcPr>
          <w:p>
            <w:pPr>
              <w:pStyle w:val="TableContents"/>
              <w:spacing w:before="0" w:after="283"/>
              <w:jc w:val="left"/>
              <w:rPr/>
            </w:pPr>
            <w:r>
              <w:rPr/>
              <w:t xml:space="preserve">  </w:t>
            </w:r>
          </w:p>
        </w:tc>
      </w:tr>
      <w:tr>
        <w:trPr/>
        <w:tc>
          <w:tcPr>
            <w:tcW w:w="6596" w:type="dxa"/>
            <w:tcBorders/>
            <w:shd w:fill="FFFFFF" w:val="clear"/>
            <w:vAlign w:val="bottom"/>
          </w:tcPr>
          <w:p>
            <w:pPr>
              <w:pStyle w:val="TableContents"/>
              <w:spacing w:before="0" w:after="0"/>
              <w:ind w:left="0" w:right="0" w:hanging="0"/>
              <w:jc w:val="left"/>
              <w:rPr/>
            </w:pPr>
            <w:r>
              <w:rPr>
                <w:rFonts w:ascii="helvetica" w:hAnsi="helvetica"/>
                <w:sz w:val="20"/>
              </w:rPr>
              <w:t>All current executive officers and directors as a group (8 persons)</w:t>
            </w:r>
            <w:r>
              <w:rPr/>
              <w:t xml:space="preserve"> </w:t>
            </w:r>
          </w:p>
        </w:tc>
        <w:tc>
          <w:tcPr>
            <w:tcW w:w="119" w:type="dxa"/>
            <w:tcBorders/>
            <w:shd w:fill="FFFFFF" w:val="clear"/>
            <w:vAlign w:val="bottom"/>
          </w:tcPr>
          <w:p>
            <w:pPr>
              <w:pStyle w:val="TableContents"/>
              <w:spacing w:before="0" w:after="283"/>
              <w:rPr/>
            </w:pPr>
            <w:r>
              <w:rPr/>
              <w:t xml:space="preserve">  </w:t>
            </w:r>
          </w:p>
        </w:tc>
        <w:tc>
          <w:tcPr>
            <w:tcW w:w="119" w:type="dxa"/>
            <w:tcBorders/>
            <w:shd w:fill="FFFFFF" w:val="clear"/>
            <w:vAlign w:val="bottom"/>
          </w:tcPr>
          <w:p>
            <w:pPr>
              <w:pStyle w:val="TableContents"/>
              <w:spacing w:before="0" w:after="283"/>
              <w:jc w:val="left"/>
              <w:rPr/>
            </w:pPr>
            <w:r>
              <w:rPr/>
              <w:t xml:space="preserve">  </w:t>
            </w:r>
          </w:p>
        </w:tc>
        <w:tc>
          <w:tcPr>
            <w:tcW w:w="1318" w:type="dxa"/>
            <w:tcBorders/>
            <w:shd w:fill="FFFFFF" w:val="clear"/>
            <w:vAlign w:val="bottom"/>
          </w:tcPr>
          <w:p>
            <w:pPr>
              <w:pStyle w:val="TableContents"/>
              <w:spacing w:before="0" w:after="283"/>
              <w:jc w:val="right"/>
              <w:rPr/>
            </w:pPr>
            <w:r>
              <w:rPr>
                <w:rFonts w:ascii="helvetica" w:hAnsi="helvetica"/>
                <w:sz w:val="20"/>
              </w:rPr>
              <w:t>1,518,773</w:t>
            </w:r>
            <w:r>
              <w:rPr/>
              <w:t xml:space="preserve"> </w:t>
            </w:r>
          </w:p>
        </w:tc>
        <w:tc>
          <w:tcPr>
            <w:tcW w:w="163" w:type="dxa"/>
            <w:tcBorders/>
            <w:shd w:fill="FFFFFF" w:val="clear"/>
            <w:vAlign w:val="bottom"/>
          </w:tcPr>
          <w:p>
            <w:pPr>
              <w:pStyle w:val="TableContents"/>
              <w:spacing w:before="0" w:after="283"/>
              <w:jc w:val="left"/>
              <w:rPr/>
            </w:pPr>
            <w:r>
              <w:rPr/>
              <w:t xml:space="preserve">  </w:t>
            </w:r>
          </w:p>
        </w:tc>
        <w:tc>
          <w:tcPr>
            <w:tcW w:w="119" w:type="dxa"/>
            <w:tcBorders/>
            <w:shd w:fill="FFFFFF" w:val="clear"/>
            <w:vAlign w:val="bottom"/>
          </w:tcPr>
          <w:p>
            <w:pPr>
              <w:pStyle w:val="TableContents"/>
              <w:spacing w:before="0" w:after="283"/>
              <w:jc w:val="right"/>
              <w:rPr/>
            </w:pPr>
            <w:r>
              <w:rPr/>
              <w:t xml:space="preserve">  </w:t>
            </w:r>
          </w:p>
        </w:tc>
        <w:tc>
          <w:tcPr>
            <w:tcW w:w="247" w:type="dxa"/>
            <w:tcBorders/>
            <w:shd w:fill="FFFFFF" w:val="clear"/>
            <w:vAlign w:val="bottom"/>
          </w:tcPr>
          <w:p>
            <w:pPr>
              <w:pStyle w:val="TableContents"/>
              <w:spacing w:before="0" w:after="283"/>
              <w:jc w:val="left"/>
              <w:rPr/>
            </w:pPr>
            <w:r>
              <w:rPr/>
              <w:t xml:space="preserve">  </w:t>
            </w:r>
          </w:p>
        </w:tc>
        <w:tc>
          <w:tcPr>
            <w:tcW w:w="1244" w:type="dxa"/>
            <w:tcBorders/>
            <w:shd w:fill="FFFFFF" w:val="clear"/>
            <w:vAlign w:val="bottom"/>
          </w:tcPr>
          <w:p>
            <w:pPr>
              <w:pStyle w:val="TableContents"/>
              <w:spacing w:before="0" w:after="283"/>
              <w:jc w:val="right"/>
              <w:rPr/>
            </w:pPr>
            <w:r>
              <w:rPr>
                <w:rFonts w:ascii="helvetica" w:hAnsi="helvetica"/>
                <w:sz w:val="20"/>
              </w:rPr>
              <w:t>21.16</w:t>
            </w:r>
            <w:r>
              <w:rPr/>
              <w:t xml:space="preserve"> </w:t>
            </w:r>
          </w:p>
        </w:tc>
        <w:tc>
          <w:tcPr>
            <w:tcW w:w="280" w:type="dxa"/>
            <w:tcBorders/>
            <w:shd w:fill="FFFFFF" w:val="clear"/>
            <w:vAlign w:val="bottom"/>
          </w:tcPr>
          <w:p>
            <w:pPr>
              <w:pStyle w:val="TableContents"/>
              <w:spacing w:before="0" w:after="283"/>
              <w:jc w:val="left"/>
              <w:rPr/>
            </w:pPr>
            <w:r>
              <w:rPr>
                <w:rFonts w:ascii="helvetica" w:hAnsi="helvetica"/>
                <w:sz w:val="20"/>
              </w:rPr>
              <w:t>%</w:t>
            </w:r>
            <w:r>
              <w:rPr/>
              <w:t xml:space="preserve"> </w:t>
            </w:r>
          </w:p>
        </w:tc>
      </w:tr>
    </w:tbl>
    <w:p>
      <w:pPr>
        <w:pStyle w:val="TextBody"/>
        <w:spacing w:before="0" w:after="0"/>
        <w:ind w:left="0" w:right="0" w:firstLine="720"/>
        <w:jc w:val="left"/>
        <w:rPr/>
      </w:pPr>
      <w:r>
        <w:rPr/>
        <w:t> </w:t>
      </w:r>
    </w:p>
    <w:p>
      <w:pPr>
        <w:pStyle w:val="TextBody"/>
        <w:spacing w:before="0" w:after="0"/>
        <w:ind w:left="0" w:right="0" w:firstLine="720"/>
        <w:jc w:val="left"/>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879" w:name="PGBRK70"/>
      <w:bookmarkStart w:id="880" w:name="PGBRK70"/>
      <w:bookmarkEnd w:id="88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881" w:name="FTR70"/>
      <w:bookmarkStart w:id="882" w:name="FTR70"/>
      <w:bookmarkEnd w:id="88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883" w:name="GLFTR69"/>
      <w:bookmarkEnd w:id="883"/>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helvetica" w:hAnsi="helvetica"/>
          <w:sz w:val="20"/>
        </w:rPr>
      </w:pPr>
      <w:bookmarkStart w:id="884" w:name="PN69"/>
      <w:bookmarkEnd w:id="884"/>
      <w:r>
        <w:rPr>
          <w:rFonts w:ascii="helvetica" w:hAnsi="helvetica"/>
          <w:sz w:val="20"/>
        </w:rPr>
        <w:t>68</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885" w:name="HDR69"/>
      <w:bookmarkStart w:id="886" w:name="HDR69"/>
      <w:bookmarkEnd w:id="88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887" w:name="GLHDR69"/>
      <w:bookmarkEnd w:id="887"/>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373"/>
        <w:gridCol w:w="9832"/>
      </w:tblGrid>
      <w:tr>
        <w:trPr/>
        <w:tc>
          <w:tcPr>
            <w:tcW w:w="373" w:type="dxa"/>
            <w:tcBorders/>
            <w:shd w:fill="auto" w:val="clear"/>
          </w:tcPr>
          <w:p>
            <w:pPr>
              <w:pStyle w:val="TableContents"/>
              <w:spacing w:before="0" w:after="0"/>
              <w:ind w:left="0" w:right="0" w:hanging="0"/>
              <w:jc w:val="left"/>
              <w:rPr/>
            </w:pPr>
            <w:r>
              <w:rPr>
                <w:rFonts w:ascii="helvetica" w:hAnsi="helvetica"/>
                <w:sz w:val="20"/>
              </w:rPr>
              <w:t>*</w:t>
            </w:r>
            <w:r>
              <w:rPr/>
              <w:t xml:space="preserve"> </w:t>
            </w:r>
          </w:p>
        </w:tc>
        <w:tc>
          <w:tcPr>
            <w:tcW w:w="9832" w:type="dxa"/>
            <w:tcBorders/>
            <w:shd w:fill="auto" w:val="clear"/>
          </w:tcPr>
          <w:p>
            <w:pPr>
              <w:pStyle w:val="TableContents"/>
              <w:spacing w:before="0" w:after="0"/>
              <w:ind w:left="0" w:right="0" w:hanging="0"/>
              <w:jc w:val="left"/>
              <w:rPr/>
            </w:pPr>
            <w:r>
              <w:rPr>
                <w:rFonts w:ascii="helvetica" w:hAnsi="helvetica"/>
                <w:sz w:val="20"/>
              </w:rPr>
              <w:t>Represents less than 1%.</w:t>
            </w:r>
            <w:r>
              <w:rPr/>
              <w:t xml:space="preserve"> </w:t>
            </w:r>
          </w:p>
        </w:tc>
      </w:tr>
      <w:tr>
        <w:trPr/>
        <w:tc>
          <w:tcPr>
            <w:tcW w:w="373" w:type="dxa"/>
            <w:tcBorders/>
            <w:shd w:fill="auto" w:val="clear"/>
          </w:tcPr>
          <w:p>
            <w:pPr>
              <w:pStyle w:val="TableContents"/>
              <w:spacing w:before="0" w:after="0"/>
              <w:ind w:left="0" w:right="0" w:hanging="0"/>
              <w:jc w:val="left"/>
              <w:rPr/>
            </w:pPr>
            <w:r>
              <w:rPr>
                <w:rFonts w:ascii="helvetica" w:hAnsi="helvetica"/>
                <w:sz w:val="20"/>
              </w:rPr>
              <w:t>(1)</w:t>
            </w:r>
            <w:r>
              <w:rPr/>
              <w:t xml:space="preserve"> </w:t>
            </w:r>
          </w:p>
        </w:tc>
        <w:tc>
          <w:tcPr>
            <w:tcW w:w="9832" w:type="dxa"/>
            <w:tcBorders/>
            <w:shd w:fill="auto" w:val="clear"/>
          </w:tcPr>
          <w:p>
            <w:pPr>
              <w:pStyle w:val="TableContents"/>
              <w:spacing w:before="0" w:after="0"/>
              <w:ind w:left="0" w:right="0" w:hanging="0"/>
              <w:jc w:val="left"/>
              <w:rPr/>
            </w:pPr>
            <w:r>
              <w:rPr>
                <w:rFonts w:ascii="helvetica" w:hAnsi="helvetica"/>
                <w:sz w:val="20"/>
              </w:rPr>
              <w:t>Applicable percentage ownership is based on 6,771,926 shares of our common stock outstanding as of August 31, 2012.  Shares of common stock subject to options or warrants and convertible notes subject to conversion into shares of our common stock currently exercisable or convertible, or exercisable or convertible within 60 days after August 31, 2012, are deemed outstanding for the purpose of computing the percentage ownership of the person holding such options, warrants or convertible notes, but are not deemed outstanding for computing the percentage ownership of any other person.</w:t>
            </w:r>
            <w:r>
              <w:rPr/>
              <w:t xml:space="preserve"> </w:t>
            </w:r>
          </w:p>
        </w:tc>
      </w:tr>
      <w:tr>
        <w:trPr/>
        <w:tc>
          <w:tcPr>
            <w:tcW w:w="373" w:type="dxa"/>
            <w:tcBorders/>
            <w:shd w:fill="auto" w:val="clear"/>
          </w:tcPr>
          <w:p>
            <w:pPr>
              <w:pStyle w:val="TableContents"/>
              <w:spacing w:before="0" w:after="0"/>
              <w:ind w:left="0" w:right="0" w:hanging="0"/>
              <w:jc w:val="left"/>
              <w:rPr/>
            </w:pPr>
            <w:r>
              <w:rPr>
                <w:rFonts w:ascii="helvetica" w:hAnsi="helvetica"/>
                <w:sz w:val="20"/>
              </w:rPr>
              <w:t>(2)</w:t>
            </w:r>
            <w:r>
              <w:rPr/>
              <w:t xml:space="preserve"> </w:t>
            </w:r>
          </w:p>
        </w:tc>
        <w:tc>
          <w:tcPr>
            <w:tcW w:w="9832" w:type="dxa"/>
            <w:tcBorders/>
            <w:shd w:fill="auto" w:val="clear"/>
          </w:tcPr>
          <w:p>
            <w:pPr>
              <w:pStyle w:val="TableContents"/>
              <w:spacing w:before="0" w:after="0"/>
              <w:ind w:left="0" w:right="0" w:hanging="0"/>
              <w:jc w:val="left"/>
              <w:rPr/>
            </w:pPr>
            <w:r>
              <w:rPr>
                <w:rFonts w:ascii="helvetica" w:hAnsi="helvetica"/>
                <w:sz w:val="20"/>
              </w:rPr>
              <w:t>The address for Mr. Ladonnikov is 13388 Surrey Lane, Saratoga, CA 95070.</w:t>
            </w:r>
            <w:r>
              <w:rPr/>
              <w:t xml:space="preserve"> </w:t>
            </w:r>
          </w:p>
        </w:tc>
      </w:tr>
      <w:tr>
        <w:trPr/>
        <w:tc>
          <w:tcPr>
            <w:tcW w:w="373" w:type="dxa"/>
            <w:tcBorders/>
            <w:shd w:fill="auto" w:val="clear"/>
          </w:tcPr>
          <w:p>
            <w:pPr>
              <w:pStyle w:val="TableContents"/>
              <w:spacing w:before="0" w:after="0"/>
              <w:ind w:left="0" w:right="0" w:hanging="0"/>
              <w:jc w:val="left"/>
              <w:rPr/>
            </w:pPr>
            <w:r>
              <w:rPr>
                <w:rFonts w:ascii="helvetica" w:hAnsi="helvetica"/>
                <w:sz w:val="20"/>
              </w:rPr>
              <w:t>(3)</w:t>
            </w:r>
            <w:r>
              <w:rPr/>
              <w:t xml:space="preserve"> </w:t>
            </w:r>
          </w:p>
        </w:tc>
        <w:tc>
          <w:tcPr>
            <w:tcW w:w="9832" w:type="dxa"/>
            <w:tcBorders/>
            <w:shd w:fill="auto" w:val="clear"/>
          </w:tcPr>
          <w:p>
            <w:pPr>
              <w:pStyle w:val="TableContents"/>
              <w:spacing w:before="0" w:after="0"/>
              <w:ind w:left="0" w:right="0" w:hanging="0"/>
              <w:jc w:val="left"/>
              <w:rPr/>
            </w:pPr>
            <w:r>
              <w:rPr>
                <w:rFonts w:ascii="helvetica" w:hAnsi="helvetica"/>
                <w:sz w:val="20"/>
              </w:rPr>
              <w:t>Includes 10,190 shares of common stock issuable upon the exercise of warrants exercisable within 60 days of August 31, 2012.</w:t>
            </w:r>
            <w:r>
              <w:rPr/>
              <w:t xml:space="preserve"> </w:t>
            </w:r>
          </w:p>
        </w:tc>
      </w:tr>
      <w:tr>
        <w:trPr/>
        <w:tc>
          <w:tcPr>
            <w:tcW w:w="373" w:type="dxa"/>
            <w:tcBorders/>
            <w:shd w:fill="auto" w:val="clear"/>
          </w:tcPr>
          <w:p>
            <w:pPr>
              <w:pStyle w:val="TableContents"/>
              <w:spacing w:before="0" w:after="0"/>
              <w:ind w:left="0" w:right="0" w:hanging="0"/>
              <w:jc w:val="left"/>
              <w:rPr/>
            </w:pPr>
            <w:r>
              <w:rPr>
                <w:rFonts w:ascii="helvetica" w:hAnsi="helvetica"/>
                <w:sz w:val="20"/>
              </w:rPr>
              <w:t>(4)</w:t>
            </w:r>
            <w:r>
              <w:rPr/>
              <w:t xml:space="preserve"> </w:t>
            </w:r>
          </w:p>
        </w:tc>
        <w:tc>
          <w:tcPr>
            <w:tcW w:w="9832" w:type="dxa"/>
            <w:tcBorders/>
            <w:shd w:fill="auto" w:val="clear"/>
          </w:tcPr>
          <w:p>
            <w:pPr>
              <w:pStyle w:val="TableContents"/>
              <w:spacing w:before="0" w:after="0"/>
              <w:ind w:left="0" w:right="0" w:hanging="0"/>
              <w:jc w:val="left"/>
              <w:rPr/>
            </w:pPr>
            <w:r>
              <w:rPr>
                <w:rFonts w:ascii="helvetica" w:hAnsi="helvetica"/>
                <w:sz w:val="20"/>
              </w:rPr>
              <w:t>Includes 878,576 shares held in his name, 25,316 shares held by Mr. Miloni’s spouse, 151,899 shares held by 1425 Greenwood Lane, LLC, of which Mr. Miloni is the beneficial owner, 102,766 shares held by RCHER Financial, LLC, of which Mr. Miloni is a beneficial owner, and 84,956 shares of common stock issuable upon the exercise of warrants exercisable within 60 days of August 31, 2012.</w:t>
            </w:r>
            <w:r>
              <w:rPr/>
              <w:t xml:space="preserve"> </w:t>
            </w:r>
          </w:p>
        </w:tc>
      </w:tr>
      <w:tr>
        <w:trPr/>
        <w:tc>
          <w:tcPr>
            <w:tcW w:w="373" w:type="dxa"/>
            <w:tcBorders/>
            <w:shd w:fill="auto" w:val="clear"/>
          </w:tcPr>
          <w:p>
            <w:pPr>
              <w:pStyle w:val="TableContents"/>
              <w:spacing w:before="0" w:after="0"/>
              <w:ind w:left="0" w:right="0" w:hanging="0"/>
              <w:jc w:val="left"/>
              <w:rPr/>
            </w:pPr>
            <w:r>
              <w:rPr>
                <w:rFonts w:ascii="helvetica" w:hAnsi="helvetica"/>
                <w:sz w:val="20"/>
              </w:rPr>
              <w:t>(5)</w:t>
            </w:r>
            <w:r>
              <w:rPr/>
              <w:t xml:space="preserve"> </w:t>
            </w:r>
          </w:p>
        </w:tc>
        <w:tc>
          <w:tcPr>
            <w:tcW w:w="9832" w:type="dxa"/>
            <w:tcBorders/>
            <w:shd w:fill="auto" w:val="clear"/>
          </w:tcPr>
          <w:p>
            <w:pPr>
              <w:pStyle w:val="TableContents"/>
              <w:spacing w:before="0" w:after="0"/>
              <w:ind w:left="0" w:right="0" w:hanging="0"/>
              <w:jc w:val="left"/>
              <w:rPr/>
            </w:pPr>
            <w:r>
              <w:rPr>
                <w:rFonts w:ascii="helvetica" w:hAnsi="helvetica"/>
                <w:sz w:val="20"/>
              </w:rPr>
              <w:t>The address for Professional Compounding Centers of America, Inc. ("PCCA") is 9901 South Wilcrest Dr., Houston, TX 77099. PCCA has voting and investment power with respect to these shares.</w:t>
            </w:r>
            <w:r>
              <w:rPr/>
              <w:t xml:space="preserve"> </w:t>
            </w:r>
          </w:p>
        </w:tc>
      </w:tr>
      <w:tr>
        <w:trPr/>
        <w:tc>
          <w:tcPr>
            <w:tcW w:w="373" w:type="dxa"/>
            <w:tcBorders/>
            <w:shd w:fill="auto" w:val="clear"/>
          </w:tcPr>
          <w:p>
            <w:pPr>
              <w:pStyle w:val="TableContents"/>
              <w:spacing w:before="0" w:after="0"/>
              <w:ind w:left="0" w:right="0" w:hanging="0"/>
              <w:jc w:val="left"/>
              <w:rPr/>
            </w:pPr>
            <w:r>
              <w:rPr>
                <w:rFonts w:ascii="helvetica" w:hAnsi="helvetica"/>
                <w:sz w:val="20"/>
              </w:rPr>
              <w:t>(6)</w:t>
            </w:r>
            <w:r>
              <w:rPr/>
              <w:t xml:space="preserve"> </w:t>
            </w:r>
          </w:p>
        </w:tc>
        <w:tc>
          <w:tcPr>
            <w:tcW w:w="9832" w:type="dxa"/>
            <w:tcBorders/>
            <w:shd w:fill="auto" w:val="clear"/>
          </w:tcPr>
          <w:p>
            <w:pPr>
              <w:pStyle w:val="TableContents"/>
              <w:spacing w:before="0" w:after="0"/>
              <w:ind w:left="0" w:right="0" w:hanging="0"/>
              <w:jc w:val="left"/>
              <w:rPr/>
            </w:pPr>
            <w:r>
              <w:rPr>
                <w:rFonts w:ascii="helvetica" w:hAnsi="helvetica"/>
                <w:sz w:val="20"/>
              </w:rPr>
              <w:t>Jeffrey J. Abrams, M.D., a director, is a trustee of the Abrams Family Trust, which owns 39,063 shares of our common stock. Dr. Abrams has sole voting and investment control with respect to the shares of common stock owned by the Abrams Family Trust.  Includes 49,350 shares of common stock issuable upon the exercise of stock options exercisable within 60 days of August 31, 2012.</w:t>
            </w:r>
            <w:r>
              <w:rPr/>
              <w:t xml:space="preserve"> </w:t>
            </w:r>
          </w:p>
        </w:tc>
      </w:tr>
      <w:tr>
        <w:trPr/>
        <w:tc>
          <w:tcPr>
            <w:tcW w:w="373" w:type="dxa"/>
            <w:tcBorders/>
            <w:shd w:fill="auto" w:val="clear"/>
          </w:tcPr>
          <w:p>
            <w:pPr>
              <w:pStyle w:val="TableContents"/>
              <w:spacing w:before="0" w:after="0"/>
              <w:ind w:left="0" w:right="0" w:hanging="0"/>
              <w:jc w:val="left"/>
              <w:rPr/>
            </w:pPr>
            <w:r>
              <w:rPr>
                <w:rFonts w:ascii="helvetica" w:hAnsi="helvetica"/>
                <w:sz w:val="20"/>
              </w:rPr>
              <w:t>(7)</w:t>
            </w:r>
            <w:r>
              <w:rPr/>
              <w:t xml:space="preserve"> </w:t>
            </w:r>
          </w:p>
        </w:tc>
        <w:tc>
          <w:tcPr>
            <w:tcW w:w="9832" w:type="dxa"/>
            <w:tcBorders/>
            <w:shd w:fill="auto" w:val="clear"/>
          </w:tcPr>
          <w:p>
            <w:pPr>
              <w:pStyle w:val="TableContents"/>
              <w:spacing w:before="0" w:after="0"/>
              <w:ind w:left="0" w:right="0" w:hanging="0"/>
              <w:jc w:val="left"/>
              <w:rPr/>
            </w:pPr>
            <w:r>
              <w:rPr>
                <w:rFonts w:ascii="helvetica" w:hAnsi="helvetica"/>
                <w:sz w:val="20"/>
              </w:rPr>
              <w:t>Includes 134,375 shares of common stock issuable upon the exercise of stock options and 2,413 shares of common stock issuable upon the exercise of warrants exercisable within 60 days of August 31, 2012.</w:t>
            </w:r>
            <w:r>
              <w:rPr/>
              <w:t xml:space="preserve"> </w:t>
            </w:r>
          </w:p>
        </w:tc>
      </w:tr>
      <w:tr>
        <w:trPr/>
        <w:tc>
          <w:tcPr>
            <w:tcW w:w="373" w:type="dxa"/>
            <w:tcBorders/>
            <w:shd w:fill="auto" w:val="clear"/>
          </w:tcPr>
          <w:p>
            <w:pPr>
              <w:pStyle w:val="TableContents"/>
              <w:spacing w:before="0" w:after="0"/>
              <w:ind w:left="0" w:right="0" w:hanging="0"/>
              <w:jc w:val="left"/>
              <w:rPr/>
            </w:pPr>
            <w:r>
              <w:rPr>
                <w:rFonts w:ascii="helvetica" w:hAnsi="helvetica"/>
                <w:sz w:val="20"/>
              </w:rPr>
              <w:t>(8)</w:t>
            </w:r>
            <w:r>
              <w:rPr/>
              <w:t xml:space="preserve"> </w:t>
            </w:r>
          </w:p>
        </w:tc>
        <w:tc>
          <w:tcPr>
            <w:tcW w:w="9832" w:type="dxa"/>
            <w:tcBorders/>
            <w:shd w:fill="auto" w:val="clear"/>
          </w:tcPr>
          <w:p>
            <w:pPr>
              <w:pStyle w:val="TableContents"/>
              <w:spacing w:before="0" w:after="0"/>
              <w:ind w:left="0" w:right="0" w:hanging="0"/>
              <w:jc w:val="left"/>
              <w:rPr/>
            </w:pPr>
            <w:r>
              <w:rPr>
                <w:rFonts w:ascii="helvetica" w:hAnsi="helvetica"/>
                <w:sz w:val="20"/>
              </w:rPr>
              <w:t>Includes 3,750 shares of common stock issuable upon the exercise of stock options exercisable within 60 days of August 31, 2012.</w:t>
            </w:r>
            <w:r>
              <w:rPr/>
              <w:t xml:space="preserve"> </w:t>
            </w:r>
          </w:p>
        </w:tc>
      </w:tr>
      <w:tr>
        <w:trPr/>
        <w:tc>
          <w:tcPr>
            <w:tcW w:w="373" w:type="dxa"/>
            <w:tcBorders/>
            <w:shd w:fill="auto" w:val="clear"/>
          </w:tcPr>
          <w:p>
            <w:pPr>
              <w:pStyle w:val="TableContents"/>
              <w:spacing w:before="0" w:after="0"/>
              <w:ind w:left="0" w:right="0" w:hanging="0"/>
              <w:jc w:val="left"/>
              <w:rPr/>
            </w:pPr>
            <w:r>
              <w:rPr>
                <w:rFonts w:ascii="helvetica" w:hAnsi="helvetica"/>
                <w:sz w:val="20"/>
              </w:rPr>
              <w:t>(9)</w:t>
            </w:r>
            <w:r>
              <w:rPr/>
              <w:t xml:space="preserve"> </w:t>
            </w:r>
          </w:p>
        </w:tc>
        <w:tc>
          <w:tcPr>
            <w:tcW w:w="9832" w:type="dxa"/>
            <w:tcBorders/>
            <w:shd w:fill="auto" w:val="clear"/>
          </w:tcPr>
          <w:p>
            <w:pPr>
              <w:pStyle w:val="TableContents"/>
              <w:spacing w:before="0" w:after="0"/>
              <w:ind w:left="0" w:right="0" w:hanging="0"/>
              <w:jc w:val="left"/>
              <w:rPr/>
            </w:pPr>
            <w:r>
              <w:rPr>
                <w:rFonts w:ascii="helvetica" w:hAnsi="helvetica"/>
                <w:sz w:val="20"/>
              </w:rPr>
              <w:t>Includes 68,750 shares of common stock issuable upon the exercise of stock options exercisable within 60 days of August 31, 2012.</w:t>
            </w:r>
            <w:r>
              <w:rPr/>
              <w:t xml:space="preserve"> </w:t>
            </w:r>
          </w:p>
        </w:tc>
      </w:tr>
      <w:tr>
        <w:trPr/>
        <w:tc>
          <w:tcPr>
            <w:tcW w:w="373" w:type="dxa"/>
            <w:tcBorders/>
            <w:shd w:fill="auto" w:val="clear"/>
          </w:tcPr>
          <w:p>
            <w:pPr>
              <w:pStyle w:val="TableContents"/>
              <w:spacing w:before="0" w:after="0"/>
              <w:ind w:left="0" w:right="0" w:hanging="0"/>
              <w:jc w:val="left"/>
              <w:rPr/>
            </w:pPr>
            <w:r>
              <w:rPr>
                <w:rFonts w:ascii="helvetica" w:hAnsi="helvetica"/>
                <w:sz w:val="20"/>
              </w:rPr>
              <w:t>(10)</w:t>
            </w:r>
            <w:r>
              <w:rPr/>
              <w:t xml:space="preserve"> </w:t>
            </w:r>
          </w:p>
        </w:tc>
        <w:tc>
          <w:tcPr>
            <w:tcW w:w="9832" w:type="dxa"/>
            <w:tcBorders/>
            <w:shd w:fill="auto" w:val="clear"/>
          </w:tcPr>
          <w:p>
            <w:pPr>
              <w:pStyle w:val="TableContents"/>
              <w:spacing w:before="0" w:after="0"/>
              <w:ind w:left="0" w:right="0" w:hanging="0"/>
              <w:jc w:val="left"/>
              <w:rPr/>
            </w:pPr>
            <w:r>
              <w:rPr/>
              <w:t> </w:t>
            </w:r>
            <w:r>
              <w:rPr>
                <w:rFonts w:ascii="helvetica" w:hAnsi="helvetica"/>
                <w:sz w:val="20"/>
              </w:rPr>
              <w:t>Includes 62,500 shares of common stock issuable upon the exercise of stock options exercisable within 60 days of August 31, 2012.</w:t>
            </w:r>
            <w:r>
              <w:rPr/>
              <w:t xml:space="preserve"> </w:t>
            </w:r>
          </w:p>
        </w:tc>
      </w:tr>
      <w:tr>
        <w:trPr/>
        <w:tc>
          <w:tcPr>
            <w:tcW w:w="373" w:type="dxa"/>
            <w:tcBorders/>
            <w:shd w:fill="auto" w:val="clear"/>
          </w:tcPr>
          <w:p>
            <w:pPr>
              <w:pStyle w:val="TableContents"/>
              <w:spacing w:before="0" w:after="0"/>
              <w:ind w:left="0" w:right="0" w:hanging="0"/>
              <w:jc w:val="left"/>
              <w:rPr/>
            </w:pPr>
            <w:r>
              <w:rPr>
                <w:rFonts w:ascii="helvetica" w:hAnsi="helvetica"/>
                <w:sz w:val="20"/>
              </w:rPr>
              <w:t>(11)</w:t>
            </w:r>
            <w:r>
              <w:rPr/>
              <w:t xml:space="preserve"> </w:t>
            </w:r>
          </w:p>
        </w:tc>
        <w:tc>
          <w:tcPr>
            <w:tcW w:w="9832" w:type="dxa"/>
            <w:tcBorders/>
            <w:shd w:fill="auto" w:val="clear"/>
          </w:tcPr>
          <w:p>
            <w:pPr>
              <w:pStyle w:val="TableContents"/>
              <w:spacing w:before="0" w:after="0"/>
              <w:ind w:left="0" w:right="0" w:hanging="0"/>
              <w:jc w:val="left"/>
              <w:rPr/>
            </w:pPr>
            <w:r>
              <w:rPr>
                <w:rFonts w:ascii="helvetica" w:hAnsi="helvetica"/>
                <w:sz w:val="20"/>
              </w:rPr>
              <w:t>Includes 11,111 shares of common stock to which Dr. Kammer is entitled for services performed under his advisory agreement, and 40,625 shares of common stock issuable upon the exercise of stock options and 15,595 shares of common stock issuable upon the exercise of warrants exercisable within 60 days of August 31, 2012. </w:t>
            </w:r>
            <w:r>
              <w:rPr/>
              <w:t xml:space="preserve"> </w:t>
            </w:r>
          </w:p>
        </w:tc>
      </w:tr>
      <w:tr>
        <w:trPr/>
        <w:tc>
          <w:tcPr>
            <w:tcW w:w="373" w:type="dxa"/>
            <w:tcBorders/>
            <w:shd w:fill="auto" w:val="clear"/>
          </w:tcPr>
          <w:p>
            <w:pPr>
              <w:pStyle w:val="TableContents"/>
              <w:spacing w:before="0" w:after="0"/>
              <w:ind w:left="0" w:right="0" w:hanging="0"/>
              <w:jc w:val="left"/>
              <w:rPr/>
            </w:pPr>
            <w:r>
              <w:rPr>
                <w:rFonts w:ascii="helvetica" w:hAnsi="helvetica"/>
                <w:sz w:val="20"/>
              </w:rPr>
              <w:t>(12)</w:t>
            </w:r>
            <w:r>
              <w:rPr/>
              <w:t xml:space="preserve"> </w:t>
            </w:r>
          </w:p>
        </w:tc>
        <w:tc>
          <w:tcPr>
            <w:tcW w:w="9832" w:type="dxa"/>
            <w:tcBorders/>
            <w:shd w:fill="auto" w:val="clear"/>
          </w:tcPr>
          <w:p>
            <w:pPr>
              <w:pStyle w:val="TableContents"/>
              <w:spacing w:before="0" w:after="0"/>
              <w:ind w:left="0" w:right="0" w:hanging="0"/>
              <w:jc w:val="left"/>
              <w:rPr/>
            </w:pPr>
            <w:r>
              <w:rPr>
                <w:rFonts w:ascii="helvetica" w:hAnsi="helvetica"/>
                <w:sz w:val="20"/>
              </w:rPr>
              <w:t>Includes 17,159 shares of common stock issuable upon the exercise of stock options exercisable within 60 days of August 31, 2012.</w:t>
            </w:r>
            <w:r>
              <w:rPr/>
              <w:t xml:space="preserve"> </w:t>
            </w:r>
          </w:p>
        </w:tc>
      </w:tr>
    </w:tbl>
    <w:p>
      <w:pPr>
        <w:pStyle w:val="TextBody"/>
        <w:spacing w:before="0" w:after="0"/>
        <w:ind w:left="0" w:right="0" w:firstLine="720"/>
        <w:jc w:val="left"/>
        <w:rPr/>
      </w:pPr>
      <w:r>
        <w:rPr/>
        <w:t> </w:t>
      </w:r>
    </w:p>
    <w:p>
      <w:pPr>
        <w:pStyle w:val="TextBody"/>
        <w:spacing w:before="0" w:after="0"/>
        <w:ind w:left="720" w:right="0" w:hanging="0"/>
        <w:jc w:val="center"/>
        <w:rPr>
          <w:rFonts w:ascii="helvetica" w:hAnsi="helvetica"/>
          <w:b/>
          <w:sz w:val="20"/>
        </w:rPr>
      </w:pPr>
      <w:bookmarkStart w:id="888" w:name="TAB19"/>
      <w:bookmarkEnd w:id="888"/>
      <w:r>
        <w:rPr>
          <w:rFonts w:ascii="helvetica" w:hAnsi="helvetica"/>
          <w:b/>
          <w:sz w:val="20"/>
        </w:rPr>
        <w:t>LEGAL MATTERS</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r>
        <w:rPr>
          <w:rFonts w:ascii="helvetica" w:hAnsi="helvetica"/>
          <w:sz w:val="20"/>
        </w:rPr>
        <w:t>The validity of the common stock being offered hereby will be passed upon for us by Morrison &amp; Foerster LLP, San Diego, California.</w:t>
      </w:r>
    </w:p>
    <w:p>
      <w:pPr>
        <w:pStyle w:val="TextBody"/>
        <w:spacing w:before="0" w:after="0"/>
        <w:ind w:left="0" w:right="0" w:hanging="0"/>
        <w:jc w:val="both"/>
        <w:rPr/>
      </w:pPr>
      <w:r>
        <w:rPr/>
        <w:t> </w:t>
      </w:r>
    </w:p>
    <w:p>
      <w:pPr>
        <w:pStyle w:val="TextBody"/>
        <w:spacing w:before="0" w:after="0"/>
        <w:ind w:left="720" w:right="0" w:hanging="0"/>
        <w:jc w:val="center"/>
        <w:rPr>
          <w:rFonts w:ascii="helvetica" w:hAnsi="helvetica"/>
          <w:b/>
          <w:sz w:val="20"/>
        </w:rPr>
      </w:pPr>
      <w:bookmarkStart w:id="889" w:name="TAB110"/>
      <w:bookmarkEnd w:id="889"/>
      <w:r>
        <w:rPr>
          <w:rFonts w:ascii="helvetica" w:hAnsi="helvetica"/>
          <w:b/>
          <w:sz w:val="20"/>
        </w:rPr>
        <w:t>EXPERTS</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r>
        <w:rPr>
          <w:rFonts w:ascii="helvetica" w:hAnsi="helvetica"/>
          <w:sz w:val="20"/>
        </w:rPr>
        <w:t>KMJ Corbin &amp; Company LLP, an independent registered public accounting firm, has audited our consolidated financial statements for the fiscal years ended December 31, 2011 and 2010, as stated in its report appearing herein, and such audited consolidated financial statements have been so included in reliance upon the report of such firm given upon its authority as experts in accounting and auditing.</w:t>
      </w:r>
    </w:p>
    <w:p>
      <w:pPr>
        <w:pStyle w:val="TextBody"/>
        <w:spacing w:before="0" w:after="0"/>
        <w:ind w:left="0" w:right="0" w:hanging="0"/>
        <w:jc w:val="both"/>
        <w:rPr/>
      </w:pPr>
      <w:r>
        <w:rPr/>
        <w:t> </w:t>
      </w:r>
    </w:p>
    <w:p>
      <w:pPr>
        <w:pStyle w:val="TextBody"/>
        <w:spacing w:before="0" w:after="0"/>
        <w:ind w:left="720" w:right="0" w:hanging="0"/>
        <w:jc w:val="center"/>
        <w:rPr>
          <w:rFonts w:ascii="helvetica" w:hAnsi="helvetica"/>
          <w:b/>
          <w:sz w:val="20"/>
        </w:rPr>
      </w:pPr>
      <w:bookmarkStart w:id="890" w:name="TAB111"/>
      <w:bookmarkEnd w:id="890"/>
      <w:r>
        <w:rPr>
          <w:rFonts w:ascii="helvetica" w:hAnsi="helvetica"/>
          <w:b/>
          <w:sz w:val="20"/>
        </w:rPr>
        <w:t>WHERE YOU CAN FIND MORE INFORMATION</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r>
        <w:rPr>
          <w:rFonts w:ascii="helvetica" w:hAnsi="helvetica"/>
          <w:sz w:val="20"/>
        </w:rPr>
        <w:t>We file annual reports, quarterly reports, current reports, proxy statements and other information with the Securities and Exchange Commission (“SEC”). You may read or obtain a copy of these reports at the SEC’s public reference room at 100 F Street, N.E., Washington, D.C. 20549, on official business days during the hours of 10:00 am to 3:00 pm. You may obtain information on the operation of the public reference room and its copy charges by calling the SEC at 1-800-SEC-0330. The SEC maintains a website that contains registration statements, reports, proxy information statements and other information regarding registrants that file electronically with the SEC, which are available free of charge. The address of the website is http://www.sec.gov.</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r>
        <w:rPr>
          <w:rFonts w:ascii="helvetica" w:hAnsi="helvetica"/>
          <w:sz w:val="20"/>
        </w:rPr>
        <w:t>We have filed with the SEC a registration statement on Form S-1 under the Securities Act with respect to the shares of common stock being offered by this prospectus. This prospectus is part of that registration statement. This prospectus does not contain all of the information set forth in the registration statement or the exhibits to the registration statement. For further information with respect to us and the shares we are offering pursuant to this prospectus, you should refer to the registration statement and its exhibits. Statements contained in this prospectus as to the contents of any contract, agreement or other document referred to are not necessarily complete, and you should refer to the copy of that contract or other documents filed as an exhibit to the registration statement. You may read or obtain a copy of the registration statement at the SEC’s public reference room and website referred to above.</w:t>
      </w:r>
    </w:p>
    <w:p>
      <w:pPr>
        <w:pStyle w:val="TextBody"/>
        <w:spacing w:before="0" w:after="0"/>
        <w:ind w:left="0" w:right="0" w:hanging="0"/>
        <w:jc w:val="both"/>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891" w:name="PGBRK71"/>
      <w:bookmarkStart w:id="892" w:name="PGBRK71"/>
      <w:bookmarkEnd w:id="89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893" w:name="FTR71"/>
      <w:bookmarkStart w:id="894" w:name="FTR71"/>
      <w:bookmarkEnd w:id="89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895" w:name="GLFTR70"/>
      <w:bookmarkEnd w:id="895"/>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helvetica" w:hAnsi="helvetica"/>
          <w:sz w:val="20"/>
        </w:rPr>
      </w:pPr>
      <w:bookmarkStart w:id="896" w:name="PN70"/>
      <w:bookmarkEnd w:id="896"/>
      <w:r>
        <w:rPr>
          <w:rFonts w:ascii="helvetica" w:hAnsi="helvetica"/>
          <w:sz w:val="20"/>
        </w:rPr>
        <w:t>69</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897" w:name="HDR70"/>
      <w:bookmarkStart w:id="898" w:name="HDR70"/>
      <w:bookmarkEnd w:id="89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899" w:name="GLHDR70"/>
      <w:bookmarkEnd w:id="899"/>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t> </w:t>
      </w:r>
    </w:p>
    <w:p>
      <w:pPr>
        <w:pStyle w:val="TextBody"/>
        <w:spacing w:before="0" w:after="0"/>
        <w:ind w:left="0" w:right="0" w:hanging="0"/>
        <w:jc w:val="center"/>
        <w:rPr>
          <w:rFonts w:ascii="helvetica" w:hAnsi="helvetica"/>
          <w:b/>
          <w:sz w:val="20"/>
        </w:rPr>
      </w:pPr>
      <w:r>
        <w:rPr>
          <w:rFonts w:ascii="helvetica" w:hAnsi="helvetica"/>
          <w:b/>
          <w:sz w:val="20"/>
        </w:rPr>
        <w:t>IMPRIMIS PHARMACEUTICALS, INC.</w:t>
      </w:r>
    </w:p>
    <w:p>
      <w:pPr>
        <w:pStyle w:val="TextBody"/>
        <w:spacing w:before="0" w:after="0"/>
        <w:ind w:left="0" w:right="0" w:hanging="0"/>
        <w:jc w:val="both"/>
        <w:rPr/>
      </w:pPr>
      <w:r>
        <w:rPr/>
        <w:t> </w:t>
      </w:r>
    </w:p>
    <w:p>
      <w:pPr>
        <w:pStyle w:val="TextBody"/>
        <w:spacing w:before="0" w:after="0"/>
        <w:ind w:left="0" w:right="0" w:hanging="0"/>
        <w:jc w:val="center"/>
        <w:rPr>
          <w:rFonts w:ascii="helvetica" w:hAnsi="helvetica"/>
          <w:sz w:val="20"/>
        </w:rPr>
      </w:pPr>
      <w:r>
        <w:rPr>
          <w:rFonts w:ascii="helvetica" w:hAnsi="helvetica"/>
          <w:sz w:val="20"/>
        </w:rPr>
        <w:t>(A Development Stage Company)</w:t>
      </w:r>
    </w:p>
    <w:p>
      <w:pPr>
        <w:pStyle w:val="TextBody"/>
        <w:spacing w:before="0" w:after="0"/>
        <w:ind w:left="0" w:right="0" w:hanging="0"/>
        <w:jc w:val="both"/>
        <w:rPr/>
      </w:pPr>
      <w:r>
        <w:rPr/>
        <w:t> </w:t>
      </w:r>
    </w:p>
    <w:p>
      <w:pPr>
        <w:pStyle w:val="TextBody"/>
        <w:spacing w:before="0" w:after="0"/>
        <w:ind w:left="0" w:right="0" w:hanging="0"/>
        <w:jc w:val="center"/>
        <w:rPr>
          <w:rFonts w:ascii="helvetica" w:hAnsi="helvetica"/>
          <w:b/>
          <w:sz w:val="20"/>
        </w:rPr>
      </w:pPr>
      <w:r>
        <w:rPr>
          <w:rFonts w:ascii="helvetica" w:hAnsi="helvetica"/>
          <w:b/>
          <w:sz w:val="20"/>
        </w:rPr>
        <w:t>Unaudited Condensed Consolidated Financial Statements</w:t>
      </w:r>
    </w:p>
    <w:p>
      <w:pPr>
        <w:pStyle w:val="TextBody"/>
        <w:spacing w:before="0" w:after="0"/>
        <w:ind w:left="0" w:right="0" w:hanging="0"/>
        <w:jc w:val="both"/>
        <w:rPr/>
      </w:pPr>
      <w:r>
        <w:rPr/>
        <w:t> </w:t>
      </w:r>
    </w:p>
    <w:tbl>
      <w:tblPr>
        <w:tblW w:w="5000" w:type="pct"/>
        <w:jc w:val="left"/>
        <w:tblInd w:w="0" w:type="dxa"/>
        <w:tblCellMar>
          <w:top w:w="0" w:type="dxa"/>
          <w:left w:w="0" w:type="dxa"/>
          <w:bottom w:w="0" w:type="dxa"/>
          <w:right w:w="0" w:type="dxa"/>
        </w:tblCellMar>
      </w:tblPr>
      <w:tblGrid>
        <w:gridCol w:w="8983"/>
        <w:gridCol w:w="101"/>
        <w:gridCol w:w="101"/>
        <w:gridCol w:w="918"/>
        <w:gridCol w:w="102"/>
      </w:tblGrid>
      <w:tr>
        <w:trPr/>
        <w:tc>
          <w:tcPr>
            <w:tcW w:w="8983" w:type="dxa"/>
            <w:tcBorders/>
            <w:shd w:fill="auto" w:val="clear"/>
            <w:vAlign w:val="bottom"/>
          </w:tcPr>
          <w:p>
            <w:pPr>
              <w:pStyle w:val="TableContents"/>
              <w:spacing w:before="0" w:after="283"/>
              <w:rPr/>
            </w:pPr>
            <w:r>
              <w:rPr/>
              <w:t xml:space="preserve">  </w:t>
            </w:r>
          </w:p>
        </w:tc>
        <w:tc>
          <w:tcPr>
            <w:tcW w:w="101" w:type="dxa"/>
            <w:tcBorders/>
            <w:shd w:fill="auto" w:val="clear"/>
            <w:vAlign w:val="bottom"/>
          </w:tcPr>
          <w:p>
            <w:pPr>
              <w:pStyle w:val="TableContents"/>
              <w:spacing w:before="0" w:after="283"/>
              <w:rPr/>
            </w:pPr>
            <w:r>
              <w:rPr/>
              <w:t> </w:t>
            </w:r>
          </w:p>
        </w:tc>
        <w:tc>
          <w:tcPr>
            <w:tcW w:w="1019"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helvetica" w:hAnsi="helvetica"/>
                <w:b/>
                <w:sz w:val="16"/>
              </w:rPr>
            </w:pPr>
            <w:r>
              <w:rPr>
                <w:rFonts w:ascii="helvetica" w:hAnsi="helvetica"/>
                <w:b/>
                <w:sz w:val="16"/>
              </w:rPr>
              <w:t>Page</w:t>
            </w:r>
          </w:p>
        </w:tc>
        <w:tc>
          <w:tcPr>
            <w:tcW w:w="102" w:type="dxa"/>
            <w:tcBorders/>
            <w:shd w:fill="auto" w:val="clear"/>
            <w:vAlign w:val="bottom"/>
          </w:tcPr>
          <w:p>
            <w:pPr>
              <w:pStyle w:val="TableContents"/>
              <w:spacing w:before="0" w:after="283"/>
              <w:jc w:val="left"/>
              <w:rPr/>
            </w:pPr>
            <w:r>
              <w:rPr/>
              <w:t> </w:t>
            </w:r>
          </w:p>
        </w:tc>
      </w:tr>
      <w:tr>
        <w:trPr/>
        <w:tc>
          <w:tcPr>
            <w:tcW w:w="8983" w:type="dxa"/>
            <w:tcBorders/>
            <w:shd w:fill="CCEEFF" w:val="clear"/>
            <w:vAlign w:val="bottom"/>
          </w:tcPr>
          <w:p>
            <w:pPr>
              <w:pStyle w:val="TableContents"/>
              <w:spacing w:before="0" w:after="0"/>
              <w:ind w:left="0" w:right="0" w:hanging="0"/>
              <w:jc w:val="left"/>
              <w:rPr>
                <w:rFonts w:ascii="helvetica" w:hAnsi="helvetica"/>
                <w:sz w:val="20"/>
              </w:rPr>
            </w:pPr>
            <w:r>
              <w:rPr>
                <w:rFonts w:ascii="helvetica" w:hAnsi="helvetica"/>
                <w:sz w:val="20"/>
              </w:rPr>
              <w:t>Condensed Consolidated Balance Sheets – June 30, 2012 (Unaudited) and December 31, 2011</w:t>
            </w:r>
          </w:p>
        </w:tc>
        <w:tc>
          <w:tcPr>
            <w:tcW w:w="101" w:type="dxa"/>
            <w:tcBorders/>
            <w:shd w:fill="CCEEFF" w:val="clear"/>
            <w:vAlign w:val="bottom"/>
          </w:tcPr>
          <w:p>
            <w:pPr>
              <w:pStyle w:val="TableContents"/>
              <w:spacing w:before="0" w:after="283"/>
              <w:rPr/>
            </w:pPr>
            <w:r>
              <w:rPr/>
              <w:t> </w:t>
            </w:r>
          </w:p>
        </w:tc>
        <w:tc>
          <w:tcPr>
            <w:tcW w:w="101" w:type="dxa"/>
            <w:tcBorders/>
            <w:shd w:fill="CCEEFF" w:val="clear"/>
            <w:vAlign w:val="bottom"/>
          </w:tcPr>
          <w:p>
            <w:pPr>
              <w:pStyle w:val="TableContents"/>
              <w:spacing w:before="0" w:after="283"/>
              <w:jc w:val="left"/>
              <w:rPr/>
            </w:pPr>
            <w:r>
              <w:rPr/>
              <w:t> </w:t>
            </w:r>
          </w:p>
        </w:tc>
        <w:tc>
          <w:tcPr>
            <w:tcW w:w="918"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F-2</w:t>
            </w:r>
          </w:p>
        </w:tc>
        <w:tc>
          <w:tcPr>
            <w:tcW w:w="102" w:type="dxa"/>
            <w:tcBorders/>
            <w:shd w:fill="CCEEFF" w:val="clear"/>
            <w:vAlign w:val="bottom"/>
          </w:tcPr>
          <w:p>
            <w:pPr>
              <w:pStyle w:val="TableContents"/>
              <w:spacing w:before="0" w:after="283"/>
              <w:jc w:val="left"/>
              <w:rPr/>
            </w:pPr>
            <w:r>
              <w:rPr/>
              <w:t> </w:t>
            </w:r>
          </w:p>
        </w:tc>
      </w:tr>
      <w:tr>
        <w:trPr/>
        <w:tc>
          <w:tcPr>
            <w:tcW w:w="8983" w:type="dxa"/>
            <w:tcBorders/>
            <w:shd w:fill="FFFFFF" w:val="clear"/>
            <w:vAlign w:val="bottom"/>
          </w:tcPr>
          <w:p>
            <w:pPr>
              <w:pStyle w:val="TableContents"/>
              <w:spacing w:before="0" w:after="283"/>
              <w:jc w:val="left"/>
              <w:rPr/>
            </w:pPr>
            <w:r>
              <w:rPr/>
              <w:t xml:space="preserve">  </w:t>
            </w:r>
          </w:p>
        </w:tc>
        <w:tc>
          <w:tcPr>
            <w:tcW w:w="101" w:type="dxa"/>
            <w:tcBorders/>
            <w:shd w:fill="FFFFFF" w:val="clear"/>
            <w:vAlign w:val="bottom"/>
          </w:tcPr>
          <w:p>
            <w:pPr>
              <w:pStyle w:val="TableContents"/>
              <w:spacing w:before="0" w:after="283"/>
              <w:rPr/>
            </w:pPr>
            <w:r>
              <w:rPr/>
              <w:t> </w:t>
            </w:r>
          </w:p>
        </w:tc>
        <w:tc>
          <w:tcPr>
            <w:tcW w:w="101" w:type="dxa"/>
            <w:tcBorders/>
            <w:shd w:fill="FFFFFF" w:val="clear"/>
            <w:vAlign w:val="bottom"/>
          </w:tcPr>
          <w:p>
            <w:pPr>
              <w:pStyle w:val="TableContents"/>
              <w:spacing w:before="0" w:after="283"/>
              <w:jc w:val="left"/>
              <w:rPr/>
            </w:pPr>
            <w:r>
              <w:rPr/>
              <w:t> </w:t>
            </w:r>
          </w:p>
        </w:tc>
        <w:tc>
          <w:tcPr>
            <w:tcW w:w="918" w:type="dxa"/>
            <w:tcBorders/>
            <w:shd w:fill="FFFFFF" w:val="clear"/>
            <w:vAlign w:val="bottom"/>
          </w:tcPr>
          <w:p>
            <w:pPr>
              <w:pStyle w:val="TableContents"/>
              <w:spacing w:before="0" w:after="283"/>
              <w:jc w:val="right"/>
              <w:rPr/>
            </w:pPr>
            <w:r>
              <w:rPr/>
              <w:t> </w:t>
            </w:r>
          </w:p>
        </w:tc>
        <w:tc>
          <w:tcPr>
            <w:tcW w:w="102" w:type="dxa"/>
            <w:tcBorders/>
            <w:shd w:fill="FFFFFF" w:val="clear"/>
            <w:vAlign w:val="bottom"/>
          </w:tcPr>
          <w:p>
            <w:pPr>
              <w:pStyle w:val="TableContents"/>
              <w:spacing w:before="0" w:after="283"/>
              <w:jc w:val="left"/>
              <w:rPr/>
            </w:pPr>
            <w:r>
              <w:rPr/>
              <w:t> </w:t>
            </w:r>
          </w:p>
        </w:tc>
      </w:tr>
      <w:tr>
        <w:trPr/>
        <w:tc>
          <w:tcPr>
            <w:tcW w:w="8983" w:type="dxa"/>
            <w:tcBorders/>
            <w:shd w:fill="CCEEFF" w:val="clear"/>
            <w:vAlign w:val="bottom"/>
          </w:tcPr>
          <w:p>
            <w:pPr>
              <w:pStyle w:val="TableContents"/>
              <w:spacing w:before="0" w:after="0"/>
              <w:ind w:left="0" w:right="0" w:hanging="0"/>
              <w:jc w:val="left"/>
              <w:rPr>
                <w:rFonts w:ascii="helvetica" w:hAnsi="helvetica"/>
                <w:sz w:val="20"/>
              </w:rPr>
            </w:pPr>
            <w:r>
              <w:rPr>
                <w:rFonts w:ascii="helvetica" w:hAnsi="helvetica"/>
                <w:sz w:val="20"/>
              </w:rPr>
              <w:t>Unaudited Condensed Consolidated Statements of Operations for the three and six months ended June 30, 2012 and 2011 and for the Period from July 24, 1998 (Inception) Through June 30, 2012</w:t>
            </w:r>
          </w:p>
        </w:tc>
        <w:tc>
          <w:tcPr>
            <w:tcW w:w="101" w:type="dxa"/>
            <w:tcBorders/>
            <w:shd w:fill="CCEEFF" w:val="clear"/>
            <w:vAlign w:val="bottom"/>
          </w:tcPr>
          <w:p>
            <w:pPr>
              <w:pStyle w:val="TableContents"/>
              <w:spacing w:before="0" w:after="283"/>
              <w:rPr/>
            </w:pPr>
            <w:r>
              <w:rPr/>
              <w:t> </w:t>
            </w:r>
          </w:p>
        </w:tc>
        <w:tc>
          <w:tcPr>
            <w:tcW w:w="101" w:type="dxa"/>
            <w:tcBorders/>
            <w:shd w:fill="CCEEFF" w:val="clear"/>
            <w:vAlign w:val="bottom"/>
          </w:tcPr>
          <w:p>
            <w:pPr>
              <w:pStyle w:val="TableContents"/>
              <w:spacing w:before="0" w:after="283"/>
              <w:jc w:val="left"/>
              <w:rPr/>
            </w:pPr>
            <w:r>
              <w:rPr/>
              <w:t> </w:t>
            </w:r>
          </w:p>
        </w:tc>
        <w:tc>
          <w:tcPr>
            <w:tcW w:w="918"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F-3</w:t>
            </w:r>
          </w:p>
        </w:tc>
        <w:tc>
          <w:tcPr>
            <w:tcW w:w="102" w:type="dxa"/>
            <w:tcBorders/>
            <w:shd w:fill="CCEEFF" w:val="clear"/>
            <w:vAlign w:val="bottom"/>
          </w:tcPr>
          <w:p>
            <w:pPr>
              <w:pStyle w:val="TableContents"/>
              <w:spacing w:before="0" w:after="283"/>
              <w:jc w:val="left"/>
              <w:rPr/>
            </w:pPr>
            <w:r>
              <w:rPr/>
              <w:t> </w:t>
            </w:r>
          </w:p>
        </w:tc>
      </w:tr>
      <w:tr>
        <w:trPr/>
        <w:tc>
          <w:tcPr>
            <w:tcW w:w="8983" w:type="dxa"/>
            <w:tcBorders/>
            <w:shd w:fill="FFFFFF" w:val="clear"/>
            <w:vAlign w:val="bottom"/>
          </w:tcPr>
          <w:p>
            <w:pPr>
              <w:pStyle w:val="TableContents"/>
              <w:spacing w:before="0" w:after="283"/>
              <w:jc w:val="left"/>
              <w:rPr/>
            </w:pPr>
            <w:r>
              <w:rPr/>
              <w:t xml:space="preserve">  </w:t>
            </w:r>
          </w:p>
        </w:tc>
        <w:tc>
          <w:tcPr>
            <w:tcW w:w="101" w:type="dxa"/>
            <w:tcBorders/>
            <w:shd w:fill="FFFFFF" w:val="clear"/>
            <w:vAlign w:val="bottom"/>
          </w:tcPr>
          <w:p>
            <w:pPr>
              <w:pStyle w:val="TableContents"/>
              <w:spacing w:before="0" w:after="283"/>
              <w:rPr/>
            </w:pPr>
            <w:r>
              <w:rPr/>
              <w:t> </w:t>
            </w:r>
          </w:p>
        </w:tc>
        <w:tc>
          <w:tcPr>
            <w:tcW w:w="101" w:type="dxa"/>
            <w:tcBorders/>
            <w:shd w:fill="FFFFFF" w:val="clear"/>
            <w:vAlign w:val="bottom"/>
          </w:tcPr>
          <w:p>
            <w:pPr>
              <w:pStyle w:val="TableContents"/>
              <w:spacing w:before="0" w:after="283"/>
              <w:jc w:val="left"/>
              <w:rPr/>
            </w:pPr>
            <w:r>
              <w:rPr/>
              <w:t> </w:t>
            </w:r>
          </w:p>
        </w:tc>
        <w:tc>
          <w:tcPr>
            <w:tcW w:w="918" w:type="dxa"/>
            <w:tcBorders/>
            <w:shd w:fill="FFFFFF" w:val="clear"/>
            <w:vAlign w:val="bottom"/>
          </w:tcPr>
          <w:p>
            <w:pPr>
              <w:pStyle w:val="TableContents"/>
              <w:spacing w:before="0" w:after="283"/>
              <w:jc w:val="right"/>
              <w:rPr/>
            </w:pPr>
            <w:r>
              <w:rPr/>
              <w:t> </w:t>
            </w:r>
          </w:p>
        </w:tc>
        <w:tc>
          <w:tcPr>
            <w:tcW w:w="102" w:type="dxa"/>
            <w:tcBorders/>
            <w:shd w:fill="FFFFFF" w:val="clear"/>
            <w:vAlign w:val="bottom"/>
          </w:tcPr>
          <w:p>
            <w:pPr>
              <w:pStyle w:val="TableContents"/>
              <w:spacing w:before="0" w:after="283"/>
              <w:jc w:val="left"/>
              <w:rPr/>
            </w:pPr>
            <w:r>
              <w:rPr/>
              <w:t> </w:t>
            </w:r>
          </w:p>
        </w:tc>
      </w:tr>
      <w:tr>
        <w:trPr/>
        <w:tc>
          <w:tcPr>
            <w:tcW w:w="8983" w:type="dxa"/>
            <w:tcBorders/>
            <w:shd w:fill="CCEEFF" w:val="clear"/>
            <w:vAlign w:val="bottom"/>
          </w:tcPr>
          <w:p>
            <w:pPr>
              <w:pStyle w:val="TableContents"/>
              <w:spacing w:before="0" w:after="0"/>
              <w:ind w:left="0" w:right="0" w:hanging="0"/>
              <w:jc w:val="left"/>
              <w:rPr>
                <w:rFonts w:ascii="helvetica" w:hAnsi="helvetica"/>
                <w:sz w:val="20"/>
              </w:rPr>
            </w:pPr>
            <w:r>
              <w:rPr>
                <w:rFonts w:ascii="helvetica" w:hAnsi="helvetica"/>
                <w:sz w:val="20"/>
              </w:rPr>
              <w:t>Unaudited Condensed Consolidated Statements of Cash Flows for the six months ended June 30, 2012 and 2011 and for the Period from July 24, 1998 (Inception) Through June 30, 2012</w:t>
            </w:r>
          </w:p>
        </w:tc>
        <w:tc>
          <w:tcPr>
            <w:tcW w:w="101" w:type="dxa"/>
            <w:tcBorders/>
            <w:shd w:fill="CCEEFF" w:val="clear"/>
            <w:vAlign w:val="bottom"/>
          </w:tcPr>
          <w:p>
            <w:pPr>
              <w:pStyle w:val="TableContents"/>
              <w:spacing w:before="0" w:after="283"/>
              <w:rPr/>
            </w:pPr>
            <w:r>
              <w:rPr/>
              <w:t> </w:t>
            </w:r>
          </w:p>
        </w:tc>
        <w:tc>
          <w:tcPr>
            <w:tcW w:w="101" w:type="dxa"/>
            <w:tcBorders/>
            <w:shd w:fill="CCEEFF" w:val="clear"/>
            <w:vAlign w:val="bottom"/>
          </w:tcPr>
          <w:p>
            <w:pPr>
              <w:pStyle w:val="TableContents"/>
              <w:spacing w:before="0" w:after="283"/>
              <w:jc w:val="left"/>
              <w:rPr/>
            </w:pPr>
            <w:r>
              <w:rPr/>
              <w:t> </w:t>
            </w:r>
          </w:p>
        </w:tc>
        <w:tc>
          <w:tcPr>
            <w:tcW w:w="918"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F-4</w:t>
            </w:r>
          </w:p>
        </w:tc>
        <w:tc>
          <w:tcPr>
            <w:tcW w:w="102" w:type="dxa"/>
            <w:tcBorders/>
            <w:shd w:fill="CCEEFF" w:val="clear"/>
            <w:vAlign w:val="bottom"/>
          </w:tcPr>
          <w:p>
            <w:pPr>
              <w:pStyle w:val="TableContents"/>
              <w:spacing w:before="0" w:after="283"/>
              <w:jc w:val="left"/>
              <w:rPr/>
            </w:pPr>
            <w:r>
              <w:rPr/>
              <w:t> </w:t>
            </w:r>
          </w:p>
        </w:tc>
      </w:tr>
      <w:tr>
        <w:trPr/>
        <w:tc>
          <w:tcPr>
            <w:tcW w:w="8983" w:type="dxa"/>
            <w:tcBorders/>
            <w:shd w:fill="FFFFFF" w:val="clear"/>
            <w:vAlign w:val="bottom"/>
          </w:tcPr>
          <w:p>
            <w:pPr>
              <w:pStyle w:val="TableContents"/>
              <w:spacing w:before="0" w:after="283"/>
              <w:jc w:val="left"/>
              <w:rPr/>
            </w:pPr>
            <w:r>
              <w:rPr/>
              <w:t xml:space="preserve">  </w:t>
            </w:r>
          </w:p>
        </w:tc>
        <w:tc>
          <w:tcPr>
            <w:tcW w:w="101" w:type="dxa"/>
            <w:tcBorders/>
            <w:shd w:fill="FFFFFF" w:val="clear"/>
            <w:vAlign w:val="bottom"/>
          </w:tcPr>
          <w:p>
            <w:pPr>
              <w:pStyle w:val="TableContents"/>
              <w:spacing w:before="0" w:after="283"/>
              <w:rPr/>
            </w:pPr>
            <w:r>
              <w:rPr/>
              <w:t> </w:t>
            </w:r>
          </w:p>
        </w:tc>
        <w:tc>
          <w:tcPr>
            <w:tcW w:w="101" w:type="dxa"/>
            <w:tcBorders/>
            <w:shd w:fill="FFFFFF" w:val="clear"/>
            <w:vAlign w:val="bottom"/>
          </w:tcPr>
          <w:p>
            <w:pPr>
              <w:pStyle w:val="TableContents"/>
              <w:spacing w:before="0" w:after="283"/>
              <w:jc w:val="left"/>
              <w:rPr/>
            </w:pPr>
            <w:r>
              <w:rPr/>
              <w:t> </w:t>
            </w:r>
          </w:p>
        </w:tc>
        <w:tc>
          <w:tcPr>
            <w:tcW w:w="918" w:type="dxa"/>
            <w:tcBorders/>
            <w:shd w:fill="FFFFFF" w:val="clear"/>
            <w:vAlign w:val="bottom"/>
          </w:tcPr>
          <w:p>
            <w:pPr>
              <w:pStyle w:val="TableContents"/>
              <w:spacing w:before="0" w:after="283"/>
              <w:jc w:val="right"/>
              <w:rPr/>
            </w:pPr>
            <w:r>
              <w:rPr/>
              <w:t> </w:t>
            </w:r>
          </w:p>
        </w:tc>
        <w:tc>
          <w:tcPr>
            <w:tcW w:w="102" w:type="dxa"/>
            <w:tcBorders/>
            <w:shd w:fill="FFFFFF" w:val="clear"/>
            <w:vAlign w:val="bottom"/>
          </w:tcPr>
          <w:p>
            <w:pPr>
              <w:pStyle w:val="TableContents"/>
              <w:spacing w:before="0" w:after="283"/>
              <w:jc w:val="left"/>
              <w:rPr/>
            </w:pPr>
            <w:r>
              <w:rPr/>
              <w:t> </w:t>
            </w:r>
          </w:p>
        </w:tc>
      </w:tr>
      <w:tr>
        <w:trPr/>
        <w:tc>
          <w:tcPr>
            <w:tcW w:w="8983" w:type="dxa"/>
            <w:tcBorders/>
            <w:shd w:fill="CCEEFF" w:val="clear"/>
            <w:vAlign w:val="bottom"/>
          </w:tcPr>
          <w:p>
            <w:pPr>
              <w:pStyle w:val="TableContents"/>
              <w:spacing w:before="0" w:after="0"/>
              <w:ind w:left="0" w:right="0" w:hanging="0"/>
              <w:jc w:val="left"/>
              <w:rPr>
                <w:rFonts w:ascii="helvetica" w:hAnsi="helvetica"/>
                <w:sz w:val="20"/>
              </w:rPr>
            </w:pPr>
            <w:r>
              <w:rPr>
                <w:rFonts w:ascii="helvetica" w:hAnsi="helvetica"/>
                <w:sz w:val="20"/>
              </w:rPr>
              <w:t>Notes to the Unaudited Condensed Consolidated Financial Statements</w:t>
            </w:r>
          </w:p>
        </w:tc>
        <w:tc>
          <w:tcPr>
            <w:tcW w:w="101" w:type="dxa"/>
            <w:tcBorders/>
            <w:shd w:fill="CCEEFF" w:val="clear"/>
            <w:vAlign w:val="bottom"/>
          </w:tcPr>
          <w:p>
            <w:pPr>
              <w:pStyle w:val="TableContents"/>
              <w:spacing w:before="0" w:after="283"/>
              <w:rPr/>
            </w:pPr>
            <w:r>
              <w:rPr/>
              <w:t> </w:t>
            </w:r>
          </w:p>
        </w:tc>
        <w:tc>
          <w:tcPr>
            <w:tcW w:w="101" w:type="dxa"/>
            <w:tcBorders/>
            <w:shd w:fill="CCEEFF" w:val="clear"/>
            <w:vAlign w:val="bottom"/>
          </w:tcPr>
          <w:p>
            <w:pPr>
              <w:pStyle w:val="TableContents"/>
              <w:spacing w:before="0" w:after="283"/>
              <w:jc w:val="left"/>
              <w:rPr/>
            </w:pPr>
            <w:r>
              <w:rPr/>
              <w:t> </w:t>
            </w:r>
          </w:p>
        </w:tc>
        <w:tc>
          <w:tcPr>
            <w:tcW w:w="918"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F-5</w:t>
            </w:r>
          </w:p>
        </w:tc>
        <w:tc>
          <w:tcPr>
            <w:tcW w:w="102" w:type="dxa"/>
            <w:tcBorders/>
            <w:shd w:fill="CCEEFF" w:val="clear"/>
            <w:vAlign w:val="bottom"/>
          </w:tcPr>
          <w:p>
            <w:pPr>
              <w:pStyle w:val="TableContents"/>
              <w:spacing w:before="0" w:after="283"/>
              <w:jc w:val="left"/>
              <w:rPr/>
            </w:pPr>
            <w:r>
              <w:rPr/>
              <w:t> </w:t>
            </w:r>
          </w:p>
        </w:tc>
      </w:tr>
    </w:tbl>
    <w:p>
      <w:pPr>
        <w:pStyle w:val="TextBody"/>
        <w:spacing w:before="0" w:after="0"/>
        <w:ind w:left="0" w:right="0" w:hanging="0"/>
        <w:jc w:val="center"/>
        <w:rPr/>
      </w:pPr>
      <w:r>
        <w:rPr/>
        <w:t> </w:t>
      </w:r>
    </w:p>
    <w:p>
      <w:pPr>
        <w:pStyle w:val="TextBody"/>
        <w:spacing w:before="0" w:after="0"/>
        <w:ind w:left="0" w:right="0" w:hanging="0"/>
        <w:jc w:val="center"/>
        <w:rPr>
          <w:rFonts w:ascii="helvetica" w:hAnsi="helvetica"/>
          <w:b/>
          <w:sz w:val="20"/>
        </w:rPr>
      </w:pPr>
      <w:r>
        <w:rPr>
          <w:rFonts w:ascii="helvetica" w:hAnsi="helvetica"/>
          <w:b/>
          <w:sz w:val="20"/>
        </w:rPr>
        <w:t>IMPRIMIS PHARMACEUTICALS, INC.</w:t>
      </w:r>
    </w:p>
    <w:p>
      <w:pPr>
        <w:pStyle w:val="TextBody"/>
        <w:spacing w:before="0" w:after="0"/>
        <w:ind w:left="0" w:right="0" w:hanging="0"/>
        <w:jc w:val="both"/>
        <w:rPr/>
      </w:pPr>
      <w:r>
        <w:rPr/>
        <w:t> </w:t>
      </w:r>
    </w:p>
    <w:p>
      <w:pPr>
        <w:pStyle w:val="TextBody"/>
        <w:spacing w:before="0" w:after="0"/>
        <w:ind w:left="0" w:right="0" w:hanging="0"/>
        <w:jc w:val="center"/>
        <w:rPr>
          <w:rFonts w:ascii="helvetica" w:hAnsi="helvetica"/>
          <w:sz w:val="20"/>
        </w:rPr>
      </w:pPr>
      <w:r>
        <w:rPr>
          <w:rFonts w:ascii="helvetica" w:hAnsi="helvetica"/>
          <w:sz w:val="20"/>
        </w:rPr>
        <w:t>(A Development Stage Company)</w:t>
      </w:r>
    </w:p>
    <w:p>
      <w:pPr>
        <w:pStyle w:val="TextBody"/>
        <w:spacing w:before="0" w:after="0"/>
        <w:ind w:left="0" w:right="0" w:hanging="0"/>
        <w:jc w:val="both"/>
        <w:rPr/>
      </w:pPr>
      <w:r>
        <w:rPr/>
        <w:t> </w:t>
      </w:r>
    </w:p>
    <w:p>
      <w:pPr>
        <w:pStyle w:val="TextBody"/>
        <w:spacing w:before="0" w:after="0"/>
        <w:ind w:left="0" w:right="0" w:hanging="0"/>
        <w:jc w:val="center"/>
        <w:rPr>
          <w:rFonts w:ascii="helvetica" w:hAnsi="helvetica"/>
          <w:b/>
          <w:sz w:val="20"/>
        </w:rPr>
      </w:pPr>
      <w:r>
        <w:rPr>
          <w:rFonts w:ascii="helvetica" w:hAnsi="helvetica"/>
          <w:b/>
          <w:sz w:val="20"/>
        </w:rPr>
        <w:t>Audited Consolidated Financial Statements</w:t>
      </w:r>
    </w:p>
    <w:p>
      <w:pPr>
        <w:pStyle w:val="TextBody"/>
        <w:spacing w:before="0" w:after="0"/>
        <w:ind w:left="0" w:right="0" w:hanging="0"/>
        <w:jc w:val="center"/>
        <w:rPr/>
      </w:pPr>
      <w:r>
        <w:rPr/>
        <w:t> </w:t>
      </w:r>
    </w:p>
    <w:tbl>
      <w:tblPr>
        <w:tblW w:w="5000" w:type="pct"/>
        <w:jc w:val="left"/>
        <w:tblInd w:w="0" w:type="dxa"/>
        <w:tblCellMar>
          <w:top w:w="0" w:type="dxa"/>
          <w:left w:w="0" w:type="dxa"/>
          <w:bottom w:w="0" w:type="dxa"/>
          <w:right w:w="0" w:type="dxa"/>
        </w:tblCellMar>
      </w:tblPr>
      <w:tblGrid>
        <w:gridCol w:w="8982"/>
        <w:gridCol w:w="102"/>
        <w:gridCol w:w="101"/>
        <w:gridCol w:w="918"/>
        <w:gridCol w:w="102"/>
      </w:tblGrid>
      <w:tr>
        <w:trPr/>
        <w:tc>
          <w:tcPr>
            <w:tcW w:w="8982" w:type="dxa"/>
            <w:tcBorders/>
            <w:shd w:fill="CCEEFF" w:val="clear"/>
            <w:vAlign w:val="bottom"/>
          </w:tcPr>
          <w:p>
            <w:pPr>
              <w:pStyle w:val="TableContents"/>
              <w:spacing w:before="0" w:after="0"/>
              <w:ind w:left="0" w:right="16" w:hanging="0"/>
              <w:jc w:val="left"/>
              <w:rPr>
                <w:rFonts w:ascii="helvetica" w:hAnsi="helvetica"/>
                <w:sz w:val="20"/>
              </w:rPr>
            </w:pPr>
            <w:r>
              <w:rPr>
                <w:rFonts w:ascii="helvetica" w:hAnsi="helvetica"/>
                <w:sz w:val="20"/>
              </w:rPr>
              <w:t>Report of Independent Registered Public Accounting Firm</w:t>
            </w:r>
          </w:p>
        </w:tc>
        <w:tc>
          <w:tcPr>
            <w:tcW w:w="102" w:type="dxa"/>
            <w:tcBorders/>
            <w:shd w:fill="CCEEFF" w:val="clear"/>
            <w:vAlign w:val="bottom"/>
          </w:tcPr>
          <w:p>
            <w:pPr>
              <w:pStyle w:val="TableContents"/>
              <w:spacing w:before="0" w:after="283"/>
              <w:jc w:val="right"/>
              <w:rPr/>
            </w:pPr>
            <w:r>
              <w:rPr/>
              <w:t> </w:t>
            </w:r>
          </w:p>
        </w:tc>
        <w:tc>
          <w:tcPr>
            <w:tcW w:w="101" w:type="dxa"/>
            <w:tcBorders/>
            <w:shd w:fill="CCEEFF" w:val="clear"/>
            <w:vAlign w:val="bottom"/>
          </w:tcPr>
          <w:p>
            <w:pPr>
              <w:pStyle w:val="TableContents"/>
              <w:spacing w:before="0" w:after="283"/>
              <w:jc w:val="left"/>
              <w:rPr/>
            </w:pPr>
            <w:r>
              <w:rPr/>
              <w:t> </w:t>
            </w:r>
          </w:p>
        </w:tc>
        <w:tc>
          <w:tcPr>
            <w:tcW w:w="918"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F-20</w:t>
            </w:r>
          </w:p>
        </w:tc>
        <w:tc>
          <w:tcPr>
            <w:tcW w:w="102" w:type="dxa"/>
            <w:tcBorders/>
            <w:shd w:fill="CCEEFF" w:val="clear"/>
            <w:vAlign w:val="bottom"/>
          </w:tcPr>
          <w:p>
            <w:pPr>
              <w:pStyle w:val="TableContents"/>
              <w:spacing w:before="0" w:after="283"/>
              <w:jc w:val="left"/>
              <w:rPr/>
            </w:pPr>
            <w:r>
              <w:rPr/>
              <w:t> </w:t>
            </w:r>
          </w:p>
        </w:tc>
      </w:tr>
      <w:tr>
        <w:trPr/>
        <w:tc>
          <w:tcPr>
            <w:tcW w:w="8982" w:type="dxa"/>
            <w:tcBorders/>
            <w:shd w:fill="FFFFFF" w:val="clear"/>
            <w:vAlign w:val="bottom"/>
          </w:tcPr>
          <w:p>
            <w:pPr>
              <w:pStyle w:val="TableContents"/>
              <w:spacing w:before="0" w:after="283"/>
              <w:jc w:val="left"/>
              <w:rPr/>
            </w:pPr>
            <w:r>
              <w:rPr/>
              <w:t xml:space="preserve">  </w:t>
            </w:r>
          </w:p>
        </w:tc>
        <w:tc>
          <w:tcPr>
            <w:tcW w:w="102" w:type="dxa"/>
            <w:tcBorders/>
            <w:shd w:fill="FFFFFF" w:val="clear"/>
            <w:vAlign w:val="bottom"/>
          </w:tcPr>
          <w:p>
            <w:pPr>
              <w:pStyle w:val="TableContents"/>
              <w:spacing w:before="0" w:after="283"/>
              <w:jc w:val="right"/>
              <w:rPr/>
            </w:pPr>
            <w:r>
              <w:rPr/>
              <w:t> </w:t>
            </w:r>
          </w:p>
        </w:tc>
        <w:tc>
          <w:tcPr>
            <w:tcW w:w="101" w:type="dxa"/>
            <w:tcBorders/>
            <w:shd w:fill="FFFFFF" w:val="clear"/>
            <w:vAlign w:val="bottom"/>
          </w:tcPr>
          <w:p>
            <w:pPr>
              <w:pStyle w:val="TableContents"/>
              <w:spacing w:before="0" w:after="283"/>
              <w:jc w:val="left"/>
              <w:rPr/>
            </w:pPr>
            <w:r>
              <w:rPr/>
              <w:t> </w:t>
            </w:r>
          </w:p>
        </w:tc>
        <w:tc>
          <w:tcPr>
            <w:tcW w:w="918" w:type="dxa"/>
            <w:tcBorders/>
            <w:shd w:fill="FFFFFF" w:val="clear"/>
            <w:vAlign w:val="bottom"/>
          </w:tcPr>
          <w:p>
            <w:pPr>
              <w:pStyle w:val="TableContents"/>
              <w:spacing w:before="0" w:after="283"/>
              <w:jc w:val="right"/>
              <w:rPr/>
            </w:pPr>
            <w:r>
              <w:rPr/>
              <w:t> </w:t>
            </w:r>
          </w:p>
        </w:tc>
        <w:tc>
          <w:tcPr>
            <w:tcW w:w="102" w:type="dxa"/>
            <w:tcBorders/>
            <w:shd w:fill="FFFFFF" w:val="clear"/>
            <w:vAlign w:val="bottom"/>
          </w:tcPr>
          <w:p>
            <w:pPr>
              <w:pStyle w:val="TableContents"/>
              <w:spacing w:before="0" w:after="283"/>
              <w:jc w:val="left"/>
              <w:rPr/>
            </w:pPr>
            <w:r>
              <w:rPr/>
              <w:t> </w:t>
            </w:r>
          </w:p>
        </w:tc>
      </w:tr>
      <w:tr>
        <w:trPr/>
        <w:tc>
          <w:tcPr>
            <w:tcW w:w="8982" w:type="dxa"/>
            <w:tcBorders/>
            <w:shd w:fill="CCEEFF" w:val="clear"/>
            <w:vAlign w:val="bottom"/>
          </w:tcPr>
          <w:p>
            <w:pPr>
              <w:pStyle w:val="TableContents"/>
              <w:spacing w:before="0" w:after="0"/>
              <w:ind w:left="0" w:right="16" w:hanging="0"/>
              <w:jc w:val="left"/>
              <w:rPr>
                <w:rFonts w:ascii="helvetica" w:hAnsi="helvetica"/>
                <w:sz w:val="20"/>
              </w:rPr>
            </w:pPr>
            <w:r>
              <w:rPr>
                <w:rFonts w:ascii="helvetica" w:hAnsi="helvetica"/>
                <w:sz w:val="20"/>
              </w:rPr>
              <w:t>Consolidated Balance Sheets at December 31, 2011 and 2010</w:t>
            </w:r>
          </w:p>
        </w:tc>
        <w:tc>
          <w:tcPr>
            <w:tcW w:w="102" w:type="dxa"/>
            <w:tcBorders/>
            <w:shd w:fill="CCEEFF" w:val="clear"/>
            <w:vAlign w:val="bottom"/>
          </w:tcPr>
          <w:p>
            <w:pPr>
              <w:pStyle w:val="TableContents"/>
              <w:spacing w:before="0" w:after="283"/>
              <w:jc w:val="right"/>
              <w:rPr/>
            </w:pPr>
            <w:r>
              <w:rPr/>
              <w:t> </w:t>
            </w:r>
          </w:p>
        </w:tc>
        <w:tc>
          <w:tcPr>
            <w:tcW w:w="101" w:type="dxa"/>
            <w:tcBorders/>
            <w:shd w:fill="CCEEFF" w:val="clear"/>
            <w:vAlign w:val="bottom"/>
          </w:tcPr>
          <w:p>
            <w:pPr>
              <w:pStyle w:val="TableContents"/>
              <w:spacing w:before="0" w:after="283"/>
              <w:jc w:val="left"/>
              <w:rPr/>
            </w:pPr>
            <w:r>
              <w:rPr/>
              <w:t> </w:t>
            </w:r>
          </w:p>
        </w:tc>
        <w:tc>
          <w:tcPr>
            <w:tcW w:w="918"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F-21</w:t>
            </w:r>
          </w:p>
        </w:tc>
        <w:tc>
          <w:tcPr>
            <w:tcW w:w="102" w:type="dxa"/>
            <w:tcBorders/>
            <w:shd w:fill="CCEEFF" w:val="clear"/>
            <w:vAlign w:val="bottom"/>
          </w:tcPr>
          <w:p>
            <w:pPr>
              <w:pStyle w:val="TableContents"/>
              <w:spacing w:before="0" w:after="283"/>
              <w:jc w:val="left"/>
              <w:rPr/>
            </w:pPr>
            <w:r>
              <w:rPr/>
              <w:t> </w:t>
            </w:r>
          </w:p>
        </w:tc>
      </w:tr>
      <w:tr>
        <w:trPr/>
        <w:tc>
          <w:tcPr>
            <w:tcW w:w="8982" w:type="dxa"/>
            <w:tcBorders/>
            <w:shd w:fill="FFFFFF" w:val="clear"/>
            <w:vAlign w:val="bottom"/>
          </w:tcPr>
          <w:p>
            <w:pPr>
              <w:pStyle w:val="TableContents"/>
              <w:spacing w:before="0" w:after="283"/>
              <w:jc w:val="left"/>
              <w:rPr/>
            </w:pPr>
            <w:r>
              <w:rPr/>
              <w:t xml:space="preserve">  </w:t>
            </w:r>
          </w:p>
        </w:tc>
        <w:tc>
          <w:tcPr>
            <w:tcW w:w="102" w:type="dxa"/>
            <w:tcBorders/>
            <w:shd w:fill="FFFFFF" w:val="clear"/>
            <w:vAlign w:val="bottom"/>
          </w:tcPr>
          <w:p>
            <w:pPr>
              <w:pStyle w:val="TableContents"/>
              <w:spacing w:before="0" w:after="283"/>
              <w:jc w:val="right"/>
              <w:rPr/>
            </w:pPr>
            <w:r>
              <w:rPr/>
              <w:t> </w:t>
            </w:r>
          </w:p>
        </w:tc>
        <w:tc>
          <w:tcPr>
            <w:tcW w:w="101" w:type="dxa"/>
            <w:tcBorders/>
            <w:shd w:fill="FFFFFF" w:val="clear"/>
            <w:vAlign w:val="bottom"/>
          </w:tcPr>
          <w:p>
            <w:pPr>
              <w:pStyle w:val="TableContents"/>
              <w:spacing w:before="0" w:after="283"/>
              <w:jc w:val="left"/>
              <w:rPr/>
            </w:pPr>
            <w:r>
              <w:rPr/>
              <w:t> </w:t>
            </w:r>
          </w:p>
        </w:tc>
        <w:tc>
          <w:tcPr>
            <w:tcW w:w="918" w:type="dxa"/>
            <w:tcBorders/>
            <w:shd w:fill="FFFFFF" w:val="clear"/>
            <w:vAlign w:val="bottom"/>
          </w:tcPr>
          <w:p>
            <w:pPr>
              <w:pStyle w:val="TableContents"/>
              <w:spacing w:before="0" w:after="283"/>
              <w:jc w:val="right"/>
              <w:rPr/>
            </w:pPr>
            <w:r>
              <w:rPr/>
              <w:t> </w:t>
            </w:r>
          </w:p>
        </w:tc>
        <w:tc>
          <w:tcPr>
            <w:tcW w:w="102" w:type="dxa"/>
            <w:tcBorders/>
            <w:shd w:fill="FFFFFF" w:val="clear"/>
            <w:vAlign w:val="bottom"/>
          </w:tcPr>
          <w:p>
            <w:pPr>
              <w:pStyle w:val="TableContents"/>
              <w:spacing w:before="0" w:after="283"/>
              <w:jc w:val="left"/>
              <w:rPr/>
            </w:pPr>
            <w:r>
              <w:rPr/>
              <w:t> </w:t>
            </w:r>
          </w:p>
        </w:tc>
      </w:tr>
      <w:tr>
        <w:trPr/>
        <w:tc>
          <w:tcPr>
            <w:tcW w:w="8982" w:type="dxa"/>
            <w:tcBorders/>
            <w:shd w:fill="CCEEFF" w:val="clear"/>
            <w:vAlign w:val="bottom"/>
          </w:tcPr>
          <w:p>
            <w:pPr>
              <w:pStyle w:val="TableContents"/>
              <w:spacing w:before="0" w:after="0"/>
              <w:ind w:left="0" w:right="16" w:hanging="0"/>
              <w:jc w:val="left"/>
              <w:rPr>
                <w:rFonts w:ascii="helvetica" w:hAnsi="helvetica"/>
                <w:sz w:val="20"/>
              </w:rPr>
            </w:pPr>
            <w:r>
              <w:rPr>
                <w:rFonts w:ascii="helvetica" w:hAnsi="helvetica"/>
                <w:sz w:val="20"/>
              </w:rPr>
              <w:t>Consolidated Statements of Operations for the Years Ended December 31, 2011 and 2010 and for the Period from July 24, 1998 (Inception) Through December 31, 2011</w:t>
            </w:r>
          </w:p>
        </w:tc>
        <w:tc>
          <w:tcPr>
            <w:tcW w:w="102" w:type="dxa"/>
            <w:tcBorders/>
            <w:shd w:fill="CCEEFF" w:val="clear"/>
            <w:vAlign w:val="bottom"/>
          </w:tcPr>
          <w:p>
            <w:pPr>
              <w:pStyle w:val="TableContents"/>
              <w:spacing w:before="0" w:after="283"/>
              <w:jc w:val="right"/>
              <w:rPr/>
            </w:pPr>
            <w:r>
              <w:rPr/>
              <w:t> </w:t>
            </w:r>
          </w:p>
        </w:tc>
        <w:tc>
          <w:tcPr>
            <w:tcW w:w="101" w:type="dxa"/>
            <w:tcBorders/>
            <w:shd w:fill="CCEEFF" w:val="clear"/>
            <w:vAlign w:val="bottom"/>
          </w:tcPr>
          <w:p>
            <w:pPr>
              <w:pStyle w:val="TableContents"/>
              <w:spacing w:before="0" w:after="283"/>
              <w:jc w:val="left"/>
              <w:rPr/>
            </w:pPr>
            <w:r>
              <w:rPr/>
              <w:t> </w:t>
            </w:r>
          </w:p>
        </w:tc>
        <w:tc>
          <w:tcPr>
            <w:tcW w:w="918"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F-22</w:t>
            </w:r>
          </w:p>
        </w:tc>
        <w:tc>
          <w:tcPr>
            <w:tcW w:w="102" w:type="dxa"/>
            <w:tcBorders/>
            <w:shd w:fill="CCEEFF" w:val="clear"/>
            <w:vAlign w:val="bottom"/>
          </w:tcPr>
          <w:p>
            <w:pPr>
              <w:pStyle w:val="TableContents"/>
              <w:spacing w:before="0" w:after="283"/>
              <w:jc w:val="left"/>
              <w:rPr/>
            </w:pPr>
            <w:r>
              <w:rPr/>
              <w:t> </w:t>
            </w:r>
          </w:p>
        </w:tc>
      </w:tr>
      <w:tr>
        <w:trPr/>
        <w:tc>
          <w:tcPr>
            <w:tcW w:w="8982" w:type="dxa"/>
            <w:tcBorders/>
            <w:shd w:fill="FFFFFF" w:val="clear"/>
            <w:vAlign w:val="bottom"/>
          </w:tcPr>
          <w:p>
            <w:pPr>
              <w:pStyle w:val="TableContents"/>
              <w:spacing w:before="0" w:after="283"/>
              <w:jc w:val="left"/>
              <w:rPr/>
            </w:pPr>
            <w:r>
              <w:rPr/>
              <w:t xml:space="preserve">  </w:t>
            </w:r>
          </w:p>
        </w:tc>
        <w:tc>
          <w:tcPr>
            <w:tcW w:w="102" w:type="dxa"/>
            <w:tcBorders/>
            <w:shd w:fill="FFFFFF" w:val="clear"/>
            <w:vAlign w:val="bottom"/>
          </w:tcPr>
          <w:p>
            <w:pPr>
              <w:pStyle w:val="TableContents"/>
              <w:spacing w:before="0" w:after="283"/>
              <w:jc w:val="right"/>
              <w:rPr/>
            </w:pPr>
            <w:r>
              <w:rPr/>
              <w:t> </w:t>
            </w:r>
          </w:p>
        </w:tc>
        <w:tc>
          <w:tcPr>
            <w:tcW w:w="101" w:type="dxa"/>
            <w:tcBorders/>
            <w:shd w:fill="FFFFFF" w:val="clear"/>
            <w:vAlign w:val="bottom"/>
          </w:tcPr>
          <w:p>
            <w:pPr>
              <w:pStyle w:val="TableContents"/>
              <w:spacing w:before="0" w:after="283"/>
              <w:jc w:val="left"/>
              <w:rPr/>
            </w:pPr>
            <w:r>
              <w:rPr/>
              <w:t> </w:t>
            </w:r>
          </w:p>
        </w:tc>
        <w:tc>
          <w:tcPr>
            <w:tcW w:w="918" w:type="dxa"/>
            <w:tcBorders/>
            <w:shd w:fill="FFFFFF" w:val="clear"/>
            <w:vAlign w:val="bottom"/>
          </w:tcPr>
          <w:p>
            <w:pPr>
              <w:pStyle w:val="TableContents"/>
              <w:spacing w:before="0" w:after="283"/>
              <w:jc w:val="right"/>
              <w:rPr/>
            </w:pPr>
            <w:r>
              <w:rPr/>
              <w:t> </w:t>
            </w:r>
          </w:p>
        </w:tc>
        <w:tc>
          <w:tcPr>
            <w:tcW w:w="102" w:type="dxa"/>
            <w:tcBorders/>
            <w:shd w:fill="FFFFFF" w:val="clear"/>
            <w:vAlign w:val="bottom"/>
          </w:tcPr>
          <w:p>
            <w:pPr>
              <w:pStyle w:val="TableContents"/>
              <w:spacing w:before="0" w:after="283"/>
              <w:jc w:val="left"/>
              <w:rPr/>
            </w:pPr>
            <w:r>
              <w:rPr/>
              <w:t> </w:t>
            </w:r>
          </w:p>
        </w:tc>
      </w:tr>
      <w:tr>
        <w:trPr/>
        <w:tc>
          <w:tcPr>
            <w:tcW w:w="8982" w:type="dxa"/>
            <w:tcBorders/>
            <w:shd w:fill="CCEEFF" w:val="clear"/>
            <w:vAlign w:val="bottom"/>
          </w:tcPr>
          <w:p>
            <w:pPr>
              <w:pStyle w:val="TableContents"/>
              <w:spacing w:before="0" w:after="0"/>
              <w:ind w:left="0" w:right="16" w:hanging="0"/>
              <w:jc w:val="left"/>
              <w:rPr>
                <w:rFonts w:ascii="helvetica" w:hAnsi="helvetica"/>
                <w:sz w:val="20"/>
              </w:rPr>
            </w:pPr>
            <w:r>
              <w:rPr>
                <w:rFonts w:ascii="helvetica" w:hAnsi="helvetica"/>
                <w:sz w:val="20"/>
              </w:rPr>
              <w:t>Consolidated Statements of Stockholders’ Deficit for the Years Ended December 31, 2011 and 2010 and for the Period from July 24, 1998 (Inception) Through December 31, 2011</w:t>
            </w:r>
          </w:p>
        </w:tc>
        <w:tc>
          <w:tcPr>
            <w:tcW w:w="102" w:type="dxa"/>
            <w:tcBorders/>
            <w:shd w:fill="CCEEFF" w:val="clear"/>
            <w:vAlign w:val="bottom"/>
          </w:tcPr>
          <w:p>
            <w:pPr>
              <w:pStyle w:val="TableContents"/>
              <w:spacing w:before="0" w:after="283"/>
              <w:jc w:val="right"/>
              <w:rPr/>
            </w:pPr>
            <w:r>
              <w:rPr/>
              <w:t> </w:t>
            </w:r>
          </w:p>
        </w:tc>
        <w:tc>
          <w:tcPr>
            <w:tcW w:w="101" w:type="dxa"/>
            <w:tcBorders/>
            <w:shd w:fill="CCEEFF" w:val="clear"/>
            <w:vAlign w:val="bottom"/>
          </w:tcPr>
          <w:p>
            <w:pPr>
              <w:pStyle w:val="TableContents"/>
              <w:spacing w:before="0" w:after="283"/>
              <w:jc w:val="left"/>
              <w:rPr/>
            </w:pPr>
            <w:r>
              <w:rPr/>
              <w:t> </w:t>
            </w:r>
          </w:p>
        </w:tc>
        <w:tc>
          <w:tcPr>
            <w:tcW w:w="918"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F-23</w:t>
            </w:r>
          </w:p>
        </w:tc>
        <w:tc>
          <w:tcPr>
            <w:tcW w:w="102" w:type="dxa"/>
            <w:tcBorders/>
            <w:shd w:fill="CCEEFF" w:val="clear"/>
            <w:vAlign w:val="bottom"/>
          </w:tcPr>
          <w:p>
            <w:pPr>
              <w:pStyle w:val="TableContents"/>
              <w:spacing w:before="0" w:after="283"/>
              <w:jc w:val="left"/>
              <w:rPr/>
            </w:pPr>
            <w:r>
              <w:rPr/>
              <w:t> </w:t>
            </w:r>
          </w:p>
        </w:tc>
      </w:tr>
      <w:tr>
        <w:trPr/>
        <w:tc>
          <w:tcPr>
            <w:tcW w:w="8982" w:type="dxa"/>
            <w:tcBorders/>
            <w:shd w:fill="FFFFFF" w:val="clear"/>
            <w:vAlign w:val="bottom"/>
          </w:tcPr>
          <w:p>
            <w:pPr>
              <w:pStyle w:val="TableContents"/>
              <w:spacing w:before="0" w:after="283"/>
              <w:jc w:val="left"/>
              <w:rPr/>
            </w:pPr>
            <w:r>
              <w:rPr/>
              <w:t xml:space="preserve">  </w:t>
            </w:r>
          </w:p>
        </w:tc>
        <w:tc>
          <w:tcPr>
            <w:tcW w:w="102" w:type="dxa"/>
            <w:tcBorders/>
            <w:shd w:fill="FFFFFF" w:val="clear"/>
            <w:vAlign w:val="bottom"/>
          </w:tcPr>
          <w:p>
            <w:pPr>
              <w:pStyle w:val="TableContents"/>
              <w:spacing w:before="0" w:after="283"/>
              <w:jc w:val="right"/>
              <w:rPr/>
            </w:pPr>
            <w:r>
              <w:rPr/>
              <w:t> </w:t>
            </w:r>
          </w:p>
        </w:tc>
        <w:tc>
          <w:tcPr>
            <w:tcW w:w="101" w:type="dxa"/>
            <w:tcBorders/>
            <w:shd w:fill="FFFFFF" w:val="clear"/>
            <w:vAlign w:val="bottom"/>
          </w:tcPr>
          <w:p>
            <w:pPr>
              <w:pStyle w:val="TableContents"/>
              <w:spacing w:before="0" w:after="283"/>
              <w:jc w:val="left"/>
              <w:rPr/>
            </w:pPr>
            <w:r>
              <w:rPr/>
              <w:t> </w:t>
            </w:r>
          </w:p>
        </w:tc>
        <w:tc>
          <w:tcPr>
            <w:tcW w:w="918" w:type="dxa"/>
            <w:tcBorders/>
            <w:shd w:fill="FFFFFF" w:val="clear"/>
            <w:vAlign w:val="bottom"/>
          </w:tcPr>
          <w:p>
            <w:pPr>
              <w:pStyle w:val="TableContents"/>
              <w:spacing w:before="0" w:after="283"/>
              <w:jc w:val="right"/>
              <w:rPr/>
            </w:pPr>
            <w:r>
              <w:rPr/>
              <w:t> </w:t>
            </w:r>
          </w:p>
        </w:tc>
        <w:tc>
          <w:tcPr>
            <w:tcW w:w="102" w:type="dxa"/>
            <w:tcBorders/>
            <w:shd w:fill="FFFFFF" w:val="clear"/>
            <w:vAlign w:val="bottom"/>
          </w:tcPr>
          <w:p>
            <w:pPr>
              <w:pStyle w:val="TableContents"/>
              <w:spacing w:before="0" w:after="283"/>
              <w:jc w:val="left"/>
              <w:rPr/>
            </w:pPr>
            <w:r>
              <w:rPr/>
              <w:t> </w:t>
            </w:r>
          </w:p>
        </w:tc>
      </w:tr>
      <w:tr>
        <w:trPr/>
        <w:tc>
          <w:tcPr>
            <w:tcW w:w="8982" w:type="dxa"/>
            <w:tcBorders/>
            <w:shd w:fill="CCEEFF" w:val="clear"/>
            <w:vAlign w:val="bottom"/>
          </w:tcPr>
          <w:p>
            <w:pPr>
              <w:pStyle w:val="TableContents"/>
              <w:spacing w:before="0" w:after="0"/>
              <w:ind w:left="0" w:right="16" w:hanging="0"/>
              <w:jc w:val="left"/>
              <w:rPr>
                <w:rFonts w:ascii="helvetica" w:hAnsi="helvetica"/>
                <w:sz w:val="20"/>
              </w:rPr>
            </w:pPr>
            <w:r>
              <w:rPr>
                <w:rFonts w:ascii="helvetica" w:hAnsi="helvetica"/>
                <w:sz w:val="20"/>
              </w:rPr>
              <w:t>Consolidated Statements of Cash Flows for the Years Ended December 31, 2011 and 2010 and for the Period from July 24, 1998 (Inception) Through December 31, 2011</w:t>
            </w:r>
          </w:p>
        </w:tc>
        <w:tc>
          <w:tcPr>
            <w:tcW w:w="102" w:type="dxa"/>
            <w:tcBorders/>
            <w:shd w:fill="CCEEFF" w:val="clear"/>
            <w:vAlign w:val="bottom"/>
          </w:tcPr>
          <w:p>
            <w:pPr>
              <w:pStyle w:val="TableContents"/>
              <w:spacing w:before="0" w:after="283"/>
              <w:jc w:val="right"/>
              <w:rPr/>
            </w:pPr>
            <w:r>
              <w:rPr/>
              <w:t> </w:t>
            </w:r>
          </w:p>
        </w:tc>
        <w:tc>
          <w:tcPr>
            <w:tcW w:w="101" w:type="dxa"/>
            <w:tcBorders/>
            <w:shd w:fill="CCEEFF" w:val="clear"/>
            <w:vAlign w:val="bottom"/>
          </w:tcPr>
          <w:p>
            <w:pPr>
              <w:pStyle w:val="TableContents"/>
              <w:spacing w:before="0" w:after="283"/>
              <w:jc w:val="left"/>
              <w:rPr/>
            </w:pPr>
            <w:r>
              <w:rPr/>
              <w:t> </w:t>
            </w:r>
          </w:p>
        </w:tc>
        <w:tc>
          <w:tcPr>
            <w:tcW w:w="918"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F-24</w:t>
            </w:r>
          </w:p>
        </w:tc>
        <w:tc>
          <w:tcPr>
            <w:tcW w:w="102" w:type="dxa"/>
            <w:tcBorders/>
            <w:shd w:fill="CCEEFF" w:val="clear"/>
            <w:vAlign w:val="bottom"/>
          </w:tcPr>
          <w:p>
            <w:pPr>
              <w:pStyle w:val="TableContents"/>
              <w:spacing w:before="0" w:after="283"/>
              <w:jc w:val="left"/>
              <w:rPr/>
            </w:pPr>
            <w:r>
              <w:rPr/>
              <w:t> </w:t>
            </w:r>
          </w:p>
        </w:tc>
      </w:tr>
      <w:tr>
        <w:trPr/>
        <w:tc>
          <w:tcPr>
            <w:tcW w:w="8982" w:type="dxa"/>
            <w:tcBorders/>
            <w:shd w:fill="FFFFFF" w:val="clear"/>
            <w:vAlign w:val="bottom"/>
          </w:tcPr>
          <w:p>
            <w:pPr>
              <w:pStyle w:val="TableContents"/>
              <w:spacing w:before="0" w:after="283"/>
              <w:jc w:val="left"/>
              <w:rPr/>
            </w:pPr>
            <w:r>
              <w:rPr/>
              <w:t xml:space="preserve">  </w:t>
            </w:r>
          </w:p>
        </w:tc>
        <w:tc>
          <w:tcPr>
            <w:tcW w:w="102" w:type="dxa"/>
            <w:tcBorders/>
            <w:shd w:fill="FFFFFF" w:val="clear"/>
            <w:vAlign w:val="bottom"/>
          </w:tcPr>
          <w:p>
            <w:pPr>
              <w:pStyle w:val="TableContents"/>
              <w:spacing w:before="0" w:after="283"/>
              <w:jc w:val="right"/>
              <w:rPr/>
            </w:pPr>
            <w:r>
              <w:rPr/>
              <w:t> </w:t>
            </w:r>
          </w:p>
        </w:tc>
        <w:tc>
          <w:tcPr>
            <w:tcW w:w="101" w:type="dxa"/>
            <w:tcBorders/>
            <w:shd w:fill="FFFFFF" w:val="clear"/>
            <w:vAlign w:val="bottom"/>
          </w:tcPr>
          <w:p>
            <w:pPr>
              <w:pStyle w:val="TableContents"/>
              <w:spacing w:before="0" w:after="283"/>
              <w:jc w:val="left"/>
              <w:rPr/>
            </w:pPr>
            <w:r>
              <w:rPr/>
              <w:t> </w:t>
            </w:r>
          </w:p>
        </w:tc>
        <w:tc>
          <w:tcPr>
            <w:tcW w:w="918" w:type="dxa"/>
            <w:tcBorders/>
            <w:shd w:fill="FFFFFF" w:val="clear"/>
            <w:vAlign w:val="bottom"/>
          </w:tcPr>
          <w:p>
            <w:pPr>
              <w:pStyle w:val="TableContents"/>
              <w:spacing w:before="0" w:after="283"/>
              <w:jc w:val="right"/>
              <w:rPr/>
            </w:pPr>
            <w:r>
              <w:rPr/>
              <w:t> </w:t>
            </w:r>
          </w:p>
        </w:tc>
        <w:tc>
          <w:tcPr>
            <w:tcW w:w="102" w:type="dxa"/>
            <w:tcBorders/>
            <w:shd w:fill="FFFFFF" w:val="clear"/>
            <w:vAlign w:val="bottom"/>
          </w:tcPr>
          <w:p>
            <w:pPr>
              <w:pStyle w:val="TableContents"/>
              <w:spacing w:before="0" w:after="283"/>
              <w:jc w:val="left"/>
              <w:rPr/>
            </w:pPr>
            <w:r>
              <w:rPr/>
              <w:t> </w:t>
            </w:r>
          </w:p>
        </w:tc>
      </w:tr>
      <w:tr>
        <w:trPr/>
        <w:tc>
          <w:tcPr>
            <w:tcW w:w="8982" w:type="dxa"/>
            <w:tcBorders/>
            <w:shd w:fill="CCEEFF" w:val="clear"/>
            <w:vAlign w:val="bottom"/>
          </w:tcPr>
          <w:p>
            <w:pPr>
              <w:pStyle w:val="TableContents"/>
              <w:spacing w:before="0" w:after="0"/>
              <w:ind w:left="0" w:right="16" w:hanging="0"/>
              <w:jc w:val="left"/>
              <w:rPr>
                <w:rFonts w:ascii="helvetica" w:hAnsi="helvetica"/>
                <w:sz w:val="20"/>
              </w:rPr>
            </w:pPr>
            <w:r>
              <w:rPr>
                <w:rFonts w:ascii="helvetica" w:hAnsi="helvetica"/>
                <w:sz w:val="20"/>
              </w:rPr>
              <w:t>Notes to the Consolidated Financial Statements</w:t>
            </w:r>
          </w:p>
        </w:tc>
        <w:tc>
          <w:tcPr>
            <w:tcW w:w="102" w:type="dxa"/>
            <w:tcBorders/>
            <w:shd w:fill="CCEEFF" w:val="clear"/>
            <w:vAlign w:val="bottom"/>
          </w:tcPr>
          <w:p>
            <w:pPr>
              <w:pStyle w:val="TableContents"/>
              <w:spacing w:before="0" w:after="283"/>
              <w:jc w:val="right"/>
              <w:rPr/>
            </w:pPr>
            <w:r>
              <w:rPr/>
              <w:t> </w:t>
            </w:r>
          </w:p>
        </w:tc>
        <w:tc>
          <w:tcPr>
            <w:tcW w:w="101" w:type="dxa"/>
            <w:tcBorders/>
            <w:shd w:fill="CCEEFF" w:val="clear"/>
            <w:vAlign w:val="bottom"/>
          </w:tcPr>
          <w:p>
            <w:pPr>
              <w:pStyle w:val="TableContents"/>
              <w:spacing w:before="0" w:after="283"/>
              <w:jc w:val="left"/>
              <w:rPr/>
            </w:pPr>
            <w:r>
              <w:rPr/>
              <w:t> </w:t>
            </w:r>
          </w:p>
        </w:tc>
        <w:tc>
          <w:tcPr>
            <w:tcW w:w="918"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F-25</w:t>
            </w:r>
          </w:p>
        </w:tc>
        <w:tc>
          <w:tcPr>
            <w:tcW w:w="102" w:type="dxa"/>
            <w:tcBorders/>
            <w:shd w:fill="CCEEFF" w:val="clear"/>
            <w:vAlign w:val="bottom"/>
          </w:tcPr>
          <w:p>
            <w:pPr>
              <w:pStyle w:val="TableContents"/>
              <w:spacing w:before="0" w:after="283"/>
              <w:jc w:val="left"/>
              <w:rPr/>
            </w:pPr>
            <w:r>
              <w:rPr/>
              <w:t> </w:t>
            </w:r>
          </w:p>
        </w:tc>
      </w:tr>
    </w:tbl>
    <w:p>
      <w:pPr>
        <w:pStyle w:val="TextBody"/>
        <w:spacing w:before="0" w:after="0"/>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900" w:name="PGBRK72"/>
      <w:bookmarkStart w:id="901" w:name="PGBRK72"/>
      <w:bookmarkEnd w:id="90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902" w:name="FTR72"/>
      <w:bookmarkStart w:id="903" w:name="FTR72"/>
      <w:bookmarkEnd w:id="90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904" w:name="GLFTR71"/>
      <w:bookmarkEnd w:id="904"/>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helvetica" w:hAnsi="helvetica"/>
          <w:sz w:val="20"/>
        </w:rPr>
      </w:pPr>
      <w:bookmarkStart w:id="905" w:name="PN71"/>
      <w:bookmarkEnd w:id="905"/>
      <w:r>
        <w:rPr>
          <w:rFonts w:ascii="helvetica" w:hAnsi="helvetica"/>
          <w:sz w:val="20"/>
        </w:rPr>
        <w:t>F-1</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906" w:name="HDR71"/>
      <w:bookmarkStart w:id="907" w:name="HDR71"/>
      <w:bookmarkEnd w:id="90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908" w:name="GLHDR71"/>
      <w:bookmarkEnd w:id="908"/>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t> </w:t>
      </w:r>
    </w:p>
    <w:p>
      <w:pPr>
        <w:pStyle w:val="TextBody"/>
        <w:spacing w:before="0" w:after="0"/>
        <w:jc w:val="center"/>
        <w:rPr>
          <w:b/>
        </w:rPr>
      </w:pPr>
      <w:r>
        <w:rPr>
          <w:b/>
        </w:rPr>
        <w:t xml:space="preserve">IMPRIMIS PHARMACEUTICALS, INC. </w:t>
      </w:r>
    </w:p>
    <w:p>
      <w:pPr>
        <w:pStyle w:val="TextBody"/>
        <w:spacing w:before="0" w:after="0"/>
        <w:ind w:left="0" w:right="0" w:hanging="0"/>
        <w:jc w:val="center"/>
        <w:rPr>
          <w:rFonts w:ascii="helvetica" w:hAnsi="helvetica"/>
          <w:b/>
          <w:sz w:val="20"/>
        </w:rPr>
      </w:pPr>
      <w:r>
        <w:rPr>
          <w:rFonts w:ascii="helvetica" w:hAnsi="helvetica"/>
          <w:b/>
          <w:sz w:val="20"/>
        </w:rPr>
        <w:t xml:space="preserve">(A Development Stage Company) </w:t>
      </w:r>
    </w:p>
    <w:p>
      <w:pPr>
        <w:pStyle w:val="TextBody"/>
        <w:spacing w:before="0" w:after="0"/>
        <w:ind w:left="0" w:right="0" w:hanging="0"/>
        <w:jc w:val="center"/>
        <w:rPr>
          <w:rFonts w:ascii="helvetica" w:hAnsi="helvetica"/>
          <w:b/>
          <w:sz w:val="20"/>
        </w:rPr>
      </w:pPr>
      <w:r>
        <w:rPr>
          <w:rFonts w:ascii="helvetica" w:hAnsi="helvetica"/>
          <w:b/>
          <w:sz w:val="20"/>
        </w:rPr>
        <w:t>CONDENSED CONSOLIDATED BALANCE SHEETS</w:t>
      </w:r>
    </w:p>
    <w:p>
      <w:pPr>
        <w:pStyle w:val="TextBody"/>
        <w:spacing w:before="0" w:after="0"/>
        <w:ind w:left="0" w:right="0" w:hanging="0"/>
        <w:jc w:val="center"/>
        <w:rPr/>
      </w:pPr>
      <w:r>
        <w:rPr/>
        <w:t> </w:t>
      </w:r>
    </w:p>
    <w:tbl>
      <w:tblPr>
        <w:tblW w:w="5000" w:type="pct"/>
        <w:jc w:val="left"/>
        <w:tblInd w:w="0" w:type="dxa"/>
        <w:tblCellMar>
          <w:top w:w="0" w:type="dxa"/>
          <w:left w:w="0" w:type="dxa"/>
          <w:bottom w:w="0" w:type="dxa"/>
          <w:right w:w="0" w:type="dxa"/>
        </w:tblCellMar>
      </w:tblPr>
      <w:tblGrid>
        <w:gridCol w:w="5855"/>
        <w:gridCol w:w="103"/>
        <w:gridCol w:w="126"/>
        <w:gridCol w:w="1107"/>
        <w:gridCol w:w="110"/>
        <w:gridCol w:w="103"/>
        <w:gridCol w:w="126"/>
        <w:gridCol w:w="1107"/>
        <w:gridCol w:w="110"/>
        <w:gridCol w:w="103"/>
        <w:gridCol w:w="126"/>
        <w:gridCol w:w="1107"/>
        <w:gridCol w:w="122"/>
      </w:tblGrid>
      <w:tr>
        <w:trPr/>
        <w:tc>
          <w:tcPr>
            <w:tcW w:w="5855" w:type="dxa"/>
            <w:tcBorders/>
            <w:shd w:fill="auto" w:val="clear"/>
            <w:vAlign w:val="bottom"/>
          </w:tcPr>
          <w:p>
            <w:pPr>
              <w:pStyle w:val="TableContents"/>
              <w:spacing w:before="0" w:after="283"/>
              <w:rPr/>
            </w:pPr>
            <w:r>
              <w:rPr/>
              <w:t xml:space="preserve">  </w:t>
            </w:r>
          </w:p>
        </w:tc>
        <w:tc>
          <w:tcPr>
            <w:tcW w:w="103" w:type="dxa"/>
            <w:tcBorders/>
            <w:shd w:fill="auto" w:val="clear"/>
            <w:vAlign w:val="bottom"/>
          </w:tcPr>
          <w:p>
            <w:pPr>
              <w:pStyle w:val="TableContents"/>
              <w:spacing w:before="0" w:after="283"/>
              <w:rPr/>
            </w:pPr>
            <w:r>
              <w:rPr/>
              <w:t> </w:t>
            </w:r>
          </w:p>
        </w:tc>
        <w:tc>
          <w:tcPr>
            <w:tcW w:w="1233" w:type="dxa"/>
            <w:gridSpan w:val="2"/>
            <w:tcBorders/>
            <w:shd w:fill="auto" w:val="clear"/>
            <w:vAlign w:val="bottom"/>
          </w:tcPr>
          <w:p>
            <w:pPr>
              <w:pStyle w:val="TableContents"/>
              <w:spacing w:before="0" w:after="0"/>
              <w:ind w:left="0" w:right="0" w:hanging="0"/>
              <w:jc w:val="center"/>
              <w:rPr>
                <w:rFonts w:ascii="helvetica" w:hAnsi="helvetica"/>
                <w:b/>
                <w:sz w:val="16"/>
              </w:rPr>
            </w:pPr>
            <w:r>
              <w:rPr>
                <w:rFonts w:ascii="helvetica" w:hAnsi="helvetica"/>
                <w:b/>
                <w:sz w:val="16"/>
              </w:rPr>
              <w:t>June 30,</w:t>
            </w:r>
          </w:p>
        </w:tc>
        <w:tc>
          <w:tcPr>
            <w:tcW w:w="110" w:type="dxa"/>
            <w:tcBorders/>
            <w:shd w:fill="auto" w:val="clear"/>
            <w:vAlign w:val="bottom"/>
          </w:tcPr>
          <w:p>
            <w:pPr>
              <w:pStyle w:val="TableContents"/>
              <w:spacing w:before="0" w:after="283"/>
              <w:jc w:val="left"/>
              <w:rPr/>
            </w:pPr>
            <w:r>
              <w:rPr/>
              <w:t> </w:t>
            </w:r>
          </w:p>
        </w:tc>
        <w:tc>
          <w:tcPr>
            <w:tcW w:w="103" w:type="dxa"/>
            <w:tcBorders/>
            <w:shd w:fill="auto" w:val="clear"/>
            <w:vAlign w:val="bottom"/>
          </w:tcPr>
          <w:p>
            <w:pPr>
              <w:pStyle w:val="TableContents"/>
              <w:spacing w:before="0" w:after="283"/>
              <w:rPr/>
            </w:pPr>
            <w:r>
              <w:rPr/>
              <w:t> </w:t>
            </w:r>
          </w:p>
        </w:tc>
        <w:tc>
          <w:tcPr>
            <w:tcW w:w="1233" w:type="dxa"/>
            <w:gridSpan w:val="2"/>
            <w:tcBorders/>
            <w:shd w:fill="auto" w:val="clear"/>
            <w:vAlign w:val="bottom"/>
          </w:tcPr>
          <w:p>
            <w:pPr>
              <w:pStyle w:val="TableContents"/>
              <w:spacing w:before="0" w:after="0"/>
              <w:ind w:left="0" w:right="0" w:hanging="0"/>
              <w:jc w:val="center"/>
              <w:rPr>
                <w:rFonts w:ascii="helvetica" w:hAnsi="helvetica"/>
                <w:b/>
                <w:sz w:val="16"/>
              </w:rPr>
            </w:pPr>
            <w:r>
              <w:rPr>
                <w:rFonts w:ascii="helvetica" w:hAnsi="helvetica"/>
                <w:b/>
                <w:sz w:val="16"/>
              </w:rPr>
              <w:t>December 31,</w:t>
            </w:r>
          </w:p>
        </w:tc>
        <w:tc>
          <w:tcPr>
            <w:tcW w:w="110" w:type="dxa"/>
            <w:tcBorders/>
            <w:shd w:fill="auto" w:val="clear"/>
            <w:vAlign w:val="bottom"/>
          </w:tcPr>
          <w:p>
            <w:pPr>
              <w:pStyle w:val="TableContents"/>
              <w:spacing w:before="0" w:after="283"/>
              <w:jc w:val="left"/>
              <w:rPr/>
            </w:pPr>
            <w:r>
              <w:rPr/>
              <w:t> </w:t>
            </w:r>
          </w:p>
        </w:tc>
        <w:tc>
          <w:tcPr>
            <w:tcW w:w="103" w:type="dxa"/>
            <w:tcBorders/>
            <w:shd w:fill="auto" w:val="clear"/>
            <w:vAlign w:val="bottom"/>
          </w:tcPr>
          <w:p>
            <w:pPr>
              <w:pStyle w:val="TableContents"/>
              <w:spacing w:before="0" w:after="283"/>
              <w:rPr/>
            </w:pPr>
            <w:r>
              <w:rPr/>
              <w:t> </w:t>
            </w:r>
          </w:p>
        </w:tc>
        <w:tc>
          <w:tcPr>
            <w:tcW w:w="1233" w:type="dxa"/>
            <w:gridSpan w:val="2"/>
            <w:tcBorders/>
            <w:shd w:fill="auto" w:val="clear"/>
            <w:vAlign w:val="bottom"/>
          </w:tcPr>
          <w:p>
            <w:pPr>
              <w:pStyle w:val="TableContents"/>
              <w:spacing w:before="0" w:after="0"/>
              <w:ind w:left="0" w:right="0" w:hanging="0"/>
              <w:jc w:val="center"/>
              <w:rPr>
                <w:rFonts w:ascii="helvetica" w:hAnsi="helvetica"/>
                <w:b/>
                <w:sz w:val="16"/>
              </w:rPr>
            </w:pPr>
            <w:r>
              <w:rPr>
                <w:rFonts w:ascii="helvetica" w:hAnsi="helvetica"/>
                <w:b/>
                <w:sz w:val="16"/>
              </w:rPr>
              <w:t>Pro Forma Stockholders’ Equity as of June 30,</w:t>
            </w:r>
          </w:p>
        </w:tc>
        <w:tc>
          <w:tcPr>
            <w:tcW w:w="122" w:type="dxa"/>
            <w:tcBorders/>
            <w:shd w:fill="auto" w:val="clear"/>
            <w:vAlign w:val="bottom"/>
          </w:tcPr>
          <w:p>
            <w:pPr>
              <w:pStyle w:val="TableContents"/>
              <w:spacing w:before="0" w:after="283"/>
              <w:jc w:val="left"/>
              <w:rPr/>
            </w:pPr>
            <w:r>
              <w:rPr/>
              <w:t> </w:t>
            </w:r>
          </w:p>
        </w:tc>
      </w:tr>
      <w:tr>
        <w:trPr/>
        <w:tc>
          <w:tcPr>
            <w:tcW w:w="5855" w:type="dxa"/>
            <w:tcBorders/>
            <w:shd w:fill="auto" w:val="clear"/>
            <w:vAlign w:val="bottom"/>
          </w:tcPr>
          <w:p>
            <w:pPr>
              <w:pStyle w:val="TableContents"/>
              <w:spacing w:before="0" w:after="283"/>
              <w:rPr/>
            </w:pPr>
            <w:r>
              <w:rPr/>
              <w:t xml:space="preserve">  </w:t>
            </w:r>
          </w:p>
        </w:tc>
        <w:tc>
          <w:tcPr>
            <w:tcW w:w="103" w:type="dxa"/>
            <w:tcBorders/>
            <w:shd w:fill="auto" w:val="clear"/>
            <w:vAlign w:val="bottom"/>
          </w:tcPr>
          <w:p>
            <w:pPr>
              <w:pStyle w:val="TableContents"/>
              <w:spacing w:before="0" w:after="283"/>
              <w:rPr/>
            </w:pPr>
            <w:r>
              <w:rPr/>
              <w:t> </w:t>
            </w:r>
          </w:p>
        </w:tc>
        <w:tc>
          <w:tcPr>
            <w:tcW w:w="1233" w:type="dxa"/>
            <w:gridSpan w:val="2"/>
            <w:tcBorders/>
            <w:shd w:fill="auto" w:val="clear"/>
            <w:vAlign w:val="bottom"/>
          </w:tcPr>
          <w:p>
            <w:pPr>
              <w:pStyle w:val="TableContents"/>
              <w:spacing w:before="0" w:after="0"/>
              <w:ind w:left="0" w:right="0" w:hanging="0"/>
              <w:jc w:val="center"/>
              <w:rPr>
                <w:rFonts w:ascii="helvetica" w:hAnsi="helvetica"/>
                <w:b/>
                <w:sz w:val="16"/>
              </w:rPr>
            </w:pPr>
            <w:r>
              <w:rPr>
                <w:rFonts w:ascii="helvetica" w:hAnsi="helvetica"/>
                <w:b/>
                <w:sz w:val="16"/>
              </w:rPr>
              <w:t>2012</w:t>
            </w:r>
          </w:p>
        </w:tc>
        <w:tc>
          <w:tcPr>
            <w:tcW w:w="110" w:type="dxa"/>
            <w:tcBorders/>
            <w:shd w:fill="auto" w:val="clear"/>
            <w:vAlign w:val="bottom"/>
          </w:tcPr>
          <w:p>
            <w:pPr>
              <w:pStyle w:val="TableContents"/>
              <w:spacing w:before="0" w:after="283"/>
              <w:jc w:val="left"/>
              <w:rPr/>
            </w:pPr>
            <w:r>
              <w:rPr/>
              <w:t> </w:t>
            </w:r>
          </w:p>
        </w:tc>
        <w:tc>
          <w:tcPr>
            <w:tcW w:w="103" w:type="dxa"/>
            <w:tcBorders/>
            <w:shd w:fill="auto" w:val="clear"/>
            <w:vAlign w:val="bottom"/>
          </w:tcPr>
          <w:p>
            <w:pPr>
              <w:pStyle w:val="TableContents"/>
              <w:spacing w:before="0" w:after="283"/>
              <w:rPr/>
            </w:pPr>
            <w:r>
              <w:rPr/>
              <w:t> </w:t>
            </w:r>
          </w:p>
        </w:tc>
        <w:tc>
          <w:tcPr>
            <w:tcW w:w="1233" w:type="dxa"/>
            <w:gridSpan w:val="2"/>
            <w:tcBorders/>
            <w:shd w:fill="auto" w:val="clear"/>
            <w:vAlign w:val="bottom"/>
          </w:tcPr>
          <w:p>
            <w:pPr>
              <w:pStyle w:val="TableContents"/>
              <w:spacing w:before="0" w:after="0"/>
              <w:ind w:left="0" w:right="0" w:hanging="0"/>
              <w:jc w:val="center"/>
              <w:rPr>
                <w:rFonts w:ascii="helvetica" w:hAnsi="helvetica"/>
                <w:b/>
                <w:sz w:val="16"/>
              </w:rPr>
            </w:pPr>
            <w:r>
              <w:rPr>
                <w:rFonts w:ascii="helvetica" w:hAnsi="helvetica"/>
                <w:b/>
                <w:sz w:val="16"/>
              </w:rPr>
              <w:t>2011</w:t>
            </w:r>
          </w:p>
        </w:tc>
        <w:tc>
          <w:tcPr>
            <w:tcW w:w="110" w:type="dxa"/>
            <w:tcBorders/>
            <w:shd w:fill="auto" w:val="clear"/>
            <w:vAlign w:val="bottom"/>
          </w:tcPr>
          <w:p>
            <w:pPr>
              <w:pStyle w:val="TableContents"/>
              <w:spacing w:before="0" w:after="283"/>
              <w:jc w:val="left"/>
              <w:rPr/>
            </w:pPr>
            <w:r>
              <w:rPr/>
              <w:t> </w:t>
            </w:r>
          </w:p>
        </w:tc>
        <w:tc>
          <w:tcPr>
            <w:tcW w:w="103" w:type="dxa"/>
            <w:tcBorders/>
            <w:shd w:fill="auto" w:val="clear"/>
            <w:vAlign w:val="bottom"/>
          </w:tcPr>
          <w:p>
            <w:pPr>
              <w:pStyle w:val="TableContents"/>
              <w:spacing w:before="0" w:after="283"/>
              <w:rPr/>
            </w:pPr>
            <w:r>
              <w:rPr/>
              <w:t> </w:t>
            </w:r>
          </w:p>
        </w:tc>
        <w:tc>
          <w:tcPr>
            <w:tcW w:w="1233" w:type="dxa"/>
            <w:gridSpan w:val="2"/>
            <w:tcBorders/>
            <w:shd w:fill="auto" w:val="clear"/>
            <w:vAlign w:val="bottom"/>
          </w:tcPr>
          <w:p>
            <w:pPr>
              <w:pStyle w:val="TableContents"/>
              <w:spacing w:before="0" w:after="0"/>
              <w:ind w:left="0" w:right="0" w:hanging="0"/>
              <w:jc w:val="center"/>
              <w:rPr>
                <w:rFonts w:ascii="helvetica" w:hAnsi="helvetica"/>
                <w:b/>
                <w:sz w:val="16"/>
              </w:rPr>
            </w:pPr>
            <w:r>
              <w:rPr>
                <w:rFonts w:ascii="helvetica" w:hAnsi="helvetica"/>
                <w:b/>
                <w:sz w:val="16"/>
              </w:rPr>
              <w:t>2012</w:t>
            </w:r>
          </w:p>
        </w:tc>
        <w:tc>
          <w:tcPr>
            <w:tcW w:w="122" w:type="dxa"/>
            <w:tcBorders/>
            <w:shd w:fill="auto" w:val="clear"/>
            <w:vAlign w:val="bottom"/>
          </w:tcPr>
          <w:p>
            <w:pPr>
              <w:pStyle w:val="TableContents"/>
              <w:spacing w:before="0" w:after="283"/>
              <w:jc w:val="left"/>
              <w:rPr/>
            </w:pPr>
            <w:r>
              <w:rPr/>
              <w:t> </w:t>
            </w:r>
          </w:p>
        </w:tc>
      </w:tr>
      <w:tr>
        <w:trPr/>
        <w:tc>
          <w:tcPr>
            <w:tcW w:w="5855" w:type="dxa"/>
            <w:tcBorders/>
            <w:shd w:fill="auto" w:val="clear"/>
            <w:vAlign w:val="bottom"/>
          </w:tcPr>
          <w:p>
            <w:pPr>
              <w:pStyle w:val="TableContents"/>
              <w:spacing w:before="0" w:after="283"/>
              <w:rPr/>
            </w:pPr>
            <w:r>
              <w:rPr/>
              <w:t xml:space="preserve">  </w:t>
            </w:r>
          </w:p>
        </w:tc>
        <w:tc>
          <w:tcPr>
            <w:tcW w:w="103" w:type="dxa"/>
            <w:tcBorders/>
            <w:shd w:fill="auto" w:val="clear"/>
            <w:vAlign w:val="bottom"/>
          </w:tcPr>
          <w:p>
            <w:pPr>
              <w:pStyle w:val="TableContents"/>
              <w:spacing w:before="0" w:after="283"/>
              <w:rPr/>
            </w:pPr>
            <w:r>
              <w:rPr/>
              <w:t> </w:t>
            </w:r>
          </w:p>
        </w:tc>
        <w:tc>
          <w:tcPr>
            <w:tcW w:w="1233"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helvetica" w:hAnsi="helvetica"/>
                <w:b/>
                <w:sz w:val="16"/>
              </w:rPr>
            </w:pPr>
            <w:r>
              <w:rPr>
                <w:rFonts w:ascii="helvetica" w:hAnsi="helvetica"/>
                <w:b/>
                <w:sz w:val="16"/>
              </w:rPr>
              <w:t>(unaudited)</w:t>
            </w:r>
          </w:p>
        </w:tc>
        <w:tc>
          <w:tcPr>
            <w:tcW w:w="110" w:type="dxa"/>
            <w:tcBorders/>
            <w:shd w:fill="auto" w:val="clear"/>
            <w:vAlign w:val="bottom"/>
          </w:tcPr>
          <w:p>
            <w:pPr>
              <w:pStyle w:val="TableContents"/>
              <w:spacing w:before="0" w:after="283"/>
              <w:jc w:val="left"/>
              <w:rPr/>
            </w:pPr>
            <w:r>
              <w:rPr/>
              <w:t> </w:t>
            </w:r>
          </w:p>
        </w:tc>
        <w:tc>
          <w:tcPr>
            <w:tcW w:w="103" w:type="dxa"/>
            <w:tcBorders/>
            <w:shd w:fill="auto" w:val="clear"/>
            <w:vAlign w:val="bottom"/>
          </w:tcPr>
          <w:p>
            <w:pPr>
              <w:pStyle w:val="TableContents"/>
              <w:spacing w:before="0" w:after="283"/>
              <w:rPr/>
            </w:pPr>
            <w:r>
              <w:rPr/>
              <w:t> </w:t>
            </w:r>
          </w:p>
        </w:tc>
        <w:tc>
          <w:tcPr>
            <w:tcW w:w="1233" w:type="dxa"/>
            <w:gridSpan w:val="2"/>
            <w:tcBorders>
              <w:bottom w:val="single" w:sz="12" w:space="0" w:color="000000"/>
            </w:tcBorders>
            <w:shd w:fill="auto" w:val="clear"/>
            <w:tcMar>
              <w:bottom w:w="28" w:type="dxa"/>
            </w:tcMar>
            <w:vAlign w:val="bottom"/>
          </w:tcPr>
          <w:p>
            <w:pPr>
              <w:pStyle w:val="TableContents"/>
              <w:spacing w:before="0" w:after="283"/>
              <w:rPr/>
            </w:pPr>
            <w:r>
              <w:rPr/>
              <w:t> </w:t>
            </w:r>
          </w:p>
        </w:tc>
        <w:tc>
          <w:tcPr>
            <w:tcW w:w="110" w:type="dxa"/>
            <w:tcBorders/>
            <w:shd w:fill="auto" w:val="clear"/>
            <w:vAlign w:val="bottom"/>
          </w:tcPr>
          <w:p>
            <w:pPr>
              <w:pStyle w:val="TableContents"/>
              <w:spacing w:before="0" w:after="283"/>
              <w:jc w:val="left"/>
              <w:rPr/>
            </w:pPr>
            <w:r>
              <w:rPr/>
              <w:t> </w:t>
            </w:r>
          </w:p>
        </w:tc>
        <w:tc>
          <w:tcPr>
            <w:tcW w:w="103" w:type="dxa"/>
            <w:tcBorders/>
            <w:shd w:fill="auto" w:val="clear"/>
            <w:vAlign w:val="bottom"/>
          </w:tcPr>
          <w:p>
            <w:pPr>
              <w:pStyle w:val="TableContents"/>
              <w:spacing w:before="0" w:after="283"/>
              <w:rPr/>
            </w:pPr>
            <w:r>
              <w:rPr/>
              <w:t> </w:t>
            </w:r>
          </w:p>
        </w:tc>
        <w:tc>
          <w:tcPr>
            <w:tcW w:w="1233"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helvetica" w:hAnsi="helvetica"/>
                <w:b/>
                <w:sz w:val="16"/>
              </w:rPr>
            </w:pPr>
            <w:r>
              <w:rPr>
                <w:rFonts w:ascii="helvetica" w:hAnsi="helvetica"/>
                <w:b/>
                <w:sz w:val="16"/>
              </w:rPr>
              <w:t>(unaudited)</w:t>
            </w:r>
          </w:p>
        </w:tc>
        <w:tc>
          <w:tcPr>
            <w:tcW w:w="122" w:type="dxa"/>
            <w:tcBorders/>
            <w:shd w:fill="auto" w:val="clear"/>
            <w:vAlign w:val="bottom"/>
          </w:tcPr>
          <w:p>
            <w:pPr>
              <w:pStyle w:val="TableContents"/>
              <w:spacing w:before="0" w:after="283"/>
              <w:jc w:val="left"/>
              <w:rPr/>
            </w:pPr>
            <w:r>
              <w:rPr/>
              <w:t> </w:t>
            </w:r>
          </w:p>
        </w:tc>
      </w:tr>
      <w:tr>
        <w:trPr/>
        <w:tc>
          <w:tcPr>
            <w:tcW w:w="5855" w:type="dxa"/>
            <w:tcBorders/>
            <w:shd w:fill="auto" w:val="clear"/>
            <w:vAlign w:val="bottom"/>
          </w:tcPr>
          <w:p>
            <w:pPr>
              <w:pStyle w:val="TableContents"/>
              <w:spacing w:before="0" w:after="0"/>
              <w:ind w:left="0" w:right="0" w:hanging="0"/>
              <w:jc w:val="center"/>
              <w:rPr>
                <w:rFonts w:ascii="helvetica" w:hAnsi="helvetica"/>
                <w:sz w:val="20"/>
              </w:rPr>
            </w:pPr>
            <w:r>
              <w:rPr>
                <w:rFonts w:ascii="helvetica" w:hAnsi="helvetica"/>
                <w:sz w:val="20"/>
              </w:rPr>
              <w:t>ASSETS</w:t>
            </w:r>
          </w:p>
        </w:tc>
        <w:tc>
          <w:tcPr>
            <w:tcW w:w="103" w:type="dxa"/>
            <w:tcBorders/>
            <w:shd w:fill="auto" w:val="clear"/>
            <w:vAlign w:val="bottom"/>
          </w:tcPr>
          <w:p>
            <w:pPr>
              <w:pStyle w:val="TableContents"/>
              <w:spacing w:before="0" w:after="283"/>
              <w:rPr/>
            </w:pPr>
            <w:r>
              <w:rPr/>
              <w:t> </w:t>
            </w:r>
          </w:p>
        </w:tc>
        <w:tc>
          <w:tcPr>
            <w:tcW w:w="1233" w:type="dxa"/>
            <w:gridSpan w:val="2"/>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jc w:val="left"/>
              <w:rPr/>
            </w:pPr>
            <w:r>
              <w:rPr/>
              <w:t> </w:t>
            </w:r>
          </w:p>
        </w:tc>
        <w:tc>
          <w:tcPr>
            <w:tcW w:w="103" w:type="dxa"/>
            <w:tcBorders/>
            <w:shd w:fill="auto" w:val="clear"/>
            <w:vAlign w:val="bottom"/>
          </w:tcPr>
          <w:p>
            <w:pPr>
              <w:pStyle w:val="TableContents"/>
              <w:spacing w:before="0" w:after="283"/>
              <w:rPr/>
            </w:pPr>
            <w:r>
              <w:rPr/>
              <w:t> </w:t>
            </w:r>
          </w:p>
        </w:tc>
        <w:tc>
          <w:tcPr>
            <w:tcW w:w="1233" w:type="dxa"/>
            <w:gridSpan w:val="2"/>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jc w:val="left"/>
              <w:rPr/>
            </w:pPr>
            <w:r>
              <w:rPr/>
              <w:t> </w:t>
            </w:r>
          </w:p>
        </w:tc>
        <w:tc>
          <w:tcPr>
            <w:tcW w:w="103" w:type="dxa"/>
            <w:tcBorders/>
            <w:shd w:fill="auto" w:val="clear"/>
            <w:vAlign w:val="bottom"/>
          </w:tcPr>
          <w:p>
            <w:pPr>
              <w:pStyle w:val="TableContents"/>
              <w:spacing w:before="0" w:after="283"/>
              <w:rPr/>
            </w:pPr>
            <w:r>
              <w:rPr/>
              <w:t> </w:t>
            </w:r>
          </w:p>
        </w:tc>
        <w:tc>
          <w:tcPr>
            <w:tcW w:w="1233" w:type="dxa"/>
            <w:gridSpan w:val="2"/>
            <w:tcBorders/>
            <w:shd w:fill="auto" w:val="clear"/>
            <w:vAlign w:val="bottom"/>
          </w:tcPr>
          <w:p>
            <w:pPr>
              <w:pStyle w:val="TableContents"/>
              <w:spacing w:before="0" w:after="283"/>
              <w:rPr/>
            </w:pPr>
            <w:r>
              <w:rPr/>
              <w:t> </w:t>
            </w:r>
          </w:p>
        </w:tc>
        <w:tc>
          <w:tcPr>
            <w:tcW w:w="122" w:type="dxa"/>
            <w:tcBorders/>
            <w:shd w:fill="auto" w:val="clear"/>
            <w:vAlign w:val="bottom"/>
          </w:tcPr>
          <w:p>
            <w:pPr>
              <w:pStyle w:val="TableContents"/>
              <w:spacing w:before="0" w:after="283"/>
              <w:jc w:val="left"/>
              <w:rPr/>
            </w:pPr>
            <w:r>
              <w:rPr/>
              <w:t> </w:t>
            </w:r>
          </w:p>
        </w:tc>
      </w:tr>
      <w:tr>
        <w:trPr/>
        <w:tc>
          <w:tcPr>
            <w:tcW w:w="5855" w:type="dxa"/>
            <w:tcBorders/>
            <w:shd w:fill="auto" w:val="clear"/>
            <w:vAlign w:val="bottom"/>
          </w:tcPr>
          <w:p>
            <w:pPr>
              <w:pStyle w:val="TableContents"/>
              <w:spacing w:before="0" w:after="0"/>
              <w:ind w:left="0" w:right="0" w:hanging="0"/>
              <w:jc w:val="left"/>
              <w:rPr>
                <w:rFonts w:ascii="helvetica" w:hAnsi="helvetica"/>
                <w:sz w:val="20"/>
              </w:rPr>
            </w:pPr>
            <w:r>
              <w:rPr>
                <w:rFonts w:ascii="helvetica" w:hAnsi="helvetica"/>
                <w:sz w:val="20"/>
              </w:rPr>
              <w:t>Current assets</w:t>
            </w:r>
          </w:p>
        </w:tc>
        <w:tc>
          <w:tcPr>
            <w:tcW w:w="103" w:type="dxa"/>
            <w:tcBorders/>
            <w:shd w:fill="auto" w:val="clear"/>
            <w:vAlign w:val="bottom"/>
          </w:tcPr>
          <w:p>
            <w:pPr>
              <w:pStyle w:val="TableContents"/>
              <w:spacing w:before="0" w:after="283"/>
              <w:rPr/>
            </w:pPr>
            <w:r>
              <w:rPr/>
              <w:t> </w:t>
            </w:r>
          </w:p>
        </w:tc>
        <w:tc>
          <w:tcPr>
            <w:tcW w:w="1233" w:type="dxa"/>
            <w:gridSpan w:val="2"/>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jc w:val="left"/>
              <w:rPr/>
            </w:pPr>
            <w:r>
              <w:rPr/>
              <w:t> </w:t>
            </w:r>
          </w:p>
        </w:tc>
        <w:tc>
          <w:tcPr>
            <w:tcW w:w="103" w:type="dxa"/>
            <w:tcBorders/>
            <w:shd w:fill="auto" w:val="clear"/>
            <w:vAlign w:val="bottom"/>
          </w:tcPr>
          <w:p>
            <w:pPr>
              <w:pStyle w:val="TableContents"/>
              <w:spacing w:before="0" w:after="283"/>
              <w:rPr/>
            </w:pPr>
            <w:r>
              <w:rPr/>
              <w:t> </w:t>
            </w:r>
          </w:p>
        </w:tc>
        <w:tc>
          <w:tcPr>
            <w:tcW w:w="1233" w:type="dxa"/>
            <w:gridSpan w:val="2"/>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jc w:val="left"/>
              <w:rPr/>
            </w:pPr>
            <w:r>
              <w:rPr/>
              <w:t> </w:t>
            </w:r>
          </w:p>
        </w:tc>
        <w:tc>
          <w:tcPr>
            <w:tcW w:w="103" w:type="dxa"/>
            <w:tcBorders/>
            <w:shd w:fill="auto" w:val="clear"/>
            <w:vAlign w:val="bottom"/>
          </w:tcPr>
          <w:p>
            <w:pPr>
              <w:pStyle w:val="TableContents"/>
              <w:spacing w:before="0" w:after="283"/>
              <w:rPr/>
            </w:pPr>
            <w:r>
              <w:rPr/>
              <w:t> </w:t>
            </w:r>
          </w:p>
        </w:tc>
        <w:tc>
          <w:tcPr>
            <w:tcW w:w="1233" w:type="dxa"/>
            <w:gridSpan w:val="2"/>
            <w:tcBorders/>
            <w:shd w:fill="auto" w:val="clear"/>
            <w:vAlign w:val="bottom"/>
          </w:tcPr>
          <w:p>
            <w:pPr>
              <w:pStyle w:val="TableContents"/>
              <w:spacing w:before="0" w:after="283"/>
              <w:rPr/>
            </w:pPr>
            <w:r>
              <w:rPr/>
              <w:t> </w:t>
            </w:r>
          </w:p>
        </w:tc>
        <w:tc>
          <w:tcPr>
            <w:tcW w:w="122" w:type="dxa"/>
            <w:tcBorders/>
            <w:shd w:fill="auto" w:val="clear"/>
            <w:vAlign w:val="bottom"/>
          </w:tcPr>
          <w:p>
            <w:pPr>
              <w:pStyle w:val="TableContents"/>
              <w:spacing w:before="0" w:after="283"/>
              <w:jc w:val="left"/>
              <w:rPr/>
            </w:pPr>
            <w:r>
              <w:rPr/>
              <w:t> </w:t>
            </w:r>
          </w:p>
        </w:tc>
      </w:tr>
      <w:tr>
        <w:trPr/>
        <w:tc>
          <w:tcPr>
            <w:tcW w:w="5855" w:type="dxa"/>
            <w:tcBorders/>
            <w:shd w:fill="CCEEFF" w:val="clear"/>
            <w:vAlign w:val="bottom"/>
          </w:tcPr>
          <w:p>
            <w:pPr>
              <w:pStyle w:val="TableContents"/>
              <w:spacing w:before="0" w:after="0"/>
              <w:ind w:left="0" w:right="0" w:hanging="0"/>
              <w:jc w:val="left"/>
              <w:rPr>
                <w:rFonts w:ascii="helvetica" w:hAnsi="helvetica"/>
                <w:sz w:val="20"/>
              </w:rPr>
            </w:pPr>
            <w:r>
              <w:rPr>
                <w:rFonts w:ascii="helvetica" w:hAnsi="helvetica"/>
                <w:sz w:val="20"/>
              </w:rPr>
              <w:t>Cash and cash equivalents</w:t>
            </w:r>
          </w:p>
        </w:tc>
        <w:tc>
          <w:tcPr>
            <w:tcW w:w="103"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jc w:val="left"/>
              <w:rPr>
                <w:rFonts w:ascii="helvetica" w:hAnsi="helvetica"/>
                <w:sz w:val="20"/>
              </w:rPr>
            </w:pPr>
            <w:r>
              <w:rPr>
                <w:rFonts w:ascii="helvetica" w:hAnsi="helvetica"/>
                <w:sz w:val="20"/>
              </w:rPr>
              <w:t>$</w:t>
            </w:r>
          </w:p>
        </w:tc>
        <w:tc>
          <w:tcPr>
            <w:tcW w:w="1107"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7,717,292</w:t>
            </w:r>
          </w:p>
        </w:tc>
        <w:tc>
          <w:tcPr>
            <w:tcW w:w="110" w:type="dxa"/>
            <w:tcBorders/>
            <w:shd w:fill="CCEEFF" w:val="clear"/>
            <w:vAlign w:val="bottom"/>
          </w:tcPr>
          <w:p>
            <w:pPr>
              <w:pStyle w:val="TableContents"/>
              <w:spacing w:before="0" w:after="283"/>
              <w:jc w:val="left"/>
              <w:rPr/>
            </w:pPr>
            <w:r>
              <w:rPr/>
              <w:t> </w:t>
            </w:r>
          </w:p>
        </w:tc>
        <w:tc>
          <w:tcPr>
            <w:tcW w:w="103"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jc w:val="left"/>
              <w:rPr>
                <w:rFonts w:ascii="helvetica" w:hAnsi="helvetica"/>
                <w:sz w:val="20"/>
              </w:rPr>
            </w:pPr>
            <w:r>
              <w:rPr>
                <w:rFonts w:ascii="helvetica" w:hAnsi="helvetica"/>
                <w:sz w:val="20"/>
              </w:rPr>
              <w:t>$</w:t>
            </w:r>
          </w:p>
        </w:tc>
        <w:tc>
          <w:tcPr>
            <w:tcW w:w="1107"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146,160</w:t>
            </w:r>
          </w:p>
        </w:tc>
        <w:tc>
          <w:tcPr>
            <w:tcW w:w="110" w:type="dxa"/>
            <w:tcBorders/>
            <w:shd w:fill="CCEEFF" w:val="clear"/>
            <w:vAlign w:val="bottom"/>
          </w:tcPr>
          <w:p>
            <w:pPr>
              <w:pStyle w:val="TableContents"/>
              <w:spacing w:before="0" w:after="283"/>
              <w:jc w:val="left"/>
              <w:rPr/>
            </w:pPr>
            <w:r>
              <w:rPr/>
              <w:t> </w:t>
            </w:r>
          </w:p>
        </w:tc>
        <w:tc>
          <w:tcPr>
            <w:tcW w:w="103"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rPr>
                <w:rFonts w:ascii="helvetica" w:hAnsi="helvetica"/>
                <w:sz w:val="20"/>
              </w:rPr>
            </w:pPr>
            <w:r>
              <w:rPr>
                <w:rFonts w:ascii="helvetica" w:hAnsi="helvetica"/>
                <w:sz w:val="20"/>
              </w:rPr>
              <w:t>$</w:t>
            </w:r>
          </w:p>
        </w:tc>
        <w:tc>
          <w:tcPr>
            <w:tcW w:w="1107" w:type="dxa"/>
            <w:tcBorders/>
            <w:shd w:fill="CCEEFF" w:val="clear"/>
            <w:vAlign w:val="bottom"/>
          </w:tcPr>
          <w:p>
            <w:pPr>
              <w:pStyle w:val="TableContents"/>
              <w:spacing w:before="0" w:after="283"/>
              <w:rPr/>
            </w:pPr>
            <w:r>
              <w:rPr/>
              <w:t> </w:t>
            </w:r>
          </w:p>
        </w:tc>
        <w:tc>
          <w:tcPr>
            <w:tcW w:w="122" w:type="dxa"/>
            <w:tcBorders/>
            <w:shd w:fill="CCEEFF" w:val="clear"/>
            <w:vAlign w:val="bottom"/>
          </w:tcPr>
          <w:p>
            <w:pPr>
              <w:pStyle w:val="TableContents"/>
              <w:spacing w:before="0" w:after="283"/>
              <w:jc w:val="left"/>
              <w:rPr/>
            </w:pPr>
            <w:r>
              <w:rPr/>
              <w:t> </w:t>
            </w:r>
          </w:p>
        </w:tc>
      </w:tr>
      <w:tr>
        <w:trPr/>
        <w:tc>
          <w:tcPr>
            <w:tcW w:w="5855" w:type="dxa"/>
            <w:tcBorders/>
            <w:shd w:fill="FFFFFF" w:val="clear"/>
            <w:vAlign w:val="bottom"/>
          </w:tcPr>
          <w:p>
            <w:pPr>
              <w:pStyle w:val="TableContents"/>
              <w:spacing w:before="0" w:after="0"/>
              <w:ind w:left="0" w:right="0" w:hanging="0"/>
              <w:jc w:val="left"/>
              <w:rPr>
                <w:rFonts w:ascii="helvetica" w:hAnsi="helvetica"/>
                <w:sz w:val="20"/>
              </w:rPr>
            </w:pPr>
            <w:r>
              <w:rPr>
                <w:rFonts w:ascii="helvetica" w:hAnsi="helvetica"/>
                <w:sz w:val="20"/>
              </w:rPr>
              <w:t>Prepaid expenses and other current assets</w:t>
            </w:r>
          </w:p>
        </w:tc>
        <w:tc>
          <w:tcPr>
            <w:tcW w:w="103" w:type="dxa"/>
            <w:tcBorders/>
            <w:shd w:fill="FFFFFF" w:val="clear"/>
            <w:vAlign w:val="bottom"/>
          </w:tcPr>
          <w:p>
            <w:pPr>
              <w:pStyle w:val="TableContents"/>
              <w:spacing w:before="0" w:after="283"/>
              <w:rPr/>
            </w:pPr>
            <w:r>
              <w:rPr/>
              <w:t> </w:t>
            </w:r>
          </w:p>
        </w:tc>
        <w:tc>
          <w:tcPr>
            <w:tcW w:w="126" w:type="dxa"/>
            <w:tcBorders/>
            <w:shd w:fill="FFFFFF" w:val="clear"/>
            <w:vAlign w:val="bottom"/>
          </w:tcPr>
          <w:p>
            <w:pPr>
              <w:pStyle w:val="TableContents"/>
              <w:spacing w:before="0" w:after="283"/>
              <w:jc w:val="left"/>
              <w:rPr/>
            </w:pPr>
            <w:r>
              <w:rPr/>
              <w:t> </w:t>
            </w:r>
          </w:p>
        </w:tc>
        <w:tc>
          <w:tcPr>
            <w:tcW w:w="1107"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45,945</w:t>
            </w:r>
          </w:p>
        </w:tc>
        <w:tc>
          <w:tcPr>
            <w:tcW w:w="110" w:type="dxa"/>
            <w:tcBorders/>
            <w:shd w:fill="FFFFFF" w:val="clear"/>
            <w:vAlign w:val="bottom"/>
          </w:tcPr>
          <w:p>
            <w:pPr>
              <w:pStyle w:val="TableContents"/>
              <w:spacing w:before="0" w:after="283"/>
              <w:jc w:val="left"/>
              <w:rPr/>
            </w:pPr>
            <w:r>
              <w:rPr/>
              <w:t> </w:t>
            </w:r>
          </w:p>
        </w:tc>
        <w:tc>
          <w:tcPr>
            <w:tcW w:w="103" w:type="dxa"/>
            <w:tcBorders/>
            <w:shd w:fill="FFFFFF" w:val="clear"/>
            <w:vAlign w:val="bottom"/>
          </w:tcPr>
          <w:p>
            <w:pPr>
              <w:pStyle w:val="TableContents"/>
              <w:spacing w:before="0" w:after="283"/>
              <w:rPr/>
            </w:pPr>
            <w:r>
              <w:rPr/>
              <w:t> </w:t>
            </w:r>
          </w:p>
        </w:tc>
        <w:tc>
          <w:tcPr>
            <w:tcW w:w="126" w:type="dxa"/>
            <w:tcBorders/>
            <w:shd w:fill="FFFFFF" w:val="clear"/>
            <w:vAlign w:val="bottom"/>
          </w:tcPr>
          <w:p>
            <w:pPr>
              <w:pStyle w:val="TableContents"/>
              <w:spacing w:before="0" w:after="283"/>
              <w:jc w:val="left"/>
              <w:rPr/>
            </w:pPr>
            <w:r>
              <w:rPr/>
              <w:t> </w:t>
            </w:r>
          </w:p>
        </w:tc>
        <w:tc>
          <w:tcPr>
            <w:tcW w:w="1107"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14,797</w:t>
            </w:r>
          </w:p>
        </w:tc>
        <w:tc>
          <w:tcPr>
            <w:tcW w:w="110" w:type="dxa"/>
            <w:tcBorders/>
            <w:shd w:fill="FFFFFF" w:val="clear"/>
            <w:vAlign w:val="bottom"/>
          </w:tcPr>
          <w:p>
            <w:pPr>
              <w:pStyle w:val="TableContents"/>
              <w:spacing w:before="0" w:after="283"/>
              <w:jc w:val="left"/>
              <w:rPr/>
            </w:pPr>
            <w:r>
              <w:rPr/>
              <w:t> </w:t>
            </w:r>
          </w:p>
        </w:tc>
        <w:tc>
          <w:tcPr>
            <w:tcW w:w="103" w:type="dxa"/>
            <w:tcBorders/>
            <w:shd w:fill="FFFFFF" w:val="clear"/>
            <w:vAlign w:val="bottom"/>
          </w:tcPr>
          <w:p>
            <w:pPr>
              <w:pStyle w:val="TableContents"/>
              <w:spacing w:before="0" w:after="283"/>
              <w:rPr/>
            </w:pPr>
            <w:r>
              <w:rPr/>
              <w:t> </w:t>
            </w:r>
          </w:p>
        </w:tc>
        <w:tc>
          <w:tcPr>
            <w:tcW w:w="1233" w:type="dxa"/>
            <w:gridSpan w:val="2"/>
            <w:tcBorders/>
            <w:shd w:fill="FFFFFF" w:val="clear"/>
            <w:vAlign w:val="bottom"/>
          </w:tcPr>
          <w:p>
            <w:pPr>
              <w:pStyle w:val="TableContents"/>
              <w:spacing w:before="0" w:after="283"/>
              <w:rPr/>
            </w:pPr>
            <w:r>
              <w:rPr/>
              <w:t> </w:t>
            </w:r>
          </w:p>
        </w:tc>
        <w:tc>
          <w:tcPr>
            <w:tcW w:w="122" w:type="dxa"/>
            <w:tcBorders/>
            <w:shd w:fill="FFFFFF" w:val="clear"/>
            <w:vAlign w:val="bottom"/>
          </w:tcPr>
          <w:p>
            <w:pPr>
              <w:pStyle w:val="TableContents"/>
              <w:spacing w:before="0" w:after="283"/>
              <w:jc w:val="left"/>
              <w:rPr/>
            </w:pPr>
            <w:r>
              <w:rPr/>
              <w:t> </w:t>
            </w:r>
          </w:p>
        </w:tc>
      </w:tr>
      <w:tr>
        <w:trPr/>
        <w:tc>
          <w:tcPr>
            <w:tcW w:w="5855" w:type="dxa"/>
            <w:tcBorders/>
            <w:shd w:fill="CCEEFF" w:val="clear"/>
            <w:vAlign w:val="bottom"/>
          </w:tcPr>
          <w:p>
            <w:pPr>
              <w:pStyle w:val="TableContents"/>
              <w:spacing w:before="0" w:after="0"/>
              <w:ind w:left="0" w:right="0" w:hanging="0"/>
              <w:jc w:val="left"/>
              <w:rPr>
                <w:rFonts w:ascii="helvetica" w:hAnsi="helvetica"/>
                <w:sz w:val="20"/>
              </w:rPr>
            </w:pPr>
            <w:r>
              <w:rPr>
                <w:rFonts w:ascii="helvetica" w:hAnsi="helvetica"/>
                <w:sz w:val="20"/>
              </w:rPr>
              <w:t>Deferred offering costs</w:t>
            </w:r>
          </w:p>
        </w:tc>
        <w:tc>
          <w:tcPr>
            <w:tcW w:w="103" w:type="dxa"/>
            <w:tcBorders/>
            <w:shd w:fill="CCEEFF" w:val="clear"/>
            <w:vAlign w:val="bottom"/>
          </w:tcPr>
          <w:p>
            <w:pPr>
              <w:pStyle w:val="TableContents"/>
              <w:spacing w:before="0" w:after="283"/>
              <w:rPr/>
            </w:pPr>
            <w:r>
              <w:rPr/>
              <w:t> </w:t>
            </w:r>
          </w:p>
        </w:tc>
        <w:tc>
          <w:tcPr>
            <w:tcW w:w="126"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107" w:type="dxa"/>
            <w:tcBorders>
              <w:bottom w:val="single" w:sz="12" w:space="0" w:color="000000"/>
            </w:tcBorders>
            <w:shd w:fill="CCEE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117,732</w:t>
            </w:r>
          </w:p>
        </w:tc>
        <w:tc>
          <w:tcPr>
            <w:tcW w:w="110" w:type="dxa"/>
            <w:tcBorders/>
            <w:shd w:fill="CCEEFF" w:val="clear"/>
            <w:vAlign w:val="bottom"/>
          </w:tcPr>
          <w:p>
            <w:pPr>
              <w:pStyle w:val="TableContents"/>
              <w:spacing w:before="0" w:after="283"/>
              <w:jc w:val="left"/>
              <w:rPr/>
            </w:pPr>
            <w:r>
              <w:rPr/>
              <w:t> </w:t>
            </w:r>
          </w:p>
        </w:tc>
        <w:tc>
          <w:tcPr>
            <w:tcW w:w="103" w:type="dxa"/>
            <w:tcBorders/>
            <w:shd w:fill="CCEEFF" w:val="clear"/>
            <w:vAlign w:val="bottom"/>
          </w:tcPr>
          <w:p>
            <w:pPr>
              <w:pStyle w:val="TableContents"/>
              <w:spacing w:before="0" w:after="283"/>
              <w:rPr/>
            </w:pPr>
            <w:r>
              <w:rPr/>
              <w:t> </w:t>
            </w:r>
          </w:p>
        </w:tc>
        <w:tc>
          <w:tcPr>
            <w:tcW w:w="126"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107" w:type="dxa"/>
            <w:tcBorders>
              <w:bottom w:val="single" w:sz="12" w:space="0" w:color="000000"/>
            </w:tcBorders>
            <w:shd w:fill="CCEE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w:t>
            </w:r>
          </w:p>
        </w:tc>
        <w:tc>
          <w:tcPr>
            <w:tcW w:w="110" w:type="dxa"/>
            <w:tcBorders/>
            <w:shd w:fill="CCEEFF" w:val="clear"/>
            <w:vAlign w:val="bottom"/>
          </w:tcPr>
          <w:p>
            <w:pPr>
              <w:pStyle w:val="TableContents"/>
              <w:spacing w:before="0" w:after="283"/>
              <w:jc w:val="left"/>
              <w:rPr/>
            </w:pPr>
            <w:r>
              <w:rPr/>
              <w:t> </w:t>
            </w:r>
          </w:p>
        </w:tc>
        <w:tc>
          <w:tcPr>
            <w:tcW w:w="103" w:type="dxa"/>
            <w:tcBorders/>
            <w:shd w:fill="CCEEFF" w:val="clear"/>
            <w:vAlign w:val="bottom"/>
          </w:tcPr>
          <w:p>
            <w:pPr>
              <w:pStyle w:val="TableContents"/>
              <w:spacing w:before="0" w:after="283"/>
              <w:rPr/>
            </w:pPr>
            <w:r>
              <w:rPr/>
              <w:t> </w:t>
            </w:r>
          </w:p>
        </w:tc>
        <w:tc>
          <w:tcPr>
            <w:tcW w:w="1233" w:type="dxa"/>
            <w:gridSpan w:val="2"/>
            <w:tcBorders>
              <w:bottom w:val="single" w:sz="12" w:space="0" w:color="000000"/>
            </w:tcBorders>
            <w:shd w:fill="CCEEFF" w:val="clear"/>
            <w:tcMar>
              <w:bottom w:w="28" w:type="dxa"/>
            </w:tcMar>
            <w:vAlign w:val="bottom"/>
          </w:tcPr>
          <w:p>
            <w:pPr>
              <w:pStyle w:val="TableContents"/>
              <w:spacing w:before="0" w:after="283"/>
              <w:rPr/>
            </w:pPr>
            <w:r>
              <w:rPr/>
              <w:t> </w:t>
            </w:r>
          </w:p>
        </w:tc>
        <w:tc>
          <w:tcPr>
            <w:tcW w:w="122" w:type="dxa"/>
            <w:tcBorders/>
            <w:shd w:fill="CCEEFF" w:val="clear"/>
            <w:vAlign w:val="bottom"/>
          </w:tcPr>
          <w:p>
            <w:pPr>
              <w:pStyle w:val="TableContents"/>
              <w:spacing w:before="0" w:after="283"/>
              <w:jc w:val="left"/>
              <w:rPr/>
            </w:pPr>
            <w:r>
              <w:rPr/>
              <w:t> </w:t>
            </w:r>
          </w:p>
        </w:tc>
      </w:tr>
      <w:tr>
        <w:trPr/>
        <w:tc>
          <w:tcPr>
            <w:tcW w:w="5855" w:type="dxa"/>
            <w:tcBorders/>
            <w:shd w:fill="FFFFFF" w:val="clear"/>
            <w:vAlign w:val="bottom"/>
          </w:tcPr>
          <w:p>
            <w:pPr>
              <w:pStyle w:val="TableContents"/>
              <w:spacing w:before="0" w:after="0"/>
              <w:ind w:left="0" w:right="0" w:hanging="0"/>
              <w:jc w:val="left"/>
              <w:rPr>
                <w:rFonts w:ascii="helvetica" w:hAnsi="helvetica"/>
                <w:sz w:val="20"/>
              </w:rPr>
            </w:pPr>
            <w:r>
              <w:rPr>
                <w:rFonts w:ascii="helvetica" w:hAnsi="helvetica"/>
                <w:sz w:val="20"/>
              </w:rPr>
              <w:t>Total current assets</w:t>
            </w:r>
          </w:p>
        </w:tc>
        <w:tc>
          <w:tcPr>
            <w:tcW w:w="103" w:type="dxa"/>
            <w:tcBorders/>
            <w:shd w:fill="FFFFFF" w:val="clear"/>
            <w:vAlign w:val="bottom"/>
          </w:tcPr>
          <w:p>
            <w:pPr>
              <w:pStyle w:val="TableContents"/>
              <w:spacing w:before="0" w:after="283"/>
              <w:rPr/>
            </w:pPr>
            <w:r>
              <w:rPr/>
              <w:t> </w:t>
            </w:r>
          </w:p>
        </w:tc>
        <w:tc>
          <w:tcPr>
            <w:tcW w:w="126" w:type="dxa"/>
            <w:tcBorders/>
            <w:shd w:fill="FFFFFF" w:val="clear"/>
            <w:vAlign w:val="bottom"/>
          </w:tcPr>
          <w:p>
            <w:pPr>
              <w:pStyle w:val="TableContents"/>
              <w:spacing w:before="0" w:after="283"/>
              <w:jc w:val="left"/>
              <w:rPr/>
            </w:pPr>
            <w:r>
              <w:rPr/>
              <w:t> </w:t>
            </w:r>
          </w:p>
        </w:tc>
        <w:tc>
          <w:tcPr>
            <w:tcW w:w="1107"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7,880,969</w:t>
            </w:r>
          </w:p>
        </w:tc>
        <w:tc>
          <w:tcPr>
            <w:tcW w:w="110" w:type="dxa"/>
            <w:tcBorders/>
            <w:shd w:fill="FFFFFF" w:val="clear"/>
            <w:vAlign w:val="bottom"/>
          </w:tcPr>
          <w:p>
            <w:pPr>
              <w:pStyle w:val="TableContents"/>
              <w:spacing w:before="0" w:after="283"/>
              <w:jc w:val="left"/>
              <w:rPr/>
            </w:pPr>
            <w:r>
              <w:rPr/>
              <w:t> </w:t>
            </w:r>
          </w:p>
        </w:tc>
        <w:tc>
          <w:tcPr>
            <w:tcW w:w="103" w:type="dxa"/>
            <w:tcBorders/>
            <w:shd w:fill="FFFFFF" w:val="clear"/>
            <w:vAlign w:val="bottom"/>
          </w:tcPr>
          <w:p>
            <w:pPr>
              <w:pStyle w:val="TableContents"/>
              <w:spacing w:before="0" w:after="283"/>
              <w:rPr/>
            </w:pPr>
            <w:r>
              <w:rPr/>
              <w:t> </w:t>
            </w:r>
          </w:p>
        </w:tc>
        <w:tc>
          <w:tcPr>
            <w:tcW w:w="126" w:type="dxa"/>
            <w:tcBorders/>
            <w:shd w:fill="FFFFFF" w:val="clear"/>
            <w:vAlign w:val="bottom"/>
          </w:tcPr>
          <w:p>
            <w:pPr>
              <w:pStyle w:val="TableContents"/>
              <w:spacing w:before="0" w:after="283"/>
              <w:jc w:val="left"/>
              <w:rPr/>
            </w:pPr>
            <w:r>
              <w:rPr/>
              <w:t> </w:t>
            </w:r>
          </w:p>
        </w:tc>
        <w:tc>
          <w:tcPr>
            <w:tcW w:w="1107"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160,957</w:t>
            </w:r>
          </w:p>
        </w:tc>
        <w:tc>
          <w:tcPr>
            <w:tcW w:w="110" w:type="dxa"/>
            <w:tcBorders/>
            <w:shd w:fill="FFFFFF" w:val="clear"/>
            <w:vAlign w:val="bottom"/>
          </w:tcPr>
          <w:p>
            <w:pPr>
              <w:pStyle w:val="TableContents"/>
              <w:spacing w:before="0" w:after="283"/>
              <w:jc w:val="left"/>
              <w:rPr/>
            </w:pPr>
            <w:r>
              <w:rPr/>
              <w:t> </w:t>
            </w:r>
          </w:p>
        </w:tc>
        <w:tc>
          <w:tcPr>
            <w:tcW w:w="103" w:type="dxa"/>
            <w:tcBorders/>
            <w:shd w:fill="FFFFFF" w:val="clear"/>
            <w:vAlign w:val="bottom"/>
          </w:tcPr>
          <w:p>
            <w:pPr>
              <w:pStyle w:val="TableContents"/>
              <w:spacing w:before="0" w:after="283"/>
              <w:rPr/>
            </w:pPr>
            <w:r>
              <w:rPr/>
              <w:t> </w:t>
            </w:r>
          </w:p>
        </w:tc>
        <w:tc>
          <w:tcPr>
            <w:tcW w:w="1233" w:type="dxa"/>
            <w:gridSpan w:val="2"/>
            <w:tcBorders/>
            <w:shd w:fill="FFFFFF" w:val="clear"/>
            <w:vAlign w:val="bottom"/>
          </w:tcPr>
          <w:p>
            <w:pPr>
              <w:pStyle w:val="TableContents"/>
              <w:spacing w:before="0" w:after="283"/>
              <w:rPr/>
            </w:pPr>
            <w:r>
              <w:rPr/>
              <w:t> </w:t>
            </w:r>
          </w:p>
        </w:tc>
        <w:tc>
          <w:tcPr>
            <w:tcW w:w="122" w:type="dxa"/>
            <w:tcBorders/>
            <w:shd w:fill="FFFFFF" w:val="clear"/>
            <w:vAlign w:val="bottom"/>
          </w:tcPr>
          <w:p>
            <w:pPr>
              <w:pStyle w:val="TableContents"/>
              <w:spacing w:before="0" w:after="283"/>
              <w:jc w:val="left"/>
              <w:rPr/>
            </w:pPr>
            <w:r>
              <w:rPr/>
              <w:t> </w:t>
            </w:r>
          </w:p>
        </w:tc>
      </w:tr>
      <w:tr>
        <w:trPr/>
        <w:tc>
          <w:tcPr>
            <w:tcW w:w="5855" w:type="dxa"/>
            <w:tcBorders/>
            <w:shd w:fill="CCEEFF" w:val="clear"/>
            <w:vAlign w:val="bottom"/>
          </w:tcPr>
          <w:p>
            <w:pPr>
              <w:pStyle w:val="TableContents"/>
              <w:spacing w:before="0" w:after="0"/>
              <w:ind w:left="0" w:right="0" w:hanging="0"/>
              <w:jc w:val="left"/>
              <w:rPr>
                <w:rFonts w:ascii="helvetica" w:hAnsi="helvetica"/>
                <w:sz w:val="20"/>
              </w:rPr>
            </w:pPr>
            <w:r>
              <w:rPr>
                <w:rFonts w:ascii="helvetica" w:hAnsi="helvetica"/>
                <w:sz w:val="20"/>
              </w:rPr>
              <w:t>Furniture and equipment, net</w:t>
            </w:r>
          </w:p>
        </w:tc>
        <w:tc>
          <w:tcPr>
            <w:tcW w:w="103"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jc w:val="left"/>
              <w:rPr/>
            </w:pPr>
            <w:r>
              <w:rPr/>
              <w:t> </w:t>
            </w:r>
          </w:p>
        </w:tc>
        <w:tc>
          <w:tcPr>
            <w:tcW w:w="1107"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14,061</w:t>
            </w:r>
          </w:p>
        </w:tc>
        <w:tc>
          <w:tcPr>
            <w:tcW w:w="110" w:type="dxa"/>
            <w:tcBorders/>
            <w:shd w:fill="CCEEFF" w:val="clear"/>
            <w:vAlign w:val="bottom"/>
          </w:tcPr>
          <w:p>
            <w:pPr>
              <w:pStyle w:val="TableContents"/>
              <w:spacing w:before="0" w:after="283"/>
              <w:jc w:val="left"/>
              <w:rPr/>
            </w:pPr>
            <w:r>
              <w:rPr/>
              <w:t> </w:t>
            </w:r>
          </w:p>
        </w:tc>
        <w:tc>
          <w:tcPr>
            <w:tcW w:w="103"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jc w:val="left"/>
              <w:rPr/>
            </w:pPr>
            <w:r>
              <w:rPr/>
              <w:t> </w:t>
            </w:r>
          </w:p>
        </w:tc>
        <w:tc>
          <w:tcPr>
            <w:tcW w:w="1107"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w:t>
            </w:r>
          </w:p>
        </w:tc>
        <w:tc>
          <w:tcPr>
            <w:tcW w:w="110" w:type="dxa"/>
            <w:tcBorders/>
            <w:shd w:fill="CCEEFF" w:val="clear"/>
            <w:vAlign w:val="bottom"/>
          </w:tcPr>
          <w:p>
            <w:pPr>
              <w:pStyle w:val="TableContents"/>
              <w:spacing w:before="0" w:after="283"/>
              <w:jc w:val="left"/>
              <w:rPr/>
            </w:pPr>
            <w:r>
              <w:rPr/>
              <w:t> </w:t>
            </w:r>
          </w:p>
        </w:tc>
        <w:tc>
          <w:tcPr>
            <w:tcW w:w="103" w:type="dxa"/>
            <w:tcBorders/>
            <w:shd w:fill="CCEEFF" w:val="clear"/>
            <w:vAlign w:val="bottom"/>
          </w:tcPr>
          <w:p>
            <w:pPr>
              <w:pStyle w:val="TableContents"/>
              <w:spacing w:before="0" w:after="283"/>
              <w:rPr/>
            </w:pPr>
            <w:r>
              <w:rPr/>
              <w:t> </w:t>
            </w:r>
          </w:p>
        </w:tc>
        <w:tc>
          <w:tcPr>
            <w:tcW w:w="1233" w:type="dxa"/>
            <w:gridSpan w:val="2"/>
            <w:tcBorders/>
            <w:shd w:fill="CCEEFF" w:val="clear"/>
            <w:vAlign w:val="bottom"/>
          </w:tcPr>
          <w:p>
            <w:pPr>
              <w:pStyle w:val="TableContents"/>
              <w:spacing w:before="0" w:after="283"/>
              <w:rPr/>
            </w:pPr>
            <w:r>
              <w:rPr/>
              <w:t> </w:t>
            </w:r>
          </w:p>
        </w:tc>
        <w:tc>
          <w:tcPr>
            <w:tcW w:w="122" w:type="dxa"/>
            <w:tcBorders/>
            <w:shd w:fill="CCEEFF" w:val="clear"/>
            <w:vAlign w:val="bottom"/>
          </w:tcPr>
          <w:p>
            <w:pPr>
              <w:pStyle w:val="TableContents"/>
              <w:spacing w:before="0" w:after="283"/>
              <w:jc w:val="left"/>
              <w:rPr/>
            </w:pPr>
            <w:r>
              <w:rPr/>
              <w:t> </w:t>
            </w:r>
          </w:p>
        </w:tc>
      </w:tr>
      <w:tr>
        <w:trPr/>
        <w:tc>
          <w:tcPr>
            <w:tcW w:w="5855" w:type="dxa"/>
            <w:tcBorders/>
            <w:shd w:fill="FFFFFF" w:val="clear"/>
            <w:vAlign w:val="bottom"/>
          </w:tcPr>
          <w:p>
            <w:pPr>
              <w:pStyle w:val="TableContents"/>
              <w:spacing w:before="0" w:after="0"/>
              <w:ind w:left="0" w:right="0" w:hanging="0"/>
              <w:jc w:val="left"/>
              <w:rPr>
                <w:rFonts w:ascii="helvetica" w:hAnsi="helvetica"/>
                <w:sz w:val="20"/>
              </w:rPr>
            </w:pPr>
            <w:r>
              <w:rPr>
                <w:rFonts w:ascii="helvetica" w:hAnsi="helvetica"/>
                <w:sz w:val="20"/>
              </w:rPr>
              <w:t>TOTAL ASSETS</w:t>
            </w:r>
          </w:p>
        </w:tc>
        <w:tc>
          <w:tcPr>
            <w:tcW w:w="103" w:type="dxa"/>
            <w:tcBorders/>
            <w:shd w:fill="FFFFFF" w:val="clear"/>
            <w:vAlign w:val="bottom"/>
          </w:tcPr>
          <w:p>
            <w:pPr>
              <w:pStyle w:val="TableContents"/>
              <w:spacing w:before="0" w:after="283"/>
              <w:rPr/>
            </w:pPr>
            <w:r>
              <w:rPr/>
              <w:t> </w:t>
            </w:r>
          </w:p>
        </w:tc>
        <w:tc>
          <w:tcPr>
            <w:tcW w:w="126" w:type="dxa"/>
            <w:tcBorders>
              <w:bottom w:val="double" w:sz="8" w:space="0" w:color="000000"/>
            </w:tcBorders>
            <w:shd w:fill="FFFFFF" w:val="clear"/>
            <w:tcMar>
              <w:bottom w:w="28" w:type="dxa"/>
            </w:tcMar>
            <w:vAlign w:val="bottom"/>
          </w:tcPr>
          <w:p>
            <w:pPr>
              <w:pStyle w:val="TableContents"/>
              <w:spacing w:before="0" w:after="283"/>
              <w:jc w:val="left"/>
              <w:rPr>
                <w:rFonts w:ascii="helvetica" w:hAnsi="helvetica"/>
                <w:sz w:val="20"/>
              </w:rPr>
            </w:pPr>
            <w:r>
              <w:rPr>
                <w:rFonts w:ascii="helvetica" w:hAnsi="helvetica"/>
                <w:sz w:val="20"/>
              </w:rPr>
              <w:t>$</w:t>
            </w:r>
          </w:p>
        </w:tc>
        <w:tc>
          <w:tcPr>
            <w:tcW w:w="1107" w:type="dxa"/>
            <w:tcBorders>
              <w:bottom w:val="double" w:sz="8" w:space="0" w:color="000000"/>
            </w:tcBorders>
            <w:shd w:fill="FFFF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7,895,030</w:t>
            </w:r>
          </w:p>
        </w:tc>
        <w:tc>
          <w:tcPr>
            <w:tcW w:w="110" w:type="dxa"/>
            <w:tcBorders/>
            <w:shd w:fill="FFFFFF" w:val="clear"/>
            <w:vAlign w:val="bottom"/>
          </w:tcPr>
          <w:p>
            <w:pPr>
              <w:pStyle w:val="TableContents"/>
              <w:spacing w:before="0" w:after="283"/>
              <w:jc w:val="left"/>
              <w:rPr/>
            </w:pPr>
            <w:r>
              <w:rPr/>
              <w:t> </w:t>
            </w:r>
          </w:p>
        </w:tc>
        <w:tc>
          <w:tcPr>
            <w:tcW w:w="103" w:type="dxa"/>
            <w:tcBorders/>
            <w:shd w:fill="FFFFFF" w:val="clear"/>
            <w:vAlign w:val="bottom"/>
          </w:tcPr>
          <w:p>
            <w:pPr>
              <w:pStyle w:val="TableContents"/>
              <w:spacing w:before="0" w:after="283"/>
              <w:rPr/>
            </w:pPr>
            <w:r>
              <w:rPr/>
              <w:t> </w:t>
            </w:r>
          </w:p>
        </w:tc>
        <w:tc>
          <w:tcPr>
            <w:tcW w:w="126" w:type="dxa"/>
            <w:tcBorders>
              <w:bottom w:val="double" w:sz="8" w:space="0" w:color="000000"/>
            </w:tcBorders>
            <w:shd w:fill="FFFFFF" w:val="clear"/>
            <w:tcMar>
              <w:bottom w:w="28" w:type="dxa"/>
            </w:tcMar>
            <w:vAlign w:val="bottom"/>
          </w:tcPr>
          <w:p>
            <w:pPr>
              <w:pStyle w:val="TableContents"/>
              <w:spacing w:before="0" w:after="283"/>
              <w:jc w:val="left"/>
              <w:rPr>
                <w:rFonts w:ascii="helvetica" w:hAnsi="helvetica"/>
                <w:sz w:val="20"/>
              </w:rPr>
            </w:pPr>
            <w:r>
              <w:rPr>
                <w:rFonts w:ascii="helvetica" w:hAnsi="helvetica"/>
                <w:sz w:val="20"/>
              </w:rPr>
              <w:t>$</w:t>
            </w:r>
          </w:p>
        </w:tc>
        <w:tc>
          <w:tcPr>
            <w:tcW w:w="1107" w:type="dxa"/>
            <w:tcBorders>
              <w:bottom w:val="double" w:sz="8" w:space="0" w:color="000000"/>
            </w:tcBorders>
            <w:shd w:fill="FFFF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160,957</w:t>
            </w:r>
          </w:p>
        </w:tc>
        <w:tc>
          <w:tcPr>
            <w:tcW w:w="110" w:type="dxa"/>
            <w:tcBorders/>
            <w:shd w:fill="FFFFFF" w:val="clear"/>
            <w:vAlign w:val="bottom"/>
          </w:tcPr>
          <w:p>
            <w:pPr>
              <w:pStyle w:val="TableContents"/>
              <w:spacing w:before="0" w:after="283"/>
              <w:jc w:val="left"/>
              <w:rPr/>
            </w:pPr>
            <w:r>
              <w:rPr/>
              <w:t> </w:t>
            </w:r>
          </w:p>
        </w:tc>
        <w:tc>
          <w:tcPr>
            <w:tcW w:w="103" w:type="dxa"/>
            <w:tcBorders/>
            <w:shd w:fill="FFFFFF" w:val="clear"/>
            <w:vAlign w:val="bottom"/>
          </w:tcPr>
          <w:p>
            <w:pPr>
              <w:pStyle w:val="TableContents"/>
              <w:spacing w:before="0" w:after="283"/>
              <w:rPr/>
            </w:pPr>
            <w:r>
              <w:rPr/>
              <w:t> </w:t>
            </w:r>
          </w:p>
        </w:tc>
        <w:tc>
          <w:tcPr>
            <w:tcW w:w="1233" w:type="dxa"/>
            <w:gridSpan w:val="2"/>
            <w:tcBorders>
              <w:bottom w:val="double" w:sz="8" w:space="0" w:color="000000"/>
            </w:tcBorders>
            <w:shd w:fill="FFFFFF" w:val="clear"/>
            <w:tcMar>
              <w:bottom w:w="28" w:type="dxa"/>
            </w:tcMar>
            <w:vAlign w:val="bottom"/>
          </w:tcPr>
          <w:p>
            <w:pPr>
              <w:pStyle w:val="TableContents"/>
              <w:spacing w:before="0" w:after="283"/>
              <w:rPr/>
            </w:pPr>
            <w:r>
              <w:rPr/>
              <w:t> </w:t>
            </w:r>
          </w:p>
        </w:tc>
        <w:tc>
          <w:tcPr>
            <w:tcW w:w="122" w:type="dxa"/>
            <w:tcBorders/>
            <w:shd w:fill="FFFFFF" w:val="clear"/>
            <w:vAlign w:val="bottom"/>
          </w:tcPr>
          <w:p>
            <w:pPr>
              <w:pStyle w:val="TableContents"/>
              <w:spacing w:before="0" w:after="283"/>
              <w:jc w:val="left"/>
              <w:rPr/>
            </w:pPr>
            <w:r>
              <w:rPr/>
              <w:t> </w:t>
            </w:r>
          </w:p>
        </w:tc>
      </w:tr>
      <w:tr>
        <w:trPr/>
        <w:tc>
          <w:tcPr>
            <w:tcW w:w="5855" w:type="dxa"/>
            <w:tcBorders/>
            <w:shd w:fill="CCEEFF" w:val="clear"/>
            <w:vAlign w:val="bottom"/>
          </w:tcPr>
          <w:p>
            <w:pPr>
              <w:pStyle w:val="TableContents"/>
              <w:spacing w:before="0" w:after="0"/>
              <w:ind w:left="0" w:right="0" w:hanging="0"/>
              <w:jc w:val="center"/>
              <w:rPr>
                <w:rFonts w:ascii="helvetica" w:hAnsi="helvetica"/>
                <w:sz w:val="20"/>
              </w:rPr>
            </w:pPr>
            <w:r>
              <w:rPr>
                <w:rFonts w:ascii="helvetica" w:hAnsi="helvetica"/>
                <w:sz w:val="20"/>
              </w:rPr>
              <w:t>LIABILITIES AND STOCKHOLDERS' EQUITY (DEFICIT)</w:t>
            </w:r>
          </w:p>
        </w:tc>
        <w:tc>
          <w:tcPr>
            <w:tcW w:w="103"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jc w:val="left"/>
              <w:rPr/>
            </w:pPr>
            <w:r>
              <w:rPr/>
              <w:t> </w:t>
            </w:r>
          </w:p>
        </w:tc>
        <w:tc>
          <w:tcPr>
            <w:tcW w:w="1107" w:type="dxa"/>
            <w:tcBorders/>
            <w:shd w:fill="CCEEFF" w:val="clear"/>
            <w:vAlign w:val="bottom"/>
          </w:tcPr>
          <w:p>
            <w:pPr>
              <w:pStyle w:val="TableContents"/>
              <w:spacing w:before="0" w:after="283"/>
              <w:jc w:val="right"/>
              <w:rPr/>
            </w:pPr>
            <w:r>
              <w:rPr/>
              <w:t> </w:t>
            </w:r>
          </w:p>
        </w:tc>
        <w:tc>
          <w:tcPr>
            <w:tcW w:w="110" w:type="dxa"/>
            <w:tcBorders/>
            <w:shd w:fill="CCEEFF" w:val="clear"/>
            <w:vAlign w:val="bottom"/>
          </w:tcPr>
          <w:p>
            <w:pPr>
              <w:pStyle w:val="TableContents"/>
              <w:spacing w:before="0" w:after="283"/>
              <w:jc w:val="left"/>
              <w:rPr/>
            </w:pPr>
            <w:r>
              <w:rPr/>
              <w:t> </w:t>
            </w:r>
          </w:p>
        </w:tc>
        <w:tc>
          <w:tcPr>
            <w:tcW w:w="103"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jc w:val="left"/>
              <w:rPr/>
            </w:pPr>
            <w:r>
              <w:rPr/>
              <w:t> </w:t>
            </w:r>
          </w:p>
        </w:tc>
        <w:tc>
          <w:tcPr>
            <w:tcW w:w="1107" w:type="dxa"/>
            <w:tcBorders/>
            <w:shd w:fill="CCEEFF" w:val="clear"/>
            <w:vAlign w:val="bottom"/>
          </w:tcPr>
          <w:p>
            <w:pPr>
              <w:pStyle w:val="TableContents"/>
              <w:spacing w:before="0" w:after="283"/>
              <w:jc w:val="right"/>
              <w:rPr/>
            </w:pPr>
            <w:r>
              <w:rPr/>
              <w:t> </w:t>
            </w:r>
          </w:p>
        </w:tc>
        <w:tc>
          <w:tcPr>
            <w:tcW w:w="110" w:type="dxa"/>
            <w:tcBorders/>
            <w:shd w:fill="CCEEFF" w:val="clear"/>
            <w:vAlign w:val="bottom"/>
          </w:tcPr>
          <w:p>
            <w:pPr>
              <w:pStyle w:val="TableContents"/>
              <w:spacing w:before="0" w:after="283"/>
              <w:jc w:val="left"/>
              <w:rPr/>
            </w:pPr>
            <w:r>
              <w:rPr/>
              <w:t> </w:t>
            </w:r>
          </w:p>
        </w:tc>
        <w:tc>
          <w:tcPr>
            <w:tcW w:w="103" w:type="dxa"/>
            <w:tcBorders/>
            <w:shd w:fill="CCEEFF" w:val="clear"/>
            <w:vAlign w:val="bottom"/>
          </w:tcPr>
          <w:p>
            <w:pPr>
              <w:pStyle w:val="TableContents"/>
              <w:spacing w:before="0" w:after="283"/>
              <w:rPr/>
            </w:pPr>
            <w:r>
              <w:rPr/>
              <w:t> </w:t>
            </w:r>
          </w:p>
        </w:tc>
        <w:tc>
          <w:tcPr>
            <w:tcW w:w="1233" w:type="dxa"/>
            <w:gridSpan w:val="2"/>
            <w:tcBorders/>
            <w:shd w:fill="CCEEFF" w:val="clear"/>
            <w:vAlign w:val="bottom"/>
          </w:tcPr>
          <w:p>
            <w:pPr>
              <w:pStyle w:val="TableContents"/>
              <w:spacing w:before="0" w:after="283"/>
              <w:rPr/>
            </w:pPr>
            <w:r>
              <w:rPr/>
              <w:t> </w:t>
            </w:r>
          </w:p>
        </w:tc>
        <w:tc>
          <w:tcPr>
            <w:tcW w:w="122" w:type="dxa"/>
            <w:tcBorders/>
            <w:shd w:fill="CCEEFF" w:val="clear"/>
            <w:vAlign w:val="bottom"/>
          </w:tcPr>
          <w:p>
            <w:pPr>
              <w:pStyle w:val="TableContents"/>
              <w:spacing w:before="0" w:after="283"/>
              <w:jc w:val="left"/>
              <w:rPr/>
            </w:pPr>
            <w:r>
              <w:rPr/>
              <w:t> </w:t>
            </w:r>
          </w:p>
        </w:tc>
      </w:tr>
      <w:tr>
        <w:trPr/>
        <w:tc>
          <w:tcPr>
            <w:tcW w:w="5855" w:type="dxa"/>
            <w:tcBorders/>
            <w:shd w:fill="FFFFFF" w:val="clear"/>
            <w:vAlign w:val="bottom"/>
          </w:tcPr>
          <w:p>
            <w:pPr>
              <w:pStyle w:val="TableContents"/>
              <w:spacing w:before="0" w:after="0"/>
              <w:ind w:left="0" w:right="0" w:hanging="0"/>
              <w:jc w:val="left"/>
              <w:rPr>
                <w:rFonts w:ascii="helvetica" w:hAnsi="helvetica"/>
                <w:sz w:val="20"/>
              </w:rPr>
            </w:pPr>
            <w:r>
              <w:rPr>
                <w:rFonts w:ascii="helvetica" w:hAnsi="helvetica"/>
                <w:sz w:val="20"/>
              </w:rPr>
              <w:t>Current liabilities</w:t>
            </w:r>
          </w:p>
        </w:tc>
        <w:tc>
          <w:tcPr>
            <w:tcW w:w="103" w:type="dxa"/>
            <w:tcBorders/>
            <w:shd w:fill="FFFFFF" w:val="clear"/>
            <w:vAlign w:val="bottom"/>
          </w:tcPr>
          <w:p>
            <w:pPr>
              <w:pStyle w:val="TableContents"/>
              <w:spacing w:before="0" w:after="283"/>
              <w:rPr/>
            </w:pPr>
            <w:r>
              <w:rPr/>
              <w:t> </w:t>
            </w:r>
          </w:p>
        </w:tc>
        <w:tc>
          <w:tcPr>
            <w:tcW w:w="126" w:type="dxa"/>
            <w:tcBorders/>
            <w:shd w:fill="FFFFFF" w:val="clear"/>
            <w:vAlign w:val="bottom"/>
          </w:tcPr>
          <w:p>
            <w:pPr>
              <w:pStyle w:val="TableContents"/>
              <w:spacing w:before="0" w:after="283"/>
              <w:jc w:val="left"/>
              <w:rPr/>
            </w:pPr>
            <w:r>
              <w:rPr/>
              <w:t> </w:t>
            </w:r>
          </w:p>
        </w:tc>
        <w:tc>
          <w:tcPr>
            <w:tcW w:w="1107" w:type="dxa"/>
            <w:tcBorders/>
            <w:shd w:fill="FFFFFF" w:val="clear"/>
            <w:vAlign w:val="bottom"/>
          </w:tcPr>
          <w:p>
            <w:pPr>
              <w:pStyle w:val="TableContents"/>
              <w:spacing w:before="0" w:after="283"/>
              <w:jc w:val="right"/>
              <w:rPr/>
            </w:pPr>
            <w:r>
              <w:rPr/>
              <w:t> </w:t>
            </w:r>
          </w:p>
        </w:tc>
        <w:tc>
          <w:tcPr>
            <w:tcW w:w="110" w:type="dxa"/>
            <w:tcBorders/>
            <w:shd w:fill="FFFFFF" w:val="clear"/>
            <w:vAlign w:val="bottom"/>
          </w:tcPr>
          <w:p>
            <w:pPr>
              <w:pStyle w:val="TableContents"/>
              <w:spacing w:before="0" w:after="283"/>
              <w:jc w:val="left"/>
              <w:rPr/>
            </w:pPr>
            <w:r>
              <w:rPr/>
              <w:t> </w:t>
            </w:r>
          </w:p>
        </w:tc>
        <w:tc>
          <w:tcPr>
            <w:tcW w:w="103" w:type="dxa"/>
            <w:tcBorders/>
            <w:shd w:fill="FFFFFF" w:val="clear"/>
            <w:vAlign w:val="bottom"/>
          </w:tcPr>
          <w:p>
            <w:pPr>
              <w:pStyle w:val="TableContents"/>
              <w:spacing w:before="0" w:after="283"/>
              <w:rPr/>
            </w:pPr>
            <w:r>
              <w:rPr/>
              <w:t> </w:t>
            </w:r>
          </w:p>
        </w:tc>
        <w:tc>
          <w:tcPr>
            <w:tcW w:w="126" w:type="dxa"/>
            <w:tcBorders/>
            <w:shd w:fill="FFFFFF" w:val="clear"/>
            <w:vAlign w:val="bottom"/>
          </w:tcPr>
          <w:p>
            <w:pPr>
              <w:pStyle w:val="TableContents"/>
              <w:spacing w:before="0" w:after="283"/>
              <w:jc w:val="left"/>
              <w:rPr/>
            </w:pPr>
            <w:r>
              <w:rPr/>
              <w:t> </w:t>
            </w:r>
          </w:p>
        </w:tc>
        <w:tc>
          <w:tcPr>
            <w:tcW w:w="1107" w:type="dxa"/>
            <w:tcBorders/>
            <w:shd w:fill="FFFFFF" w:val="clear"/>
            <w:vAlign w:val="bottom"/>
          </w:tcPr>
          <w:p>
            <w:pPr>
              <w:pStyle w:val="TableContents"/>
              <w:spacing w:before="0" w:after="283"/>
              <w:jc w:val="right"/>
              <w:rPr/>
            </w:pPr>
            <w:r>
              <w:rPr/>
              <w:t> </w:t>
            </w:r>
          </w:p>
        </w:tc>
        <w:tc>
          <w:tcPr>
            <w:tcW w:w="110" w:type="dxa"/>
            <w:tcBorders/>
            <w:shd w:fill="FFFFFF" w:val="clear"/>
            <w:vAlign w:val="bottom"/>
          </w:tcPr>
          <w:p>
            <w:pPr>
              <w:pStyle w:val="TableContents"/>
              <w:spacing w:before="0" w:after="283"/>
              <w:jc w:val="left"/>
              <w:rPr/>
            </w:pPr>
            <w:r>
              <w:rPr/>
              <w:t> </w:t>
            </w:r>
          </w:p>
        </w:tc>
        <w:tc>
          <w:tcPr>
            <w:tcW w:w="103" w:type="dxa"/>
            <w:tcBorders/>
            <w:shd w:fill="FFFFFF" w:val="clear"/>
            <w:vAlign w:val="bottom"/>
          </w:tcPr>
          <w:p>
            <w:pPr>
              <w:pStyle w:val="TableContents"/>
              <w:spacing w:before="0" w:after="283"/>
              <w:rPr/>
            </w:pPr>
            <w:r>
              <w:rPr/>
              <w:t> </w:t>
            </w:r>
          </w:p>
        </w:tc>
        <w:tc>
          <w:tcPr>
            <w:tcW w:w="1233" w:type="dxa"/>
            <w:gridSpan w:val="2"/>
            <w:tcBorders/>
            <w:shd w:fill="FFFFFF" w:val="clear"/>
            <w:vAlign w:val="bottom"/>
          </w:tcPr>
          <w:p>
            <w:pPr>
              <w:pStyle w:val="TableContents"/>
              <w:spacing w:before="0" w:after="283"/>
              <w:rPr/>
            </w:pPr>
            <w:r>
              <w:rPr/>
              <w:t> </w:t>
            </w:r>
          </w:p>
        </w:tc>
        <w:tc>
          <w:tcPr>
            <w:tcW w:w="122" w:type="dxa"/>
            <w:tcBorders/>
            <w:shd w:fill="FFFFFF" w:val="clear"/>
            <w:vAlign w:val="bottom"/>
          </w:tcPr>
          <w:p>
            <w:pPr>
              <w:pStyle w:val="TableContents"/>
              <w:spacing w:before="0" w:after="283"/>
              <w:jc w:val="left"/>
              <w:rPr/>
            </w:pPr>
            <w:r>
              <w:rPr/>
              <w:t> </w:t>
            </w:r>
          </w:p>
        </w:tc>
      </w:tr>
      <w:tr>
        <w:trPr/>
        <w:tc>
          <w:tcPr>
            <w:tcW w:w="5855" w:type="dxa"/>
            <w:tcBorders/>
            <w:shd w:fill="CCEEFF" w:val="clear"/>
            <w:vAlign w:val="bottom"/>
          </w:tcPr>
          <w:p>
            <w:pPr>
              <w:pStyle w:val="TableContents"/>
              <w:spacing w:before="0" w:after="0"/>
              <w:ind w:left="0" w:right="0" w:hanging="0"/>
              <w:jc w:val="left"/>
              <w:rPr>
                <w:rFonts w:ascii="helvetica" w:hAnsi="helvetica"/>
                <w:sz w:val="20"/>
              </w:rPr>
            </w:pPr>
            <w:r>
              <w:rPr>
                <w:rFonts w:ascii="helvetica" w:hAnsi="helvetica"/>
                <w:sz w:val="20"/>
              </w:rPr>
              <w:t>Accounts payable and accrued expenses</w:t>
            </w:r>
          </w:p>
        </w:tc>
        <w:tc>
          <w:tcPr>
            <w:tcW w:w="103"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jc w:val="left"/>
              <w:rPr>
                <w:rFonts w:ascii="helvetica" w:hAnsi="helvetica"/>
                <w:sz w:val="20"/>
              </w:rPr>
            </w:pPr>
            <w:r>
              <w:rPr>
                <w:rFonts w:ascii="helvetica" w:hAnsi="helvetica"/>
                <w:sz w:val="20"/>
              </w:rPr>
              <w:t>$</w:t>
            </w:r>
          </w:p>
        </w:tc>
        <w:tc>
          <w:tcPr>
            <w:tcW w:w="1107"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423,500</w:t>
            </w:r>
          </w:p>
        </w:tc>
        <w:tc>
          <w:tcPr>
            <w:tcW w:w="110" w:type="dxa"/>
            <w:tcBorders/>
            <w:shd w:fill="CCEEFF" w:val="clear"/>
            <w:vAlign w:val="bottom"/>
          </w:tcPr>
          <w:p>
            <w:pPr>
              <w:pStyle w:val="TableContents"/>
              <w:spacing w:before="0" w:after="283"/>
              <w:jc w:val="left"/>
              <w:rPr/>
            </w:pPr>
            <w:r>
              <w:rPr/>
              <w:t> </w:t>
            </w:r>
          </w:p>
        </w:tc>
        <w:tc>
          <w:tcPr>
            <w:tcW w:w="103"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jc w:val="left"/>
              <w:rPr>
                <w:rFonts w:ascii="helvetica" w:hAnsi="helvetica"/>
                <w:sz w:val="20"/>
              </w:rPr>
            </w:pPr>
            <w:r>
              <w:rPr>
                <w:rFonts w:ascii="helvetica" w:hAnsi="helvetica"/>
                <w:sz w:val="20"/>
              </w:rPr>
              <w:t>$</w:t>
            </w:r>
          </w:p>
        </w:tc>
        <w:tc>
          <w:tcPr>
            <w:tcW w:w="1107"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218,612</w:t>
            </w:r>
          </w:p>
        </w:tc>
        <w:tc>
          <w:tcPr>
            <w:tcW w:w="110" w:type="dxa"/>
            <w:tcBorders/>
            <w:shd w:fill="CCEEFF" w:val="clear"/>
            <w:vAlign w:val="bottom"/>
          </w:tcPr>
          <w:p>
            <w:pPr>
              <w:pStyle w:val="TableContents"/>
              <w:spacing w:before="0" w:after="283"/>
              <w:jc w:val="left"/>
              <w:rPr/>
            </w:pPr>
            <w:r>
              <w:rPr/>
              <w:t> </w:t>
            </w:r>
          </w:p>
        </w:tc>
        <w:tc>
          <w:tcPr>
            <w:tcW w:w="103" w:type="dxa"/>
            <w:tcBorders/>
            <w:shd w:fill="CCEEFF" w:val="clear"/>
            <w:vAlign w:val="bottom"/>
          </w:tcPr>
          <w:p>
            <w:pPr>
              <w:pStyle w:val="TableContents"/>
              <w:spacing w:before="0" w:after="283"/>
              <w:rPr/>
            </w:pPr>
            <w:r>
              <w:rPr/>
              <w:t> </w:t>
            </w:r>
          </w:p>
        </w:tc>
        <w:tc>
          <w:tcPr>
            <w:tcW w:w="1233" w:type="dxa"/>
            <w:gridSpan w:val="2"/>
            <w:tcBorders/>
            <w:shd w:fill="CCEEFF" w:val="clear"/>
            <w:vAlign w:val="bottom"/>
          </w:tcPr>
          <w:p>
            <w:pPr>
              <w:pStyle w:val="TableContents"/>
              <w:spacing w:before="0" w:after="283"/>
              <w:rPr/>
            </w:pPr>
            <w:r>
              <w:rPr/>
              <w:t> </w:t>
            </w:r>
          </w:p>
        </w:tc>
        <w:tc>
          <w:tcPr>
            <w:tcW w:w="122" w:type="dxa"/>
            <w:tcBorders/>
            <w:shd w:fill="CCEEFF" w:val="clear"/>
            <w:vAlign w:val="bottom"/>
          </w:tcPr>
          <w:p>
            <w:pPr>
              <w:pStyle w:val="TableContents"/>
              <w:spacing w:before="0" w:after="283"/>
              <w:jc w:val="left"/>
              <w:rPr/>
            </w:pPr>
            <w:r>
              <w:rPr/>
              <w:t> </w:t>
            </w:r>
          </w:p>
        </w:tc>
      </w:tr>
      <w:tr>
        <w:trPr/>
        <w:tc>
          <w:tcPr>
            <w:tcW w:w="5855" w:type="dxa"/>
            <w:tcBorders/>
            <w:shd w:fill="FFFFFF" w:val="clear"/>
            <w:vAlign w:val="bottom"/>
          </w:tcPr>
          <w:p>
            <w:pPr>
              <w:pStyle w:val="TableContents"/>
              <w:spacing w:before="0" w:after="0"/>
              <w:ind w:left="0" w:right="0" w:hanging="0"/>
              <w:jc w:val="left"/>
              <w:rPr>
                <w:rFonts w:ascii="helvetica" w:hAnsi="helvetica"/>
                <w:sz w:val="20"/>
              </w:rPr>
            </w:pPr>
            <w:r>
              <w:rPr>
                <w:rFonts w:ascii="helvetica" w:hAnsi="helvetica"/>
                <w:sz w:val="20"/>
              </w:rPr>
              <w:t>Accounts payable - related party</w:t>
            </w:r>
          </w:p>
        </w:tc>
        <w:tc>
          <w:tcPr>
            <w:tcW w:w="103" w:type="dxa"/>
            <w:tcBorders/>
            <w:shd w:fill="FFFFFF" w:val="clear"/>
            <w:vAlign w:val="bottom"/>
          </w:tcPr>
          <w:p>
            <w:pPr>
              <w:pStyle w:val="TableContents"/>
              <w:spacing w:before="0" w:after="283"/>
              <w:rPr/>
            </w:pPr>
            <w:r>
              <w:rPr/>
              <w:t> </w:t>
            </w:r>
          </w:p>
        </w:tc>
        <w:tc>
          <w:tcPr>
            <w:tcW w:w="126" w:type="dxa"/>
            <w:tcBorders/>
            <w:shd w:fill="FFFFFF" w:val="clear"/>
            <w:vAlign w:val="bottom"/>
          </w:tcPr>
          <w:p>
            <w:pPr>
              <w:pStyle w:val="TableContents"/>
              <w:spacing w:before="0" w:after="283"/>
              <w:jc w:val="left"/>
              <w:rPr/>
            </w:pPr>
            <w:r>
              <w:rPr/>
              <w:t> </w:t>
            </w:r>
          </w:p>
        </w:tc>
        <w:tc>
          <w:tcPr>
            <w:tcW w:w="1107"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w:t>
            </w:r>
          </w:p>
        </w:tc>
        <w:tc>
          <w:tcPr>
            <w:tcW w:w="110" w:type="dxa"/>
            <w:tcBorders/>
            <w:shd w:fill="FFFFFF" w:val="clear"/>
            <w:vAlign w:val="bottom"/>
          </w:tcPr>
          <w:p>
            <w:pPr>
              <w:pStyle w:val="TableContents"/>
              <w:spacing w:before="0" w:after="283"/>
              <w:jc w:val="left"/>
              <w:rPr/>
            </w:pPr>
            <w:r>
              <w:rPr/>
              <w:t> </w:t>
            </w:r>
          </w:p>
        </w:tc>
        <w:tc>
          <w:tcPr>
            <w:tcW w:w="103" w:type="dxa"/>
            <w:tcBorders/>
            <w:shd w:fill="FFFFFF" w:val="clear"/>
            <w:vAlign w:val="bottom"/>
          </w:tcPr>
          <w:p>
            <w:pPr>
              <w:pStyle w:val="TableContents"/>
              <w:spacing w:before="0" w:after="283"/>
              <w:rPr/>
            </w:pPr>
            <w:r>
              <w:rPr/>
              <w:t> </w:t>
            </w:r>
          </w:p>
        </w:tc>
        <w:tc>
          <w:tcPr>
            <w:tcW w:w="126" w:type="dxa"/>
            <w:tcBorders/>
            <w:shd w:fill="FFFFFF" w:val="clear"/>
            <w:vAlign w:val="bottom"/>
          </w:tcPr>
          <w:p>
            <w:pPr>
              <w:pStyle w:val="TableContents"/>
              <w:spacing w:before="0" w:after="283"/>
              <w:jc w:val="left"/>
              <w:rPr/>
            </w:pPr>
            <w:r>
              <w:rPr/>
              <w:t> </w:t>
            </w:r>
          </w:p>
        </w:tc>
        <w:tc>
          <w:tcPr>
            <w:tcW w:w="1107"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56,087</w:t>
            </w:r>
          </w:p>
        </w:tc>
        <w:tc>
          <w:tcPr>
            <w:tcW w:w="110" w:type="dxa"/>
            <w:tcBorders/>
            <w:shd w:fill="FFFFFF" w:val="clear"/>
            <w:vAlign w:val="bottom"/>
          </w:tcPr>
          <w:p>
            <w:pPr>
              <w:pStyle w:val="TableContents"/>
              <w:spacing w:before="0" w:after="283"/>
              <w:jc w:val="left"/>
              <w:rPr/>
            </w:pPr>
            <w:r>
              <w:rPr/>
              <w:t> </w:t>
            </w:r>
          </w:p>
        </w:tc>
        <w:tc>
          <w:tcPr>
            <w:tcW w:w="103" w:type="dxa"/>
            <w:tcBorders/>
            <w:shd w:fill="FFFFFF" w:val="clear"/>
            <w:vAlign w:val="bottom"/>
          </w:tcPr>
          <w:p>
            <w:pPr>
              <w:pStyle w:val="TableContents"/>
              <w:spacing w:before="0" w:after="283"/>
              <w:rPr/>
            </w:pPr>
            <w:r>
              <w:rPr/>
              <w:t> </w:t>
            </w:r>
          </w:p>
        </w:tc>
        <w:tc>
          <w:tcPr>
            <w:tcW w:w="1233" w:type="dxa"/>
            <w:gridSpan w:val="2"/>
            <w:tcBorders/>
            <w:shd w:fill="FFFFFF" w:val="clear"/>
            <w:vAlign w:val="bottom"/>
          </w:tcPr>
          <w:p>
            <w:pPr>
              <w:pStyle w:val="TableContents"/>
              <w:spacing w:before="0" w:after="283"/>
              <w:rPr/>
            </w:pPr>
            <w:r>
              <w:rPr/>
              <w:t> </w:t>
            </w:r>
          </w:p>
        </w:tc>
        <w:tc>
          <w:tcPr>
            <w:tcW w:w="122" w:type="dxa"/>
            <w:tcBorders/>
            <w:shd w:fill="FFFFFF" w:val="clear"/>
            <w:vAlign w:val="bottom"/>
          </w:tcPr>
          <w:p>
            <w:pPr>
              <w:pStyle w:val="TableContents"/>
              <w:spacing w:before="0" w:after="283"/>
              <w:jc w:val="left"/>
              <w:rPr/>
            </w:pPr>
            <w:r>
              <w:rPr/>
              <w:t> </w:t>
            </w:r>
          </w:p>
        </w:tc>
      </w:tr>
      <w:tr>
        <w:trPr/>
        <w:tc>
          <w:tcPr>
            <w:tcW w:w="5855" w:type="dxa"/>
            <w:tcBorders/>
            <w:shd w:fill="CCEEFF" w:val="clear"/>
            <w:vAlign w:val="bottom"/>
          </w:tcPr>
          <w:p>
            <w:pPr>
              <w:pStyle w:val="TableContents"/>
              <w:spacing w:before="0" w:after="0"/>
              <w:ind w:left="0" w:right="0" w:hanging="0"/>
              <w:jc w:val="left"/>
              <w:rPr>
                <w:rFonts w:ascii="helvetica" w:hAnsi="helvetica"/>
                <w:sz w:val="20"/>
              </w:rPr>
            </w:pPr>
            <w:r>
              <w:rPr>
                <w:rFonts w:ascii="helvetica" w:hAnsi="helvetica"/>
                <w:sz w:val="20"/>
              </w:rPr>
              <w:t>Accrued Phase 3 expenses</w:t>
            </w:r>
          </w:p>
        </w:tc>
        <w:tc>
          <w:tcPr>
            <w:tcW w:w="103"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jc w:val="left"/>
              <w:rPr/>
            </w:pPr>
            <w:r>
              <w:rPr/>
              <w:t> </w:t>
            </w:r>
          </w:p>
        </w:tc>
        <w:tc>
          <w:tcPr>
            <w:tcW w:w="1107"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55,784</w:t>
            </w:r>
          </w:p>
        </w:tc>
        <w:tc>
          <w:tcPr>
            <w:tcW w:w="110" w:type="dxa"/>
            <w:tcBorders/>
            <w:shd w:fill="CCEEFF" w:val="clear"/>
            <w:vAlign w:val="bottom"/>
          </w:tcPr>
          <w:p>
            <w:pPr>
              <w:pStyle w:val="TableContents"/>
              <w:spacing w:before="0" w:after="283"/>
              <w:jc w:val="left"/>
              <w:rPr/>
            </w:pPr>
            <w:r>
              <w:rPr/>
              <w:t> </w:t>
            </w:r>
          </w:p>
        </w:tc>
        <w:tc>
          <w:tcPr>
            <w:tcW w:w="103"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jc w:val="left"/>
              <w:rPr/>
            </w:pPr>
            <w:r>
              <w:rPr/>
              <w:t> </w:t>
            </w:r>
          </w:p>
        </w:tc>
        <w:tc>
          <w:tcPr>
            <w:tcW w:w="1107"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55,784</w:t>
            </w:r>
          </w:p>
        </w:tc>
        <w:tc>
          <w:tcPr>
            <w:tcW w:w="110" w:type="dxa"/>
            <w:tcBorders/>
            <w:shd w:fill="CCEEFF" w:val="clear"/>
            <w:vAlign w:val="bottom"/>
          </w:tcPr>
          <w:p>
            <w:pPr>
              <w:pStyle w:val="TableContents"/>
              <w:spacing w:before="0" w:after="283"/>
              <w:jc w:val="left"/>
              <w:rPr/>
            </w:pPr>
            <w:r>
              <w:rPr/>
              <w:t> </w:t>
            </w:r>
          </w:p>
        </w:tc>
        <w:tc>
          <w:tcPr>
            <w:tcW w:w="103" w:type="dxa"/>
            <w:tcBorders/>
            <w:shd w:fill="CCEEFF" w:val="clear"/>
            <w:vAlign w:val="bottom"/>
          </w:tcPr>
          <w:p>
            <w:pPr>
              <w:pStyle w:val="TableContents"/>
              <w:spacing w:before="0" w:after="283"/>
              <w:rPr/>
            </w:pPr>
            <w:r>
              <w:rPr/>
              <w:t> </w:t>
            </w:r>
          </w:p>
        </w:tc>
        <w:tc>
          <w:tcPr>
            <w:tcW w:w="1233" w:type="dxa"/>
            <w:gridSpan w:val="2"/>
            <w:tcBorders/>
            <w:shd w:fill="CCEEFF" w:val="clear"/>
            <w:vAlign w:val="bottom"/>
          </w:tcPr>
          <w:p>
            <w:pPr>
              <w:pStyle w:val="TableContents"/>
              <w:spacing w:before="0" w:after="283"/>
              <w:rPr/>
            </w:pPr>
            <w:r>
              <w:rPr/>
              <w:t> </w:t>
            </w:r>
          </w:p>
        </w:tc>
        <w:tc>
          <w:tcPr>
            <w:tcW w:w="122" w:type="dxa"/>
            <w:tcBorders/>
            <w:shd w:fill="CCEEFF" w:val="clear"/>
            <w:vAlign w:val="bottom"/>
          </w:tcPr>
          <w:p>
            <w:pPr>
              <w:pStyle w:val="TableContents"/>
              <w:spacing w:before="0" w:after="283"/>
              <w:jc w:val="left"/>
              <w:rPr/>
            </w:pPr>
            <w:r>
              <w:rPr/>
              <w:t> </w:t>
            </w:r>
          </w:p>
        </w:tc>
      </w:tr>
      <w:tr>
        <w:trPr/>
        <w:tc>
          <w:tcPr>
            <w:tcW w:w="5855" w:type="dxa"/>
            <w:tcBorders/>
            <w:shd w:fill="FFFFFF" w:val="clear"/>
            <w:vAlign w:val="bottom"/>
          </w:tcPr>
          <w:p>
            <w:pPr>
              <w:pStyle w:val="TableContents"/>
              <w:spacing w:before="0" w:after="0"/>
              <w:ind w:left="0" w:right="0" w:hanging="0"/>
              <w:jc w:val="left"/>
              <w:rPr>
                <w:rFonts w:ascii="helvetica" w:hAnsi="helvetica"/>
                <w:sz w:val="20"/>
              </w:rPr>
            </w:pPr>
            <w:r>
              <w:rPr>
                <w:rFonts w:ascii="helvetica" w:hAnsi="helvetica"/>
                <w:sz w:val="20"/>
              </w:rPr>
              <w:t>Accrued payroll</w:t>
            </w:r>
          </w:p>
        </w:tc>
        <w:tc>
          <w:tcPr>
            <w:tcW w:w="103" w:type="dxa"/>
            <w:tcBorders/>
            <w:shd w:fill="FFFFFF" w:val="clear"/>
            <w:vAlign w:val="bottom"/>
          </w:tcPr>
          <w:p>
            <w:pPr>
              <w:pStyle w:val="TableContents"/>
              <w:spacing w:before="0" w:after="283"/>
              <w:rPr/>
            </w:pPr>
            <w:r>
              <w:rPr/>
              <w:t> </w:t>
            </w:r>
          </w:p>
        </w:tc>
        <w:tc>
          <w:tcPr>
            <w:tcW w:w="126" w:type="dxa"/>
            <w:tcBorders/>
            <w:shd w:fill="FFFFFF" w:val="clear"/>
            <w:vAlign w:val="bottom"/>
          </w:tcPr>
          <w:p>
            <w:pPr>
              <w:pStyle w:val="TableContents"/>
              <w:spacing w:before="0" w:after="283"/>
              <w:jc w:val="left"/>
              <w:rPr/>
            </w:pPr>
            <w:r>
              <w:rPr/>
              <w:t> </w:t>
            </w:r>
          </w:p>
        </w:tc>
        <w:tc>
          <w:tcPr>
            <w:tcW w:w="1107"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11,915</w:t>
            </w:r>
          </w:p>
        </w:tc>
        <w:tc>
          <w:tcPr>
            <w:tcW w:w="110" w:type="dxa"/>
            <w:tcBorders/>
            <w:shd w:fill="FFFFFF" w:val="clear"/>
            <w:vAlign w:val="bottom"/>
          </w:tcPr>
          <w:p>
            <w:pPr>
              <w:pStyle w:val="TableContents"/>
              <w:spacing w:before="0" w:after="283"/>
              <w:jc w:val="left"/>
              <w:rPr/>
            </w:pPr>
            <w:r>
              <w:rPr/>
              <w:t> </w:t>
            </w:r>
          </w:p>
        </w:tc>
        <w:tc>
          <w:tcPr>
            <w:tcW w:w="103" w:type="dxa"/>
            <w:tcBorders/>
            <w:shd w:fill="FFFFFF" w:val="clear"/>
            <w:vAlign w:val="bottom"/>
          </w:tcPr>
          <w:p>
            <w:pPr>
              <w:pStyle w:val="TableContents"/>
              <w:spacing w:before="0" w:after="283"/>
              <w:rPr/>
            </w:pPr>
            <w:r>
              <w:rPr/>
              <w:t> </w:t>
            </w:r>
          </w:p>
        </w:tc>
        <w:tc>
          <w:tcPr>
            <w:tcW w:w="126" w:type="dxa"/>
            <w:tcBorders/>
            <w:shd w:fill="FFFFFF" w:val="clear"/>
            <w:vAlign w:val="bottom"/>
          </w:tcPr>
          <w:p>
            <w:pPr>
              <w:pStyle w:val="TableContents"/>
              <w:spacing w:before="0" w:after="283"/>
              <w:jc w:val="left"/>
              <w:rPr/>
            </w:pPr>
            <w:r>
              <w:rPr/>
              <w:t> </w:t>
            </w:r>
          </w:p>
        </w:tc>
        <w:tc>
          <w:tcPr>
            <w:tcW w:w="1107"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w:t>
            </w:r>
          </w:p>
        </w:tc>
        <w:tc>
          <w:tcPr>
            <w:tcW w:w="110" w:type="dxa"/>
            <w:tcBorders/>
            <w:shd w:fill="FFFFFF" w:val="clear"/>
            <w:vAlign w:val="bottom"/>
          </w:tcPr>
          <w:p>
            <w:pPr>
              <w:pStyle w:val="TableContents"/>
              <w:spacing w:before="0" w:after="283"/>
              <w:jc w:val="left"/>
              <w:rPr/>
            </w:pPr>
            <w:r>
              <w:rPr/>
              <w:t> </w:t>
            </w:r>
          </w:p>
        </w:tc>
        <w:tc>
          <w:tcPr>
            <w:tcW w:w="103" w:type="dxa"/>
            <w:tcBorders/>
            <w:shd w:fill="FFFFFF" w:val="clear"/>
            <w:vAlign w:val="bottom"/>
          </w:tcPr>
          <w:p>
            <w:pPr>
              <w:pStyle w:val="TableContents"/>
              <w:spacing w:before="0" w:after="283"/>
              <w:rPr/>
            </w:pPr>
            <w:r>
              <w:rPr/>
              <w:t> </w:t>
            </w:r>
          </w:p>
        </w:tc>
        <w:tc>
          <w:tcPr>
            <w:tcW w:w="1233" w:type="dxa"/>
            <w:gridSpan w:val="2"/>
            <w:tcBorders/>
            <w:shd w:fill="FFFFFF" w:val="clear"/>
            <w:vAlign w:val="bottom"/>
          </w:tcPr>
          <w:p>
            <w:pPr>
              <w:pStyle w:val="TableContents"/>
              <w:spacing w:before="0" w:after="283"/>
              <w:rPr/>
            </w:pPr>
            <w:r>
              <w:rPr/>
              <w:t> </w:t>
            </w:r>
          </w:p>
        </w:tc>
        <w:tc>
          <w:tcPr>
            <w:tcW w:w="122" w:type="dxa"/>
            <w:tcBorders/>
            <w:shd w:fill="FFFFFF" w:val="clear"/>
            <w:vAlign w:val="bottom"/>
          </w:tcPr>
          <w:p>
            <w:pPr>
              <w:pStyle w:val="TableContents"/>
              <w:spacing w:before="0" w:after="283"/>
              <w:jc w:val="left"/>
              <w:rPr/>
            </w:pPr>
            <w:r>
              <w:rPr/>
              <w:t> </w:t>
            </w:r>
          </w:p>
        </w:tc>
      </w:tr>
      <w:tr>
        <w:trPr/>
        <w:tc>
          <w:tcPr>
            <w:tcW w:w="5855" w:type="dxa"/>
            <w:tcBorders/>
            <w:shd w:fill="CCEEFF" w:val="clear"/>
            <w:vAlign w:val="bottom"/>
          </w:tcPr>
          <w:p>
            <w:pPr>
              <w:pStyle w:val="TableContents"/>
              <w:spacing w:before="0" w:after="0"/>
              <w:ind w:left="0" w:right="0" w:hanging="0"/>
              <w:jc w:val="left"/>
              <w:rPr>
                <w:rFonts w:ascii="helvetica" w:hAnsi="helvetica"/>
                <w:sz w:val="20"/>
              </w:rPr>
            </w:pPr>
            <w:r>
              <w:rPr>
                <w:rFonts w:ascii="helvetica" w:hAnsi="helvetica"/>
                <w:sz w:val="20"/>
              </w:rPr>
              <w:t>Deferred revenue</w:t>
            </w:r>
          </w:p>
        </w:tc>
        <w:tc>
          <w:tcPr>
            <w:tcW w:w="103"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jc w:val="left"/>
              <w:rPr/>
            </w:pPr>
            <w:r>
              <w:rPr/>
              <w:t> </w:t>
            </w:r>
          </w:p>
        </w:tc>
        <w:tc>
          <w:tcPr>
            <w:tcW w:w="1107"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w:t>
            </w:r>
          </w:p>
        </w:tc>
        <w:tc>
          <w:tcPr>
            <w:tcW w:w="110" w:type="dxa"/>
            <w:tcBorders/>
            <w:shd w:fill="CCEEFF" w:val="clear"/>
            <w:vAlign w:val="bottom"/>
          </w:tcPr>
          <w:p>
            <w:pPr>
              <w:pStyle w:val="TableContents"/>
              <w:spacing w:before="0" w:after="283"/>
              <w:jc w:val="left"/>
              <w:rPr/>
            </w:pPr>
            <w:r>
              <w:rPr/>
              <w:t> </w:t>
            </w:r>
          </w:p>
        </w:tc>
        <w:tc>
          <w:tcPr>
            <w:tcW w:w="103"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jc w:val="left"/>
              <w:rPr/>
            </w:pPr>
            <w:r>
              <w:rPr/>
              <w:t> </w:t>
            </w:r>
          </w:p>
        </w:tc>
        <w:tc>
          <w:tcPr>
            <w:tcW w:w="1107"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100,000</w:t>
            </w:r>
          </w:p>
        </w:tc>
        <w:tc>
          <w:tcPr>
            <w:tcW w:w="110" w:type="dxa"/>
            <w:tcBorders/>
            <w:shd w:fill="CCEEFF" w:val="clear"/>
            <w:vAlign w:val="bottom"/>
          </w:tcPr>
          <w:p>
            <w:pPr>
              <w:pStyle w:val="TableContents"/>
              <w:spacing w:before="0" w:after="283"/>
              <w:jc w:val="left"/>
              <w:rPr/>
            </w:pPr>
            <w:r>
              <w:rPr/>
              <w:t> </w:t>
            </w:r>
          </w:p>
        </w:tc>
        <w:tc>
          <w:tcPr>
            <w:tcW w:w="103" w:type="dxa"/>
            <w:tcBorders/>
            <w:shd w:fill="CCEEFF" w:val="clear"/>
            <w:vAlign w:val="bottom"/>
          </w:tcPr>
          <w:p>
            <w:pPr>
              <w:pStyle w:val="TableContents"/>
              <w:spacing w:before="0" w:after="283"/>
              <w:rPr/>
            </w:pPr>
            <w:r>
              <w:rPr/>
              <w:t> </w:t>
            </w:r>
          </w:p>
        </w:tc>
        <w:tc>
          <w:tcPr>
            <w:tcW w:w="1233" w:type="dxa"/>
            <w:gridSpan w:val="2"/>
            <w:tcBorders/>
            <w:shd w:fill="CCEEFF" w:val="clear"/>
            <w:vAlign w:val="bottom"/>
          </w:tcPr>
          <w:p>
            <w:pPr>
              <w:pStyle w:val="TableContents"/>
              <w:spacing w:before="0" w:after="283"/>
              <w:rPr/>
            </w:pPr>
            <w:r>
              <w:rPr/>
              <w:t> </w:t>
            </w:r>
          </w:p>
        </w:tc>
        <w:tc>
          <w:tcPr>
            <w:tcW w:w="122" w:type="dxa"/>
            <w:tcBorders/>
            <w:shd w:fill="CCEEFF" w:val="clear"/>
            <w:vAlign w:val="bottom"/>
          </w:tcPr>
          <w:p>
            <w:pPr>
              <w:pStyle w:val="TableContents"/>
              <w:spacing w:before="0" w:after="283"/>
              <w:jc w:val="left"/>
              <w:rPr/>
            </w:pPr>
            <w:r>
              <w:rPr/>
              <w:t> </w:t>
            </w:r>
          </w:p>
        </w:tc>
      </w:tr>
      <w:tr>
        <w:trPr/>
        <w:tc>
          <w:tcPr>
            <w:tcW w:w="5855" w:type="dxa"/>
            <w:tcBorders/>
            <w:shd w:fill="FFFFFF" w:val="clear"/>
            <w:vAlign w:val="bottom"/>
          </w:tcPr>
          <w:p>
            <w:pPr>
              <w:pStyle w:val="TableContents"/>
              <w:spacing w:before="0" w:after="0"/>
              <w:ind w:left="0" w:right="0" w:hanging="0"/>
              <w:jc w:val="left"/>
              <w:rPr>
                <w:rFonts w:ascii="helvetica" w:hAnsi="helvetica"/>
                <w:sz w:val="20"/>
              </w:rPr>
            </w:pPr>
            <w:r>
              <w:rPr>
                <w:rFonts w:ascii="helvetica" w:hAnsi="helvetica"/>
                <w:sz w:val="20"/>
              </w:rPr>
              <w:t>Notes payable and accrued interest - related party</w:t>
            </w:r>
          </w:p>
        </w:tc>
        <w:tc>
          <w:tcPr>
            <w:tcW w:w="103" w:type="dxa"/>
            <w:tcBorders/>
            <w:shd w:fill="FFFFFF" w:val="clear"/>
            <w:vAlign w:val="bottom"/>
          </w:tcPr>
          <w:p>
            <w:pPr>
              <w:pStyle w:val="TableContents"/>
              <w:spacing w:before="0" w:after="283"/>
              <w:rPr/>
            </w:pPr>
            <w:r>
              <w:rPr/>
              <w:t> </w:t>
            </w:r>
          </w:p>
        </w:tc>
        <w:tc>
          <w:tcPr>
            <w:tcW w:w="126" w:type="dxa"/>
            <w:tcBorders/>
            <w:shd w:fill="FFFFFF" w:val="clear"/>
            <w:vAlign w:val="bottom"/>
          </w:tcPr>
          <w:p>
            <w:pPr>
              <w:pStyle w:val="TableContents"/>
              <w:spacing w:before="0" w:after="283"/>
              <w:jc w:val="left"/>
              <w:rPr/>
            </w:pPr>
            <w:r>
              <w:rPr/>
              <w:t> </w:t>
            </w:r>
          </w:p>
        </w:tc>
        <w:tc>
          <w:tcPr>
            <w:tcW w:w="1107"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w:t>
            </w:r>
          </w:p>
        </w:tc>
        <w:tc>
          <w:tcPr>
            <w:tcW w:w="110" w:type="dxa"/>
            <w:tcBorders/>
            <w:shd w:fill="FFFFFF" w:val="clear"/>
            <w:vAlign w:val="bottom"/>
          </w:tcPr>
          <w:p>
            <w:pPr>
              <w:pStyle w:val="TableContents"/>
              <w:spacing w:before="0" w:after="283"/>
              <w:jc w:val="left"/>
              <w:rPr/>
            </w:pPr>
            <w:r>
              <w:rPr/>
              <w:t> </w:t>
            </w:r>
          </w:p>
        </w:tc>
        <w:tc>
          <w:tcPr>
            <w:tcW w:w="103" w:type="dxa"/>
            <w:tcBorders/>
            <w:shd w:fill="FFFFFF" w:val="clear"/>
            <w:vAlign w:val="bottom"/>
          </w:tcPr>
          <w:p>
            <w:pPr>
              <w:pStyle w:val="TableContents"/>
              <w:spacing w:before="0" w:after="283"/>
              <w:rPr/>
            </w:pPr>
            <w:r>
              <w:rPr/>
              <w:t> </w:t>
            </w:r>
          </w:p>
        </w:tc>
        <w:tc>
          <w:tcPr>
            <w:tcW w:w="126" w:type="dxa"/>
            <w:tcBorders/>
            <w:shd w:fill="FFFFFF" w:val="clear"/>
            <w:vAlign w:val="bottom"/>
          </w:tcPr>
          <w:p>
            <w:pPr>
              <w:pStyle w:val="TableContents"/>
              <w:spacing w:before="0" w:after="283"/>
              <w:jc w:val="left"/>
              <w:rPr/>
            </w:pPr>
            <w:r>
              <w:rPr/>
              <w:t> </w:t>
            </w:r>
          </w:p>
        </w:tc>
        <w:tc>
          <w:tcPr>
            <w:tcW w:w="1107"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300,000</w:t>
            </w:r>
          </w:p>
        </w:tc>
        <w:tc>
          <w:tcPr>
            <w:tcW w:w="110" w:type="dxa"/>
            <w:tcBorders/>
            <w:shd w:fill="FFFFFF" w:val="clear"/>
            <w:vAlign w:val="bottom"/>
          </w:tcPr>
          <w:p>
            <w:pPr>
              <w:pStyle w:val="TableContents"/>
              <w:spacing w:before="0" w:after="283"/>
              <w:jc w:val="left"/>
              <w:rPr/>
            </w:pPr>
            <w:r>
              <w:rPr/>
              <w:t> </w:t>
            </w:r>
          </w:p>
        </w:tc>
        <w:tc>
          <w:tcPr>
            <w:tcW w:w="103" w:type="dxa"/>
            <w:tcBorders/>
            <w:shd w:fill="FFFFFF" w:val="clear"/>
            <w:vAlign w:val="bottom"/>
          </w:tcPr>
          <w:p>
            <w:pPr>
              <w:pStyle w:val="TableContents"/>
              <w:spacing w:before="0" w:after="283"/>
              <w:rPr/>
            </w:pPr>
            <w:r>
              <w:rPr/>
              <w:t> </w:t>
            </w:r>
          </w:p>
        </w:tc>
        <w:tc>
          <w:tcPr>
            <w:tcW w:w="1233" w:type="dxa"/>
            <w:gridSpan w:val="2"/>
            <w:tcBorders/>
            <w:shd w:fill="FFFFFF" w:val="clear"/>
            <w:vAlign w:val="bottom"/>
          </w:tcPr>
          <w:p>
            <w:pPr>
              <w:pStyle w:val="TableContents"/>
              <w:spacing w:before="0" w:after="283"/>
              <w:rPr/>
            </w:pPr>
            <w:r>
              <w:rPr/>
              <w:t> </w:t>
            </w:r>
          </w:p>
        </w:tc>
        <w:tc>
          <w:tcPr>
            <w:tcW w:w="122" w:type="dxa"/>
            <w:tcBorders/>
            <w:shd w:fill="FFFFFF" w:val="clear"/>
            <w:vAlign w:val="bottom"/>
          </w:tcPr>
          <w:p>
            <w:pPr>
              <w:pStyle w:val="TableContents"/>
              <w:spacing w:before="0" w:after="283"/>
              <w:jc w:val="left"/>
              <w:rPr/>
            </w:pPr>
            <w:r>
              <w:rPr/>
              <w:t> </w:t>
            </w:r>
          </w:p>
        </w:tc>
      </w:tr>
      <w:tr>
        <w:trPr/>
        <w:tc>
          <w:tcPr>
            <w:tcW w:w="5855" w:type="dxa"/>
            <w:tcBorders/>
            <w:shd w:fill="CCEEFF" w:val="clear"/>
            <w:vAlign w:val="bottom"/>
          </w:tcPr>
          <w:p>
            <w:pPr>
              <w:pStyle w:val="TableContents"/>
              <w:spacing w:before="0" w:after="0"/>
              <w:ind w:left="0" w:right="0" w:hanging="0"/>
              <w:jc w:val="left"/>
              <w:rPr>
                <w:rFonts w:ascii="helvetica" w:hAnsi="helvetica"/>
                <w:sz w:val="20"/>
              </w:rPr>
            </w:pPr>
            <w:r>
              <w:rPr>
                <w:rFonts w:ascii="helvetica" w:hAnsi="helvetica"/>
                <w:sz w:val="20"/>
              </w:rPr>
              <w:t>Convertible note payable and accrued interest</w:t>
            </w:r>
          </w:p>
        </w:tc>
        <w:tc>
          <w:tcPr>
            <w:tcW w:w="103" w:type="dxa"/>
            <w:tcBorders/>
            <w:shd w:fill="CCEEFF" w:val="clear"/>
            <w:vAlign w:val="bottom"/>
          </w:tcPr>
          <w:p>
            <w:pPr>
              <w:pStyle w:val="TableContents"/>
              <w:spacing w:before="0" w:after="283"/>
              <w:rPr/>
            </w:pPr>
            <w:r>
              <w:rPr/>
              <w:t> </w:t>
            </w:r>
          </w:p>
        </w:tc>
        <w:tc>
          <w:tcPr>
            <w:tcW w:w="126"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107" w:type="dxa"/>
            <w:tcBorders>
              <w:bottom w:val="single" w:sz="12" w:space="0" w:color="000000"/>
            </w:tcBorders>
            <w:shd w:fill="CCEE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w:t>
            </w:r>
          </w:p>
        </w:tc>
        <w:tc>
          <w:tcPr>
            <w:tcW w:w="110" w:type="dxa"/>
            <w:tcBorders/>
            <w:shd w:fill="CCEEFF" w:val="clear"/>
            <w:vAlign w:val="bottom"/>
          </w:tcPr>
          <w:p>
            <w:pPr>
              <w:pStyle w:val="TableContents"/>
              <w:spacing w:before="0" w:after="283"/>
              <w:jc w:val="left"/>
              <w:rPr/>
            </w:pPr>
            <w:r>
              <w:rPr/>
              <w:t> </w:t>
            </w:r>
          </w:p>
        </w:tc>
        <w:tc>
          <w:tcPr>
            <w:tcW w:w="103" w:type="dxa"/>
            <w:tcBorders/>
            <w:shd w:fill="CCEEFF" w:val="clear"/>
            <w:vAlign w:val="bottom"/>
          </w:tcPr>
          <w:p>
            <w:pPr>
              <w:pStyle w:val="TableContents"/>
              <w:spacing w:before="0" w:after="283"/>
              <w:rPr/>
            </w:pPr>
            <w:r>
              <w:rPr/>
              <w:t> </w:t>
            </w:r>
          </w:p>
        </w:tc>
        <w:tc>
          <w:tcPr>
            <w:tcW w:w="126"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107" w:type="dxa"/>
            <w:tcBorders>
              <w:bottom w:val="single" w:sz="12" w:space="0" w:color="000000"/>
            </w:tcBorders>
            <w:shd w:fill="CCEE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1,130,479</w:t>
            </w:r>
          </w:p>
        </w:tc>
        <w:tc>
          <w:tcPr>
            <w:tcW w:w="110" w:type="dxa"/>
            <w:tcBorders/>
            <w:shd w:fill="CCEEFF" w:val="clear"/>
            <w:vAlign w:val="bottom"/>
          </w:tcPr>
          <w:p>
            <w:pPr>
              <w:pStyle w:val="TableContents"/>
              <w:spacing w:before="0" w:after="283"/>
              <w:jc w:val="left"/>
              <w:rPr/>
            </w:pPr>
            <w:r>
              <w:rPr/>
              <w:t> </w:t>
            </w:r>
          </w:p>
        </w:tc>
        <w:tc>
          <w:tcPr>
            <w:tcW w:w="103" w:type="dxa"/>
            <w:tcBorders/>
            <w:shd w:fill="CCEEFF" w:val="clear"/>
            <w:vAlign w:val="bottom"/>
          </w:tcPr>
          <w:p>
            <w:pPr>
              <w:pStyle w:val="TableContents"/>
              <w:spacing w:before="0" w:after="283"/>
              <w:rPr/>
            </w:pPr>
            <w:r>
              <w:rPr/>
              <w:t> </w:t>
            </w:r>
          </w:p>
        </w:tc>
        <w:tc>
          <w:tcPr>
            <w:tcW w:w="1233" w:type="dxa"/>
            <w:gridSpan w:val="2"/>
            <w:tcBorders>
              <w:bottom w:val="single" w:sz="12" w:space="0" w:color="000000"/>
            </w:tcBorders>
            <w:shd w:fill="CCEEFF" w:val="clear"/>
            <w:tcMar>
              <w:bottom w:w="28" w:type="dxa"/>
            </w:tcMar>
            <w:vAlign w:val="bottom"/>
          </w:tcPr>
          <w:p>
            <w:pPr>
              <w:pStyle w:val="TableContents"/>
              <w:spacing w:before="0" w:after="283"/>
              <w:rPr/>
            </w:pPr>
            <w:r>
              <w:rPr/>
              <w:t> </w:t>
            </w:r>
          </w:p>
        </w:tc>
        <w:tc>
          <w:tcPr>
            <w:tcW w:w="122" w:type="dxa"/>
            <w:tcBorders/>
            <w:shd w:fill="CCEEFF" w:val="clear"/>
            <w:vAlign w:val="bottom"/>
          </w:tcPr>
          <w:p>
            <w:pPr>
              <w:pStyle w:val="TableContents"/>
              <w:spacing w:before="0" w:after="283"/>
              <w:jc w:val="left"/>
              <w:rPr/>
            </w:pPr>
            <w:r>
              <w:rPr/>
              <w:t> </w:t>
            </w:r>
          </w:p>
        </w:tc>
      </w:tr>
      <w:tr>
        <w:trPr/>
        <w:tc>
          <w:tcPr>
            <w:tcW w:w="5855" w:type="dxa"/>
            <w:tcBorders/>
            <w:shd w:fill="FFFFFF" w:val="clear"/>
            <w:vAlign w:val="bottom"/>
          </w:tcPr>
          <w:p>
            <w:pPr>
              <w:pStyle w:val="TableContents"/>
              <w:spacing w:before="0" w:after="0"/>
              <w:ind w:left="0" w:right="0" w:hanging="0"/>
              <w:jc w:val="left"/>
              <w:rPr>
                <w:rFonts w:ascii="helvetica" w:hAnsi="helvetica"/>
                <w:sz w:val="20"/>
              </w:rPr>
            </w:pPr>
            <w:r>
              <w:rPr>
                <w:rFonts w:ascii="helvetica" w:hAnsi="helvetica"/>
                <w:sz w:val="20"/>
              </w:rPr>
              <w:t>Total current liabilities</w:t>
            </w:r>
          </w:p>
        </w:tc>
        <w:tc>
          <w:tcPr>
            <w:tcW w:w="103" w:type="dxa"/>
            <w:tcBorders/>
            <w:shd w:fill="FFFFFF" w:val="clear"/>
            <w:vAlign w:val="bottom"/>
          </w:tcPr>
          <w:p>
            <w:pPr>
              <w:pStyle w:val="TableContents"/>
              <w:spacing w:before="0" w:after="283"/>
              <w:rPr/>
            </w:pPr>
            <w:r>
              <w:rPr/>
              <w:t> </w:t>
            </w:r>
          </w:p>
        </w:tc>
        <w:tc>
          <w:tcPr>
            <w:tcW w:w="126" w:type="dxa"/>
            <w:tcBorders/>
            <w:shd w:fill="FFFFFF" w:val="clear"/>
            <w:vAlign w:val="bottom"/>
          </w:tcPr>
          <w:p>
            <w:pPr>
              <w:pStyle w:val="TableContents"/>
              <w:spacing w:before="0" w:after="283"/>
              <w:jc w:val="left"/>
              <w:rPr/>
            </w:pPr>
            <w:r>
              <w:rPr/>
              <w:t> </w:t>
            </w:r>
          </w:p>
        </w:tc>
        <w:tc>
          <w:tcPr>
            <w:tcW w:w="1107"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491,199</w:t>
            </w:r>
          </w:p>
        </w:tc>
        <w:tc>
          <w:tcPr>
            <w:tcW w:w="110" w:type="dxa"/>
            <w:tcBorders/>
            <w:shd w:fill="FFFFFF" w:val="clear"/>
            <w:vAlign w:val="bottom"/>
          </w:tcPr>
          <w:p>
            <w:pPr>
              <w:pStyle w:val="TableContents"/>
              <w:spacing w:before="0" w:after="283"/>
              <w:jc w:val="left"/>
              <w:rPr/>
            </w:pPr>
            <w:r>
              <w:rPr/>
              <w:t> </w:t>
            </w:r>
          </w:p>
        </w:tc>
        <w:tc>
          <w:tcPr>
            <w:tcW w:w="103" w:type="dxa"/>
            <w:tcBorders/>
            <w:shd w:fill="FFFFFF" w:val="clear"/>
            <w:vAlign w:val="bottom"/>
          </w:tcPr>
          <w:p>
            <w:pPr>
              <w:pStyle w:val="TableContents"/>
              <w:spacing w:before="0" w:after="283"/>
              <w:rPr/>
            </w:pPr>
            <w:r>
              <w:rPr/>
              <w:t> </w:t>
            </w:r>
          </w:p>
        </w:tc>
        <w:tc>
          <w:tcPr>
            <w:tcW w:w="126" w:type="dxa"/>
            <w:tcBorders/>
            <w:shd w:fill="FFFFFF" w:val="clear"/>
            <w:vAlign w:val="bottom"/>
          </w:tcPr>
          <w:p>
            <w:pPr>
              <w:pStyle w:val="TableContents"/>
              <w:spacing w:before="0" w:after="283"/>
              <w:jc w:val="left"/>
              <w:rPr/>
            </w:pPr>
            <w:r>
              <w:rPr/>
              <w:t> </w:t>
            </w:r>
          </w:p>
        </w:tc>
        <w:tc>
          <w:tcPr>
            <w:tcW w:w="1107"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1,860,962</w:t>
            </w:r>
          </w:p>
        </w:tc>
        <w:tc>
          <w:tcPr>
            <w:tcW w:w="110" w:type="dxa"/>
            <w:tcBorders/>
            <w:shd w:fill="FFFFFF" w:val="clear"/>
            <w:vAlign w:val="bottom"/>
          </w:tcPr>
          <w:p>
            <w:pPr>
              <w:pStyle w:val="TableContents"/>
              <w:spacing w:before="0" w:after="283"/>
              <w:jc w:val="left"/>
              <w:rPr/>
            </w:pPr>
            <w:r>
              <w:rPr/>
              <w:t> </w:t>
            </w:r>
          </w:p>
        </w:tc>
        <w:tc>
          <w:tcPr>
            <w:tcW w:w="103" w:type="dxa"/>
            <w:tcBorders/>
            <w:shd w:fill="FFFFFF" w:val="clear"/>
            <w:vAlign w:val="bottom"/>
          </w:tcPr>
          <w:p>
            <w:pPr>
              <w:pStyle w:val="TableContents"/>
              <w:spacing w:before="0" w:after="283"/>
              <w:rPr/>
            </w:pPr>
            <w:r>
              <w:rPr/>
              <w:t> </w:t>
            </w:r>
          </w:p>
        </w:tc>
        <w:tc>
          <w:tcPr>
            <w:tcW w:w="1233" w:type="dxa"/>
            <w:gridSpan w:val="2"/>
            <w:tcBorders/>
            <w:shd w:fill="FFFFFF" w:val="clear"/>
            <w:vAlign w:val="bottom"/>
          </w:tcPr>
          <w:p>
            <w:pPr>
              <w:pStyle w:val="TableContents"/>
              <w:spacing w:before="0" w:after="283"/>
              <w:rPr/>
            </w:pPr>
            <w:r>
              <w:rPr/>
              <w:t> </w:t>
            </w:r>
          </w:p>
        </w:tc>
        <w:tc>
          <w:tcPr>
            <w:tcW w:w="122" w:type="dxa"/>
            <w:tcBorders/>
            <w:shd w:fill="FFFFFF" w:val="clear"/>
            <w:vAlign w:val="bottom"/>
          </w:tcPr>
          <w:p>
            <w:pPr>
              <w:pStyle w:val="TableContents"/>
              <w:spacing w:before="0" w:after="283"/>
              <w:jc w:val="left"/>
              <w:rPr/>
            </w:pPr>
            <w:r>
              <w:rPr/>
              <w:t> </w:t>
            </w:r>
          </w:p>
        </w:tc>
      </w:tr>
      <w:tr>
        <w:trPr/>
        <w:tc>
          <w:tcPr>
            <w:tcW w:w="5855" w:type="dxa"/>
            <w:tcBorders/>
            <w:shd w:fill="CCEEFF" w:val="clear"/>
            <w:vAlign w:val="bottom"/>
          </w:tcPr>
          <w:p>
            <w:pPr>
              <w:pStyle w:val="TableContents"/>
              <w:spacing w:before="0" w:after="0"/>
              <w:ind w:left="0" w:right="0" w:hanging="0"/>
              <w:jc w:val="left"/>
              <w:rPr>
                <w:rFonts w:ascii="helvetica" w:hAnsi="helvetica"/>
                <w:sz w:val="20"/>
              </w:rPr>
            </w:pPr>
            <w:r>
              <w:rPr>
                <w:rFonts w:ascii="helvetica" w:hAnsi="helvetica"/>
                <w:sz w:val="20"/>
              </w:rPr>
              <w:t>Commitments and contingencies</w:t>
            </w:r>
          </w:p>
        </w:tc>
        <w:tc>
          <w:tcPr>
            <w:tcW w:w="103"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jc w:val="left"/>
              <w:rPr/>
            </w:pPr>
            <w:r>
              <w:rPr/>
              <w:t> </w:t>
            </w:r>
          </w:p>
        </w:tc>
        <w:tc>
          <w:tcPr>
            <w:tcW w:w="1107" w:type="dxa"/>
            <w:tcBorders/>
            <w:shd w:fill="CCEEFF" w:val="clear"/>
            <w:vAlign w:val="bottom"/>
          </w:tcPr>
          <w:p>
            <w:pPr>
              <w:pStyle w:val="TableContents"/>
              <w:spacing w:before="0" w:after="283"/>
              <w:jc w:val="right"/>
              <w:rPr/>
            </w:pPr>
            <w:r>
              <w:rPr/>
              <w:t> </w:t>
            </w:r>
          </w:p>
        </w:tc>
        <w:tc>
          <w:tcPr>
            <w:tcW w:w="110" w:type="dxa"/>
            <w:tcBorders/>
            <w:shd w:fill="CCEEFF" w:val="clear"/>
            <w:vAlign w:val="bottom"/>
          </w:tcPr>
          <w:p>
            <w:pPr>
              <w:pStyle w:val="TableContents"/>
              <w:spacing w:before="0" w:after="283"/>
              <w:jc w:val="left"/>
              <w:rPr/>
            </w:pPr>
            <w:r>
              <w:rPr/>
              <w:t> </w:t>
            </w:r>
          </w:p>
        </w:tc>
        <w:tc>
          <w:tcPr>
            <w:tcW w:w="103"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jc w:val="left"/>
              <w:rPr/>
            </w:pPr>
            <w:r>
              <w:rPr/>
              <w:t> </w:t>
            </w:r>
          </w:p>
        </w:tc>
        <w:tc>
          <w:tcPr>
            <w:tcW w:w="1107" w:type="dxa"/>
            <w:tcBorders/>
            <w:shd w:fill="CCEEFF" w:val="clear"/>
            <w:vAlign w:val="bottom"/>
          </w:tcPr>
          <w:p>
            <w:pPr>
              <w:pStyle w:val="TableContents"/>
              <w:spacing w:before="0" w:after="283"/>
              <w:jc w:val="right"/>
              <w:rPr/>
            </w:pPr>
            <w:r>
              <w:rPr/>
              <w:t> </w:t>
            </w:r>
          </w:p>
        </w:tc>
        <w:tc>
          <w:tcPr>
            <w:tcW w:w="110" w:type="dxa"/>
            <w:tcBorders/>
            <w:shd w:fill="CCEEFF" w:val="clear"/>
            <w:vAlign w:val="bottom"/>
          </w:tcPr>
          <w:p>
            <w:pPr>
              <w:pStyle w:val="TableContents"/>
              <w:spacing w:before="0" w:after="283"/>
              <w:jc w:val="left"/>
              <w:rPr/>
            </w:pPr>
            <w:r>
              <w:rPr/>
              <w:t> </w:t>
            </w:r>
          </w:p>
        </w:tc>
        <w:tc>
          <w:tcPr>
            <w:tcW w:w="103" w:type="dxa"/>
            <w:tcBorders/>
            <w:shd w:fill="CCEEFF" w:val="clear"/>
            <w:vAlign w:val="bottom"/>
          </w:tcPr>
          <w:p>
            <w:pPr>
              <w:pStyle w:val="TableContents"/>
              <w:spacing w:before="0" w:after="283"/>
              <w:rPr/>
            </w:pPr>
            <w:r>
              <w:rPr/>
              <w:t> </w:t>
            </w:r>
          </w:p>
        </w:tc>
        <w:tc>
          <w:tcPr>
            <w:tcW w:w="1233" w:type="dxa"/>
            <w:gridSpan w:val="2"/>
            <w:tcBorders/>
            <w:shd w:fill="CCEEFF" w:val="clear"/>
            <w:vAlign w:val="bottom"/>
          </w:tcPr>
          <w:p>
            <w:pPr>
              <w:pStyle w:val="TableContents"/>
              <w:spacing w:before="0" w:after="283"/>
              <w:rPr/>
            </w:pPr>
            <w:r>
              <w:rPr/>
              <w:t> </w:t>
            </w:r>
          </w:p>
        </w:tc>
        <w:tc>
          <w:tcPr>
            <w:tcW w:w="122" w:type="dxa"/>
            <w:tcBorders/>
            <w:shd w:fill="CCEEFF" w:val="clear"/>
            <w:vAlign w:val="bottom"/>
          </w:tcPr>
          <w:p>
            <w:pPr>
              <w:pStyle w:val="TableContents"/>
              <w:spacing w:before="0" w:after="283"/>
              <w:jc w:val="left"/>
              <w:rPr/>
            </w:pPr>
            <w:r>
              <w:rPr/>
              <w:t> </w:t>
            </w:r>
          </w:p>
        </w:tc>
      </w:tr>
      <w:tr>
        <w:trPr/>
        <w:tc>
          <w:tcPr>
            <w:tcW w:w="5855" w:type="dxa"/>
            <w:tcBorders/>
            <w:shd w:fill="FFFFFF" w:val="clear"/>
            <w:vAlign w:val="bottom"/>
          </w:tcPr>
          <w:p>
            <w:pPr>
              <w:pStyle w:val="TableContents"/>
              <w:spacing w:before="0" w:after="0"/>
              <w:ind w:left="0" w:right="0" w:hanging="0"/>
              <w:jc w:val="left"/>
              <w:rPr>
                <w:rFonts w:ascii="helvetica" w:hAnsi="helvetica"/>
                <w:sz w:val="20"/>
              </w:rPr>
            </w:pPr>
            <w:r>
              <w:rPr>
                <w:rFonts w:ascii="helvetica" w:hAnsi="helvetica"/>
                <w:sz w:val="20"/>
              </w:rPr>
              <w:t>STOCKHOLDERS' EQUITY (DEFICIT)</w:t>
            </w:r>
          </w:p>
        </w:tc>
        <w:tc>
          <w:tcPr>
            <w:tcW w:w="103" w:type="dxa"/>
            <w:tcBorders/>
            <w:shd w:fill="FFFFFF" w:val="clear"/>
            <w:vAlign w:val="bottom"/>
          </w:tcPr>
          <w:p>
            <w:pPr>
              <w:pStyle w:val="TableContents"/>
              <w:spacing w:before="0" w:after="283"/>
              <w:rPr/>
            </w:pPr>
            <w:r>
              <w:rPr/>
              <w:t> </w:t>
            </w:r>
          </w:p>
        </w:tc>
        <w:tc>
          <w:tcPr>
            <w:tcW w:w="126" w:type="dxa"/>
            <w:tcBorders/>
            <w:shd w:fill="FFFFFF" w:val="clear"/>
            <w:vAlign w:val="bottom"/>
          </w:tcPr>
          <w:p>
            <w:pPr>
              <w:pStyle w:val="TableContents"/>
              <w:spacing w:before="0" w:after="283"/>
              <w:jc w:val="left"/>
              <w:rPr/>
            </w:pPr>
            <w:r>
              <w:rPr/>
              <w:t> </w:t>
            </w:r>
          </w:p>
        </w:tc>
        <w:tc>
          <w:tcPr>
            <w:tcW w:w="1107" w:type="dxa"/>
            <w:tcBorders/>
            <w:shd w:fill="FFFFFF" w:val="clear"/>
            <w:vAlign w:val="bottom"/>
          </w:tcPr>
          <w:p>
            <w:pPr>
              <w:pStyle w:val="TableContents"/>
              <w:spacing w:before="0" w:after="283"/>
              <w:jc w:val="right"/>
              <w:rPr/>
            </w:pPr>
            <w:r>
              <w:rPr/>
              <w:t> </w:t>
            </w:r>
          </w:p>
        </w:tc>
        <w:tc>
          <w:tcPr>
            <w:tcW w:w="110" w:type="dxa"/>
            <w:tcBorders/>
            <w:shd w:fill="FFFFFF" w:val="clear"/>
            <w:vAlign w:val="bottom"/>
          </w:tcPr>
          <w:p>
            <w:pPr>
              <w:pStyle w:val="TableContents"/>
              <w:spacing w:before="0" w:after="283"/>
              <w:jc w:val="left"/>
              <w:rPr/>
            </w:pPr>
            <w:r>
              <w:rPr/>
              <w:t> </w:t>
            </w:r>
          </w:p>
        </w:tc>
        <w:tc>
          <w:tcPr>
            <w:tcW w:w="103" w:type="dxa"/>
            <w:tcBorders/>
            <w:shd w:fill="FFFFFF" w:val="clear"/>
            <w:vAlign w:val="bottom"/>
          </w:tcPr>
          <w:p>
            <w:pPr>
              <w:pStyle w:val="TableContents"/>
              <w:spacing w:before="0" w:after="283"/>
              <w:rPr/>
            </w:pPr>
            <w:r>
              <w:rPr/>
              <w:t> </w:t>
            </w:r>
          </w:p>
        </w:tc>
        <w:tc>
          <w:tcPr>
            <w:tcW w:w="126" w:type="dxa"/>
            <w:tcBorders/>
            <w:shd w:fill="FFFFFF" w:val="clear"/>
            <w:vAlign w:val="bottom"/>
          </w:tcPr>
          <w:p>
            <w:pPr>
              <w:pStyle w:val="TableContents"/>
              <w:spacing w:before="0" w:after="283"/>
              <w:jc w:val="left"/>
              <w:rPr/>
            </w:pPr>
            <w:r>
              <w:rPr/>
              <w:t> </w:t>
            </w:r>
          </w:p>
        </w:tc>
        <w:tc>
          <w:tcPr>
            <w:tcW w:w="1107" w:type="dxa"/>
            <w:tcBorders/>
            <w:shd w:fill="FFFFFF" w:val="clear"/>
            <w:vAlign w:val="bottom"/>
          </w:tcPr>
          <w:p>
            <w:pPr>
              <w:pStyle w:val="TableContents"/>
              <w:spacing w:before="0" w:after="283"/>
              <w:jc w:val="right"/>
              <w:rPr/>
            </w:pPr>
            <w:r>
              <w:rPr/>
              <w:t> </w:t>
            </w:r>
          </w:p>
        </w:tc>
        <w:tc>
          <w:tcPr>
            <w:tcW w:w="110" w:type="dxa"/>
            <w:tcBorders/>
            <w:shd w:fill="FFFFFF" w:val="clear"/>
            <w:vAlign w:val="bottom"/>
          </w:tcPr>
          <w:p>
            <w:pPr>
              <w:pStyle w:val="TableContents"/>
              <w:spacing w:before="0" w:after="283"/>
              <w:jc w:val="left"/>
              <w:rPr/>
            </w:pPr>
            <w:r>
              <w:rPr/>
              <w:t> </w:t>
            </w:r>
          </w:p>
        </w:tc>
        <w:tc>
          <w:tcPr>
            <w:tcW w:w="103" w:type="dxa"/>
            <w:tcBorders/>
            <w:shd w:fill="FFFFFF" w:val="clear"/>
            <w:vAlign w:val="bottom"/>
          </w:tcPr>
          <w:p>
            <w:pPr>
              <w:pStyle w:val="TableContents"/>
              <w:spacing w:before="0" w:after="283"/>
              <w:rPr/>
            </w:pPr>
            <w:r>
              <w:rPr/>
              <w:t> </w:t>
            </w:r>
          </w:p>
        </w:tc>
        <w:tc>
          <w:tcPr>
            <w:tcW w:w="1233" w:type="dxa"/>
            <w:gridSpan w:val="2"/>
            <w:tcBorders/>
            <w:shd w:fill="FFFFFF" w:val="clear"/>
            <w:vAlign w:val="bottom"/>
          </w:tcPr>
          <w:p>
            <w:pPr>
              <w:pStyle w:val="TableContents"/>
              <w:spacing w:before="0" w:after="283"/>
              <w:rPr/>
            </w:pPr>
            <w:r>
              <w:rPr/>
              <w:t> </w:t>
            </w:r>
          </w:p>
        </w:tc>
        <w:tc>
          <w:tcPr>
            <w:tcW w:w="122" w:type="dxa"/>
            <w:tcBorders/>
            <w:shd w:fill="FFFFFF" w:val="clear"/>
            <w:vAlign w:val="bottom"/>
          </w:tcPr>
          <w:p>
            <w:pPr>
              <w:pStyle w:val="TableContents"/>
              <w:spacing w:before="0" w:after="283"/>
              <w:jc w:val="left"/>
              <w:rPr/>
            </w:pPr>
            <w:r>
              <w:rPr/>
              <w:t> </w:t>
            </w:r>
          </w:p>
        </w:tc>
      </w:tr>
      <w:tr>
        <w:trPr/>
        <w:tc>
          <w:tcPr>
            <w:tcW w:w="5855" w:type="dxa"/>
            <w:tcBorders/>
            <w:shd w:fill="CCEEFF" w:val="clear"/>
            <w:vAlign w:val="bottom"/>
          </w:tcPr>
          <w:p>
            <w:pPr>
              <w:pStyle w:val="TableContents"/>
              <w:spacing w:before="0" w:after="0"/>
              <w:ind w:left="0" w:right="0" w:hanging="0"/>
              <w:jc w:val="left"/>
              <w:rPr>
                <w:rFonts w:ascii="helvetica" w:hAnsi="helvetica"/>
                <w:sz w:val="20"/>
              </w:rPr>
            </w:pPr>
            <w:r>
              <w:rPr>
                <w:rFonts w:ascii="helvetica" w:hAnsi="helvetica"/>
                <w:sz w:val="20"/>
              </w:rPr>
              <w:t>Series A Convertible preferred stock, $0.001 par value, 10 shares authorized,</w:t>
            </w:r>
          </w:p>
        </w:tc>
        <w:tc>
          <w:tcPr>
            <w:tcW w:w="103"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jc w:val="left"/>
              <w:rPr/>
            </w:pPr>
            <w:r>
              <w:rPr/>
              <w:t> </w:t>
            </w:r>
          </w:p>
        </w:tc>
        <w:tc>
          <w:tcPr>
            <w:tcW w:w="1107" w:type="dxa"/>
            <w:tcBorders/>
            <w:shd w:fill="CCEEFF" w:val="clear"/>
            <w:vAlign w:val="bottom"/>
          </w:tcPr>
          <w:p>
            <w:pPr>
              <w:pStyle w:val="TableContents"/>
              <w:spacing w:before="0" w:after="283"/>
              <w:jc w:val="right"/>
              <w:rPr/>
            </w:pPr>
            <w:r>
              <w:rPr/>
              <w:t> </w:t>
            </w:r>
          </w:p>
        </w:tc>
        <w:tc>
          <w:tcPr>
            <w:tcW w:w="110" w:type="dxa"/>
            <w:tcBorders/>
            <w:shd w:fill="CCEEFF" w:val="clear"/>
            <w:vAlign w:val="bottom"/>
          </w:tcPr>
          <w:p>
            <w:pPr>
              <w:pStyle w:val="TableContents"/>
              <w:spacing w:before="0" w:after="283"/>
              <w:jc w:val="left"/>
              <w:rPr/>
            </w:pPr>
            <w:r>
              <w:rPr/>
              <w:t> </w:t>
            </w:r>
          </w:p>
        </w:tc>
        <w:tc>
          <w:tcPr>
            <w:tcW w:w="103"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jc w:val="left"/>
              <w:rPr/>
            </w:pPr>
            <w:r>
              <w:rPr/>
              <w:t> </w:t>
            </w:r>
          </w:p>
        </w:tc>
        <w:tc>
          <w:tcPr>
            <w:tcW w:w="1107" w:type="dxa"/>
            <w:tcBorders/>
            <w:shd w:fill="CCEEFF" w:val="clear"/>
            <w:vAlign w:val="bottom"/>
          </w:tcPr>
          <w:p>
            <w:pPr>
              <w:pStyle w:val="TableContents"/>
              <w:spacing w:before="0" w:after="283"/>
              <w:jc w:val="right"/>
              <w:rPr/>
            </w:pPr>
            <w:r>
              <w:rPr/>
              <w:t> </w:t>
            </w:r>
          </w:p>
        </w:tc>
        <w:tc>
          <w:tcPr>
            <w:tcW w:w="110" w:type="dxa"/>
            <w:tcBorders/>
            <w:shd w:fill="CCEEFF" w:val="clear"/>
            <w:vAlign w:val="bottom"/>
          </w:tcPr>
          <w:p>
            <w:pPr>
              <w:pStyle w:val="TableContents"/>
              <w:spacing w:before="0" w:after="283"/>
              <w:jc w:val="left"/>
              <w:rPr/>
            </w:pPr>
            <w:r>
              <w:rPr/>
              <w:t> </w:t>
            </w:r>
          </w:p>
        </w:tc>
        <w:tc>
          <w:tcPr>
            <w:tcW w:w="103" w:type="dxa"/>
            <w:tcBorders/>
            <w:shd w:fill="CCEEFF" w:val="clear"/>
            <w:vAlign w:val="bottom"/>
          </w:tcPr>
          <w:p>
            <w:pPr>
              <w:pStyle w:val="TableContents"/>
              <w:spacing w:before="0" w:after="283"/>
              <w:rPr/>
            </w:pPr>
            <w:r>
              <w:rPr/>
              <w:t> </w:t>
            </w:r>
          </w:p>
        </w:tc>
        <w:tc>
          <w:tcPr>
            <w:tcW w:w="1233" w:type="dxa"/>
            <w:gridSpan w:val="2"/>
            <w:tcBorders/>
            <w:shd w:fill="CCEEFF" w:val="clear"/>
            <w:vAlign w:val="bottom"/>
          </w:tcPr>
          <w:p>
            <w:pPr>
              <w:pStyle w:val="TableContents"/>
              <w:spacing w:before="0" w:after="283"/>
              <w:rPr/>
            </w:pPr>
            <w:r>
              <w:rPr/>
              <w:t> </w:t>
            </w:r>
          </w:p>
        </w:tc>
        <w:tc>
          <w:tcPr>
            <w:tcW w:w="122" w:type="dxa"/>
            <w:tcBorders/>
            <w:shd w:fill="CCEEFF" w:val="clear"/>
            <w:vAlign w:val="bottom"/>
          </w:tcPr>
          <w:p>
            <w:pPr>
              <w:pStyle w:val="TableContents"/>
              <w:spacing w:before="0" w:after="283"/>
              <w:jc w:val="left"/>
              <w:rPr/>
            </w:pPr>
            <w:r>
              <w:rPr/>
              <w:t> </w:t>
            </w:r>
          </w:p>
        </w:tc>
      </w:tr>
      <w:tr>
        <w:trPr/>
        <w:tc>
          <w:tcPr>
            <w:tcW w:w="5855" w:type="dxa"/>
            <w:tcBorders/>
            <w:shd w:fill="FFFFFF" w:val="clear"/>
            <w:vAlign w:val="bottom"/>
          </w:tcPr>
          <w:p>
            <w:pPr>
              <w:pStyle w:val="TableContents"/>
              <w:spacing w:before="0" w:after="0"/>
              <w:ind w:left="0" w:right="0" w:hanging="0"/>
              <w:jc w:val="left"/>
              <w:rPr>
                <w:rFonts w:ascii="helvetica" w:hAnsi="helvetica"/>
                <w:sz w:val="20"/>
              </w:rPr>
            </w:pPr>
            <w:r>
              <w:rPr>
                <w:rFonts w:ascii="helvetica" w:hAnsi="helvetica"/>
                <w:sz w:val="20"/>
              </w:rPr>
              <w:t>none and 10 shares issued and outstanding</w:t>
            </w:r>
          </w:p>
        </w:tc>
        <w:tc>
          <w:tcPr>
            <w:tcW w:w="103" w:type="dxa"/>
            <w:tcBorders/>
            <w:shd w:fill="FFFFFF" w:val="clear"/>
            <w:vAlign w:val="bottom"/>
          </w:tcPr>
          <w:p>
            <w:pPr>
              <w:pStyle w:val="TableContents"/>
              <w:spacing w:before="0" w:after="283"/>
              <w:rPr/>
            </w:pPr>
            <w:r>
              <w:rPr/>
              <w:t> </w:t>
            </w:r>
          </w:p>
        </w:tc>
        <w:tc>
          <w:tcPr>
            <w:tcW w:w="126" w:type="dxa"/>
            <w:tcBorders/>
            <w:shd w:fill="FFFFFF" w:val="clear"/>
            <w:vAlign w:val="bottom"/>
          </w:tcPr>
          <w:p>
            <w:pPr>
              <w:pStyle w:val="TableContents"/>
              <w:spacing w:before="0" w:after="283"/>
              <w:jc w:val="left"/>
              <w:rPr/>
            </w:pPr>
            <w:r>
              <w:rPr/>
              <w:t> </w:t>
            </w:r>
          </w:p>
        </w:tc>
        <w:tc>
          <w:tcPr>
            <w:tcW w:w="1107" w:type="dxa"/>
            <w:tcBorders/>
            <w:shd w:fill="FFFFFF" w:val="clear"/>
            <w:vAlign w:val="bottom"/>
          </w:tcPr>
          <w:p>
            <w:pPr>
              <w:pStyle w:val="TableContents"/>
              <w:spacing w:before="0" w:after="283"/>
              <w:jc w:val="right"/>
              <w:rPr/>
            </w:pPr>
            <w:r>
              <w:rPr/>
              <w:t> </w:t>
            </w:r>
          </w:p>
        </w:tc>
        <w:tc>
          <w:tcPr>
            <w:tcW w:w="110" w:type="dxa"/>
            <w:tcBorders/>
            <w:shd w:fill="FFFFFF" w:val="clear"/>
            <w:vAlign w:val="bottom"/>
          </w:tcPr>
          <w:p>
            <w:pPr>
              <w:pStyle w:val="TableContents"/>
              <w:spacing w:before="0" w:after="283"/>
              <w:jc w:val="left"/>
              <w:rPr/>
            </w:pPr>
            <w:r>
              <w:rPr/>
              <w:t> </w:t>
            </w:r>
          </w:p>
        </w:tc>
        <w:tc>
          <w:tcPr>
            <w:tcW w:w="103" w:type="dxa"/>
            <w:tcBorders/>
            <w:shd w:fill="FFFFFF" w:val="clear"/>
            <w:vAlign w:val="bottom"/>
          </w:tcPr>
          <w:p>
            <w:pPr>
              <w:pStyle w:val="TableContents"/>
              <w:spacing w:before="0" w:after="283"/>
              <w:rPr/>
            </w:pPr>
            <w:r>
              <w:rPr/>
              <w:t> </w:t>
            </w:r>
          </w:p>
        </w:tc>
        <w:tc>
          <w:tcPr>
            <w:tcW w:w="126" w:type="dxa"/>
            <w:tcBorders/>
            <w:shd w:fill="FFFFFF" w:val="clear"/>
            <w:vAlign w:val="bottom"/>
          </w:tcPr>
          <w:p>
            <w:pPr>
              <w:pStyle w:val="TableContents"/>
              <w:spacing w:before="0" w:after="283"/>
              <w:jc w:val="left"/>
              <w:rPr/>
            </w:pPr>
            <w:r>
              <w:rPr/>
              <w:t> </w:t>
            </w:r>
          </w:p>
        </w:tc>
        <w:tc>
          <w:tcPr>
            <w:tcW w:w="1107" w:type="dxa"/>
            <w:tcBorders/>
            <w:shd w:fill="FFFFFF" w:val="clear"/>
            <w:vAlign w:val="bottom"/>
          </w:tcPr>
          <w:p>
            <w:pPr>
              <w:pStyle w:val="TableContents"/>
              <w:spacing w:before="0" w:after="283"/>
              <w:jc w:val="right"/>
              <w:rPr/>
            </w:pPr>
            <w:r>
              <w:rPr/>
              <w:t> </w:t>
            </w:r>
          </w:p>
        </w:tc>
        <w:tc>
          <w:tcPr>
            <w:tcW w:w="110" w:type="dxa"/>
            <w:tcBorders/>
            <w:shd w:fill="FFFFFF" w:val="clear"/>
            <w:vAlign w:val="bottom"/>
          </w:tcPr>
          <w:p>
            <w:pPr>
              <w:pStyle w:val="TableContents"/>
              <w:spacing w:before="0" w:after="283"/>
              <w:jc w:val="left"/>
              <w:rPr/>
            </w:pPr>
            <w:r>
              <w:rPr/>
              <w:t> </w:t>
            </w:r>
          </w:p>
        </w:tc>
        <w:tc>
          <w:tcPr>
            <w:tcW w:w="103" w:type="dxa"/>
            <w:tcBorders/>
            <w:shd w:fill="FFFFFF" w:val="clear"/>
            <w:vAlign w:val="bottom"/>
          </w:tcPr>
          <w:p>
            <w:pPr>
              <w:pStyle w:val="TableContents"/>
              <w:spacing w:before="0" w:after="283"/>
              <w:rPr/>
            </w:pPr>
            <w:r>
              <w:rPr/>
              <w:t> </w:t>
            </w:r>
          </w:p>
        </w:tc>
        <w:tc>
          <w:tcPr>
            <w:tcW w:w="1233" w:type="dxa"/>
            <w:gridSpan w:val="2"/>
            <w:tcBorders/>
            <w:shd w:fill="FFFFFF" w:val="clear"/>
            <w:vAlign w:val="bottom"/>
          </w:tcPr>
          <w:p>
            <w:pPr>
              <w:pStyle w:val="TableContents"/>
              <w:spacing w:before="0" w:after="283"/>
              <w:rPr/>
            </w:pPr>
            <w:r>
              <w:rPr/>
              <w:t> </w:t>
            </w:r>
          </w:p>
        </w:tc>
        <w:tc>
          <w:tcPr>
            <w:tcW w:w="122" w:type="dxa"/>
            <w:tcBorders/>
            <w:shd w:fill="FFFFFF" w:val="clear"/>
            <w:vAlign w:val="bottom"/>
          </w:tcPr>
          <w:p>
            <w:pPr>
              <w:pStyle w:val="TableContents"/>
              <w:spacing w:before="0" w:after="283"/>
              <w:jc w:val="left"/>
              <w:rPr/>
            </w:pPr>
            <w:r>
              <w:rPr/>
              <w:t> </w:t>
            </w:r>
          </w:p>
        </w:tc>
      </w:tr>
      <w:tr>
        <w:trPr/>
        <w:tc>
          <w:tcPr>
            <w:tcW w:w="5855" w:type="dxa"/>
            <w:tcBorders/>
            <w:shd w:fill="CCEEFF" w:val="clear"/>
            <w:vAlign w:val="bottom"/>
          </w:tcPr>
          <w:p>
            <w:pPr>
              <w:pStyle w:val="TableContents"/>
              <w:spacing w:before="0" w:after="0"/>
              <w:ind w:left="0" w:right="0" w:hanging="0"/>
              <w:jc w:val="left"/>
              <w:rPr>
                <w:rFonts w:ascii="helvetica" w:hAnsi="helvetica"/>
                <w:sz w:val="20"/>
              </w:rPr>
            </w:pPr>
            <w:r>
              <w:rPr>
                <w:rFonts w:ascii="helvetica" w:hAnsi="helvetica"/>
                <w:sz w:val="20"/>
              </w:rPr>
              <w:t>at June 30, 2012 and December 31, 2011, respectively</w:t>
            </w:r>
          </w:p>
        </w:tc>
        <w:tc>
          <w:tcPr>
            <w:tcW w:w="103"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jc w:val="left"/>
              <w:rPr/>
            </w:pPr>
            <w:r>
              <w:rPr/>
              <w:t> </w:t>
            </w:r>
          </w:p>
        </w:tc>
        <w:tc>
          <w:tcPr>
            <w:tcW w:w="1107"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w:t>
            </w:r>
          </w:p>
        </w:tc>
        <w:tc>
          <w:tcPr>
            <w:tcW w:w="110" w:type="dxa"/>
            <w:tcBorders/>
            <w:shd w:fill="CCEEFF" w:val="clear"/>
            <w:vAlign w:val="bottom"/>
          </w:tcPr>
          <w:p>
            <w:pPr>
              <w:pStyle w:val="TableContents"/>
              <w:spacing w:before="0" w:after="283"/>
              <w:jc w:val="left"/>
              <w:rPr/>
            </w:pPr>
            <w:r>
              <w:rPr/>
              <w:t> </w:t>
            </w:r>
          </w:p>
        </w:tc>
        <w:tc>
          <w:tcPr>
            <w:tcW w:w="103"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jc w:val="left"/>
              <w:rPr/>
            </w:pPr>
            <w:r>
              <w:rPr/>
              <w:t> </w:t>
            </w:r>
          </w:p>
        </w:tc>
        <w:tc>
          <w:tcPr>
            <w:tcW w:w="1107"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w:t>
            </w:r>
          </w:p>
        </w:tc>
        <w:tc>
          <w:tcPr>
            <w:tcW w:w="110" w:type="dxa"/>
            <w:tcBorders/>
            <w:shd w:fill="CCEEFF" w:val="clear"/>
            <w:vAlign w:val="bottom"/>
          </w:tcPr>
          <w:p>
            <w:pPr>
              <w:pStyle w:val="TableContents"/>
              <w:spacing w:before="0" w:after="283"/>
              <w:jc w:val="left"/>
              <w:rPr/>
            </w:pPr>
            <w:r>
              <w:rPr/>
              <w:t> </w:t>
            </w:r>
          </w:p>
        </w:tc>
        <w:tc>
          <w:tcPr>
            <w:tcW w:w="103"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jc w:val="left"/>
              <w:rPr/>
            </w:pPr>
            <w:r>
              <w:rPr/>
              <w:t> </w:t>
            </w:r>
          </w:p>
        </w:tc>
        <w:tc>
          <w:tcPr>
            <w:tcW w:w="1107"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w:t>
            </w:r>
          </w:p>
        </w:tc>
        <w:tc>
          <w:tcPr>
            <w:tcW w:w="122" w:type="dxa"/>
            <w:tcBorders/>
            <w:shd w:fill="CCEEFF" w:val="clear"/>
            <w:vAlign w:val="bottom"/>
          </w:tcPr>
          <w:p>
            <w:pPr>
              <w:pStyle w:val="TableContents"/>
              <w:spacing w:before="0" w:after="283"/>
              <w:jc w:val="left"/>
              <w:rPr/>
            </w:pPr>
            <w:r>
              <w:rPr/>
              <w:t> </w:t>
            </w:r>
          </w:p>
        </w:tc>
      </w:tr>
      <w:tr>
        <w:trPr/>
        <w:tc>
          <w:tcPr>
            <w:tcW w:w="5855" w:type="dxa"/>
            <w:tcBorders/>
            <w:shd w:fill="FFFFFF" w:val="clear"/>
            <w:vAlign w:val="bottom"/>
          </w:tcPr>
          <w:p>
            <w:pPr>
              <w:pStyle w:val="TableContents"/>
              <w:spacing w:before="0" w:after="0"/>
              <w:ind w:left="0" w:right="0" w:hanging="0"/>
              <w:jc w:val="left"/>
              <w:rPr>
                <w:rFonts w:ascii="helvetica" w:hAnsi="helvetica"/>
                <w:sz w:val="20"/>
              </w:rPr>
            </w:pPr>
            <w:r>
              <w:rPr>
                <w:rFonts w:ascii="helvetica" w:hAnsi="helvetica"/>
                <w:sz w:val="20"/>
              </w:rPr>
              <w:t>Common stock, $0.001 par value, 395,000,000 shares authorized,</w:t>
            </w:r>
          </w:p>
        </w:tc>
        <w:tc>
          <w:tcPr>
            <w:tcW w:w="103" w:type="dxa"/>
            <w:tcBorders/>
            <w:shd w:fill="FFFFFF" w:val="clear"/>
            <w:vAlign w:val="bottom"/>
          </w:tcPr>
          <w:p>
            <w:pPr>
              <w:pStyle w:val="TableContents"/>
              <w:spacing w:before="0" w:after="283"/>
              <w:rPr/>
            </w:pPr>
            <w:r>
              <w:rPr/>
              <w:t> </w:t>
            </w:r>
          </w:p>
        </w:tc>
        <w:tc>
          <w:tcPr>
            <w:tcW w:w="126" w:type="dxa"/>
            <w:tcBorders/>
            <w:shd w:fill="FFFFFF" w:val="clear"/>
            <w:vAlign w:val="bottom"/>
          </w:tcPr>
          <w:p>
            <w:pPr>
              <w:pStyle w:val="TableContents"/>
              <w:spacing w:before="0" w:after="283"/>
              <w:jc w:val="left"/>
              <w:rPr/>
            </w:pPr>
            <w:r>
              <w:rPr/>
              <w:t> </w:t>
            </w:r>
          </w:p>
        </w:tc>
        <w:tc>
          <w:tcPr>
            <w:tcW w:w="1107" w:type="dxa"/>
            <w:tcBorders/>
            <w:shd w:fill="FFFFFF" w:val="clear"/>
            <w:vAlign w:val="bottom"/>
          </w:tcPr>
          <w:p>
            <w:pPr>
              <w:pStyle w:val="TableContents"/>
              <w:spacing w:before="0" w:after="283"/>
              <w:jc w:val="right"/>
              <w:rPr/>
            </w:pPr>
            <w:r>
              <w:rPr/>
              <w:t> </w:t>
            </w:r>
          </w:p>
        </w:tc>
        <w:tc>
          <w:tcPr>
            <w:tcW w:w="110" w:type="dxa"/>
            <w:tcBorders/>
            <w:shd w:fill="FFFFFF" w:val="clear"/>
            <w:vAlign w:val="bottom"/>
          </w:tcPr>
          <w:p>
            <w:pPr>
              <w:pStyle w:val="TableContents"/>
              <w:spacing w:before="0" w:after="283"/>
              <w:jc w:val="left"/>
              <w:rPr/>
            </w:pPr>
            <w:r>
              <w:rPr/>
              <w:t> </w:t>
            </w:r>
          </w:p>
        </w:tc>
        <w:tc>
          <w:tcPr>
            <w:tcW w:w="103" w:type="dxa"/>
            <w:tcBorders/>
            <w:shd w:fill="FFFFFF" w:val="clear"/>
            <w:vAlign w:val="bottom"/>
          </w:tcPr>
          <w:p>
            <w:pPr>
              <w:pStyle w:val="TableContents"/>
              <w:spacing w:before="0" w:after="283"/>
              <w:rPr/>
            </w:pPr>
            <w:r>
              <w:rPr/>
              <w:t> </w:t>
            </w:r>
          </w:p>
        </w:tc>
        <w:tc>
          <w:tcPr>
            <w:tcW w:w="126" w:type="dxa"/>
            <w:tcBorders/>
            <w:shd w:fill="FFFFFF" w:val="clear"/>
            <w:vAlign w:val="bottom"/>
          </w:tcPr>
          <w:p>
            <w:pPr>
              <w:pStyle w:val="TableContents"/>
              <w:spacing w:before="0" w:after="283"/>
              <w:jc w:val="left"/>
              <w:rPr/>
            </w:pPr>
            <w:r>
              <w:rPr/>
              <w:t> </w:t>
            </w:r>
          </w:p>
        </w:tc>
        <w:tc>
          <w:tcPr>
            <w:tcW w:w="1107" w:type="dxa"/>
            <w:tcBorders/>
            <w:shd w:fill="FFFFFF" w:val="clear"/>
            <w:vAlign w:val="bottom"/>
          </w:tcPr>
          <w:p>
            <w:pPr>
              <w:pStyle w:val="TableContents"/>
              <w:spacing w:before="0" w:after="283"/>
              <w:jc w:val="right"/>
              <w:rPr/>
            </w:pPr>
            <w:r>
              <w:rPr/>
              <w:t> </w:t>
            </w:r>
          </w:p>
        </w:tc>
        <w:tc>
          <w:tcPr>
            <w:tcW w:w="110" w:type="dxa"/>
            <w:tcBorders/>
            <w:shd w:fill="FFFFFF" w:val="clear"/>
            <w:vAlign w:val="bottom"/>
          </w:tcPr>
          <w:p>
            <w:pPr>
              <w:pStyle w:val="TableContents"/>
              <w:spacing w:before="0" w:after="283"/>
              <w:jc w:val="left"/>
              <w:rPr/>
            </w:pPr>
            <w:r>
              <w:rPr/>
              <w:t> </w:t>
            </w:r>
          </w:p>
        </w:tc>
        <w:tc>
          <w:tcPr>
            <w:tcW w:w="103" w:type="dxa"/>
            <w:tcBorders/>
            <w:shd w:fill="FFFFFF" w:val="clear"/>
            <w:vAlign w:val="bottom"/>
          </w:tcPr>
          <w:p>
            <w:pPr>
              <w:pStyle w:val="TableContents"/>
              <w:spacing w:before="0" w:after="283"/>
              <w:rPr/>
            </w:pPr>
            <w:r>
              <w:rPr/>
              <w:t> </w:t>
            </w:r>
          </w:p>
        </w:tc>
        <w:tc>
          <w:tcPr>
            <w:tcW w:w="126" w:type="dxa"/>
            <w:tcBorders/>
            <w:shd w:fill="FFFFFF" w:val="clear"/>
            <w:vAlign w:val="bottom"/>
          </w:tcPr>
          <w:p>
            <w:pPr>
              <w:pStyle w:val="TableContents"/>
              <w:spacing w:before="0" w:after="283"/>
              <w:jc w:val="left"/>
              <w:rPr/>
            </w:pPr>
            <w:r>
              <w:rPr/>
              <w:t> </w:t>
            </w:r>
          </w:p>
        </w:tc>
        <w:tc>
          <w:tcPr>
            <w:tcW w:w="1107" w:type="dxa"/>
            <w:tcBorders/>
            <w:shd w:fill="FFFFFF" w:val="clear"/>
            <w:vAlign w:val="bottom"/>
          </w:tcPr>
          <w:p>
            <w:pPr>
              <w:pStyle w:val="TableContents"/>
              <w:spacing w:before="0" w:after="283"/>
              <w:jc w:val="right"/>
              <w:rPr/>
            </w:pPr>
            <w:r>
              <w:rPr/>
              <w:t> </w:t>
            </w:r>
          </w:p>
        </w:tc>
        <w:tc>
          <w:tcPr>
            <w:tcW w:w="122" w:type="dxa"/>
            <w:tcBorders/>
            <w:shd w:fill="FFFFFF" w:val="clear"/>
            <w:vAlign w:val="bottom"/>
          </w:tcPr>
          <w:p>
            <w:pPr>
              <w:pStyle w:val="TableContents"/>
              <w:spacing w:before="0" w:after="283"/>
              <w:jc w:val="left"/>
              <w:rPr/>
            </w:pPr>
            <w:r>
              <w:rPr/>
              <w:t> </w:t>
            </w:r>
          </w:p>
        </w:tc>
      </w:tr>
      <w:tr>
        <w:trPr/>
        <w:tc>
          <w:tcPr>
            <w:tcW w:w="5855" w:type="dxa"/>
            <w:tcBorders/>
            <w:shd w:fill="CCEEFF" w:val="clear"/>
            <w:vAlign w:val="bottom"/>
          </w:tcPr>
          <w:p>
            <w:pPr>
              <w:pStyle w:val="TableContents"/>
              <w:spacing w:before="0" w:after="0"/>
              <w:ind w:left="0" w:right="0" w:hanging="0"/>
              <w:jc w:val="left"/>
              <w:rPr>
                <w:rFonts w:ascii="helvetica" w:hAnsi="helvetica"/>
                <w:sz w:val="20"/>
              </w:rPr>
            </w:pPr>
            <w:r>
              <w:rPr>
                <w:rFonts w:ascii="helvetica" w:hAnsi="helvetica"/>
                <w:sz w:val="20"/>
              </w:rPr>
              <w:t>29,696,213 and 1,987,601 shares issued and outstanding</w:t>
            </w:r>
          </w:p>
        </w:tc>
        <w:tc>
          <w:tcPr>
            <w:tcW w:w="103"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jc w:val="left"/>
              <w:rPr/>
            </w:pPr>
            <w:r>
              <w:rPr/>
              <w:t> </w:t>
            </w:r>
          </w:p>
        </w:tc>
        <w:tc>
          <w:tcPr>
            <w:tcW w:w="1107" w:type="dxa"/>
            <w:tcBorders/>
            <w:shd w:fill="CCEEFF" w:val="clear"/>
            <w:vAlign w:val="bottom"/>
          </w:tcPr>
          <w:p>
            <w:pPr>
              <w:pStyle w:val="TableContents"/>
              <w:spacing w:before="0" w:after="283"/>
              <w:jc w:val="right"/>
              <w:rPr/>
            </w:pPr>
            <w:r>
              <w:rPr/>
              <w:t> </w:t>
            </w:r>
          </w:p>
        </w:tc>
        <w:tc>
          <w:tcPr>
            <w:tcW w:w="110" w:type="dxa"/>
            <w:tcBorders/>
            <w:shd w:fill="CCEEFF" w:val="clear"/>
            <w:vAlign w:val="bottom"/>
          </w:tcPr>
          <w:p>
            <w:pPr>
              <w:pStyle w:val="TableContents"/>
              <w:spacing w:before="0" w:after="283"/>
              <w:jc w:val="left"/>
              <w:rPr/>
            </w:pPr>
            <w:r>
              <w:rPr/>
              <w:t> </w:t>
            </w:r>
          </w:p>
        </w:tc>
        <w:tc>
          <w:tcPr>
            <w:tcW w:w="103"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jc w:val="left"/>
              <w:rPr/>
            </w:pPr>
            <w:r>
              <w:rPr/>
              <w:t> </w:t>
            </w:r>
          </w:p>
        </w:tc>
        <w:tc>
          <w:tcPr>
            <w:tcW w:w="1107" w:type="dxa"/>
            <w:tcBorders/>
            <w:shd w:fill="CCEEFF" w:val="clear"/>
            <w:vAlign w:val="bottom"/>
          </w:tcPr>
          <w:p>
            <w:pPr>
              <w:pStyle w:val="TableContents"/>
              <w:spacing w:before="0" w:after="283"/>
              <w:jc w:val="right"/>
              <w:rPr/>
            </w:pPr>
            <w:r>
              <w:rPr/>
              <w:t> </w:t>
            </w:r>
          </w:p>
        </w:tc>
        <w:tc>
          <w:tcPr>
            <w:tcW w:w="110" w:type="dxa"/>
            <w:tcBorders/>
            <w:shd w:fill="CCEEFF" w:val="clear"/>
            <w:vAlign w:val="bottom"/>
          </w:tcPr>
          <w:p>
            <w:pPr>
              <w:pStyle w:val="TableContents"/>
              <w:spacing w:before="0" w:after="283"/>
              <w:jc w:val="left"/>
              <w:rPr/>
            </w:pPr>
            <w:r>
              <w:rPr/>
              <w:t> </w:t>
            </w:r>
          </w:p>
        </w:tc>
        <w:tc>
          <w:tcPr>
            <w:tcW w:w="103"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jc w:val="left"/>
              <w:rPr/>
            </w:pPr>
            <w:r>
              <w:rPr/>
              <w:t> </w:t>
            </w:r>
          </w:p>
        </w:tc>
        <w:tc>
          <w:tcPr>
            <w:tcW w:w="1107" w:type="dxa"/>
            <w:tcBorders/>
            <w:shd w:fill="CCEEFF" w:val="clear"/>
            <w:vAlign w:val="bottom"/>
          </w:tcPr>
          <w:p>
            <w:pPr>
              <w:pStyle w:val="TableContents"/>
              <w:spacing w:before="0" w:after="283"/>
              <w:jc w:val="right"/>
              <w:rPr/>
            </w:pPr>
            <w:r>
              <w:rPr/>
              <w:t> </w:t>
            </w:r>
          </w:p>
        </w:tc>
        <w:tc>
          <w:tcPr>
            <w:tcW w:w="122" w:type="dxa"/>
            <w:tcBorders/>
            <w:shd w:fill="CCEEFF" w:val="clear"/>
            <w:vAlign w:val="bottom"/>
          </w:tcPr>
          <w:p>
            <w:pPr>
              <w:pStyle w:val="TableContents"/>
              <w:spacing w:before="0" w:after="283"/>
              <w:jc w:val="left"/>
              <w:rPr/>
            </w:pPr>
            <w:r>
              <w:rPr/>
              <w:t> </w:t>
            </w:r>
          </w:p>
        </w:tc>
      </w:tr>
      <w:tr>
        <w:trPr/>
        <w:tc>
          <w:tcPr>
            <w:tcW w:w="5855" w:type="dxa"/>
            <w:tcBorders/>
            <w:shd w:fill="FFFFFF" w:val="clear"/>
            <w:vAlign w:val="bottom"/>
          </w:tcPr>
          <w:p>
            <w:pPr>
              <w:pStyle w:val="TableContents"/>
              <w:spacing w:before="0" w:after="0"/>
              <w:ind w:left="0" w:right="0" w:hanging="0"/>
              <w:jc w:val="left"/>
              <w:rPr>
                <w:rFonts w:ascii="helvetica" w:hAnsi="helvetica"/>
                <w:sz w:val="20"/>
              </w:rPr>
            </w:pPr>
            <w:r>
              <w:rPr>
                <w:rFonts w:ascii="helvetica" w:hAnsi="helvetica"/>
                <w:sz w:val="20"/>
              </w:rPr>
              <w:t>at June 30, 2012 and December 31, 2011, respectively</w:t>
            </w:r>
          </w:p>
        </w:tc>
        <w:tc>
          <w:tcPr>
            <w:tcW w:w="103" w:type="dxa"/>
            <w:tcBorders/>
            <w:shd w:fill="FFFFFF" w:val="clear"/>
            <w:vAlign w:val="bottom"/>
          </w:tcPr>
          <w:p>
            <w:pPr>
              <w:pStyle w:val="TableContents"/>
              <w:spacing w:before="0" w:after="283"/>
              <w:rPr/>
            </w:pPr>
            <w:r>
              <w:rPr/>
              <w:t> </w:t>
            </w:r>
          </w:p>
        </w:tc>
        <w:tc>
          <w:tcPr>
            <w:tcW w:w="126" w:type="dxa"/>
            <w:tcBorders/>
            <w:shd w:fill="FFFFFF" w:val="clear"/>
            <w:vAlign w:val="bottom"/>
          </w:tcPr>
          <w:p>
            <w:pPr>
              <w:pStyle w:val="TableContents"/>
              <w:spacing w:before="0" w:after="283"/>
              <w:jc w:val="left"/>
              <w:rPr/>
            </w:pPr>
            <w:r>
              <w:rPr/>
              <w:t> </w:t>
            </w:r>
          </w:p>
        </w:tc>
        <w:tc>
          <w:tcPr>
            <w:tcW w:w="1107"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29,696</w:t>
            </w:r>
          </w:p>
        </w:tc>
        <w:tc>
          <w:tcPr>
            <w:tcW w:w="110" w:type="dxa"/>
            <w:tcBorders/>
            <w:shd w:fill="FFFFFF" w:val="clear"/>
            <w:vAlign w:val="bottom"/>
          </w:tcPr>
          <w:p>
            <w:pPr>
              <w:pStyle w:val="TableContents"/>
              <w:spacing w:before="0" w:after="283"/>
              <w:jc w:val="left"/>
              <w:rPr/>
            </w:pPr>
            <w:r>
              <w:rPr/>
              <w:t> </w:t>
            </w:r>
          </w:p>
        </w:tc>
        <w:tc>
          <w:tcPr>
            <w:tcW w:w="103" w:type="dxa"/>
            <w:tcBorders/>
            <w:shd w:fill="FFFFFF" w:val="clear"/>
            <w:vAlign w:val="bottom"/>
          </w:tcPr>
          <w:p>
            <w:pPr>
              <w:pStyle w:val="TableContents"/>
              <w:spacing w:before="0" w:after="283"/>
              <w:rPr/>
            </w:pPr>
            <w:r>
              <w:rPr/>
              <w:t> </w:t>
            </w:r>
          </w:p>
        </w:tc>
        <w:tc>
          <w:tcPr>
            <w:tcW w:w="126" w:type="dxa"/>
            <w:tcBorders/>
            <w:shd w:fill="FFFFFF" w:val="clear"/>
            <w:vAlign w:val="bottom"/>
          </w:tcPr>
          <w:p>
            <w:pPr>
              <w:pStyle w:val="TableContents"/>
              <w:spacing w:before="0" w:after="283"/>
              <w:jc w:val="left"/>
              <w:rPr/>
            </w:pPr>
            <w:r>
              <w:rPr/>
              <w:t> </w:t>
            </w:r>
          </w:p>
        </w:tc>
        <w:tc>
          <w:tcPr>
            <w:tcW w:w="1107"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1,988</w:t>
            </w:r>
          </w:p>
        </w:tc>
        <w:tc>
          <w:tcPr>
            <w:tcW w:w="110" w:type="dxa"/>
            <w:tcBorders/>
            <w:shd w:fill="FFFFFF" w:val="clear"/>
            <w:vAlign w:val="bottom"/>
          </w:tcPr>
          <w:p>
            <w:pPr>
              <w:pStyle w:val="TableContents"/>
              <w:spacing w:before="0" w:after="283"/>
              <w:jc w:val="left"/>
              <w:rPr/>
            </w:pPr>
            <w:r>
              <w:rPr/>
              <w:t> </w:t>
            </w:r>
          </w:p>
        </w:tc>
        <w:tc>
          <w:tcPr>
            <w:tcW w:w="103" w:type="dxa"/>
            <w:tcBorders/>
            <w:shd w:fill="FFFFFF" w:val="clear"/>
            <w:vAlign w:val="bottom"/>
          </w:tcPr>
          <w:p>
            <w:pPr>
              <w:pStyle w:val="TableContents"/>
              <w:spacing w:before="0" w:after="283"/>
              <w:rPr/>
            </w:pPr>
            <w:r>
              <w:rPr/>
              <w:t> </w:t>
            </w:r>
          </w:p>
        </w:tc>
        <w:tc>
          <w:tcPr>
            <w:tcW w:w="126" w:type="dxa"/>
            <w:tcBorders/>
            <w:shd w:fill="FFFFFF" w:val="clear"/>
            <w:vAlign w:val="bottom"/>
          </w:tcPr>
          <w:p>
            <w:pPr>
              <w:pStyle w:val="TableContents"/>
              <w:spacing w:before="0" w:after="283"/>
              <w:jc w:val="left"/>
              <w:rPr/>
            </w:pPr>
            <w:r>
              <w:rPr/>
              <w:t> </w:t>
            </w:r>
          </w:p>
        </w:tc>
        <w:tc>
          <w:tcPr>
            <w:tcW w:w="1107"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5,939</w:t>
            </w:r>
          </w:p>
        </w:tc>
        <w:tc>
          <w:tcPr>
            <w:tcW w:w="122" w:type="dxa"/>
            <w:tcBorders/>
            <w:shd w:fill="FFFFFF" w:val="clear"/>
            <w:vAlign w:val="bottom"/>
          </w:tcPr>
          <w:p>
            <w:pPr>
              <w:pStyle w:val="TableContents"/>
              <w:spacing w:before="0" w:after="283"/>
              <w:jc w:val="left"/>
              <w:rPr/>
            </w:pPr>
            <w:r>
              <w:rPr/>
              <w:t> </w:t>
            </w:r>
          </w:p>
        </w:tc>
      </w:tr>
      <w:tr>
        <w:trPr/>
        <w:tc>
          <w:tcPr>
            <w:tcW w:w="5855" w:type="dxa"/>
            <w:tcBorders/>
            <w:shd w:fill="CCEEFF" w:val="clear"/>
            <w:vAlign w:val="bottom"/>
          </w:tcPr>
          <w:p>
            <w:pPr>
              <w:pStyle w:val="TableContents"/>
              <w:spacing w:before="0" w:after="0"/>
              <w:ind w:left="0" w:right="0" w:hanging="0"/>
              <w:jc w:val="left"/>
              <w:rPr>
                <w:rFonts w:ascii="helvetica" w:hAnsi="helvetica"/>
                <w:sz w:val="20"/>
              </w:rPr>
            </w:pPr>
            <w:r>
              <w:rPr>
                <w:rFonts w:ascii="helvetica" w:hAnsi="helvetica"/>
                <w:sz w:val="20"/>
              </w:rPr>
              <w:t>Additional paid-in capital</w:t>
            </w:r>
          </w:p>
        </w:tc>
        <w:tc>
          <w:tcPr>
            <w:tcW w:w="103"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jc w:val="left"/>
              <w:rPr/>
            </w:pPr>
            <w:r>
              <w:rPr/>
              <w:t> </w:t>
            </w:r>
          </w:p>
        </w:tc>
        <w:tc>
          <w:tcPr>
            <w:tcW w:w="1107"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28,779,549</w:t>
            </w:r>
          </w:p>
        </w:tc>
        <w:tc>
          <w:tcPr>
            <w:tcW w:w="110" w:type="dxa"/>
            <w:tcBorders/>
            <w:shd w:fill="CCEEFF" w:val="clear"/>
            <w:vAlign w:val="bottom"/>
          </w:tcPr>
          <w:p>
            <w:pPr>
              <w:pStyle w:val="TableContents"/>
              <w:spacing w:before="0" w:after="283"/>
              <w:jc w:val="left"/>
              <w:rPr/>
            </w:pPr>
            <w:r>
              <w:rPr/>
              <w:t> </w:t>
            </w:r>
          </w:p>
        </w:tc>
        <w:tc>
          <w:tcPr>
            <w:tcW w:w="103"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jc w:val="left"/>
              <w:rPr/>
            </w:pPr>
            <w:r>
              <w:rPr/>
              <w:t> </w:t>
            </w:r>
          </w:p>
        </w:tc>
        <w:tc>
          <w:tcPr>
            <w:tcW w:w="1107"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16,818,740</w:t>
            </w:r>
          </w:p>
        </w:tc>
        <w:tc>
          <w:tcPr>
            <w:tcW w:w="110" w:type="dxa"/>
            <w:tcBorders/>
            <w:shd w:fill="CCEEFF" w:val="clear"/>
            <w:vAlign w:val="bottom"/>
          </w:tcPr>
          <w:p>
            <w:pPr>
              <w:pStyle w:val="TableContents"/>
              <w:spacing w:before="0" w:after="283"/>
              <w:jc w:val="left"/>
              <w:rPr/>
            </w:pPr>
            <w:r>
              <w:rPr/>
              <w:t> </w:t>
            </w:r>
          </w:p>
        </w:tc>
        <w:tc>
          <w:tcPr>
            <w:tcW w:w="103"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jc w:val="left"/>
              <w:rPr/>
            </w:pPr>
            <w:r>
              <w:rPr/>
              <w:t> </w:t>
            </w:r>
          </w:p>
        </w:tc>
        <w:tc>
          <w:tcPr>
            <w:tcW w:w="1107"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28,803,306</w:t>
            </w:r>
          </w:p>
        </w:tc>
        <w:tc>
          <w:tcPr>
            <w:tcW w:w="122" w:type="dxa"/>
            <w:tcBorders/>
            <w:shd w:fill="CCEEFF" w:val="clear"/>
            <w:vAlign w:val="bottom"/>
          </w:tcPr>
          <w:p>
            <w:pPr>
              <w:pStyle w:val="TableContents"/>
              <w:spacing w:before="0" w:after="283"/>
              <w:jc w:val="left"/>
              <w:rPr/>
            </w:pPr>
            <w:r>
              <w:rPr/>
              <w:t> </w:t>
            </w:r>
          </w:p>
        </w:tc>
      </w:tr>
      <w:tr>
        <w:trPr/>
        <w:tc>
          <w:tcPr>
            <w:tcW w:w="5855" w:type="dxa"/>
            <w:tcBorders/>
            <w:shd w:fill="FFFFFF" w:val="clear"/>
            <w:vAlign w:val="bottom"/>
          </w:tcPr>
          <w:p>
            <w:pPr>
              <w:pStyle w:val="TableContents"/>
              <w:spacing w:before="0" w:after="0"/>
              <w:ind w:left="0" w:right="0" w:hanging="0"/>
              <w:jc w:val="left"/>
              <w:rPr>
                <w:rFonts w:ascii="helvetica" w:hAnsi="helvetica"/>
                <w:sz w:val="20"/>
              </w:rPr>
            </w:pPr>
            <w:r>
              <w:rPr>
                <w:rFonts w:ascii="helvetica" w:hAnsi="helvetica"/>
                <w:sz w:val="20"/>
              </w:rPr>
              <w:t>Deficit accumulated during the development stage</w:t>
            </w:r>
          </w:p>
        </w:tc>
        <w:tc>
          <w:tcPr>
            <w:tcW w:w="103" w:type="dxa"/>
            <w:tcBorders/>
            <w:shd w:fill="FFFFFF" w:val="clear"/>
            <w:vAlign w:val="bottom"/>
          </w:tcPr>
          <w:p>
            <w:pPr>
              <w:pStyle w:val="TableContents"/>
              <w:spacing w:before="0" w:after="283"/>
              <w:rPr/>
            </w:pPr>
            <w:r>
              <w:rPr/>
              <w:t> </w:t>
            </w:r>
          </w:p>
        </w:tc>
        <w:tc>
          <w:tcPr>
            <w:tcW w:w="126"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107" w:type="dxa"/>
            <w:tcBorders>
              <w:bottom w:val="single" w:sz="12" w:space="0" w:color="000000"/>
            </w:tcBorders>
            <w:shd w:fill="FFFF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(21,405,414</w:t>
            </w:r>
          </w:p>
        </w:tc>
        <w:tc>
          <w:tcPr>
            <w:tcW w:w="110" w:type="dxa"/>
            <w:tcBorders/>
            <w:shd w:fill="FFFFFF" w:val="clear"/>
            <w:vAlign w:val="bottom"/>
          </w:tcPr>
          <w:p>
            <w:pPr>
              <w:pStyle w:val="TableContents"/>
              <w:spacing w:before="0" w:after="283"/>
              <w:jc w:val="left"/>
              <w:rPr>
                <w:rFonts w:ascii="helvetica" w:hAnsi="helvetica"/>
                <w:sz w:val="20"/>
              </w:rPr>
            </w:pPr>
            <w:r>
              <w:rPr>
                <w:rFonts w:ascii="helvetica" w:hAnsi="helvetica"/>
                <w:sz w:val="20"/>
              </w:rPr>
              <w:t>)</w:t>
            </w:r>
          </w:p>
        </w:tc>
        <w:tc>
          <w:tcPr>
            <w:tcW w:w="103" w:type="dxa"/>
            <w:tcBorders/>
            <w:shd w:fill="FFFFFF" w:val="clear"/>
            <w:vAlign w:val="bottom"/>
          </w:tcPr>
          <w:p>
            <w:pPr>
              <w:pStyle w:val="TableContents"/>
              <w:spacing w:before="0" w:after="283"/>
              <w:rPr/>
            </w:pPr>
            <w:r>
              <w:rPr/>
              <w:t> </w:t>
            </w:r>
          </w:p>
        </w:tc>
        <w:tc>
          <w:tcPr>
            <w:tcW w:w="126"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107" w:type="dxa"/>
            <w:tcBorders>
              <w:bottom w:val="single" w:sz="12" w:space="0" w:color="000000"/>
            </w:tcBorders>
            <w:shd w:fill="FFFF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(18,520,733</w:t>
            </w:r>
          </w:p>
        </w:tc>
        <w:tc>
          <w:tcPr>
            <w:tcW w:w="110" w:type="dxa"/>
            <w:tcBorders/>
            <w:shd w:fill="FFFFFF" w:val="clear"/>
            <w:vAlign w:val="bottom"/>
          </w:tcPr>
          <w:p>
            <w:pPr>
              <w:pStyle w:val="TableContents"/>
              <w:spacing w:before="0" w:after="283"/>
              <w:jc w:val="left"/>
              <w:rPr>
                <w:rFonts w:ascii="helvetica" w:hAnsi="helvetica"/>
                <w:sz w:val="20"/>
              </w:rPr>
            </w:pPr>
            <w:r>
              <w:rPr>
                <w:rFonts w:ascii="helvetica" w:hAnsi="helvetica"/>
                <w:sz w:val="20"/>
              </w:rPr>
              <w:t>)</w:t>
            </w:r>
          </w:p>
        </w:tc>
        <w:tc>
          <w:tcPr>
            <w:tcW w:w="103" w:type="dxa"/>
            <w:tcBorders/>
            <w:shd w:fill="FFFFFF" w:val="clear"/>
            <w:vAlign w:val="bottom"/>
          </w:tcPr>
          <w:p>
            <w:pPr>
              <w:pStyle w:val="TableContents"/>
              <w:spacing w:before="0" w:after="283"/>
              <w:rPr/>
            </w:pPr>
            <w:r>
              <w:rPr/>
              <w:t> </w:t>
            </w:r>
          </w:p>
        </w:tc>
        <w:tc>
          <w:tcPr>
            <w:tcW w:w="126"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107" w:type="dxa"/>
            <w:tcBorders>
              <w:bottom w:val="single" w:sz="12" w:space="0" w:color="000000"/>
            </w:tcBorders>
            <w:shd w:fill="FFFF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(21,405,414</w:t>
            </w:r>
          </w:p>
        </w:tc>
        <w:tc>
          <w:tcPr>
            <w:tcW w:w="122" w:type="dxa"/>
            <w:tcBorders/>
            <w:shd w:fill="FFFFFF" w:val="clear"/>
            <w:vAlign w:val="bottom"/>
          </w:tcPr>
          <w:p>
            <w:pPr>
              <w:pStyle w:val="TableContents"/>
              <w:spacing w:before="0" w:after="283"/>
              <w:jc w:val="left"/>
              <w:rPr>
                <w:rFonts w:ascii="helvetica" w:hAnsi="helvetica"/>
                <w:sz w:val="20"/>
              </w:rPr>
            </w:pPr>
            <w:r>
              <w:rPr>
                <w:rFonts w:ascii="helvetica" w:hAnsi="helvetica"/>
                <w:sz w:val="20"/>
              </w:rPr>
              <w:t>)</w:t>
            </w:r>
          </w:p>
        </w:tc>
      </w:tr>
      <w:tr>
        <w:trPr/>
        <w:tc>
          <w:tcPr>
            <w:tcW w:w="5855" w:type="dxa"/>
            <w:tcBorders/>
            <w:shd w:fill="CCEEFF" w:val="clear"/>
            <w:vAlign w:val="bottom"/>
          </w:tcPr>
          <w:p>
            <w:pPr>
              <w:pStyle w:val="TableContents"/>
              <w:spacing w:before="0" w:after="0"/>
              <w:ind w:left="0" w:right="0" w:hanging="0"/>
              <w:jc w:val="left"/>
              <w:rPr>
                <w:rFonts w:ascii="helvetica" w:hAnsi="helvetica"/>
                <w:sz w:val="20"/>
              </w:rPr>
            </w:pPr>
            <w:r>
              <w:rPr>
                <w:rFonts w:ascii="helvetica" w:hAnsi="helvetica"/>
                <w:sz w:val="20"/>
              </w:rPr>
              <w:t>TOTAL STOCKHOLDERS' EQUITY (DEFICIT)</w:t>
            </w:r>
          </w:p>
        </w:tc>
        <w:tc>
          <w:tcPr>
            <w:tcW w:w="103" w:type="dxa"/>
            <w:tcBorders/>
            <w:shd w:fill="CCEEFF" w:val="clear"/>
            <w:vAlign w:val="bottom"/>
          </w:tcPr>
          <w:p>
            <w:pPr>
              <w:pStyle w:val="TableContents"/>
              <w:spacing w:before="0" w:after="283"/>
              <w:rPr/>
            </w:pPr>
            <w:r>
              <w:rPr/>
              <w:t> </w:t>
            </w:r>
          </w:p>
        </w:tc>
        <w:tc>
          <w:tcPr>
            <w:tcW w:w="126"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107" w:type="dxa"/>
            <w:tcBorders>
              <w:bottom w:val="single" w:sz="12" w:space="0" w:color="000000"/>
            </w:tcBorders>
            <w:shd w:fill="CCEE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7,403,831</w:t>
            </w:r>
          </w:p>
        </w:tc>
        <w:tc>
          <w:tcPr>
            <w:tcW w:w="110" w:type="dxa"/>
            <w:tcBorders/>
            <w:shd w:fill="CCEEFF" w:val="clear"/>
            <w:vAlign w:val="bottom"/>
          </w:tcPr>
          <w:p>
            <w:pPr>
              <w:pStyle w:val="TableContents"/>
              <w:spacing w:before="0" w:after="283"/>
              <w:jc w:val="left"/>
              <w:rPr/>
            </w:pPr>
            <w:r>
              <w:rPr/>
              <w:t> </w:t>
            </w:r>
          </w:p>
        </w:tc>
        <w:tc>
          <w:tcPr>
            <w:tcW w:w="103" w:type="dxa"/>
            <w:tcBorders/>
            <w:shd w:fill="CCEEFF" w:val="clear"/>
            <w:vAlign w:val="bottom"/>
          </w:tcPr>
          <w:p>
            <w:pPr>
              <w:pStyle w:val="TableContents"/>
              <w:spacing w:before="0" w:after="283"/>
              <w:rPr/>
            </w:pPr>
            <w:r>
              <w:rPr/>
              <w:t> </w:t>
            </w:r>
          </w:p>
        </w:tc>
        <w:tc>
          <w:tcPr>
            <w:tcW w:w="126"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107" w:type="dxa"/>
            <w:tcBorders>
              <w:bottom w:val="single" w:sz="12" w:space="0" w:color="000000"/>
            </w:tcBorders>
            <w:shd w:fill="CCEE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(1,700,005</w:t>
            </w:r>
          </w:p>
        </w:tc>
        <w:tc>
          <w:tcPr>
            <w:tcW w:w="110" w:type="dxa"/>
            <w:tcBorders/>
            <w:shd w:fill="CCEEFF" w:val="clear"/>
            <w:vAlign w:val="bottom"/>
          </w:tcPr>
          <w:p>
            <w:pPr>
              <w:pStyle w:val="TableContents"/>
              <w:spacing w:before="0" w:after="283"/>
              <w:jc w:val="left"/>
              <w:rPr>
                <w:rFonts w:ascii="helvetica" w:hAnsi="helvetica"/>
                <w:sz w:val="20"/>
              </w:rPr>
            </w:pPr>
            <w:r>
              <w:rPr>
                <w:rFonts w:ascii="helvetica" w:hAnsi="helvetica"/>
                <w:sz w:val="20"/>
              </w:rPr>
              <w:t>)</w:t>
            </w:r>
          </w:p>
        </w:tc>
        <w:tc>
          <w:tcPr>
            <w:tcW w:w="103" w:type="dxa"/>
            <w:tcBorders/>
            <w:shd w:fill="CCEEFF" w:val="clear"/>
            <w:vAlign w:val="bottom"/>
          </w:tcPr>
          <w:p>
            <w:pPr>
              <w:pStyle w:val="TableContents"/>
              <w:spacing w:before="0" w:after="283"/>
              <w:rPr/>
            </w:pPr>
            <w:r>
              <w:rPr/>
              <w:t> </w:t>
            </w:r>
          </w:p>
        </w:tc>
        <w:tc>
          <w:tcPr>
            <w:tcW w:w="126"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107" w:type="dxa"/>
            <w:tcBorders>
              <w:bottom w:val="single" w:sz="12" w:space="0" w:color="000000"/>
            </w:tcBorders>
            <w:shd w:fill="CCEE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7,403,831</w:t>
            </w:r>
          </w:p>
        </w:tc>
        <w:tc>
          <w:tcPr>
            <w:tcW w:w="122" w:type="dxa"/>
            <w:tcBorders/>
            <w:shd w:fill="CCEEFF" w:val="clear"/>
            <w:vAlign w:val="bottom"/>
          </w:tcPr>
          <w:p>
            <w:pPr>
              <w:pStyle w:val="TableContents"/>
              <w:spacing w:before="0" w:after="283"/>
              <w:jc w:val="left"/>
              <w:rPr/>
            </w:pPr>
            <w:r>
              <w:rPr/>
              <w:t> </w:t>
            </w:r>
          </w:p>
        </w:tc>
      </w:tr>
      <w:tr>
        <w:trPr/>
        <w:tc>
          <w:tcPr>
            <w:tcW w:w="5855" w:type="dxa"/>
            <w:tcBorders/>
            <w:shd w:fill="FFFFFF" w:val="clear"/>
            <w:vAlign w:val="bottom"/>
          </w:tcPr>
          <w:p>
            <w:pPr>
              <w:pStyle w:val="TableContents"/>
              <w:spacing w:before="0" w:after="0"/>
              <w:ind w:left="0" w:right="0" w:hanging="0"/>
              <w:jc w:val="left"/>
              <w:rPr>
                <w:rFonts w:ascii="helvetica" w:hAnsi="helvetica"/>
                <w:sz w:val="20"/>
              </w:rPr>
            </w:pPr>
            <w:r>
              <w:rPr>
                <w:rFonts w:ascii="helvetica" w:hAnsi="helvetica"/>
                <w:sz w:val="20"/>
              </w:rPr>
              <w:t>TOTAL LIABILITIES AND STOCKHOLDERS' EQUITY (DEFICIT)</w:t>
            </w:r>
          </w:p>
        </w:tc>
        <w:tc>
          <w:tcPr>
            <w:tcW w:w="103" w:type="dxa"/>
            <w:tcBorders/>
            <w:shd w:fill="FFFFFF" w:val="clear"/>
            <w:vAlign w:val="bottom"/>
          </w:tcPr>
          <w:p>
            <w:pPr>
              <w:pStyle w:val="TableContents"/>
              <w:spacing w:before="0" w:after="283"/>
              <w:rPr/>
            </w:pPr>
            <w:r>
              <w:rPr/>
              <w:t> </w:t>
            </w:r>
          </w:p>
        </w:tc>
        <w:tc>
          <w:tcPr>
            <w:tcW w:w="126" w:type="dxa"/>
            <w:tcBorders>
              <w:bottom w:val="double" w:sz="8" w:space="0" w:color="000000"/>
            </w:tcBorders>
            <w:shd w:fill="FFFFFF" w:val="clear"/>
            <w:tcMar>
              <w:bottom w:w="28" w:type="dxa"/>
            </w:tcMar>
            <w:vAlign w:val="bottom"/>
          </w:tcPr>
          <w:p>
            <w:pPr>
              <w:pStyle w:val="TableContents"/>
              <w:spacing w:before="0" w:after="283"/>
              <w:jc w:val="left"/>
              <w:rPr>
                <w:rFonts w:ascii="helvetica" w:hAnsi="helvetica"/>
                <w:sz w:val="20"/>
              </w:rPr>
            </w:pPr>
            <w:r>
              <w:rPr>
                <w:rFonts w:ascii="helvetica" w:hAnsi="helvetica"/>
                <w:sz w:val="20"/>
              </w:rPr>
              <w:t>$</w:t>
            </w:r>
          </w:p>
        </w:tc>
        <w:tc>
          <w:tcPr>
            <w:tcW w:w="1107" w:type="dxa"/>
            <w:tcBorders>
              <w:bottom w:val="double" w:sz="8" w:space="0" w:color="000000"/>
            </w:tcBorders>
            <w:shd w:fill="FFFF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7,895,030</w:t>
            </w:r>
          </w:p>
        </w:tc>
        <w:tc>
          <w:tcPr>
            <w:tcW w:w="110" w:type="dxa"/>
            <w:tcBorders/>
            <w:shd w:fill="FFFFFF" w:val="clear"/>
            <w:vAlign w:val="bottom"/>
          </w:tcPr>
          <w:p>
            <w:pPr>
              <w:pStyle w:val="TableContents"/>
              <w:spacing w:before="0" w:after="283"/>
              <w:jc w:val="left"/>
              <w:rPr/>
            </w:pPr>
            <w:r>
              <w:rPr/>
              <w:t> </w:t>
            </w:r>
          </w:p>
        </w:tc>
        <w:tc>
          <w:tcPr>
            <w:tcW w:w="103" w:type="dxa"/>
            <w:tcBorders/>
            <w:shd w:fill="FFFFFF" w:val="clear"/>
            <w:vAlign w:val="bottom"/>
          </w:tcPr>
          <w:p>
            <w:pPr>
              <w:pStyle w:val="TableContents"/>
              <w:spacing w:before="0" w:after="283"/>
              <w:rPr/>
            </w:pPr>
            <w:r>
              <w:rPr/>
              <w:t> </w:t>
            </w:r>
          </w:p>
        </w:tc>
        <w:tc>
          <w:tcPr>
            <w:tcW w:w="126" w:type="dxa"/>
            <w:tcBorders>
              <w:bottom w:val="double" w:sz="8" w:space="0" w:color="000000"/>
            </w:tcBorders>
            <w:shd w:fill="FFFFFF" w:val="clear"/>
            <w:tcMar>
              <w:bottom w:w="28" w:type="dxa"/>
            </w:tcMar>
            <w:vAlign w:val="bottom"/>
          </w:tcPr>
          <w:p>
            <w:pPr>
              <w:pStyle w:val="TableContents"/>
              <w:spacing w:before="0" w:after="283"/>
              <w:jc w:val="left"/>
              <w:rPr>
                <w:rFonts w:ascii="helvetica" w:hAnsi="helvetica"/>
                <w:sz w:val="20"/>
              </w:rPr>
            </w:pPr>
            <w:r>
              <w:rPr>
                <w:rFonts w:ascii="helvetica" w:hAnsi="helvetica"/>
                <w:sz w:val="20"/>
              </w:rPr>
              <w:t>$</w:t>
            </w:r>
          </w:p>
        </w:tc>
        <w:tc>
          <w:tcPr>
            <w:tcW w:w="1107" w:type="dxa"/>
            <w:tcBorders>
              <w:bottom w:val="double" w:sz="8" w:space="0" w:color="000000"/>
            </w:tcBorders>
            <w:shd w:fill="FFFF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160,957</w:t>
            </w:r>
          </w:p>
        </w:tc>
        <w:tc>
          <w:tcPr>
            <w:tcW w:w="110" w:type="dxa"/>
            <w:tcBorders/>
            <w:shd w:fill="FFFFFF" w:val="clear"/>
            <w:vAlign w:val="bottom"/>
          </w:tcPr>
          <w:p>
            <w:pPr>
              <w:pStyle w:val="TableContents"/>
              <w:spacing w:before="0" w:after="283"/>
              <w:jc w:val="left"/>
              <w:rPr/>
            </w:pPr>
            <w:r>
              <w:rPr/>
              <w:t> </w:t>
            </w:r>
          </w:p>
        </w:tc>
        <w:tc>
          <w:tcPr>
            <w:tcW w:w="103" w:type="dxa"/>
            <w:tcBorders/>
            <w:shd w:fill="FFFFFF" w:val="clear"/>
            <w:vAlign w:val="bottom"/>
          </w:tcPr>
          <w:p>
            <w:pPr>
              <w:pStyle w:val="TableContents"/>
              <w:spacing w:before="0" w:after="283"/>
              <w:rPr/>
            </w:pPr>
            <w:r>
              <w:rPr/>
              <w:t> </w:t>
            </w:r>
          </w:p>
        </w:tc>
        <w:tc>
          <w:tcPr>
            <w:tcW w:w="126" w:type="dxa"/>
            <w:tcBorders>
              <w:bottom w:val="double" w:sz="8" w:space="0" w:color="000000"/>
            </w:tcBorders>
            <w:shd w:fill="FFFFFF" w:val="clear"/>
            <w:tcMar>
              <w:bottom w:w="28" w:type="dxa"/>
            </w:tcMar>
            <w:vAlign w:val="bottom"/>
          </w:tcPr>
          <w:p>
            <w:pPr>
              <w:pStyle w:val="TableContents"/>
              <w:spacing w:before="0" w:after="283"/>
              <w:jc w:val="left"/>
              <w:rPr>
                <w:rFonts w:ascii="helvetica" w:hAnsi="helvetica"/>
                <w:sz w:val="20"/>
              </w:rPr>
            </w:pPr>
            <w:r>
              <w:rPr>
                <w:rFonts w:ascii="helvetica" w:hAnsi="helvetica"/>
                <w:sz w:val="20"/>
              </w:rPr>
              <w:t>$</w:t>
            </w:r>
          </w:p>
        </w:tc>
        <w:tc>
          <w:tcPr>
            <w:tcW w:w="1107" w:type="dxa"/>
            <w:tcBorders>
              <w:bottom w:val="double" w:sz="8" w:space="0" w:color="000000"/>
            </w:tcBorders>
            <w:shd w:fill="FFFFFF" w:val="clear"/>
            <w:tcMar>
              <w:bottom w:w="28" w:type="dxa"/>
            </w:tcMar>
            <w:vAlign w:val="bottom"/>
          </w:tcPr>
          <w:p>
            <w:pPr>
              <w:pStyle w:val="TableContents"/>
              <w:spacing w:before="0" w:after="283"/>
              <w:jc w:val="right"/>
              <w:rPr/>
            </w:pPr>
            <w:r>
              <w:rPr/>
              <w:t> </w:t>
            </w:r>
          </w:p>
        </w:tc>
        <w:tc>
          <w:tcPr>
            <w:tcW w:w="122" w:type="dxa"/>
            <w:tcBorders/>
            <w:shd w:fill="FFFFFF" w:val="clear"/>
            <w:vAlign w:val="bottom"/>
          </w:tcPr>
          <w:p>
            <w:pPr>
              <w:pStyle w:val="TableContents"/>
              <w:spacing w:before="0" w:after="283"/>
              <w:jc w:val="left"/>
              <w:rPr/>
            </w:pPr>
            <w:r>
              <w:rPr/>
              <w:t> </w:t>
            </w:r>
          </w:p>
        </w:tc>
      </w:tr>
    </w:tbl>
    <w:p>
      <w:pPr>
        <w:pStyle w:val="TextBody"/>
        <w:spacing w:before="0" w:after="0"/>
        <w:ind w:left="0" w:right="0" w:hanging="0"/>
        <w:jc w:val="center"/>
        <w:rPr/>
      </w:pPr>
      <w:r>
        <w:rPr/>
        <w:t> </w:t>
      </w:r>
    </w:p>
    <w:p>
      <w:pPr>
        <w:pStyle w:val="TextBody"/>
        <w:spacing w:before="0" w:after="0"/>
        <w:ind w:left="0" w:right="0" w:hanging="0"/>
        <w:jc w:val="center"/>
        <w:rPr>
          <w:rFonts w:ascii="helvetica" w:hAnsi="helvetica"/>
          <w:sz w:val="20"/>
        </w:rPr>
      </w:pPr>
      <w:r>
        <w:rPr>
          <w:rFonts w:ascii="helvetica" w:hAnsi="helvetica"/>
          <w:sz w:val="20"/>
        </w:rPr>
        <w:t>The accompanying notes are an integral part of these unaudited condensed consolidated financial statements</w:t>
      </w:r>
    </w:p>
    <w:p>
      <w:pPr>
        <w:pStyle w:val="TextBody"/>
        <w:spacing w:before="0" w:after="0"/>
        <w:ind w:left="0" w:right="0" w:hanging="0"/>
        <w:jc w:val="center"/>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909" w:name="PGBRK73"/>
      <w:bookmarkStart w:id="910" w:name="PGBRK73"/>
      <w:bookmarkEnd w:id="91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911" w:name="FTR73"/>
      <w:bookmarkStart w:id="912" w:name="FTR73"/>
      <w:bookmarkEnd w:id="91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913" w:name="GLFTR72"/>
      <w:bookmarkEnd w:id="913"/>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helvetica" w:hAnsi="helvetica"/>
          <w:sz w:val="20"/>
        </w:rPr>
      </w:pPr>
      <w:bookmarkStart w:id="914" w:name="PN72"/>
      <w:bookmarkEnd w:id="914"/>
      <w:r>
        <w:rPr>
          <w:rFonts w:ascii="helvetica" w:hAnsi="helvetica"/>
          <w:sz w:val="20"/>
        </w:rPr>
        <w:t>F-2</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915" w:name="HDR72"/>
      <w:bookmarkStart w:id="916" w:name="HDR72"/>
      <w:bookmarkEnd w:id="91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917" w:name="GLHDR72"/>
      <w:bookmarkEnd w:id="917"/>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t> </w:t>
      </w:r>
    </w:p>
    <w:p>
      <w:pPr>
        <w:pStyle w:val="TextBody"/>
        <w:spacing w:before="0" w:after="0"/>
        <w:jc w:val="center"/>
        <w:rPr>
          <w:b/>
        </w:rPr>
      </w:pPr>
      <w:r>
        <w:rPr>
          <w:b/>
        </w:rPr>
        <w:t xml:space="preserve">IMPRIMIS PHARMACEUTICALS, INC. </w:t>
      </w:r>
    </w:p>
    <w:p>
      <w:pPr>
        <w:pStyle w:val="TextBody"/>
        <w:spacing w:before="0" w:after="0"/>
        <w:ind w:left="0" w:right="0" w:hanging="0"/>
        <w:jc w:val="center"/>
        <w:rPr>
          <w:rFonts w:ascii="helvetica" w:hAnsi="helvetica"/>
          <w:b/>
          <w:sz w:val="20"/>
        </w:rPr>
      </w:pPr>
      <w:r>
        <w:rPr>
          <w:rFonts w:ascii="helvetica" w:hAnsi="helvetica"/>
          <w:b/>
          <w:sz w:val="20"/>
        </w:rPr>
        <w:t xml:space="preserve">(A Development Stage Company) </w:t>
      </w:r>
    </w:p>
    <w:p>
      <w:pPr>
        <w:pStyle w:val="TextBody"/>
        <w:spacing w:before="0" w:after="0"/>
        <w:ind w:left="0" w:right="0" w:hanging="0"/>
        <w:jc w:val="center"/>
        <w:rPr>
          <w:rFonts w:ascii="helvetica" w:hAnsi="helvetica"/>
          <w:b/>
          <w:sz w:val="20"/>
        </w:rPr>
      </w:pPr>
      <w:r>
        <w:rPr>
          <w:rFonts w:ascii="helvetica" w:hAnsi="helvetica"/>
          <w:b/>
          <w:sz w:val="20"/>
        </w:rPr>
        <w:t>UNAUDITED CONDENSED CONSOLIDATED STATEMENTS OF OPERATIONS</w:t>
      </w:r>
    </w:p>
    <w:p>
      <w:pPr>
        <w:pStyle w:val="TextBody"/>
        <w:spacing w:before="0" w:after="0"/>
        <w:ind w:left="0" w:right="0" w:hanging="0"/>
        <w:jc w:val="center"/>
        <w:rPr/>
      </w:pPr>
      <w:r>
        <w:rPr/>
        <w:t> </w:t>
      </w:r>
    </w:p>
    <w:tbl>
      <w:tblPr>
        <w:tblW w:w="5000" w:type="pct"/>
        <w:jc w:val="left"/>
        <w:tblInd w:w="0" w:type="dxa"/>
        <w:tblCellMar>
          <w:top w:w="0" w:type="dxa"/>
          <w:left w:w="0" w:type="dxa"/>
          <w:bottom w:w="0" w:type="dxa"/>
          <w:right w:w="0" w:type="dxa"/>
        </w:tblCellMar>
      </w:tblPr>
      <w:tblGrid>
        <w:gridCol w:w="3326"/>
        <w:gridCol w:w="95"/>
        <w:gridCol w:w="125"/>
        <w:gridCol w:w="1062"/>
        <w:gridCol w:w="104"/>
        <w:gridCol w:w="95"/>
        <w:gridCol w:w="125"/>
        <w:gridCol w:w="1013"/>
        <w:gridCol w:w="104"/>
        <w:gridCol w:w="95"/>
        <w:gridCol w:w="125"/>
        <w:gridCol w:w="1062"/>
        <w:gridCol w:w="104"/>
        <w:gridCol w:w="95"/>
        <w:gridCol w:w="124"/>
        <w:gridCol w:w="1013"/>
        <w:gridCol w:w="104"/>
        <w:gridCol w:w="95"/>
        <w:gridCol w:w="125"/>
        <w:gridCol w:w="1090"/>
        <w:gridCol w:w="124"/>
      </w:tblGrid>
      <w:tr>
        <w:trPr/>
        <w:tc>
          <w:tcPr>
            <w:tcW w:w="3326" w:type="dxa"/>
            <w:tcBorders/>
            <w:shd w:fill="auto" w:val="clear"/>
            <w:vAlign w:val="bottom"/>
          </w:tcPr>
          <w:p>
            <w:pPr>
              <w:pStyle w:val="TableContents"/>
              <w:spacing w:before="0" w:after="283"/>
              <w:rPr/>
            </w:pPr>
            <w:r>
              <w:rPr/>
              <w:t xml:space="preserve">  </w:t>
            </w:r>
          </w:p>
        </w:tc>
        <w:tc>
          <w:tcPr>
            <w:tcW w:w="95" w:type="dxa"/>
            <w:tcBorders/>
            <w:shd w:fill="auto" w:val="clear"/>
            <w:vAlign w:val="bottom"/>
          </w:tcPr>
          <w:p>
            <w:pPr>
              <w:pStyle w:val="TableContents"/>
              <w:spacing w:before="0" w:after="283"/>
              <w:rPr/>
            </w:pPr>
            <w:r>
              <w:rPr/>
              <w:t> </w:t>
            </w:r>
          </w:p>
        </w:tc>
        <w:tc>
          <w:tcPr>
            <w:tcW w:w="1187" w:type="dxa"/>
            <w:gridSpan w:val="2"/>
            <w:tcBorders/>
            <w:shd w:fill="auto" w:val="clear"/>
            <w:vAlign w:val="bottom"/>
          </w:tcPr>
          <w:p>
            <w:pPr>
              <w:pStyle w:val="TableContents"/>
              <w:spacing w:before="0" w:after="0"/>
              <w:ind w:left="0" w:right="0" w:hanging="0"/>
              <w:jc w:val="center"/>
              <w:rPr>
                <w:rFonts w:ascii="helvetica" w:hAnsi="helvetica"/>
                <w:b/>
                <w:sz w:val="16"/>
              </w:rPr>
            </w:pPr>
            <w:r>
              <w:rPr>
                <w:rFonts w:ascii="helvetica" w:hAnsi="helvetica"/>
                <w:b/>
                <w:sz w:val="16"/>
              </w:rPr>
              <w:t>For The</w:t>
            </w:r>
          </w:p>
        </w:tc>
        <w:tc>
          <w:tcPr>
            <w:tcW w:w="104" w:type="dxa"/>
            <w:tcBorders/>
            <w:shd w:fill="auto" w:val="clear"/>
            <w:vAlign w:val="bottom"/>
          </w:tcPr>
          <w:p>
            <w:pPr>
              <w:pStyle w:val="TableContents"/>
              <w:spacing w:before="0" w:after="283"/>
              <w:jc w:val="left"/>
              <w:rPr/>
            </w:pPr>
            <w:r>
              <w:rPr/>
              <w:t> </w:t>
            </w:r>
          </w:p>
        </w:tc>
        <w:tc>
          <w:tcPr>
            <w:tcW w:w="95" w:type="dxa"/>
            <w:tcBorders/>
            <w:shd w:fill="auto" w:val="clear"/>
            <w:vAlign w:val="bottom"/>
          </w:tcPr>
          <w:p>
            <w:pPr>
              <w:pStyle w:val="TableContents"/>
              <w:spacing w:before="0" w:after="283"/>
              <w:rPr/>
            </w:pPr>
            <w:r>
              <w:rPr/>
              <w:t> </w:t>
            </w:r>
          </w:p>
        </w:tc>
        <w:tc>
          <w:tcPr>
            <w:tcW w:w="1138" w:type="dxa"/>
            <w:gridSpan w:val="2"/>
            <w:tcBorders/>
            <w:shd w:fill="auto" w:val="clear"/>
            <w:vAlign w:val="bottom"/>
          </w:tcPr>
          <w:p>
            <w:pPr>
              <w:pStyle w:val="TableContents"/>
              <w:spacing w:before="0" w:after="0"/>
              <w:ind w:left="0" w:right="0" w:hanging="0"/>
              <w:jc w:val="center"/>
              <w:rPr>
                <w:rFonts w:ascii="helvetica" w:hAnsi="helvetica"/>
                <w:b/>
                <w:sz w:val="16"/>
              </w:rPr>
            </w:pPr>
            <w:r>
              <w:rPr>
                <w:rFonts w:ascii="helvetica" w:hAnsi="helvetica"/>
                <w:b/>
                <w:sz w:val="16"/>
              </w:rPr>
              <w:t>For The</w:t>
            </w:r>
          </w:p>
        </w:tc>
        <w:tc>
          <w:tcPr>
            <w:tcW w:w="104" w:type="dxa"/>
            <w:tcBorders/>
            <w:shd w:fill="auto" w:val="clear"/>
            <w:vAlign w:val="bottom"/>
          </w:tcPr>
          <w:p>
            <w:pPr>
              <w:pStyle w:val="TableContents"/>
              <w:spacing w:before="0" w:after="283"/>
              <w:jc w:val="left"/>
              <w:rPr/>
            </w:pPr>
            <w:r>
              <w:rPr/>
              <w:t> </w:t>
            </w:r>
          </w:p>
        </w:tc>
        <w:tc>
          <w:tcPr>
            <w:tcW w:w="95" w:type="dxa"/>
            <w:tcBorders/>
            <w:shd w:fill="auto" w:val="clear"/>
            <w:vAlign w:val="bottom"/>
          </w:tcPr>
          <w:p>
            <w:pPr>
              <w:pStyle w:val="TableContents"/>
              <w:spacing w:before="0" w:after="283"/>
              <w:rPr/>
            </w:pPr>
            <w:r>
              <w:rPr/>
              <w:t> </w:t>
            </w:r>
          </w:p>
        </w:tc>
        <w:tc>
          <w:tcPr>
            <w:tcW w:w="1187" w:type="dxa"/>
            <w:gridSpan w:val="2"/>
            <w:tcBorders/>
            <w:shd w:fill="auto" w:val="clear"/>
            <w:vAlign w:val="bottom"/>
          </w:tcPr>
          <w:p>
            <w:pPr>
              <w:pStyle w:val="TableContents"/>
              <w:spacing w:before="0" w:after="0"/>
              <w:ind w:left="0" w:right="0" w:hanging="0"/>
              <w:jc w:val="center"/>
              <w:rPr>
                <w:rFonts w:ascii="helvetica" w:hAnsi="helvetica"/>
                <w:b/>
                <w:sz w:val="16"/>
              </w:rPr>
            </w:pPr>
            <w:r>
              <w:rPr>
                <w:rFonts w:ascii="helvetica" w:hAnsi="helvetica"/>
                <w:b/>
                <w:sz w:val="16"/>
              </w:rPr>
              <w:t>For The</w:t>
            </w:r>
          </w:p>
        </w:tc>
        <w:tc>
          <w:tcPr>
            <w:tcW w:w="104" w:type="dxa"/>
            <w:tcBorders/>
            <w:shd w:fill="auto" w:val="clear"/>
            <w:vAlign w:val="bottom"/>
          </w:tcPr>
          <w:p>
            <w:pPr>
              <w:pStyle w:val="TableContents"/>
              <w:spacing w:before="0" w:after="283"/>
              <w:jc w:val="left"/>
              <w:rPr/>
            </w:pPr>
            <w:r>
              <w:rPr/>
              <w:t> </w:t>
            </w:r>
          </w:p>
        </w:tc>
        <w:tc>
          <w:tcPr>
            <w:tcW w:w="95" w:type="dxa"/>
            <w:tcBorders/>
            <w:shd w:fill="auto" w:val="clear"/>
            <w:vAlign w:val="bottom"/>
          </w:tcPr>
          <w:p>
            <w:pPr>
              <w:pStyle w:val="TableContents"/>
              <w:spacing w:before="0" w:after="283"/>
              <w:rPr/>
            </w:pPr>
            <w:r>
              <w:rPr/>
              <w:t> </w:t>
            </w:r>
          </w:p>
        </w:tc>
        <w:tc>
          <w:tcPr>
            <w:tcW w:w="1137" w:type="dxa"/>
            <w:gridSpan w:val="2"/>
            <w:tcBorders/>
            <w:shd w:fill="auto" w:val="clear"/>
            <w:vAlign w:val="bottom"/>
          </w:tcPr>
          <w:p>
            <w:pPr>
              <w:pStyle w:val="TableContents"/>
              <w:spacing w:before="0" w:after="0"/>
              <w:ind w:left="0" w:right="0" w:hanging="0"/>
              <w:jc w:val="center"/>
              <w:rPr>
                <w:rFonts w:ascii="helvetica" w:hAnsi="helvetica"/>
                <w:b/>
                <w:sz w:val="16"/>
              </w:rPr>
            </w:pPr>
            <w:r>
              <w:rPr>
                <w:rFonts w:ascii="helvetica" w:hAnsi="helvetica"/>
                <w:b/>
                <w:sz w:val="16"/>
              </w:rPr>
              <w:t>For The</w:t>
            </w:r>
          </w:p>
        </w:tc>
        <w:tc>
          <w:tcPr>
            <w:tcW w:w="104" w:type="dxa"/>
            <w:tcBorders/>
            <w:shd w:fill="auto" w:val="clear"/>
            <w:vAlign w:val="bottom"/>
          </w:tcPr>
          <w:p>
            <w:pPr>
              <w:pStyle w:val="TableContents"/>
              <w:spacing w:before="0" w:after="283"/>
              <w:jc w:val="left"/>
              <w:rPr/>
            </w:pPr>
            <w:r>
              <w:rPr/>
              <w:t> </w:t>
            </w:r>
          </w:p>
        </w:tc>
        <w:tc>
          <w:tcPr>
            <w:tcW w:w="95" w:type="dxa"/>
            <w:tcBorders/>
            <w:shd w:fill="auto" w:val="clear"/>
            <w:vAlign w:val="bottom"/>
          </w:tcPr>
          <w:p>
            <w:pPr>
              <w:pStyle w:val="TableContents"/>
              <w:spacing w:before="0" w:after="283"/>
              <w:rPr/>
            </w:pPr>
            <w:r>
              <w:rPr/>
              <w:t> </w:t>
            </w:r>
          </w:p>
        </w:tc>
        <w:tc>
          <w:tcPr>
            <w:tcW w:w="1215" w:type="dxa"/>
            <w:gridSpan w:val="2"/>
            <w:tcBorders/>
            <w:shd w:fill="auto" w:val="clear"/>
            <w:vAlign w:val="bottom"/>
          </w:tcPr>
          <w:p>
            <w:pPr>
              <w:pStyle w:val="TableContents"/>
              <w:spacing w:before="0" w:after="0"/>
              <w:ind w:left="0" w:right="0" w:hanging="0"/>
              <w:jc w:val="center"/>
              <w:rPr>
                <w:rFonts w:ascii="helvetica" w:hAnsi="helvetica"/>
                <w:b/>
                <w:sz w:val="16"/>
              </w:rPr>
            </w:pPr>
            <w:r>
              <w:rPr>
                <w:rFonts w:ascii="helvetica" w:hAnsi="helvetica"/>
                <w:b/>
                <w:sz w:val="16"/>
              </w:rPr>
              <w:t>For the Period From</w:t>
            </w:r>
          </w:p>
        </w:tc>
        <w:tc>
          <w:tcPr>
            <w:tcW w:w="124" w:type="dxa"/>
            <w:tcBorders/>
            <w:shd w:fill="auto" w:val="clear"/>
            <w:vAlign w:val="bottom"/>
          </w:tcPr>
          <w:p>
            <w:pPr>
              <w:pStyle w:val="TableContents"/>
              <w:spacing w:before="0" w:after="283"/>
              <w:jc w:val="left"/>
              <w:rPr/>
            </w:pPr>
            <w:r>
              <w:rPr/>
              <w:t> </w:t>
            </w:r>
          </w:p>
        </w:tc>
      </w:tr>
      <w:tr>
        <w:trPr/>
        <w:tc>
          <w:tcPr>
            <w:tcW w:w="3326" w:type="dxa"/>
            <w:tcBorders/>
            <w:shd w:fill="auto" w:val="clear"/>
            <w:vAlign w:val="bottom"/>
          </w:tcPr>
          <w:p>
            <w:pPr>
              <w:pStyle w:val="TableContents"/>
              <w:spacing w:before="0" w:after="283"/>
              <w:rPr/>
            </w:pPr>
            <w:r>
              <w:rPr/>
              <w:t xml:space="preserve">  </w:t>
            </w:r>
          </w:p>
        </w:tc>
        <w:tc>
          <w:tcPr>
            <w:tcW w:w="95" w:type="dxa"/>
            <w:tcBorders/>
            <w:shd w:fill="auto" w:val="clear"/>
            <w:vAlign w:val="bottom"/>
          </w:tcPr>
          <w:p>
            <w:pPr>
              <w:pStyle w:val="TableContents"/>
              <w:spacing w:before="0" w:after="283"/>
              <w:rPr/>
            </w:pPr>
            <w:r>
              <w:rPr/>
              <w:t> </w:t>
            </w:r>
          </w:p>
        </w:tc>
        <w:tc>
          <w:tcPr>
            <w:tcW w:w="1187" w:type="dxa"/>
            <w:gridSpan w:val="2"/>
            <w:tcBorders/>
            <w:shd w:fill="auto" w:val="clear"/>
            <w:vAlign w:val="bottom"/>
          </w:tcPr>
          <w:p>
            <w:pPr>
              <w:pStyle w:val="TableContents"/>
              <w:spacing w:before="0" w:after="0"/>
              <w:ind w:left="0" w:right="0" w:hanging="0"/>
              <w:jc w:val="center"/>
              <w:rPr>
                <w:rFonts w:ascii="helvetica" w:hAnsi="helvetica"/>
                <w:b/>
                <w:sz w:val="16"/>
              </w:rPr>
            </w:pPr>
            <w:r>
              <w:rPr>
                <w:rFonts w:ascii="helvetica" w:hAnsi="helvetica"/>
                <w:b/>
                <w:sz w:val="16"/>
              </w:rPr>
              <w:t>Three Months Ended</w:t>
            </w:r>
          </w:p>
        </w:tc>
        <w:tc>
          <w:tcPr>
            <w:tcW w:w="104" w:type="dxa"/>
            <w:tcBorders/>
            <w:shd w:fill="auto" w:val="clear"/>
            <w:vAlign w:val="bottom"/>
          </w:tcPr>
          <w:p>
            <w:pPr>
              <w:pStyle w:val="TableContents"/>
              <w:spacing w:before="0" w:after="283"/>
              <w:jc w:val="left"/>
              <w:rPr/>
            </w:pPr>
            <w:r>
              <w:rPr/>
              <w:t> </w:t>
            </w:r>
          </w:p>
        </w:tc>
        <w:tc>
          <w:tcPr>
            <w:tcW w:w="95" w:type="dxa"/>
            <w:tcBorders/>
            <w:shd w:fill="auto" w:val="clear"/>
            <w:vAlign w:val="bottom"/>
          </w:tcPr>
          <w:p>
            <w:pPr>
              <w:pStyle w:val="TableContents"/>
              <w:spacing w:before="0" w:after="283"/>
              <w:rPr/>
            </w:pPr>
            <w:r>
              <w:rPr/>
              <w:t> </w:t>
            </w:r>
          </w:p>
        </w:tc>
        <w:tc>
          <w:tcPr>
            <w:tcW w:w="1138" w:type="dxa"/>
            <w:gridSpan w:val="2"/>
            <w:tcBorders/>
            <w:shd w:fill="auto" w:val="clear"/>
            <w:vAlign w:val="bottom"/>
          </w:tcPr>
          <w:p>
            <w:pPr>
              <w:pStyle w:val="TableContents"/>
              <w:spacing w:before="0" w:after="0"/>
              <w:ind w:left="0" w:right="0" w:hanging="0"/>
              <w:jc w:val="center"/>
              <w:rPr>
                <w:rFonts w:ascii="helvetica" w:hAnsi="helvetica"/>
                <w:b/>
                <w:sz w:val="16"/>
              </w:rPr>
            </w:pPr>
            <w:r>
              <w:rPr>
                <w:rFonts w:ascii="helvetica" w:hAnsi="helvetica"/>
                <w:b/>
                <w:sz w:val="16"/>
              </w:rPr>
              <w:t>Three Months Ended</w:t>
            </w:r>
          </w:p>
        </w:tc>
        <w:tc>
          <w:tcPr>
            <w:tcW w:w="104" w:type="dxa"/>
            <w:tcBorders/>
            <w:shd w:fill="auto" w:val="clear"/>
            <w:vAlign w:val="bottom"/>
          </w:tcPr>
          <w:p>
            <w:pPr>
              <w:pStyle w:val="TableContents"/>
              <w:spacing w:before="0" w:after="283"/>
              <w:jc w:val="left"/>
              <w:rPr/>
            </w:pPr>
            <w:r>
              <w:rPr/>
              <w:t> </w:t>
            </w:r>
          </w:p>
        </w:tc>
        <w:tc>
          <w:tcPr>
            <w:tcW w:w="95" w:type="dxa"/>
            <w:tcBorders/>
            <w:shd w:fill="auto" w:val="clear"/>
            <w:vAlign w:val="bottom"/>
          </w:tcPr>
          <w:p>
            <w:pPr>
              <w:pStyle w:val="TableContents"/>
              <w:spacing w:before="0" w:after="283"/>
              <w:rPr/>
            </w:pPr>
            <w:r>
              <w:rPr/>
              <w:t> </w:t>
            </w:r>
          </w:p>
        </w:tc>
        <w:tc>
          <w:tcPr>
            <w:tcW w:w="1187" w:type="dxa"/>
            <w:gridSpan w:val="2"/>
            <w:tcBorders/>
            <w:shd w:fill="auto" w:val="clear"/>
            <w:vAlign w:val="bottom"/>
          </w:tcPr>
          <w:p>
            <w:pPr>
              <w:pStyle w:val="TableContents"/>
              <w:spacing w:before="0" w:after="0"/>
              <w:ind w:left="0" w:right="0" w:hanging="0"/>
              <w:jc w:val="center"/>
              <w:rPr>
                <w:rFonts w:ascii="helvetica" w:hAnsi="helvetica"/>
                <w:b/>
                <w:sz w:val="16"/>
              </w:rPr>
            </w:pPr>
            <w:r>
              <w:rPr>
                <w:rFonts w:ascii="helvetica" w:hAnsi="helvetica"/>
                <w:b/>
                <w:sz w:val="16"/>
              </w:rPr>
              <w:t>Six Months Ended</w:t>
            </w:r>
          </w:p>
        </w:tc>
        <w:tc>
          <w:tcPr>
            <w:tcW w:w="104" w:type="dxa"/>
            <w:tcBorders/>
            <w:shd w:fill="auto" w:val="clear"/>
            <w:vAlign w:val="bottom"/>
          </w:tcPr>
          <w:p>
            <w:pPr>
              <w:pStyle w:val="TableContents"/>
              <w:spacing w:before="0" w:after="283"/>
              <w:jc w:val="left"/>
              <w:rPr/>
            </w:pPr>
            <w:r>
              <w:rPr/>
              <w:t> </w:t>
            </w:r>
          </w:p>
        </w:tc>
        <w:tc>
          <w:tcPr>
            <w:tcW w:w="95" w:type="dxa"/>
            <w:tcBorders/>
            <w:shd w:fill="auto" w:val="clear"/>
            <w:vAlign w:val="bottom"/>
          </w:tcPr>
          <w:p>
            <w:pPr>
              <w:pStyle w:val="TableContents"/>
              <w:spacing w:before="0" w:after="283"/>
              <w:rPr/>
            </w:pPr>
            <w:r>
              <w:rPr/>
              <w:t> </w:t>
            </w:r>
          </w:p>
        </w:tc>
        <w:tc>
          <w:tcPr>
            <w:tcW w:w="1137" w:type="dxa"/>
            <w:gridSpan w:val="2"/>
            <w:tcBorders/>
            <w:shd w:fill="auto" w:val="clear"/>
            <w:vAlign w:val="bottom"/>
          </w:tcPr>
          <w:p>
            <w:pPr>
              <w:pStyle w:val="TableContents"/>
              <w:spacing w:before="0" w:after="0"/>
              <w:ind w:left="0" w:right="0" w:hanging="0"/>
              <w:jc w:val="center"/>
              <w:rPr>
                <w:rFonts w:ascii="helvetica" w:hAnsi="helvetica"/>
                <w:b/>
                <w:sz w:val="16"/>
              </w:rPr>
            </w:pPr>
            <w:r>
              <w:rPr>
                <w:rFonts w:ascii="helvetica" w:hAnsi="helvetica"/>
                <w:b/>
                <w:sz w:val="16"/>
              </w:rPr>
              <w:t>Six Months Ended</w:t>
            </w:r>
          </w:p>
        </w:tc>
        <w:tc>
          <w:tcPr>
            <w:tcW w:w="104" w:type="dxa"/>
            <w:tcBorders/>
            <w:shd w:fill="auto" w:val="clear"/>
            <w:vAlign w:val="bottom"/>
          </w:tcPr>
          <w:p>
            <w:pPr>
              <w:pStyle w:val="TableContents"/>
              <w:spacing w:before="0" w:after="283"/>
              <w:jc w:val="left"/>
              <w:rPr/>
            </w:pPr>
            <w:r>
              <w:rPr/>
              <w:t> </w:t>
            </w:r>
          </w:p>
        </w:tc>
        <w:tc>
          <w:tcPr>
            <w:tcW w:w="95" w:type="dxa"/>
            <w:tcBorders/>
            <w:shd w:fill="auto" w:val="clear"/>
            <w:vAlign w:val="bottom"/>
          </w:tcPr>
          <w:p>
            <w:pPr>
              <w:pStyle w:val="TableContents"/>
              <w:spacing w:before="0" w:after="283"/>
              <w:rPr/>
            </w:pPr>
            <w:r>
              <w:rPr/>
              <w:t> </w:t>
            </w:r>
          </w:p>
        </w:tc>
        <w:tc>
          <w:tcPr>
            <w:tcW w:w="1215" w:type="dxa"/>
            <w:gridSpan w:val="2"/>
            <w:tcBorders/>
            <w:shd w:fill="auto" w:val="clear"/>
            <w:vAlign w:val="bottom"/>
          </w:tcPr>
          <w:p>
            <w:pPr>
              <w:pStyle w:val="TableContents"/>
              <w:spacing w:before="0" w:after="0"/>
              <w:ind w:left="0" w:right="0" w:hanging="0"/>
              <w:jc w:val="center"/>
              <w:rPr>
                <w:rFonts w:ascii="helvetica" w:hAnsi="helvetica"/>
                <w:b/>
                <w:sz w:val="16"/>
              </w:rPr>
            </w:pPr>
            <w:r>
              <w:rPr>
                <w:rFonts w:ascii="helvetica" w:hAnsi="helvetica"/>
                <w:b/>
                <w:sz w:val="16"/>
              </w:rPr>
              <w:t>July 24, 1998 (Inception)</w:t>
            </w:r>
          </w:p>
        </w:tc>
        <w:tc>
          <w:tcPr>
            <w:tcW w:w="124" w:type="dxa"/>
            <w:tcBorders/>
            <w:shd w:fill="auto" w:val="clear"/>
            <w:vAlign w:val="bottom"/>
          </w:tcPr>
          <w:p>
            <w:pPr>
              <w:pStyle w:val="TableContents"/>
              <w:spacing w:before="0" w:after="283"/>
              <w:jc w:val="left"/>
              <w:rPr/>
            </w:pPr>
            <w:r>
              <w:rPr/>
              <w:t> </w:t>
            </w:r>
          </w:p>
        </w:tc>
      </w:tr>
      <w:tr>
        <w:trPr/>
        <w:tc>
          <w:tcPr>
            <w:tcW w:w="3326" w:type="dxa"/>
            <w:tcBorders/>
            <w:shd w:fill="auto" w:val="clear"/>
            <w:vAlign w:val="bottom"/>
          </w:tcPr>
          <w:p>
            <w:pPr>
              <w:pStyle w:val="TableContents"/>
              <w:spacing w:before="0" w:after="283"/>
              <w:rPr/>
            </w:pPr>
            <w:r>
              <w:rPr/>
              <w:t xml:space="preserve">  </w:t>
            </w:r>
          </w:p>
        </w:tc>
        <w:tc>
          <w:tcPr>
            <w:tcW w:w="95" w:type="dxa"/>
            <w:tcBorders/>
            <w:shd w:fill="auto" w:val="clear"/>
            <w:vAlign w:val="bottom"/>
          </w:tcPr>
          <w:p>
            <w:pPr>
              <w:pStyle w:val="TableContents"/>
              <w:spacing w:before="0" w:after="283"/>
              <w:rPr/>
            </w:pPr>
            <w:r>
              <w:rPr/>
              <w:t> </w:t>
            </w:r>
          </w:p>
        </w:tc>
        <w:tc>
          <w:tcPr>
            <w:tcW w:w="1187" w:type="dxa"/>
            <w:gridSpan w:val="2"/>
            <w:tcBorders/>
            <w:shd w:fill="auto" w:val="clear"/>
            <w:vAlign w:val="bottom"/>
          </w:tcPr>
          <w:p>
            <w:pPr>
              <w:pStyle w:val="TableContents"/>
              <w:spacing w:before="0" w:after="0"/>
              <w:ind w:left="0" w:right="0" w:hanging="0"/>
              <w:jc w:val="center"/>
              <w:rPr>
                <w:rFonts w:ascii="helvetica" w:hAnsi="helvetica"/>
                <w:b/>
                <w:sz w:val="16"/>
              </w:rPr>
            </w:pPr>
            <w:r>
              <w:rPr>
                <w:rFonts w:ascii="helvetica" w:hAnsi="helvetica"/>
                <w:b/>
                <w:sz w:val="16"/>
              </w:rPr>
              <w:t>June 30,</w:t>
            </w:r>
          </w:p>
        </w:tc>
        <w:tc>
          <w:tcPr>
            <w:tcW w:w="104" w:type="dxa"/>
            <w:tcBorders/>
            <w:shd w:fill="auto" w:val="clear"/>
            <w:vAlign w:val="bottom"/>
          </w:tcPr>
          <w:p>
            <w:pPr>
              <w:pStyle w:val="TableContents"/>
              <w:spacing w:before="0" w:after="283"/>
              <w:jc w:val="left"/>
              <w:rPr/>
            </w:pPr>
            <w:r>
              <w:rPr/>
              <w:t> </w:t>
            </w:r>
          </w:p>
        </w:tc>
        <w:tc>
          <w:tcPr>
            <w:tcW w:w="95" w:type="dxa"/>
            <w:tcBorders/>
            <w:shd w:fill="auto" w:val="clear"/>
            <w:vAlign w:val="bottom"/>
          </w:tcPr>
          <w:p>
            <w:pPr>
              <w:pStyle w:val="TableContents"/>
              <w:spacing w:before="0" w:after="283"/>
              <w:rPr/>
            </w:pPr>
            <w:r>
              <w:rPr/>
              <w:t> </w:t>
            </w:r>
          </w:p>
        </w:tc>
        <w:tc>
          <w:tcPr>
            <w:tcW w:w="1138" w:type="dxa"/>
            <w:gridSpan w:val="2"/>
            <w:tcBorders/>
            <w:shd w:fill="auto" w:val="clear"/>
            <w:vAlign w:val="bottom"/>
          </w:tcPr>
          <w:p>
            <w:pPr>
              <w:pStyle w:val="TableContents"/>
              <w:spacing w:before="0" w:after="0"/>
              <w:ind w:left="0" w:right="0" w:hanging="0"/>
              <w:jc w:val="center"/>
              <w:rPr>
                <w:rFonts w:ascii="helvetica" w:hAnsi="helvetica"/>
                <w:b/>
                <w:sz w:val="16"/>
              </w:rPr>
            </w:pPr>
            <w:r>
              <w:rPr>
                <w:rFonts w:ascii="helvetica" w:hAnsi="helvetica"/>
                <w:b/>
                <w:sz w:val="16"/>
              </w:rPr>
              <w:t>June 30,</w:t>
            </w:r>
          </w:p>
        </w:tc>
        <w:tc>
          <w:tcPr>
            <w:tcW w:w="104" w:type="dxa"/>
            <w:tcBorders/>
            <w:shd w:fill="auto" w:val="clear"/>
            <w:vAlign w:val="bottom"/>
          </w:tcPr>
          <w:p>
            <w:pPr>
              <w:pStyle w:val="TableContents"/>
              <w:spacing w:before="0" w:after="283"/>
              <w:jc w:val="left"/>
              <w:rPr/>
            </w:pPr>
            <w:r>
              <w:rPr/>
              <w:t> </w:t>
            </w:r>
          </w:p>
        </w:tc>
        <w:tc>
          <w:tcPr>
            <w:tcW w:w="95" w:type="dxa"/>
            <w:tcBorders/>
            <w:shd w:fill="auto" w:val="clear"/>
            <w:vAlign w:val="bottom"/>
          </w:tcPr>
          <w:p>
            <w:pPr>
              <w:pStyle w:val="TableContents"/>
              <w:spacing w:before="0" w:after="283"/>
              <w:rPr/>
            </w:pPr>
            <w:r>
              <w:rPr/>
              <w:t> </w:t>
            </w:r>
          </w:p>
        </w:tc>
        <w:tc>
          <w:tcPr>
            <w:tcW w:w="1187" w:type="dxa"/>
            <w:gridSpan w:val="2"/>
            <w:tcBorders/>
            <w:shd w:fill="auto" w:val="clear"/>
            <w:vAlign w:val="bottom"/>
          </w:tcPr>
          <w:p>
            <w:pPr>
              <w:pStyle w:val="TableContents"/>
              <w:spacing w:before="0" w:after="0"/>
              <w:ind w:left="0" w:right="0" w:hanging="0"/>
              <w:jc w:val="center"/>
              <w:rPr>
                <w:rFonts w:ascii="helvetica" w:hAnsi="helvetica"/>
                <w:b/>
                <w:sz w:val="16"/>
              </w:rPr>
            </w:pPr>
            <w:r>
              <w:rPr>
                <w:rFonts w:ascii="helvetica" w:hAnsi="helvetica"/>
                <w:b/>
                <w:sz w:val="16"/>
              </w:rPr>
              <w:t>June 30,</w:t>
            </w:r>
          </w:p>
        </w:tc>
        <w:tc>
          <w:tcPr>
            <w:tcW w:w="104" w:type="dxa"/>
            <w:tcBorders/>
            <w:shd w:fill="auto" w:val="clear"/>
            <w:vAlign w:val="bottom"/>
          </w:tcPr>
          <w:p>
            <w:pPr>
              <w:pStyle w:val="TableContents"/>
              <w:spacing w:before="0" w:after="283"/>
              <w:jc w:val="left"/>
              <w:rPr/>
            </w:pPr>
            <w:r>
              <w:rPr/>
              <w:t> </w:t>
            </w:r>
          </w:p>
        </w:tc>
        <w:tc>
          <w:tcPr>
            <w:tcW w:w="95" w:type="dxa"/>
            <w:tcBorders/>
            <w:shd w:fill="auto" w:val="clear"/>
            <w:vAlign w:val="bottom"/>
          </w:tcPr>
          <w:p>
            <w:pPr>
              <w:pStyle w:val="TableContents"/>
              <w:spacing w:before="0" w:after="283"/>
              <w:rPr/>
            </w:pPr>
            <w:r>
              <w:rPr/>
              <w:t> </w:t>
            </w:r>
          </w:p>
        </w:tc>
        <w:tc>
          <w:tcPr>
            <w:tcW w:w="1137" w:type="dxa"/>
            <w:gridSpan w:val="2"/>
            <w:tcBorders/>
            <w:shd w:fill="auto" w:val="clear"/>
            <w:vAlign w:val="bottom"/>
          </w:tcPr>
          <w:p>
            <w:pPr>
              <w:pStyle w:val="TableContents"/>
              <w:spacing w:before="0" w:after="0"/>
              <w:ind w:left="0" w:right="0" w:hanging="0"/>
              <w:jc w:val="center"/>
              <w:rPr>
                <w:rFonts w:ascii="helvetica" w:hAnsi="helvetica"/>
                <w:b/>
                <w:sz w:val="16"/>
              </w:rPr>
            </w:pPr>
            <w:r>
              <w:rPr>
                <w:rFonts w:ascii="helvetica" w:hAnsi="helvetica"/>
                <w:b/>
                <w:sz w:val="16"/>
              </w:rPr>
              <w:t>June 30,</w:t>
            </w:r>
          </w:p>
        </w:tc>
        <w:tc>
          <w:tcPr>
            <w:tcW w:w="104" w:type="dxa"/>
            <w:tcBorders/>
            <w:shd w:fill="auto" w:val="clear"/>
            <w:vAlign w:val="bottom"/>
          </w:tcPr>
          <w:p>
            <w:pPr>
              <w:pStyle w:val="TableContents"/>
              <w:spacing w:before="0" w:after="283"/>
              <w:jc w:val="left"/>
              <w:rPr/>
            </w:pPr>
            <w:r>
              <w:rPr/>
              <w:t> </w:t>
            </w:r>
          </w:p>
        </w:tc>
        <w:tc>
          <w:tcPr>
            <w:tcW w:w="95" w:type="dxa"/>
            <w:tcBorders/>
            <w:shd w:fill="auto" w:val="clear"/>
            <w:vAlign w:val="bottom"/>
          </w:tcPr>
          <w:p>
            <w:pPr>
              <w:pStyle w:val="TableContents"/>
              <w:spacing w:before="0" w:after="283"/>
              <w:rPr/>
            </w:pPr>
            <w:r>
              <w:rPr/>
              <w:t> </w:t>
            </w:r>
          </w:p>
        </w:tc>
        <w:tc>
          <w:tcPr>
            <w:tcW w:w="1215" w:type="dxa"/>
            <w:gridSpan w:val="2"/>
            <w:tcBorders/>
            <w:shd w:fill="auto" w:val="clear"/>
            <w:vAlign w:val="bottom"/>
          </w:tcPr>
          <w:p>
            <w:pPr>
              <w:pStyle w:val="TableContents"/>
              <w:spacing w:before="0" w:after="0"/>
              <w:ind w:left="0" w:right="0" w:hanging="0"/>
              <w:jc w:val="center"/>
              <w:rPr>
                <w:rFonts w:ascii="helvetica" w:hAnsi="helvetica"/>
                <w:b/>
                <w:sz w:val="16"/>
              </w:rPr>
            </w:pPr>
            <w:r>
              <w:rPr>
                <w:rFonts w:ascii="helvetica" w:hAnsi="helvetica"/>
                <w:b/>
                <w:sz w:val="16"/>
              </w:rPr>
              <w:t>through June 30,</w:t>
            </w:r>
          </w:p>
        </w:tc>
        <w:tc>
          <w:tcPr>
            <w:tcW w:w="124" w:type="dxa"/>
            <w:tcBorders/>
            <w:shd w:fill="auto" w:val="clear"/>
            <w:vAlign w:val="bottom"/>
          </w:tcPr>
          <w:p>
            <w:pPr>
              <w:pStyle w:val="TableContents"/>
              <w:spacing w:before="0" w:after="283"/>
              <w:jc w:val="left"/>
              <w:rPr/>
            </w:pPr>
            <w:r>
              <w:rPr/>
              <w:t> </w:t>
            </w:r>
          </w:p>
        </w:tc>
      </w:tr>
      <w:tr>
        <w:trPr/>
        <w:tc>
          <w:tcPr>
            <w:tcW w:w="3326" w:type="dxa"/>
            <w:tcBorders/>
            <w:shd w:fill="auto" w:val="clear"/>
            <w:vAlign w:val="bottom"/>
          </w:tcPr>
          <w:p>
            <w:pPr>
              <w:pStyle w:val="TableContents"/>
              <w:spacing w:before="0" w:after="283"/>
              <w:rPr/>
            </w:pPr>
            <w:r>
              <w:rPr/>
              <w:t xml:space="preserve">  </w:t>
            </w:r>
          </w:p>
        </w:tc>
        <w:tc>
          <w:tcPr>
            <w:tcW w:w="95" w:type="dxa"/>
            <w:tcBorders/>
            <w:shd w:fill="auto" w:val="clear"/>
            <w:vAlign w:val="bottom"/>
          </w:tcPr>
          <w:p>
            <w:pPr>
              <w:pStyle w:val="TableContents"/>
              <w:spacing w:before="0" w:after="283"/>
              <w:rPr/>
            </w:pPr>
            <w:r>
              <w:rPr/>
              <w:t> </w:t>
            </w:r>
          </w:p>
        </w:tc>
        <w:tc>
          <w:tcPr>
            <w:tcW w:w="1187"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helvetica" w:hAnsi="helvetica"/>
                <w:b/>
                <w:sz w:val="16"/>
              </w:rPr>
            </w:pPr>
            <w:r>
              <w:rPr>
                <w:rFonts w:ascii="helvetica" w:hAnsi="helvetica"/>
                <w:b/>
                <w:sz w:val="16"/>
              </w:rPr>
              <w:t>2012</w:t>
            </w:r>
          </w:p>
        </w:tc>
        <w:tc>
          <w:tcPr>
            <w:tcW w:w="104" w:type="dxa"/>
            <w:tcBorders/>
            <w:shd w:fill="auto" w:val="clear"/>
            <w:vAlign w:val="bottom"/>
          </w:tcPr>
          <w:p>
            <w:pPr>
              <w:pStyle w:val="TableContents"/>
              <w:spacing w:before="0" w:after="283"/>
              <w:jc w:val="left"/>
              <w:rPr/>
            </w:pPr>
            <w:r>
              <w:rPr/>
              <w:t> </w:t>
            </w:r>
          </w:p>
        </w:tc>
        <w:tc>
          <w:tcPr>
            <w:tcW w:w="95" w:type="dxa"/>
            <w:tcBorders/>
            <w:shd w:fill="auto" w:val="clear"/>
            <w:vAlign w:val="bottom"/>
          </w:tcPr>
          <w:p>
            <w:pPr>
              <w:pStyle w:val="TableContents"/>
              <w:spacing w:before="0" w:after="283"/>
              <w:rPr/>
            </w:pPr>
            <w:r>
              <w:rPr/>
              <w:t> </w:t>
            </w:r>
          </w:p>
        </w:tc>
        <w:tc>
          <w:tcPr>
            <w:tcW w:w="1138"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helvetica" w:hAnsi="helvetica"/>
                <w:b/>
                <w:sz w:val="16"/>
              </w:rPr>
            </w:pPr>
            <w:r>
              <w:rPr>
                <w:rFonts w:ascii="helvetica" w:hAnsi="helvetica"/>
                <w:b/>
                <w:sz w:val="16"/>
              </w:rPr>
              <w:t>2011</w:t>
            </w:r>
          </w:p>
        </w:tc>
        <w:tc>
          <w:tcPr>
            <w:tcW w:w="104" w:type="dxa"/>
            <w:tcBorders/>
            <w:shd w:fill="auto" w:val="clear"/>
            <w:vAlign w:val="bottom"/>
          </w:tcPr>
          <w:p>
            <w:pPr>
              <w:pStyle w:val="TableContents"/>
              <w:spacing w:before="0" w:after="283"/>
              <w:jc w:val="left"/>
              <w:rPr/>
            </w:pPr>
            <w:r>
              <w:rPr/>
              <w:t> </w:t>
            </w:r>
          </w:p>
        </w:tc>
        <w:tc>
          <w:tcPr>
            <w:tcW w:w="95" w:type="dxa"/>
            <w:tcBorders/>
            <w:shd w:fill="auto" w:val="clear"/>
            <w:vAlign w:val="bottom"/>
          </w:tcPr>
          <w:p>
            <w:pPr>
              <w:pStyle w:val="TableContents"/>
              <w:spacing w:before="0" w:after="283"/>
              <w:rPr/>
            </w:pPr>
            <w:r>
              <w:rPr/>
              <w:t> </w:t>
            </w:r>
          </w:p>
        </w:tc>
        <w:tc>
          <w:tcPr>
            <w:tcW w:w="1187"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helvetica" w:hAnsi="helvetica"/>
                <w:b/>
                <w:sz w:val="16"/>
              </w:rPr>
            </w:pPr>
            <w:r>
              <w:rPr>
                <w:rFonts w:ascii="helvetica" w:hAnsi="helvetica"/>
                <w:b/>
                <w:sz w:val="16"/>
              </w:rPr>
              <w:t>2012</w:t>
            </w:r>
          </w:p>
        </w:tc>
        <w:tc>
          <w:tcPr>
            <w:tcW w:w="104" w:type="dxa"/>
            <w:tcBorders/>
            <w:shd w:fill="auto" w:val="clear"/>
            <w:vAlign w:val="bottom"/>
          </w:tcPr>
          <w:p>
            <w:pPr>
              <w:pStyle w:val="TableContents"/>
              <w:spacing w:before="0" w:after="283"/>
              <w:jc w:val="left"/>
              <w:rPr/>
            </w:pPr>
            <w:r>
              <w:rPr/>
              <w:t> </w:t>
            </w:r>
          </w:p>
        </w:tc>
        <w:tc>
          <w:tcPr>
            <w:tcW w:w="95" w:type="dxa"/>
            <w:tcBorders/>
            <w:shd w:fill="auto" w:val="clear"/>
            <w:vAlign w:val="bottom"/>
          </w:tcPr>
          <w:p>
            <w:pPr>
              <w:pStyle w:val="TableContents"/>
              <w:spacing w:before="0" w:after="283"/>
              <w:rPr/>
            </w:pPr>
            <w:r>
              <w:rPr/>
              <w:t> </w:t>
            </w:r>
          </w:p>
        </w:tc>
        <w:tc>
          <w:tcPr>
            <w:tcW w:w="1137"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helvetica" w:hAnsi="helvetica"/>
                <w:b/>
                <w:sz w:val="16"/>
              </w:rPr>
            </w:pPr>
            <w:r>
              <w:rPr>
                <w:rFonts w:ascii="helvetica" w:hAnsi="helvetica"/>
                <w:b/>
                <w:sz w:val="16"/>
              </w:rPr>
              <w:t>2011</w:t>
            </w:r>
          </w:p>
        </w:tc>
        <w:tc>
          <w:tcPr>
            <w:tcW w:w="104" w:type="dxa"/>
            <w:tcBorders/>
            <w:shd w:fill="auto" w:val="clear"/>
            <w:vAlign w:val="bottom"/>
          </w:tcPr>
          <w:p>
            <w:pPr>
              <w:pStyle w:val="TableContents"/>
              <w:spacing w:before="0" w:after="283"/>
              <w:jc w:val="left"/>
              <w:rPr/>
            </w:pPr>
            <w:r>
              <w:rPr/>
              <w:t> </w:t>
            </w:r>
          </w:p>
        </w:tc>
        <w:tc>
          <w:tcPr>
            <w:tcW w:w="95" w:type="dxa"/>
            <w:tcBorders/>
            <w:shd w:fill="auto" w:val="clear"/>
            <w:vAlign w:val="bottom"/>
          </w:tcPr>
          <w:p>
            <w:pPr>
              <w:pStyle w:val="TableContents"/>
              <w:spacing w:before="0" w:after="283"/>
              <w:rPr/>
            </w:pPr>
            <w:r>
              <w:rPr/>
              <w:t> </w:t>
            </w:r>
          </w:p>
        </w:tc>
        <w:tc>
          <w:tcPr>
            <w:tcW w:w="1215"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helvetica" w:hAnsi="helvetica"/>
                <w:b/>
                <w:sz w:val="16"/>
              </w:rPr>
            </w:pPr>
            <w:r>
              <w:rPr>
                <w:rFonts w:ascii="helvetica" w:hAnsi="helvetica"/>
                <w:b/>
                <w:sz w:val="16"/>
              </w:rPr>
              <w:t>2012</w:t>
            </w:r>
          </w:p>
        </w:tc>
        <w:tc>
          <w:tcPr>
            <w:tcW w:w="124" w:type="dxa"/>
            <w:tcBorders/>
            <w:shd w:fill="auto" w:val="clear"/>
            <w:vAlign w:val="bottom"/>
          </w:tcPr>
          <w:p>
            <w:pPr>
              <w:pStyle w:val="TableContents"/>
              <w:spacing w:before="0" w:after="283"/>
              <w:jc w:val="left"/>
              <w:rPr/>
            </w:pPr>
            <w:r>
              <w:rPr/>
              <w:t> </w:t>
            </w:r>
          </w:p>
        </w:tc>
      </w:tr>
      <w:tr>
        <w:trPr/>
        <w:tc>
          <w:tcPr>
            <w:tcW w:w="3326" w:type="dxa"/>
            <w:tcBorders/>
            <w:shd w:fill="auto" w:val="clear"/>
            <w:vAlign w:val="bottom"/>
          </w:tcPr>
          <w:p>
            <w:pPr>
              <w:pStyle w:val="TableContents"/>
              <w:spacing w:before="0" w:after="0"/>
              <w:ind w:left="0" w:right="0" w:hanging="0"/>
              <w:jc w:val="left"/>
              <w:rPr>
                <w:rFonts w:ascii="helvetica" w:hAnsi="helvetica"/>
                <w:sz w:val="20"/>
              </w:rPr>
            </w:pPr>
            <w:r>
              <w:rPr>
                <w:rFonts w:ascii="helvetica" w:hAnsi="helvetica"/>
                <w:sz w:val="20"/>
              </w:rPr>
              <w:t>Revenues:</w:t>
            </w:r>
          </w:p>
        </w:tc>
        <w:tc>
          <w:tcPr>
            <w:tcW w:w="95" w:type="dxa"/>
            <w:tcBorders/>
            <w:shd w:fill="auto" w:val="clear"/>
            <w:vAlign w:val="bottom"/>
          </w:tcPr>
          <w:p>
            <w:pPr>
              <w:pStyle w:val="TableContents"/>
              <w:spacing w:before="0" w:after="283"/>
              <w:rPr/>
            </w:pPr>
            <w:r>
              <w:rPr/>
              <w:t> </w:t>
            </w:r>
          </w:p>
        </w:tc>
        <w:tc>
          <w:tcPr>
            <w:tcW w:w="1187" w:type="dxa"/>
            <w:gridSpan w:val="2"/>
            <w:tcBorders/>
            <w:shd w:fill="auto" w:val="clear"/>
            <w:vAlign w:val="bottom"/>
          </w:tcPr>
          <w:p>
            <w:pPr>
              <w:pStyle w:val="TableContents"/>
              <w:spacing w:before="0" w:after="283"/>
              <w:rPr/>
            </w:pPr>
            <w:r>
              <w:rPr/>
              <w:t> </w:t>
            </w:r>
          </w:p>
        </w:tc>
        <w:tc>
          <w:tcPr>
            <w:tcW w:w="104" w:type="dxa"/>
            <w:tcBorders/>
            <w:shd w:fill="auto" w:val="clear"/>
            <w:vAlign w:val="bottom"/>
          </w:tcPr>
          <w:p>
            <w:pPr>
              <w:pStyle w:val="TableContents"/>
              <w:spacing w:before="0" w:after="283"/>
              <w:jc w:val="left"/>
              <w:rPr/>
            </w:pPr>
            <w:r>
              <w:rPr/>
              <w:t> </w:t>
            </w:r>
          </w:p>
        </w:tc>
        <w:tc>
          <w:tcPr>
            <w:tcW w:w="95" w:type="dxa"/>
            <w:tcBorders/>
            <w:shd w:fill="auto" w:val="clear"/>
            <w:vAlign w:val="bottom"/>
          </w:tcPr>
          <w:p>
            <w:pPr>
              <w:pStyle w:val="TableContents"/>
              <w:spacing w:before="0" w:after="283"/>
              <w:rPr/>
            </w:pPr>
            <w:r>
              <w:rPr/>
              <w:t> </w:t>
            </w:r>
          </w:p>
        </w:tc>
        <w:tc>
          <w:tcPr>
            <w:tcW w:w="1138" w:type="dxa"/>
            <w:gridSpan w:val="2"/>
            <w:tcBorders/>
            <w:shd w:fill="auto" w:val="clear"/>
            <w:vAlign w:val="bottom"/>
          </w:tcPr>
          <w:p>
            <w:pPr>
              <w:pStyle w:val="TableContents"/>
              <w:spacing w:before="0" w:after="283"/>
              <w:rPr/>
            </w:pPr>
            <w:r>
              <w:rPr/>
              <w:t> </w:t>
            </w:r>
          </w:p>
        </w:tc>
        <w:tc>
          <w:tcPr>
            <w:tcW w:w="104" w:type="dxa"/>
            <w:tcBorders/>
            <w:shd w:fill="auto" w:val="clear"/>
            <w:vAlign w:val="bottom"/>
          </w:tcPr>
          <w:p>
            <w:pPr>
              <w:pStyle w:val="TableContents"/>
              <w:spacing w:before="0" w:after="283"/>
              <w:jc w:val="left"/>
              <w:rPr/>
            </w:pPr>
            <w:r>
              <w:rPr/>
              <w:t> </w:t>
            </w:r>
          </w:p>
        </w:tc>
        <w:tc>
          <w:tcPr>
            <w:tcW w:w="95" w:type="dxa"/>
            <w:tcBorders/>
            <w:shd w:fill="auto" w:val="clear"/>
            <w:vAlign w:val="bottom"/>
          </w:tcPr>
          <w:p>
            <w:pPr>
              <w:pStyle w:val="TableContents"/>
              <w:spacing w:before="0" w:after="283"/>
              <w:rPr/>
            </w:pPr>
            <w:r>
              <w:rPr/>
              <w:t> </w:t>
            </w:r>
          </w:p>
        </w:tc>
        <w:tc>
          <w:tcPr>
            <w:tcW w:w="1187" w:type="dxa"/>
            <w:gridSpan w:val="2"/>
            <w:tcBorders/>
            <w:shd w:fill="auto" w:val="clear"/>
            <w:vAlign w:val="bottom"/>
          </w:tcPr>
          <w:p>
            <w:pPr>
              <w:pStyle w:val="TableContents"/>
              <w:spacing w:before="0" w:after="283"/>
              <w:rPr/>
            </w:pPr>
            <w:r>
              <w:rPr/>
              <w:t> </w:t>
            </w:r>
          </w:p>
        </w:tc>
        <w:tc>
          <w:tcPr>
            <w:tcW w:w="104" w:type="dxa"/>
            <w:tcBorders/>
            <w:shd w:fill="auto" w:val="clear"/>
            <w:vAlign w:val="bottom"/>
          </w:tcPr>
          <w:p>
            <w:pPr>
              <w:pStyle w:val="TableContents"/>
              <w:spacing w:before="0" w:after="283"/>
              <w:jc w:val="left"/>
              <w:rPr/>
            </w:pPr>
            <w:r>
              <w:rPr/>
              <w:t> </w:t>
            </w:r>
          </w:p>
        </w:tc>
        <w:tc>
          <w:tcPr>
            <w:tcW w:w="95" w:type="dxa"/>
            <w:tcBorders/>
            <w:shd w:fill="auto" w:val="clear"/>
            <w:vAlign w:val="bottom"/>
          </w:tcPr>
          <w:p>
            <w:pPr>
              <w:pStyle w:val="TableContents"/>
              <w:spacing w:before="0" w:after="283"/>
              <w:rPr/>
            </w:pPr>
            <w:r>
              <w:rPr/>
              <w:t> </w:t>
            </w:r>
          </w:p>
        </w:tc>
        <w:tc>
          <w:tcPr>
            <w:tcW w:w="1137" w:type="dxa"/>
            <w:gridSpan w:val="2"/>
            <w:tcBorders/>
            <w:shd w:fill="auto" w:val="clear"/>
            <w:vAlign w:val="bottom"/>
          </w:tcPr>
          <w:p>
            <w:pPr>
              <w:pStyle w:val="TableContents"/>
              <w:spacing w:before="0" w:after="283"/>
              <w:rPr/>
            </w:pPr>
            <w:r>
              <w:rPr/>
              <w:t> </w:t>
            </w:r>
          </w:p>
        </w:tc>
        <w:tc>
          <w:tcPr>
            <w:tcW w:w="104" w:type="dxa"/>
            <w:tcBorders/>
            <w:shd w:fill="auto" w:val="clear"/>
            <w:vAlign w:val="bottom"/>
          </w:tcPr>
          <w:p>
            <w:pPr>
              <w:pStyle w:val="TableContents"/>
              <w:spacing w:before="0" w:after="283"/>
              <w:jc w:val="left"/>
              <w:rPr/>
            </w:pPr>
            <w:r>
              <w:rPr/>
              <w:t> </w:t>
            </w:r>
          </w:p>
        </w:tc>
        <w:tc>
          <w:tcPr>
            <w:tcW w:w="95" w:type="dxa"/>
            <w:tcBorders/>
            <w:shd w:fill="auto" w:val="clear"/>
            <w:vAlign w:val="bottom"/>
          </w:tcPr>
          <w:p>
            <w:pPr>
              <w:pStyle w:val="TableContents"/>
              <w:spacing w:before="0" w:after="283"/>
              <w:rPr/>
            </w:pPr>
            <w:r>
              <w:rPr/>
              <w:t> </w:t>
            </w:r>
          </w:p>
        </w:tc>
        <w:tc>
          <w:tcPr>
            <w:tcW w:w="1215" w:type="dxa"/>
            <w:gridSpan w:val="2"/>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jc w:val="left"/>
              <w:rPr/>
            </w:pPr>
            <w:r>
              <w:rPr/>
              <w:t> </w:t>
            </w:r>
          </w:p>
        </w:tc>
      </w:tr>
      <w:tr>
        <w:trPr/>
        <w:tc>
          <w:tcPr>
            <w:tcW w:w="3326" w:type="dxa"/>
            <w:tcBorders/>
            <w:shd w:fill="CCEEFF" w:val="clear"/>
            <w:vAlign w:val="bottom"/>
          </w:tcPr>
          <w:p>
            <w:pPr>
              <w:pStyle w:val="TableContents"/>
              <w:spacing w:before="0" w:after="0"/>
              <w:ind w:left="0" w:right="0" w:hanging="0"/>
              <w:jc w:val="left"/>
              <w:rPr>
                <w:rFonts w:ascii="helvetica" w:hAnsi="helvetica"/>
                <w:sz w:val="20"/>
              </w:rPr>
            </w:pPr>
            <w:r>
              <w:rPr>
                <w:rFonts w:ascii="helvetica" w:hAnsi="helvetica"/>
                <w:sz w:val="20"/>
              </w:rPr>
              <w:t>License revenues</w:t>
            </w:r>
          </w:p>
        </w:tc>
        <w:tc>
          <w:tcPr>
            <w:tcW w:w="9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rFonts w:ascii="helvetica" w:hAnsi="helvetica"/>
                <w:sz w:val="20"/>
              </w:rPr>
            </w:pPr>
            <w:r>
              <w:rPr>
                <w:rFonts w:ascii="helvetica" w:hAnsi="helvetica"/>
                <w:sz w:val="20"/>
              </w:rPr>
              <w:t>$</w:t>
            </w:r>
          </w:p>
        </w:tc>
        <w:tc>
          <w:tcPr>
            <w:tcW w:w="1062"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w:t>
            </w:r>
          </w:p>
        </w:tc>
        <w:tc>
          <w:tcPr>
            <w:tcW w:w="104" w:type="dxa"/>
            <w:tcBorders/>
            <w:shd w:fill="CCEEFF" w:val="clear"/>
            <w:vAlign w:val="bottom"/>
          </w:tcPr>
          <w:p>
            <w:pPr>
              <w:pStyle w:val="TableContents"/>
              <w:spacing w:before="0" w:after="283"/>
              <w:jc w:val="left"/>
              <w:rPr/>
            </w:pPr>
            <w:r>
              <w:rPr/>
              <w:t> </w:t>
            </w:r>
          </w:p>
        </w:tc>
        <w:tc>
          <w:tcPr>
            <w:tcW w:w="9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rFonts w:ascii="helvetica" w:hAnsi="helvetica"/>
                <w:sz w:val="20"/>
              </w:rPr>
            </w:pPr>
            <w:r>
              <w:rPr>
                <w:rFonts w:ascii="helvetica" w:hAnsi="helvetica"/>
                <w:sz w:val="20"/>
              </w:rPr>
              <w:t>$</w:t>
            </w:r>
          </w:p>
        </w:tc>
        <w:tc>
          <w:tcPr>
            <w:tcW w:w="1013"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w:t>
            </w:r>
          </w:p>
        </w:tc>
        <w:tc>
          <w:tcPr>
            <w:tcW w:w="104" w:type="dxa"/>
            <w:tcBorders/>
            <w:shd w:fill="CCEEFF" w:val="clear"/>
            <w:vAlign w:val="bottom"/>
          </w:tcPr>
          <w:p>
            <w:pPr>
              <w:pStyle w:val="TableContents"/>
              <w:spacing w:before="0" w:after="283"/>
              <w:jc w:val="left"/>
              <w:rPr/>
            </w:pPr>
            <w:r>
              <w:rPr/>
              <w:t> </w:t>
            </w:r>
          </w:p>
        </w:tc>
        <w:tc>
          <w:tcPr>
            <w:tcW w:w="9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rFonts w:ascii="helvetica" w:hAnsi="helvetica"/>
                <w:sz w:val="20"/>
              </w:rPr>
            </w:pPr>
            <w:r>
              <w:rPr>
                <w:rFonts w:ascii="helvetica" w:hAnsi="helvetica"/>
                <w:sz w:val="20"/>
              </w:rPr>
              <w:t>$</w:t>
            </w:r>
          </w:p>
        </w:tc>
        <w:tc>
          <w:tcPr>
            <w:tcW w:w="1062"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100,000</w:t>
            </w:r>
          </w:p>
        </w:tc>
        <w:tc>
          <w:tcPr>
            <w:tcW w:w="104" w:type="dxa"/>
            <w:tcBorders/>
            <w:shd w:fill="CCEEFF" w:val="clear"/>
            <w:vAlign w:val="bottom"/>
          </w:tcPr>
          <w:p>
            <w:pPr>
              <w:pStyle w:val="TableContents"/>
              <w:spacing w:before="0" w:after="283"/>
              <w:jc w:val="left"/>
              <w:rPr/>
            </w:pPr>
            <w:r>
              <w:rPr/>
              <w:t> </w:t>
            </w:r>
          </w:p>
        </w:tc>
        <w:tc>
          <w:tcPr>
            <w:tcW w:w="95"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jc w:val="left"/>
              <w:rPr>
                <w:rFonts w:ascii="helvetica" w:hAnsi="helvetica"/>
                <w:sz w:val="20"/>
              </w:rPr>
            </w:pPr>
            <w:r>
              <w:rPr>
                <w:rFonts w:ascii="helvetica" w:hAnsi="helvetica"/>
                <w:sz w:val="20"/>
              </w:rPr>
              <w:t>$</w:t>
            </w:r>
          </w:p>
        </w:tc>
        <w:tc>
          <w:tcPr>
            <w:tcW w:w="1013"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w:t>
            </w:r>
          </w:p>
        </w:tc>
        <w:tc>
          <w:tcPr>
            <w:tcW w:w="104" w:type="dxa"/>
            <w:tcBorders/>
            <w:shd w:fill="CCEEFF" w:val="clear"/>
            <w:vAlign w:val="bottom"/>
          </w:tcPr>
          <w:p>
            <w:pPr>
              <w:pStyle w:val="TableContents"/>
              <w:spacing w:before="0" w:after="283"/>
              <w:jc w:val="left"/>
              <w:rPr/>
            </w:pPr>
            <w:r>
              <w:rPr/>
              <w:t> </w:t>
            </w:r>
          </w:p>
        </w:tc>
        <w:tc>
          <w:tcPr>
            <w:tcW w:w="9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rFonts w:ascii="helvetica" w:hAnsi="helvetica"/>
                <w:sz w:val="20"/>
              </w:rPr>
            </w:pPr>
            <w:r>
              <w:rPr>
                <w:rFonts w:ascii="helvetica" w:hAnsi="helvetica"/>
                <w:sz w:val="20"/>
              </w:rPr>
              <w:t>$</w:t>
            </w:r>
          </w:p>
        </w:tc>
        <w:tc>
          <w:tcPr>
            <w:tcW w:w="1090"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100,000</w:t>
            </w:r>
          </w:p>
        </w:tc>
        <w:tc>
          <w:tcPr>
            <w:tcW w:w="124" w:type="dxa"/>
            <w:tcBorders/>
            <w:shd w:fill="CCEEFF" w:val="clear"/>
            <w:vAlign w:val="bottom"/>
          </w:tcPr>
          <w:p>
            <w:pPr>
              <w:pStyle w:val="TableContents"/>
              <w:spacing w:before="0" w:after="283"/>
              <w:jc w:val="left"/>
              <w:rPr/>
            </w:pPr>
            <w:r>
              <w:rPr/>
              <w:t> </w:t>
            </w:r>
          </w:p>
        </w:tc>
      </w:tr>
      <w:tr>
        <w:trPr/>
        <w:tc>
          <w:tcPr>
            <w:tcW w:w="3326" w:type="dxa"/>
            <w:tcBorders/>
            <w:shd w:fill="FFFFFF" w:val="clear"/>
            <w:vAlign w:val="bottom"/>
          </w:tcPr>
          <w:p>
            <w:pPr>
              <w:pStyle w:val="TableContents"/>
              <w:spacing w:before="0" w:after="0"/>
              <w:ind w:left="0" w:right="0" w:hanging="0"/>
              <w:jc w:val="left"/>
              <w:rPr>
                <w:rFonts w:ascii="helvetica" w:hAnsi="helvetica"/>
                <w:sz w:val="20"/>
              </w:rPr>
            </w:pPr>
            <w:r>
              <w:rPr>
                <w:rFonts w:ascii="helvetica" w:hAnsi="helvetica"/>
                <w:sz w:val="20"/>
              </w:rPr>
              <w:t>Operating Expenses:</w:t>
            </w:r>
          </w:p>
        </w:tc>
        <w:tc>
          <w:tcPr>
            <w:tcW w:w="95"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62" w:type="dxa"/>
            <w:tcBorders/>
            <w:shd w:fill="FFFFFF" w:val="clear"/>
            <w:vAlign w:val="bottom"/>
          </w:tcPr>
          <w:p>
            <w:pPr>
              <w:pStyle w:val="TableContents"/>
              <w:spacing w:before="0" w:after="283"/>
              <w:jc w:val="right"/>
              <w:rPr/>
            </w:pPr>
            <w:r>
              <w:rPr/>
              <w:t> </w:t>
            </w:r>
          </w:p>
        </w:tc>
        <w:tc>
          <w:tcPr>
            <w:tcW w:w="104" w:type="dxa"/>
            <w:tcBorders/>
            <w:shd w:fill="FFFFFF" w:val="clear"/>
            <w:vAlign w:val="bottom"/>
          </w:tcPr>
          <w:p>
            <w:pPr>
              <w:pStyle w:val="TableContents"/>
              <w:spacing w:before="0" w:after="283"/>
              <w:jc w:val="left"/>
              <w:rPr/>
            </w:pPr>
            <w:r>
              <w:rPr/>
              <w:t> </w:t>
            </w:r>
          </w:p>
        </w:tc>
        <w:tc>
          <w:tcPr>
            <w:tcW w:w="95"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13" w:type="dxa"/>
            <w:tcBorders/>
            <w:shd w:fill="FFFFFF" w:val="clear"/>
            <w:vAlign w:val="bottom"/>
          </w:tcPr>
          <w:p>
            <w:pPr>
              <w:pStyle w:val="TableContents"/>
              <w:spacing w:before="0" w:after="283"/>
              <w:jc w:val="right"/>
              <w:rPr/>
            </w:pPr>
            <w:r>
              <w:rPr/>
              <w:t> </w:t>
            </w:r>
          </w:p>
        </w:tc>
        <w:tc>
          <w:tcPr>
            <w:tcW w:w="104" w:type="dxa"/>
            <w:tcBorders/>
            <w:shd w:fill="FFFFFF" w:val="clear"/>
            <w:vAlign w:val="bottom"/>
          </w:tcPr>
          <w:p>
            <w:pPr>
              <w:pStyle w:val="TableContents"/>
              <w:spacing w:before="0" w:after="283"/>
              <w:jc w:val="left"/>
              <w:rPr/>
            </w:pPr>
            <w:r>
              <w:rPr/>
              <w:t> </w:t>
            </w:r>
          </w:p>
        </w:tc>
        <w:tc>
          <w:tcPr>
            <w:tcW w:w="95"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62" w:type="dxa"/>
            <w:tcBorders/>
            <w:shd w:fill="FFFFFF" w:val="clear"/>
            <w:vAlign w:val="bottom"/>
          </w:tcPr>
          <w:p>
            <w:pPr>
              <w:pStyle w:val="TableContents"/>
              <w:spacing w:before="0" w:after="283"/>
              <w:jc w:val="right"/>
              <w:rPr/>
            </w:pPr>
            <w:r>
              <w:rPr/>
              <w:t> </w:t>
            </w:r>
          </w:p>
        </w:tc>
        <w:tc>
          <w:tcPr>
            <w:tcW w:w="104" w:type="dxa"/>
            <w:tcBorders/>
            <w:shd w:fill="FFFFFF" w:val="clear"/>
            <w:vAlign w:val="bottom"/>
          </w:tcPr>
          <w:p>
            <w:pPr>
              <w:pStyle w:val="TableContents"/>
              <w:spacing w:before="0" w:after="283"/>
              <w:jc w:val="left"/>
              <w:rPr/>
            </w:pPr>
            <w:r>
              <w:rPr/>
              <w:t> </w:t>
            </w:r>
          </w:p>
        </w:tc>
        <w:tc>
          <w:tcPr>
            <w:tcW w:w="95" w:type="dxa"/>
            <w:tcBorders/>
            <w:shd w:fill="FFFFFF" w:val="clear"/>
            <w:vAlign w:val="bottom"/>
          </w:tcPr>
          <w:p>
            <w:pPr>
              <w:pStyle w:val="TableContents"/>
              <w:spacing w:before="0" w:after="283"/>
              <w:rPr/>
            </w:pPr>
            <w:r>
              <w:rPr/>
              <w:t> </w:t>
            </w:r>
          </w:p>
        </w:tc>
        <w:tc>
          <w:tcPr>
            <w:tcW w:w="124" w:type="dxa"/>
            <w:tcBorders/>
            <w:shd w:fill="FFFFFF" w:val="clear"/>
            <w:vAlign w:val="bottom"/>
          </w:tcPr>
          <w:p>
            <w:pPr>
              <w:pStyle w:val="TableContents"/>
              <w:spacing w:before="0" w:after="283"/>
              <w:jc w:val="left"/>
              <w:rPr/>
            </w:pPr>
            <w:r>
              <w:rPr/>
              <w:t> </w:t>
            </w:r>
          </w:p>
        </w:tc>
        <w:tc>
          <w:tcPr>
            <w:tcW w:w="1013" w:type="dxa"/>
            <w:tcBorders/>
            <w:shd w:fill="FFFFFF" w:val="clear"/>
            <w:vAlign w:val="bottom"/>
          </w:tcPr>
          <w:p>
            <w:pPr>
              <w:pStyle w:val="TableContents"/>
              <w:spacing w:before="0" w:after="283"/>
              <w:jc w:val="right"/>
              <w:rPr/>
            </w:pPr>
            <w:r>
              <w:rPr/>
              <w:t> </w:t>
            </w:r>
          </w:p>
        </w:tc>
        <w:tc>
          <w:tcPr>
            <w:tcW w:w="104" w:type="dxa"/>
            <w:tcBorders/>
            <w:shd w:fill="FFFFFF" w:val="clear"/>
            <w:vAlign w:val="bottom"/>
          </w:tcPr>
          <w:p>
            <w:pPr>
              <w:pStyle w:val="TableContents"/>
              <w:spacing w:before="0" w:after="283"/>
              <w:jc w:val="left"/>
              <w:rPr/>
            </w:pPr>
            <w:r>
              <w:rPr/>
              <w:t> </w:t>
            </w:r>
          </w:p>
        </w:tc>
        <w:tc>
          <w:tcPr>
            <w:tcW w:w="95"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90" w:type="dxa"/>
            <w:tcBorders/>
            <w:shd w:fill="FFFFFF" w:val="clear"/>
            <w:vAlign w:val="bottom"/>
          </w:tcPr>
          <w:p>
            <w:pPr>
              <w:pStyle w:val="TableContents"/>
              <w:spacing w:before="0" w:after="283"/>
              <w:jc w:val="right"/>
              <w:rPr/>
            </w:pPr>
            <w:r>
              <w:rPr/>
              <w:t> </w:t>
            </w:r>
          </w:p>
        </w:tc>
        <w:tc>
          <w:tcPr>
            <w:tcW w:w="124" w:type="dxa"/>
            <w:tcBorders/>
            <w:shd w:fill="FFFFFF" w:val="clear"/>
            <w:vAlign w:val="bottom"/>
          </w:tcPr>
          <w:p>
            <w:pPr>
              <w:pStyle w:val="TableContents"/>
              <w:spacing w:before="0" w:after="283"/>
              <w:jc w:val="left"/>
              <w:rPr/>
            </w:pPr>
            <w:r>
              <w:rPr/>
              <w:t> </w:t>
            </w:r>
          </w:p>
        </w:tc>
      </w:tr>
      <w:tr>
        <w:trPr/>
        <w:tc>
          <w:tcPr>
            <w:tcW w:w="3326" w:type="dxa"/>
            <w:tcBorders/>
            <w:shd w:fill="CCEEFF" w:val="clear"/>
            <w:vAlign w:val="bottom"/>
          </w:tcPr>
          <w:p>
            <w:pPr>
              <w:pStyle w:val="TableContents"/>
              <w:spacing w:before="0" w:after="0"/>
              <w:ind w:left="0" w:right="0" w:hanging="0"/>
              <w:jc w:val="left"/>
              <w:rPr>
                <w:rFonts w:ascii="helvetica" w:hAnsi="helvetica"/>
                <w:sz w:val="20"/>
              </w:rPr>
            </w:pPr>
            <w:r>
              <w:rPr>
                <w:rFonts w:ascii="helvetica" w:hAnsi="helvetica"/>
                <w:sz w:val="20"/>
              </w:rPr>
              <w:t>Selling, general and administrative</w:t>
            </w:r>
          </w:p>
        </w:tc>
        <w:tc>
          <w:tcPr>
            <w:tcW w:w="9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62"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984,667</w:t>
            </w:r>
          </w:p>
        </w:tc>
        <w:tc>
          <w:tcPr>
            <w:tcW w:w="104" w:type="dxa"/>
            <w:tcBorders/>
            <w:shd w:fill="CCEEFF" w:val="clear"/>
            <w:vAlign w:val="bottom"/>
          </w:tcPr>
          <w:p>
            <w:pPr>
              <w:pStyle w:val="TableContents"/>
              <w:spacing w:before="0" w:after="283"/>
              <w:jc w:val="left"/>
              <w:rPr/>
            </w:pPr>
            <w:r>
              <w:rPr/>
              <w:t> </w:t>
            </w:r>
          </w:p>
        </w:tc>
        <w:tc>
          <w:tcPr>
            <w:tcW w:w="9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13"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121,429</w:t>
            </w:r>
          </w:p>
        </w:tc>
        <w:tc>
          <w:tcPr>
            <w:tcW w:w="104" w:type="dxa"/>
            <w:tcBorders/>
            <w:shd w:fill="CCEEFF" w:val="clear"/>
            <w:vAlign w:val="bottom"/>
          </w:tcPr>
          <w:p>
            <w:pPr>
              <w:pStyle w:val="TableContents"/>
              <w:spacing w:before="0" w:after="283"/>
              <w:jc w:val="left"/>
              <w:rPr/>
            </w:pPr>
            <w:r>
              <w:rPr/>
              <w:t> </w:t>
            </w:r>
          </w:p>
        </w:tc>
        <w:tc>
          <w:tcPr>
            <w:tcW w:w="9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62"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1,293,623</w:t>
            </w:r>
          </w:p>
        </w:tc>
        <w:tc>
          <w:tcPr>
            <w:tcW w:w="104" w:type="dxa"/>
            <w:tcBorders/>
            <w:shd w:fill="CCEEFF" w:val="clear"/>
            <w:vAlign w:val="bottom"/>
          </w:tcPr>
          <w:p>
            <w:pPr>
              <w:pStyle w:val="TableContents"/>
              <w:spacing w:before="0" w:after="283"/>
              <w:jc w:val="left"/>
              <w:rPr/>
            </w:pPr>
            <w:r>
              <w:rPr/>
              <w:t> </w:t>
            </w:r>
          </w:p>
        </w:tc>
        <w:tc>
          <w:tcPr>
            <w:tcW w:w="95"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jc w:val="left"/>
              <w:rPr/>
            </w:pPr>
            <w:r>
              <w:rPr/>
              <w:t> </w:t>
            </w:r>
          </w:p>
        </w:tc>
        <w:tc>
          <w:tcPr>
            <w:tcW w:w="1013"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448,033</w:t>
            </w:r>
          </w:p>
        </w:tc>
        <w:tc>
          <w:tcPr>
            <w:tcW w:w="104" w:type="dxa"/>
            <w:tcBorders/>
            <w:shd w:fill="CCEEFF" w:val="clear"/>
            <w:vAlign w:val="bottom"/>
          </w:tcPr>
          <w:p>
            <w:pPr>
              <w:pStyle w:val="TableContents"/>
              <w:spacing w:before="0" w:after="283"/>
              <w:jc w:val="left"/>
              <w:rPr/>
            </w:pPr>
            <w:r>
              <w:rPr/>
              <w:t> </w:t>
            </w:r>
          </w:p>
        </w:tc>
        <w:tc>
          <w:tcPr>
            <w:tcW w:w="9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90"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10,866,950</w:t>
            </w:r>
          </w:p>
        </w:tc>
        <w:tc>
          <w:tcPr>
            <w:tcW w:w="124" w:type="dxa"/>
            <w:tcBorders/>
            <w:shd w:fill="CCEEFF" w:val="clear"/>
            <w:vAlign w:val="bottom"/>
          </w:tcPr>
          <w:p>
            <w:pPr>
              <w:pStyle w:val="TableContents"/>
              <w:spacing w:before="0" w:after="283"/>
              <w:jc w:val="left"/>
              <w:rPr/>
            </w:pPr>
            <w:r>
              <w:rPr/>
              <w:t> </w:t>
            </w:r>
          </w:p>
        </w:tc>
      </w:tr>
      <w:tr>
        <w:trPr/>
        <w:tc>
          <w:tcPr>
            <w:tcW w:w="3326" w:type="dxa"/>
            <w:tcBorders/>
            <w:shd w:fill="FFFFFF" w:val="clear"/>
            <w:vAlign w:val="bottom"/>
          </w:tcPr>
          <w:p>
            <w:pPr>
              <w:pStyle w:val="TableContents"/>
              <w:spacing w:before="0" w:after="0"/>
              <w:ind w:left="0" w:right="0" w:hanging="0"/>
              <w:jc w:val="left"/>
              <w:rPr>
                <w:rFonts w:ascii="helvetica" w:hAnsi="helvetica"/>
                <w:sz w:val="20"/>
              </w:rPr>
            </w:pPr>
            <w:r>
              <w:rPr>
                <w:rFonts w:ascii="helvetica" w:hAnsi="helvetica"/>
                <w:sz w:val="20"/>
              </w:rPr>
              <w:t>Research and development</w:t>
            </w:r>
          </w:p>
        </w:tc>
        <w:tc>
          <w:tcPr>
            <w:tcW w:w="95" w:type="dxa"/>
            <w:tcBorders/>
            <w:shd w:fill="FFFFFF" w:val="clear"/>
            <w:vAlign w:val="bottom"/>
          </w:tcPr>
          <w:p>
            <w:pPr>
              <w:pStyle w:val="TableContents"/>
              <w:spacing w:before="0" w:after="283"/>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62" w:type="dxa"/>
            <w:tcBorders>
              <w:bottom w:val="single" w:sz="12" w:space="0" w:color="000000"/>
            </w:tcBorders>
            <w:shd w:fill="FFFF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133,611</w:t>
            </w:r>
          </w:p>
        </w:tc>
        <w:tc>
          <w:tcPr>
            <w:tcW w:w="104" w:type="dxa"/>
            <w:tcBorders/>
            <w:shd w:fill="FFFFFF" w:val="clear"/>
            <w:vAlign w:val="bottom"/>
          </w:tcPr>
          <w:p>
            <w:pPr>
              <w:pStyle w:val="TableContents"/>
              <w:spacing w:before="0" w:after="283"/>
              <w:jc w:val="left"/>
              <w:rPr/>
            </w:pPr>
            <w:r>
              <w:rPr/>
              <w:t> </w:t>
            </w:r>
          </w:p>
        </w:tc>
        <w:tc>
          <w:tcPr>
            <w:tcW w:w="95" w:type="dxa"/>
            <w:tcBorders/>
            <w:shd w:fill="FFFFFF" w:val="clear"/>
            <w:vAlign w:val="bottom"/>
          </w:tcPr>
          <w:p>
            <w:pPr>
              <w:pStyle w:val="TableContents"/>
              <w:spacing w:before="0" w:after="283"/>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13" w:type="dxa"/>
            <w:tcBorders>
              <w:bottom w:val="single" w:sz="12" w:space="0" w:color="000000"/>
            </w:tcBorders>
            <w:shd w:fill="FFFF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24,338</w:t>
            </w:r>
          </w:p>
        </w:tc>
        <w:tc>
          <w:tcPr>
            <w:tcW w:w="104" w:type="dxa"/>
            <w:tcBorders/>
            <w:shd w:fill="FFFFFF" w:val="clear"/>
            <w:vAlign w:val="bottom"/>
          </w:tcPr>
          <w:p>
            <w:pPr>
              <w:pStyle w:val="TableContents"/>
              <w:spacing w:before="0" w:after="283"/>
              <w:jc w:val="left"/>
              <w:rPr/>
            </w:pPr>
            <w:r>
              <w:rPr/>
              <w:t> </w:t>
            </w:r>
          </w:p>
        </w:tc>
        <w:tc>
          <w:tcPr>
            <w:tcW w:w="95" w:type="dxa"/>
            <w:tcBorders/>
            <w:shd w:fill="FFFFFF" w:val="clear"/>
            <w:vAlign w:val="bottom"/>
          </w:tcPr>
          <w:p>
            <w:pPr>
              <w:pStyle w:val="TableContents"/>
              <w:spacing w:before="0" w:after="283"/>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62" w:type="dxa"/>
            <w:tcBorders>
              <w:bottom w:val="single" w:sz="12" w:space="0" w:color="000000"/>
            </w:tcBorders>
            <w:shd w:fill="FFFF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276,574</w:t>
            </w:r>
          </w:p>
        </w:tc>
        <w:tc>
          <w:tcPr>
            <w:tcW w:w="104" w:type="dxa"/>
            <w:tcBorders/>
            <w:shd w:fill="FFFFFF" w:val="clear"/>
            <w:vAlign w:val="bottom"/>
          </w:tcPr>
          <w:p>
            <w:pPr>
              <w:pStyle w:val="TableContents"/>
              <w:spacing w:before="0" w:after="283"/>
              <w:jc w:val="left"/>
              <w:rPr/>
            </w:pPr>
            <w:r>
              <w:rPr/>
              <w:t> </w:t>
            </w:r>
          </w:p>
        </w:tc>
        <w:tc>
          <w:tcPr>
            <w:tcW w:w="95" w:type="dxa"/>
            <w:tcBorders/>
            <w:shd w:fill="FFFFFF" w:val="clear"/>
            <w:vAlign w:val="bottom"/>
          </w:tcPr>
          <w:p>
            <w:pPr>
              <w:pStyle w:val="TableContents"/>
              <w:spacing w:before="0" w:after="283"/>
              <w:rPr/>
            </w:pPr>
            <w:r>
              <w:rPr/>
              <w:t> </w:t>
            </w:r>
          </w:p>
        </w:tc>
        <w:tc>
          <w:tcPr>
            <w:tcW w:w="124"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13" w:type="dxa"/>
            <w:tcBorders>
              <w:bottom w:val="single" w:sz="12" w:space="0" w:color="000000"/>
            </w:tcBorders>
            <w:shd w:fill="FFFF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111,554</w:t>
            </w:r>
          </w:p>
        </w:tc>
        <w:tc>
          <w:tcPr>
            <w:tcW w:w="104" w:type="dxa"/>
            <w:tcBorders/>
            <w:shd w:fill="FFFFFF" w:val="clear"/>
            <w:vAlign w:val="bottom"/>
          </w:tcPr>
          <w:p>
            <w:pPr>
              <w:pStyle w:val="TableContents"/>
              <w:spacing w:before="0" w:after="283"/>
              <w:jc w:val="left"/>
              <w:rPr/>
            </w:pPr>
            <w:r>
              <w:rPr/>
              <w:t> </w:t>
            </w:r>
          </w:p>
        </w:tc>
        <w:tc>
          <w:tcPr>
            <w:tcW w:w="95" w:type="dxa"/>
            <w:tcBorders/>
            <w:shd w:fill="FFFFFF" w:val="clear"/>
            <w:vAlign w:val="bottom"/>
          </w:tcPr>
          <w:p>
            <w:pPr>
              <w:pStyle w:val="TableContents"/>
              <w:spacing w:before="0" w:after="283"/>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90" w:type="dxa"/>
            <w:tcBorders>
              <w:bottom w:val="single" w:sz="12" w:space="0" w:color="000000"/>
            </w:tcBorders>
            <w:shd w:fill="FFFF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8,096,832</w:t>
            </w:r>
          </w:p>
        </w:tc>
        <w:tc>
          <w:tcPr>
            <w:tcW w:w="124" w:type="dxa"/>
            <w:tcBorders/>
            <w:shd w:fill="FFFFFF" w:val="clear"/>
            <w:vAlign w:val="bottom"/>
          </w:tcPr>
          <w:p>
            <w:pPr>
              <w:pStyle w:val="TableContents"/>
              <w:spacing w:before="0" w:after="283"/>
              <w:jc w:val="left"/>
              <w:rPr/>
            </w:pPr>
            <w:r>
              <w:rPr/>
              <w:t> </w:t>
            </w:r>
          </w:p>
        </w:tc>
      </w:tr>
      <w:tr>
        <w:trPr/>
        <w:tc>
          <w:tcPr>
            <w:tcW w:w="3326" w:type="dxa"/>
            <w:tcBorders/>
            <w:shd w:fill="CCEEFF" w:val="clear"/>
            <w:vAlign w:val="bottom"/>
          </w:tcPr>
          <w:p>
            <w:pPr>
              <w:pStyle w:val="TableContents"/>
              <w:spacing w:before="0" w:after="0"/>
              <w:ind w:left="0" w:right="0" w:hanging="0"/>
              <w:jc w:val="left"/>
              <w:rPr>
                <w:rFonts w:ascii="helvetica" w:hAnsi="helvetica"/>
                <w:sz w:val="20"/>
              </w:rPr>
            </w:pPr>
            <w:r>
              <w:rPr>
                <w:rFonts w:ascii="helvetica" w:hAnsi="helvetica"/>
                <w:sz w:val="20"/>
              </w:rPr>
              <w:t>Loss from operations</w:t>
            </w:r>
          </w:p>
        </w:tc>
        <w:tc>
          <w:tcPr>
            <w:tcW w:w="9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62"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(1,118,278</w:t>
            </w:r>
          </w:p>
        </w:tc>
        <w:tc>
          <w:tcPr>
            <w:tcW w:w="104" w:type="dxa"/>
            <w:tcBorders/>
            <w:shd w:fill="CCEEFF" w:val="clear"/>
            <w:vAlign w:val="bottom"/>
          </w:tcPr>
          <w:p>
            <w:pPr>
              <w:pStyle w:val="TableContents"/>
              <w:spacing w:before="0" w:after="283"/>
              <w:jc w:val="left"/>
              <w:rPr>
                <w:rFonts w:ascii="helvetica" w:hAnsi="helvetica"/>
                <w:sz w:val="20"/>
              </w:rPr>
            </w:pPr>
            <w:r>
              <w:rPr>
                <w:rFonts w:ascii="helvetica" w:hAnsi="helvetica"/>
                <w:sz w:val="20"/>
              </w:rPr>
              <w:t>)</w:t>
            </w:r>
          </w:p>
        </w:tc>
        <w:tc>
          <w:tcPr>
            <w:tcW w:w="9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13"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(145,767</w:t>
            </w:r>
          </w:p>
        </w:tc>
        <w:tc>
          <w:tcPr>
            <w:tcW w:w="104" w:type="dxa"/>
            <w:tcBorders/>
            <w:shd w:fill="CCEEFF" w:val="clear"/>
            <w:vAlign w:val="bottom"/>
          </w:tcPr>
          <w:p>
            <w:pPr>
              <w:pStyle w:val="TableContents"/>
              <w:spacing w:before="0" w:after="283"/>
              <w:jc w:val="left"/>
              <w:rPr>
                <w:rFonts w:ascii="helvetica" w:hAnsi="helvetica"/>
                <w:sz w:val="20"/>
              </w:rPr>
            </w:pPr>
            <w:r>
              <w:rPr>
                <w:rFonts w:ascii="helvetica" w:hAnsi="helvetica"/>
                <w:sz w:val="20"/>
              </w:rPr>
              <w:t>)</w:t>
            </w:r>
          </w:p>
        </w:tc>
        <w:tc>
          <w:tcPr>
            <w:tcW w:w="9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62"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(1,470,197</w:t>
            </w:r>
          </w:p>
        </w:tc>
        <w:tc>
          <w:tcPr>
            <w:tcW w:w="104" w:type="dxa"/>
            <w:tcBorders/>
            <w:shd w:fill="CCEEFF" w:val="clear"/>
            <w:vAlign w:val="bottom"/>
          </w:tcPr>
          <w:p>
            <w:pPr>
              <w:pStyle w:val="TableContents"/>
              <w:spacing w:before="0" w:after="283"/>
              <w:jc w:val="left"/>
              <w:rPr>
                <w:rFonts w:ascii="helvetica" w:hAnsi="helvetica"/>
                <w:sz w:val="20"/>
              </w:rPr>
            </w:pPr>
            <w:r>
              <w:rPr>
                <w:rFonts w:ascii="helvetica" w:hAnsi="helvetica"/>
                <w:sz w:val="20"/>
              </w:rPr>
              <w:t>)</w:t>
            </w:r>
          </w:p>
        </w:tc>
        <w:tc>
          <w:tcPr>
            <w:tcW w:w="95"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jc w:val="left"/>
              <w:rPr/>
            </w:pPr>
            <w:r>
              <w:rPr/>
              <w:t> </w:t>
            </w:r>
          </w:p>
        </w:tc>
        <w:tc>
          <w:tcPr>
            <w:tcW w:w="1013"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(559,587</w:t>
            </w:r>
          </w:p>
        </w:tc>
        <w:tc>
          <w:tcPr>
            <w:tcW w:w="104" w:type="dxa"/>
            <w:tcBorders/>
            <w:shd w:fill="CCEEFF" w:val="clear"/>
            <w:vAlign w:val="bottom"/>
          </w:tcPr>
          <w:p>
            <w:pPr>
              <w:pStyle w:val="TableContents"/>
              <w:spacing w:before="0" w:after="283"/>
              <w:jc w:val="left"/>
              <w:rPr>
                <w:rFonts w:ascii="helvetica" w:hAnsi="helvetica"/>
                <w:sz w:val="20"/>
              </w:rPr>
            </w:pPr>
            <w:r>
              <w:rPr>
                <w:rFonts w:ascii="helvetica" w:hAnsi="helvetica"/>
                <w:sz w:val="20"/>
              </w:rPr>
              <w:t>)</w:t>
            </w:r>
          </w:p>
        </w:tc>
        <w:tc>
          <w:tcPr>
            <w:tcW w:w="9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90"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(18,863,782</w:t>
            </w:r>
          </w:p>
        </w:tc>
        <w:tc>
          <w:tcPr>
            <w:tcW w:w="124" w:type="dxa"/>
            <w:tcBorders/>
            <w:shd w:fill="CCEEFF" w:val="clear"/>
            <w:vAlign w:val="bottom"/>
          </w:tcPr>
          <w:p>
            <w:pPr>
              <w:pStyle w:val="TableContents"/>
              <w:spacing w:before="0" w:after="283"/>
              <w:jc w:val="left"/>
              <w:rPr>
                <w:rFonts w:ascii="helvetica" w:hAnsi="helvetica"/>
                <w:sz w:val="20"/>
              </w:rPr>
            </w:pPr>
            <w:r>
              <w:rPr>
                <w:rFonts w:ascii="helvetica" w:hAnsi="helvetica"/>
                <w:sz w:val="20"/>
              </w:rPr>
              <w:t>)</w:t>
            </w:r>
          </w:p>
        </w:tc>
      </w:tr>
      <w:tr>
        <w:trPr/>
        <w:tc>
          <w:tcPr>
            <w:tcW w:w="3326" w:type="dxa"/>
            <w:tcBorders/>
            <w:shd w:fill="FFFFFF" w:val="clear"/>
            <w:vAlign w:val="bottom"/>
          </w:tcPr>
          <w:p>
            <w:pPr>
              <w:pStyle w:val="TableContents"/>
              <w:spacing w:before="0" w:after="0"/>
              <w:ind w:left="0" w:right="0" w:hanging="0"/>
              <w:jc w:val="left"/>
              <w:rPr>
                <w:rFonts w:ascii="helvetica" w:hAnsi="helvetica"/>
                <w:sz w:val="20"/>
              </w:rPr>
            </w:pPr>
            <w:r>
              <w:rPr>
                <w:rFonts w:ascii="helvetica" w:hAnsi="helvetica"/>
                <w:sz w:val="20"/>
              </w:rPr>
              <w:t>Other income (expense)</w:t>
            </w:r>
          </w:p>
        </w:tc>
        <w:tc>
          <w:tcPr>
            <w:tcW w:w="95"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62" w:type="dxa"/>
            <w:tcBorders/>
            <w:shd w:fill="FFFFFF" w:val="clear"/>
            <w:vAlign w:val="bottom"/>
          </w:tcPr>
          <w:p>
            <w:pPr>
              <w:pStyle w:val="TableContents"/>
              <w:spacing w:before="0" w:after="283"/>
              <w:jc w:val="right"/>
              <w:rPr/>
            </w:pPr>
            <w:r>
              <w:rPr/>
              <w:t> </w:t>
            </w:r>
          </w:p>
        </w:tc>
        <w:tc>
          <w:tcPr>
            <w:tcW w:w="104" w:type="dxa"/>
            <w:tcBorders/>
            <w:shd w:fill="FFFFFF" w:val="clear"/>
            <w:vAlign w:val="bottom"/>
          </w:tcPr>
          <w:p>
            <w:pPr>
              <w:pStyle w:val="TableContents"/>
              <w:spacing w:before="0" w:after="283"/>
              <w:jc w:val="left"/>
              <w:rPr/>
            </w:pPr>
            <w:r>
              <w:rPr/>
              <w:t> </w:t>
            </w:r>
          </w:p>
        </w:tc>
        <w:tc>
          <w:tcPr>
            <w:tcW w:w="95"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13" w:type="dxa"/>
            <w:tcBorders/>
            <w:shd w:fill="FFFFFF" w:val="clear"/>
            <w:vAlign w:val="bottom"/>
          </w:tcPr>
          <w:p>
            <w:pPr>
              <w:pStyle w:val="TableContents"/>
              <w:spacing w:before="0" w:after="283"/>
              <w:jc w:val="right"/>
              <w:rPr/>
            </w:pPr>
            <w:r>
              <w:rPr/>
              <w:t> </w:t>
            </w:r>
          </w:p>
        </w:tc>
        <w:tc>
          <w:tcPr>
            <w:tcW w:w="104" w:type="dxa"/>
            <w:tcBorders/>
            <w:shd w:fill="FFFFFF" w:val="clear"/>
            <w:vAlign w:val="bottom"/>
          </w:tcPr>
          <w:p>
            <w:pPr>
              <w:pStyle w:val="TableContents"/>
              <w:spacing w:before="0" w:after="283"/>
              <w:jc w:val="left"/>
              <w:rPr/>
            </w:pPr>
            <w:r>
              <w:rPr/>
              <w:t> </w:t>
            </w:r>
          </w:p>
        </w:tc>
        <w:tc>
          <w:tcPr>
            <w:tcW w:w="95"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62" w:type="dxa"/>
            <w:tcBorders/>
            <w:shd w:fill="FFFFFF" w:val="clear"/>
            <w:vAlign w:val="bottom"/>
          </w:tcPr>
          <w:p>
            <w:pPr>
              <w:pStyle w:val="TableContents"/>
              <w:spacing w:before="0" w:after="283"/>
              <w:jc w:val="right"/>
              <w:rPr/>
            </w:pPr>
            <w:r>
              <w:rPr/>
              <w:t> </w:t>
            </w:r>
          </w:p>
        </w:tc>
        <w:tc>
          <w:tcPr>
            <w:tcW w:w="104" w:type="dxa"/>
            <w:tcBorders/>
            <w:shd w:fill="FFFFFF" w:val="clear"/>
            <w:vAlign w:val="bottom"/>
          </w:tcPr>
          <w:p>
            <w:pPr>
              <w:pStyle w:val="TableContents"/>
              <w:spacing w:before="0" w:after="283"/>
              <w:jc w:val="left"/>
              <w:rPr/>
            </w:pPr>
            <w:r>
              <w:rPr/>
              <w:t> </w:t>
            </w:r>
          </w:p>
        </w:tc>
        <w:tc>
          <w:tcPr>
            <w:tcW w:w="95" w:type="dxa"/>
            <w:tcBorders/>
            <w:shd w:fill="FFFFFF" w:val="clear"/>
            <w:vAlign w:val="bottom"/>
          </w:tcPr>
          <w:p>
            <w:pPr>
              <w:pStyle w:val="TableContents"/>
              <w:spacing w:before="0" w:after="283"/>
              <w:rPr/>
            </w:pPr>
            <w:r>
              <w:rPr/>
              <w:t> </w:t>
            </w:r>
          </w:p>
        </w:tc>
        <w:tc>
          <w:tcPr>
            <w:tcW w:w="124" w:type="dxa"/>
            <w:tcBorders/>
            <w:shd w:fill="FFFFFF" w:val="clear"/>
            <w:vAlign w:val="bottom"/>
          </w:tcPr>
          <w:p>
            <w:pPr>
              <w:pStyle w:val="TableContents"/>
              <w:spacing w:before="0" w:after="283"/>
              <w:jc w:val="left"/>
              <w:rPr/>
            </w:pPr>
            <w:r>
              <w:rPr/>
              <w:t> </w:t>
            </w:r>
          </w:p>
        </w:tc>
        <w:tc>
          <w:tcPr>
            <w:tcW w:w="1013" w:type="dxa"/>
            <w:tcBorders/>
            <w:shd w:fill="FFFFFF" w:val="clear"/>
            <w:vAlign w:val="bottom"/>
          </w:tcPr>
          <w:p>
            <w:pPr>
              <w:pStyle w:val="TableContents"/>
              <w:spacing w:before="0" w:after="283"/>
              <w:jc w:val="right"/>
              <w:rPr/>
            </w:pPr>
            <w:r>
              <w:rPr/>
              <w:t> </w:t>
            </w:r>
          </w:p>
        </w:tc>
        <w:tc>
          <w:tcPr>
            <w:tcW w:w="104" w:type="dxa"/>
            <w:tcBorders/>
            <w:shd w:fill="FFFFFF" w:val="clear"/>
            <w:vAlign w:val="bottom"/>
          </w:tcPr>
          <w:p>
            <w:pPr>
              <w:pStyle w:val="TableContents"/>
              <w:spacing w:before="0" w:after="283"/>
              <w:jc w:val="left"/>
              <w:rPr/>
            </w:pPr>
            <w:r>
              <w:rPr/>
              <w:t> </w:t>
            </w:r>
          </w:p>
        </w:tc>
        <w:tc>
          <w:tcPr>
            <w:tcW w:w="95"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90" w:type="dxa"/>
            <w:tcBorders/>
            <w:shd w:fill="FFFFFF" w:val="clear"/>
            <w:vAlign w:val="bottom"/>
          </w:tcPr>
          <w:p>
            <w:pPr>
              <w:pStyle w:val="TableContents"/>
              <w:spacing w:before="0" w:after="283"/>
              <w:jc w:val="right"/>
              <w:rPr/>
            </w:pPr>
            <w:r>
              <w:rPr/>
              <w:t> </w:t>
            </w:r>
          </w:p>
        </w:tc>
        <w:tc>
          <w:tcPr>
            <w:tcW w:w="124" w:type="dxa"/>
            <w:tcBorders/>
            <w:shd w:fill="FFFFFF" w:val="clear"/>
            <w:vAlign w:val="bottom"/>
          </w:tcPr>
          <w:p>
            <w:pPr>
              <w:pStyle w:val="TableContents"/>
              <w:spacing w:before="0" w:after="283"/>
              <w:jc w:val="left"/>
              <w:rPr/>
            </w:pPr>
            <w:r>
              <w:rPr/>
              <w:t> </w:t>
            </w:r>
          </w:p>
        </w:tc>
      </w:tr>
      <w:tr>
        <w:trPr/>
        <w:tc>
          <w:tcPr>
            <w:tcW w:w="3326" w:type="dxa"/>
            <w:tcBorders/>
            <w:shd w:fill="CCEEFF" w:val="clear"/>
            <w:vAlign w:val="bottom"/>
          </w:tcPr>
          <w:p>
            <w:pPr>
              <w:pStyle w:val="TableContents"/>
              <w:spacing w:before="0" w:after="0"/>
              <w:ind w:left="0" w:right="0" w:hanging="0"/>
              <w:jc w:val="left"/>
              <w:rPr>
                <w:rFonts w:ascii="helvetica" w:hAnsi="helvetica"/>
                <w:sz w:val="20"/>
              </w:rPr>
            </w:pPr>
            <w:r>
              <w:rPr>
                <w:rFonts w:ascii="helvetica" w:hAnsi="helvetica"/>
                <w:sz w:val="20"/>
              </w:rPr>
              <w:t>Interest expense</w:t>
            </w:r>
          </w:p>
        </w:tc>
        <w:tc>
          <w:tcPr>
            <w:tcW w:w="9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62"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(3,576</w:t>
            </w:r>
          </w:p>
        </w:tc>
        <w:tc>
          <w:tcPr>
            <w:tcW w:w="104" w:type="dxa"/>
            <w:tcBorders/>
            <w:shd w:fill="CCEEFF" w:val="clear"/>
            <w:vAlign w:val="bottom"/>
          </w:tcPr>
          <w:p>
            <w:pPr>
              <w:pStyle w:val="TableContents"/>
              <w:spacing w:before="0" w:after="283"/>
              <w:jc w:val="left"/>
              <w:rPr>
                <w:rFonts w:ascii="helvetica" w:hAnsi="helvetica"/>
                <w:sz w:val="20"/>
              </w:rPr>
            </w:pPr>
            <w:r>
              <w:rPr>
                <w:rFonts w:ascii="helvetica" w:hAnsi="helvetica"/>
                <w:sz w:val="20"/>
              </w:rPr>
              <w:t>)</w:t>
            </w:r>
          </w:p>
        </w:tc>
        <w:tc>
          <w:tcPr>
            <w:tcW w:w="9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13"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(18,698</w:t>
            </w:r>
          </w:p>
        </w:tc>
        <w:tc>
          <w:tcPr>
            <w:tcW w:w="104" w:type="dxa"/>
            <w:tcBorders/>
            <w:shd w:fill="CCEEFF" w:val="clear"/>
            <w:vAlign w:val="bottom"/>
          </w:tcPr>
          <w:p>
            <w:pPr>
              <w:pStyle w:val="TableContents"/>
              <w:spacing w:before="0" w:after="283"/>
              <w:jc w:val="left"/>
              <w:rPr>
                <w:rFonts w:ascii="helvetica" w:hAnsi="helvetica"/>
                <w:sz w:val="20"/>
              </w:rPr>
            </w:pPr>
            <w:r>
              <w:rPr>
                <w:rFonts w:ascii="helvetica" w:hAnsi="helvetica"/>
                <w:sz w:val="20"/>
              </w:rPr>
              <w:t>)</w:t>
            </w:r>
          </w:p>
        </w:tc>
        <w:tc>
          <w:tcPr>
            <w:tcW w:w="9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62"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(24,658</w:t>
            </w:r>
          </w:p>
        </w:tc>
        <w:tc>
          <w:tcPr>
            <w:tcW w:w="104" w:type="dxa"/>
            <w:tcBorders/>
            <w:shd w:fill="CCEEFF" w:val="clear"/>
            <w:vAlign w:val="bottom"/>
          </w:tcPr>
          <w:p>
            <w:pPr>
              <w:pStyle w:val="TableContents"/>
              <w:spacing w:before="0" w:after="283"/>
              <w:jc w:val="left"/>
              <w:rPr>
                <w:rFonts w:ascii="helvetica" w:hAnsi="helvetica"/>
                <w:sz w:val="20"/>
              </w:rPr>
            </w:pPr>
            <w:r>
              <w:rPr>
                <w:rFonts w:ascii="helvetica" w:hAnsi="helvetica"/>
                <w:sz w:val="20"/>
              </w:rPr>
              <w:t>)</w:t>
            </w:r>
          </w:p>
        </w:tc>
        <w:tc>
          <w:tcPr>
            <w:tcW w:w="95"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jc w:val="left"/>
              <w:rPr/>
            </w:pPr>
            <w:r>
              <w:rPr/>
              <w:t> </w:t>
            </w:r>
          </w:p>
        </w:tc>
        <w:tc>
          <w:tcPr>
            <w:tcW w:w="1013"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(37,191</w:t>
            </w:r>
          </w:p>
        </w:tc>
        <w:tc>
          <w:tcPr>
            <w:tcW w:w="104" w:type="dxa"/>
            <w:tcBorders/>
            <w:shd w:fill="CCEEFF" w:val="clear"/>
            <w:vAlign w:val="bottom"/>
          </w:tcPr>
          <w:p>
            <w:pPr>
              <w:pStyle w:val="TableContents"/>
              <w:spacing w:before="0" w:after="283"/>
              <w:jc w:val="left"/>
              <w:rPr>
                <w:rFonts w:ascii="helvetica" w:hAnsi="helvetica"/>
                <w:sz w:val="20"/>
              </w:rPr>
            </w:pPr>
            <w:r>
              <w:rPr>
                <w:rFonts w:ascii="helvetica" w:hAnsi="helvetica"/>
                <w:sz w:val="20"/>
              </w:rPr>
              <w:t>)</w:t>
            </w:r>
          </w:p>
        </w:tc>
        <w:tc>
          <w:tcPr>
            <w:tcW w:w="9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90"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(1,730,892</w:t>
            </w:r>
          </w:p>
        </w:tc>
        <w:tc>
          <w:tcPr>
            <w:tcW w:w="124" w:type="dxa"/>
            <w:tcBorders/>
            <w:shd w:fill="CCEEFF" w:val="clear"/>
            <w:vAlign w:val="bottom"/>
          </w:tcPr>
          <w:p>
            <w:pPr>
              <w:pStyle w:val="TableContents"/>
              <w:spacing w:before="0" w:after="283"/>
              <w:jc w:val="left"/>
              <w:rPr>
                <w:rFonts w:ascii="helvetica" w:hAnsi="helvetica"/>
                <w:sz w:val="20"/>
              </w:rPr>
            </w:pPr>
            <w:r>
              <w:rPr>
                <w:rFonts w:ascii="helvetica" w:hAnsi="helvetica"/>
                <w:sz w:val="20"/>
              </w:rPr>
              <w:t>)</w:t>
            </w:r>
          </w:p>
        </w:tc>
      </w:tr>
      <w:tr>
        <w:trPr/>
        <w:tc>
          <w:tcPr>
            <w:tcW w:w="3326" w:type="dxa"/>
            <w:tcBorders/>
            <w:shd w:fill="FFFFFF" w:val="clear"/>
            <w:vAlign w:val="bottom"/>
          </w:tcPr>
          <w:p>
            <w:pPr>
              <w:pStyle w:val="TableContents"/>
              <w:spacing w:before="0" w:after="0"/>
              <w:ind w:left="0" w:right="0" w:hanging="0"/>
              <w:jc w:val="left"/>
              <w:rPr>
                <w:rFonts w:ascii="helvetica" w:hAnsi="helvetica"/>
                <w:sz w:val="20"/>
              </w:rPr>
            </w:pPr>
            <w:r>
              <w:rPr>
                <w:rFonts w:ascii="helvetica" w:hAnsi="helvetica"/>
                <w:sz w:val="20"/>
              </w:rPr>
              <w:t>Interest income</w:t>
            </w:r>
          </w:p>
        </w:tc>
        <w:tc>
          <w:tcPr>
            <w:tcW w:w="95"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62"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5,584</w:t>
            </w:r>
          </w:p>
        </w:tc>
        <w:tc>
          <w:tcPr>
            <w:tcW w:w="104" w:type="dxa"/>
            <w:tcBorders/>
            <w:shd w:fill="FFFFFF" w:val="clear"/>
            <w:vAlign w:val="bottom"/>
          </w:tcPr>
          <w:p>
            <w:pPr>
              <w:pStyle w:val="TableContents"/>
              <w:spacing w:before="0" w:after="283"/>
              <w:jc w:val="left"/>
              <w:rPr/>
            </w:pPr>
            <w:r>
              <w:rPr/>
              <w:t> </w:t>
            </w:r>
          </w:p>
        </w:tc>
        <w:tc>
          <w:tcPr>
            <w:tcW w:w="95"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13"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w:t>
            </w:r>
          </w:p>
        </w:tc>
        <w:tc>
          <w:tcPr>
            <w:tcW w:w="104" w:type="dxa"/>
            <w:tcBorders/>
            <w:shd w:fill="FFFFFF" w:val="clear"/>
            <w:vAlign w:val="bottom"/>
          </w:tcPr>
          <w:p>
            <w:pPr>
              <w:pStyle w:val="TableContents"/>
              <w:spacing w:before="0" w:after="283"/>
              <w:jc w:val="left"/>
              <w:rPr/>
            </w:pPr>
            <w:r>
              <w:rPr/>
              <w:t> </w:t>
            </w:r>
          </w:p>
        </w:tc>
        <w:tc>
          <w:tcPr>
            <w:tcW w:w="95"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62"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5,584</w:t>
            </w:r>
          </w:p>
        </w:tc>
        <w:tc>
          <w:tcPr>
            <w:tcW w:w="104" w:type="dxa"/>
            <w:tcBorders/>
            <w:shd w:fill="FFFFFF" w:val="clear"/>
            <w:vAlign w:val="bottom"/>
          </w:tcPr>
          <w:p>
            <w:pPr>
              <w:pStyle w:val="TableContents"/>
              <w:spacing w:before="0" w:after="283"/>
              <w:jc w:val="left"/>
              <w:rPr/>
            </w:pPr>
            <w:r>
              <w:rPr/>
              <w:t> </w:t>
            </w:r>
          </w:p>
        </w:tc>
        <w:tc>
          <w:tcPr>
            <w:tcW w:w="95" w:type="dxa"/>
            <w:tcBorders/>
            <w:shd w:fill="FFFFFF" w:val="clear"/>
            <w:vAlign w:val="bottom"/>
          </w:tcPr>
          <w:p>
            <w:pPr>
              <w:pStyle w:val="TableContents"/>
              <w:spacing w:before="0" w:after="283"/>
              <w:rPr/>
            </w:pPr>
            <w:r>
              <w:rPr/>
              <w:t> </w:t>
            </w:r>
          </w:p>
        </w:tc>
        <w:tc>
          <w:tcPr>
            <w:tcW w:w="124" w:type="dxa"/>
            <w:tcBorders/>
            <w:shd w:fill="FFFFFF" w:val="clear"/>
            <w:vAlign w:val="bottom"/>
          </w:tcPr>
          <w:p>
            <w:pPr>
              <w:pStyle w:val="TableContents"/>
              <w:spacing w:before="0" w:after="283"/>
              <w:jc w:val="left"/>
              <w:rPr/>
            </w:pPr>
            <w:r>
              <w:rPr/>
              <w:t> </w:t>
            </w:r>
          </w:p>
        </w:tc>
        <w:tc>
          <w:tcPr>
            <w:tcW w:w="1013"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w:t>
            </w:r>
          </w:p>
        </w:tc>
        <w:tc>
          <w:tcPr>
            <w:tcW w:w="104" w:type="dxa"/>
            <w:tcBorders/>
            <w:shd w:fill="FFFFFF" w:val="clear"/>
            <w:vAlign w:val="bottom"/>
          </w:tcPr>
          <w:p>
            <w:pPr>
              <w:pStyle w:val="TableContents"/>
              <w:spacing w:before="0" w:after="283"/>
              <w:jc w:val="left"/>
              <w:rPr/>
            </w:pPr>
            <w:r>
              <w:rPr/>
              <w:t> </w:t>
            </w:r>
          </w:p>
        </w:tc>
        <w:tc>
          <w:tcPr>
            <w:tcW w:w="95"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90"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133,165</w:t>
            </w:r>
          </w:p>
        </w:tc>
        <w:tc>
          <w:tcPr>
            <w:tcW w:w="124" w:type="dxa"/>
            <w:tcBorders/>
            <w:shd w:fill="FFFFFF" w:val="clear"/>
            <w:vAlign w:val="bottom"/>
          </w:tcPr>
          <w:p>
            <w:pPr>
              <w:pStyle w:val="TableContents"/>
              <w:spacing w:before="0" w:after="283"/>
              <w:jc w:val="left"/>
              <w:rPr/>
            </w:pPr>
            <w:r>
              <w:rPr/>
              <w:t> </w:t>
            </w:r>
          </w:p>
        </w:tc>
      </w:tr>
      <w:tr>
        <w:trPr/>
        <w:tc>
          <w:tcPr>
            <w:tcW w:w="3326" w:type="dxa"/>
            <w:tcBorders/>
            <w:shd w:fill="CCEEFF" w:val="clear"/>
            <w:vAlign w:val="bottom"/>
          </w:tcPr>
          <w:p>
            <w:pPr>
              <w:pStyle w:val="TableContents"/>
              <w:spacing w:before="0" w:after="0"/>
              <w:ind w:left="0" w:right="0" w:hanging="0"/>
              <w:jc w:val="left"/>
              <w:rPr>
                <w:rFonts w:ascii="helvetica" w:hAnsi="helvetica"/>
                <w:sz w:val="20"/>
              </w:rPr>
            </w:pPr>
            <w:r>
              <w:rPr>
                <w:rFonts w:ascii="helvetica" w:hAnsi="helvetica"/>
                <w:sz w:val="20"/>
              </w:rPr>
              <w:t>Loss on extinguishment of debt</w:t>
            </w:r>
          </w:p>
        </w:tc>
        <w:tc>
          <w:tcPr>
            <w:tcW w:w="9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62"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(189,323</w:t>
            </w:r>
          </w:p>
        </w:tc>
        <w:tc>
          <w:tcPr>
            <w:tcW w:w="104" w:type="dxa"/>
            <w:tcBorders/>
            <w:shd w:fill="CCEEFF" w:val="clear"/>
            <w:vAlign w:val="bottom"/>
          </w:tcPr>
          <w:p>
            <w:pPr>
              <w:pStyle w:val="TableContents"/>
              <w:spacing w:before="0" w:after="283"/>
              <w:jc w:val="left"/>
              <w:rPr>
                <w:rFonts w:ascii="helvetica" w:hAnsi="helvetica"/>
                <w:sz w:val="20"/>
              </w:rPr>
            </w:pPr>
            <w:r>
              <w:rPr>
                <w:rFonts w:ascii="helvetica" w:hAnsi="helvetica"/>
                <w:sz w:val="20"/>
              </w:rPr>
              <w:t>)</w:t>
            </w:r>
          </w:p>
        </w:tc>
        <w:tc>
          <w:tcPr>
            <w:tcW w:w="9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13"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w:t>
            </w:r>
          </w:p>
        </w:tc>
        <w:tc>
          <w:tcPr>
            <w:tcW w:w="104" w:type="dxa"/>
            <w:tcBorders/>
            <w:shd w:fill="CCEEFF" w:val="clear"/>
            <w:vAlign w:val="bottom"/>
          </w:tcPr>
          <w:p>
            <w:pPr>
              <w:pStyle w:val="TableContents"/>
              <w:spacing w:before="0" w:after="283"/>
              <w:jc w:val="left"/>
              <w:rPr/>
            </w:pPr>
            <w:r>
              <w:rPr/>
              <w:t> </w:t>
            </w:r>
          </w:p>
        </w:tc>
        <w:tc>
          <w:tcPr>
            <w:tcW w:w="9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62"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(1,195,410</w:t>
            </w:r>
          </w:p>
        </w:tc>
        <w:tc>
          <w:tcPr>
            <w:tcW w:w="104" w:type="dxa"/>
            <w:tcBorders/>
            <w:shd w:fill="CCEEFF" w:val="clear"/>
            <w:vAlign w:val="bottom"/>
          </w:tcPr>
          <w:p>
            <w:pPr>
              <w:pStyle w:val="TableContents"/>
              <w:spacing w:before="0" w:after="283"/>
              <w:jc w:val="left"/>
              <w:rPr>
                <w:rFonts w:ascii="helvetica" w:hAnsi="helvetica"/>
                <w:sz w:val="20"/>
              </w:rPr>
            </w:pPr>
            <w:r>
              <w:rPr>
                <w:rFonts w:ascii="helvetica" w:hAnsi="helvetica"/>
                <w:sz w:val="20"/>
              </w:rPr>
              <w:t>)</w:t>
            </w:r>
          </w:p>
        </w:tc>
        <w:tc>
          <w:tcPr>
            <w:tcW w:w="95"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jc w:val="left"/>
              <w:rPr/>
            </w:pPr>
            <w:r>
              <w:rPr/>
              <w:t> </w:t>
            </w:r>
          </w:p>
        </w:tc>
        <w:tc>
          <w:tcPr>
            <w:tcW w:w="1013"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w:t>
            </w:r>
          </w:p>
        </w:tc>
        <w:tc>
          <w:tcPr>
            <w:tcW w:w="104" w:type="dxa"/>
            <w:tcBorders/>
            <w:shd w:fill="CCEEFF" w:val="clear"/>
            <w:vAlign w:val="bottom"/>
          </w:tcPr>
          <w:p>
            <w:pPr>
              <w:pStyle w:val="TableContents"/>
              <w:spacing w:before="0" w:after="283"/>
              <w:jc w:val="left"/>
              <w:rPr/>
            </w:pPr>
            <w:r>
              <w:rPr/>
              <w:t> </w:t>
            </w:r>
          </w:p>
        </w:tc>
        <w:tc>
          <w:tcPr>
            <w:tcW w:w="9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90"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(1,195,410</w:t>
            </w:r>
          </w:p>
        </w:tc>
        <w:tc>
          <w:tcPr>
            <w:tcW w:w="124" w:type="dxa"/>
            <w:tcBorders/>
            <w:shd w:fill="CCEEFF" w:val="clear"/>
            <w:vAlign w:val="bottom"/>
          </w:tcPr>
          <w:p>
            <w:pPr>
              <w:pStyle w:val="TableContents"/>
              <w:spacing w:before="0" w:after="283"/>
              <w:jc w:val="left"/>
              <w:rPr>
                <w:rFonts w:ascii="helvetica" w:hAnsi="helvetica"/>
                <w:sz w:val="20"/>
              </w:rPr>
            </w:pPr>
            <w:r>
              <w:rPr>
                <w:rFonts w:ascii="helvetica" w:hAnsi="helvetica"/>
                <w:sz w:val="20"/>
              </w:rPr>
              <w:t>)</w:t>
            </w:r>
          </w:p>
        </w:tc>
      </w:tr>
      <w:tr>
        <w:trPr/>
        <w:tc>
          <w:tcPr>
            <w:tcW w:w="3326" w:type="dxa"/>
            <w:tcBorders/>
            <w:shd w:fill="FFFFFF" w:val="clear"/>
            <w:vAlign w:val="bottom"/>
          </w:tcPr>
          <w:p>
            <w:pPr>
              <w:pStyle w:val="TableContents"/>
              <w:spacing w:before="0" w:after="0"/>
              <w:ind w:left="0" w:right="0" w:hanging="0"/>
              <w:jc w:val="left"/>
              <w:rPr>
                <w:rFonts w:ascii="helvetica" w:hAnsi="helvetica"/>
                <w:sz w:val="20"/>
              </w:rPr>
            </w:pPr>
            <w:r>
              <w:rPr>
                <w:rFonts w:ascii="helvetica" w:hAnsi="helvetica"/>
                <w:sz w:val="20"/>
              </w:rPr>
              <w:t>Gain on settlement</w:t>
            </w:r>
          </w:p>
        </w:tc>
        <w:tc>
          <w:tcPr>
            <w:tcW w:w="95"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62"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w:t>
            </w:r>
          </w:p>
        </w:tc>
        <w:tc>
          <w:tcPr>
            <w:tcW w:w="104" w:type="dxa"/>
            <w:tcBorders/>
            <w:shd w:fill="FFFFFF" w:val="clear"/>
            <w:vAlign w:val="bottom"/>
          </w:tcPr>
          <w:p>
            <w:pPr>
              <w:pStyle w:val="TableContents"/>
              <w:spacing w:before="0" w:after="283"/>
              <w:jc w:val="left"/>
              <w:rPr/>
            </w:pPr>
            <w:r>
              <w:rPr/>
              <w:t> </w:t>
            </w:r>
          </w:p>
        </w:tc>
        <w:tc>
          <w:tcPr>
            <w:tcW w:w="95"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13"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w:t>
            </w:r>
          </w:p>
        </w:tc>
        <w:tc>
          <w:tcPr>
            <w:tcW w:w="104" w:type="dxa"/>
            <w:tcBorders/>
            <w:shd w:fill="FFFFFF" w:val="clear"/>
            <w:vAlign w:val="bottom"/>
          </w:tcPr>
          <w:p>
            <w:pPr>
              <w:pStyle w:val="TableContents"/>
              <w:spacing w:before="0" w:after="283"/>
              <w:jc w:val="left"/>
              <w:rPr/>
            </w:pPr>
            <w:r>
              <w:rPr/>
              <w:t> </w:t>
            </w:r>
          </w:p>
        </w:tc>
        <w:tc>
          <w:tcPr>
            <w:tcW w:w="95"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62"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w:t>
            </w:r>
          </w:p>
        </w:tc>
        <w:tc>
          <w:tcPr>
            <w:tcW w:w="104" w:type="dxa"/>
            <w:tcBorders/>
            <w:shd w:fill="FFFFFF" w:val="clear"/>
            <w:vAlign w:val="bottom"/>
          </w:tcPr>
          <w:p>
            <w:pPr>
              <w:pStyle w:val="TableContents"/>
              <w:spacing w:before="0" w:after="283"/>
              <w:jc w:val="left"/>
              <w:rPr/>
            </w:pPr>
            <w:r>
              <w:rPr/>
              <w:t> </w:t>
            </w:r>
          </w:p>
        </w:tc>
        <w:tc>
          <w:tcPr>
            <w:tcW w:w="95" w:type="dxa"/>
            <w:tcBorders/>
            <w:shd w:fill="FFFFFF" w:val="clear"/>
            <w:vAlign w:val="bottom"/>
          </w:tcPr>
          <w:p>
            <w:pPr>
              <w:pStyle w:val="TableContents"/>
              <w:spacing w:before="0" w:after="283"/>
              <w:rPr/>
            </w:pPr>
            <w:r>
              <w:rPr/>
              <w:t> </w:t>
            </w:r>
          </w:p>
        </w:tc>
        <w:tc>
          <w:tcPr>
            <w:tcW w:w="124" w:type="dxa"/>
            <w:tcBorders/>
            <w:shd w:fill="FFFFFF" w:val="clear"/>
            <w:vAlign w:val="bottom"/>
          </w:tcPr>
          <w:p>
            <w:pPr>
              <w:pStyle w:val="TableContents"/>
              <w:spacing w:before="0" w:after="283"/>
              <w:jc w:val="left"/>
              <w:rPr/>
            </w:pPr>
            <w:r>
              <w:rPr/>
              <w:t> </w:t>
            </w:r>
          </w:p>
        </w:tc>
        <w:tc>
          <w:tcPr>
            <w:tcW w:w="1013"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w:t>
            </w:r>
          </w:p>
        </w:tc>
        <w:tc>
          <w:tcPr>
            <w:tcW w:w="104" w:type="dxa"/>
            <w:tcBorders/>
            <w:shd w:fill="FFFFFF" w:val="clear"/>
            <w:vAlign w:val="bottom"/>
          </w:tcPr>
          <w:p>
            <w:pPr>
              <w:pStyle w:val="TableContents"/>
              <w:spacing w:before="0" w:after="283"/>
              <w:jc w:val="left"/>
              <w:rPr/>
            </w:pPr>
            <w:r>
              <w:rPr/>
              <w:t> </w:t>
            </w:r>
          </w:p>
        </w:tc>
        <w:tc>
          <w:tcPr>
            <w:tcW w:w="95"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90"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375,000</w:t>
            </w:r>
          </w:p>
        </w:tc>
        <w:tc>
          <w:tcPr>
            <w:tcW w:w="124" w:type="dxa"/>
            <w:tcBorders/>
            <w:shd w:fill="FFFFFF" w:val="clear"/>
            <w:vAlign w:val="bottom"/>
          </w:tcPr>
          <w:p>
            <w:pPr>
              <w:pStyle w:val="TableContents"/>
              <w:spacing w:before="0" w:after="283"/>
              <w:jc w:val="left"/>
              <w:rPr/>
            </w:pPr>
            <w:r>
              <w:rPr/>
              <w:t> </w:t>
            </w:r>
          </w:p>
        </w:tc>
      </w:tr>
      <w:tr>
        <w:trPr/>
        <w:tc>
          <w:tcPr>
            <w:tcW w:w="3326" w:type="dxa"/>
            <w:tcBorders/>
            <w:shd w:fill="CCEEFF" w:val="clear"/>
            <w:vAlign w:val="bottom"/>
          </w:tcPr>
          <w:p>
            <w:pPr>
              <w:pStyle w:val="TableContents"/>
              <w:spacing w:before="0" w:after="0"/>
              <w:ind w:left="0" w:right="0" w:hanging="0"/>
              <w:jc w:val="left"/>
              <w:rPr>
                <w:rFonts w:ascii="helvetica" w:hAnsi="helvetica"/>
                <w:sz w:val="20"/>
              </w:rPr>
            </w:pPr>
            <w:r>
              <w:rPr>
                <w:rFonts w:ascii="helvetica" w:hAnsi="helvetica"/>
                <w:sz w:val="20"/>
              </w:rPr>
              <w:t>Gain on forgiveness of liabilities</w:t>
            </w:r>
          </w:p>
        </w:tc>
        <w:tc>
          <w:tcPr>
            <w:tcW w:w="95" w:type="dxa"/>
            <w:tcBorders/>
            <w:shd w:fill="CCEEFF" w:val="clear"/>
            <w:vAlign w:val="bottom"/>
          </w:tcPr>
          <w:p>
            <w:pPr>
              <w:pStyle w:val="TableContents"/>
              <w:spacing w:before="0" w:after="283"/>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62" w:type="dxa"/>
            <w:tcBorders>
              <w:bottom w:val="single" w:sz="12" w:space="0" w:color="000000"/>
            </w:tcBorders>
            <w:shd w:fill="CCEE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w:t>
            </w:r>
          </w:p>
        </w:tc>
        <w:tc>
          <w:tcPr>
            <w:tcW w:w="104" w:type="dxa"/>
            <w:tcBorders/>
            <w:shd w:fill="CCEEFF" w:val="clear"/>
            <w:vAlign w:val="bottom"/>
          </w:tcPr>
          <w:p>
            <w:pPr>
              <w:pStyle w:val="TableContents"/>
              <w:spacing w:before="0" w:after="283"/>
              <w:jc w:val="left"/>
              <w:rPr/>
            </w:pPr>
            <w:r>
              <w:rPr/>
              <w:t> </w:t>
            </w:r>
          </w:p>
        </w:tc>
        <w:tc>
          <w:tcPr>
            <w:tcW w:w="95" w:type="dxa"/>
            <w:tcBorders/>
            <w:shd w:fill="CCEEFF" w:val="clear"/>
            <w:vAlign w:val="bottom"/>
          </w:tcPr>
          <w:p>
            <w:pPr>
              <w:pStyle w:val="TableContents"/>
              <w:spacing w:before="0" w:after="283"/>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13" w:type="dxa"/>
            <w:tcBorders>
              <w:bottom w:val="single" w:sz="12" w:space="0" w:color="000000"/>
            </w:tcBorders>
            <w:shd w:fill="CCEE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w:t>
            </w:r>
          </w:p>
        </w:tc>
        <w:tc>
          <w:tcPr>
            <w:tcW w:w="104" w:type="dxa"/>
            <w:tcBorders/>
            <w:shd w:fill="CCEEFF" w:val="clear"/>
            <w:vAlign w:val="bottom"/>
          </w:tcPr>
          <w:p>
            <w:pPr>
              <w:pStyle w:val="TableContents"/>
              <w:spacing w:before="0" w:after="283"/>
              <w:jc w:val="left"/>
              <w:rPr/>
            </w:pPr>
            <w:r>
              <w:rPr/>
              <w:t> </w:t>
            </w:r>
          </w:p>
        </w:tc>
        <w:tc>
          <w:tcPr>
            <w:tcW w:w="95" w:type="dxa"/>
            <w:tcBorders/>
            <w:shd w:fill="CCEEFF" w:val="clear"/>
            <w:vAlign w:val="bottom"/>
          </w:tcPr>
          <w:p>
            <w:pPr>
              <w:pStyle w:val="TableContents"/>
              <w:spacing w:before="0" w:after="283"/>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62" w:type="dxa"/>
            <w:tcBorders>
              <w:bottom w:val="single" w:sz="12" w:space="0" w:color="000000"/>
            </w:tcBorders>
            <w:shd w:fill="CCEE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w:t>
            </w:r>
          </w:p>
        </w:tc>
        <w:tc>
          <w:tcPr>
            <w:tcW w:w="104" w:type="dxa"/>
            <w:tcBorders/>
            <w:shd w:fill="CCEEFF" w:val="clear"/>
            <w:vAlign w:val="bottom"/>
          </w:tcPr>
          <w:p>
            <w:pPr>
              <w:pStyle w:val="TableContents"/>
              <w:spacing w:before="0" w:after="283"/>
              <w:jc w:val="left"/>
              <w:rPr/>
            </w:pPr>
            <w:r>
              <w:rPr/>
              <w:t> </w:t>
            </w:r>
          </w:p>
        </w:tc>
        <w:tc>
          <w:tcPr>
            <w:tcW w:w="95" w:type="dxa"/>
            <w:tcBorders/>
            <w:shd w:fill="CCEEFF" w:val="clear"/>
            <w:vAlign w:val="bottom"/>
          </w:tcPr>
          <w:p>
            <w:pPr>
              <w:pStyle w:val="TableContents"/>
              <w:spacing w:before="0" w:after="283"/>
              <w:rPr/>
            </w:pPr>
            <w:r>
              <w:rPr/>
              <w:t> </w:t>
            </w:r>
          </w:p>
        </w:tc>
        <w:tc>
          <w:tcPr>
            <w:tcW w:w="124"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13" w:type="dxa"/>
            <w:tcBorders>
              <w:bottom w:val="single" w:sz="12" w:space="0" w:color="000000"/>
            </w:tcBorders>
            <w:shd w:fill="CCEE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w:t>
            </w:r>
          </w:p>
        </w:tc>
        <w:tc>
          <w:tcPr>
            <w:tcW w:w="104" w:type="dxa"/>
            <w:tcBorders/>
            <w:shd w:fill="CCEEFF" w:val="clear"/>
            <w:vAlign w:val="bottom"/>
          </w:tcPr>
          <w:p>
            <w:pPr>
              <w:pStyle w:val="TableContents"/>
              <w:spacing w:before="0" w:after="283"/>
              <w:jc w:val="left"/>
              <w:rPr/>
            </w:pPr>
            <w:r>
              <w:rPr/>
              <w:t> </w:t>
            </w:r>
          </w:p>
        </w:tc>
        <w:tc>
          <w:tcPr>
            <w:tcW w:w="95" w:type="dxa"/>
            <w:tcBorders/>
            <w:shd w:fill="CCEEFF" w:val="clear"/>
            <w:vAlign w:val="bottom"/>
          </w:tcPr>
          <w:p>
            <w:pPr>
              <w:pStyle w:val="TableContents"/>
              <w:spacing w:before="0" w:after="283"/>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90" w:type="dxa"/>
            <w:tcBorders>
              <w:bottom w:val="single" w:sz="12" w:space="0" w:color="000000"/>
            </w:tcBorders>
            <w:shd w:fill="CCEE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176,505</w:t>
            </w:r>
          </w:p>
        </w:tc>
        <w:tc>
          <w:tcPr>
            <w:tcW w:w="124" w:type="dxa"/>
            <w:tcBorders/>
            <w:shd w:fill="CCEEFF" w:val="clear"/>
            <w:vAlign w:val="bottom"/>
          </w:tcPr>
          <w:p>
            <w:pPr>
              <w:pStyle w:val="TableContents"/>
              <w:spacing w:before="0" w:after="283"/>
              <w:jc w:val="left"/>
              <w:rPr/>
            </w:pPr>
            <w:r>
              <w:rPr/>
              <w:t> </w:t>
            </w:r>
          </w:p>
        </w:tc>
      </w:tr>
      <w:tr>
        <w:trPr/>
        <w:tc>
          <w:tcPr>
            <w:tcW w:w="3326" w:type="dxa"/>
            <w:tcBorders/>
            <w:shd w:fill="FFFFFF" w:val="clear"/>
            <w:vAlign w:val="bottom"/>
          </w:tcPr>
          <w:p>
            <w:pPr>
              <w:pStyle w:val="TableContents"/>
              <w:spacing w:before="0" w:after="0"/>
              <w:ind w:left="0" w:right="0" w:hanging="0"/>
              <w:jc w:val="left"/>
              <w:rPr>
                <w:rFonts w:ascii="helvetica" w:hAnsi="helvetica"/>
                <w:sz w:val="20"/>
              </w:rPr>
            </w:pPr>
            <w:r>
              <w:rPr>
                <w:rFonts w:ascii="helvetica" w:hAnsi="helvetica"/>
                <w:sz w:val="20"/>
              </w:rPr>
              <w:t>Total other expense, net</w:t>
            </w:r>
          </w:p>
        </w:tc>
        <w:tc>
          <w:tcPr>
            <w:tcW w:w="95" w:type="dxa"/>
            <w:tcBorders/>
            <w:shd w:fill="FFFFFF" w:val="clear"/>
            <w:vAlign w:val="bottom"/>
          </w:tcPr>
          <w:p>
            <w:pPr>
              <w:pStyle w:val="TableContents"/>
              <w:spacing w:before="0" w:after="283"/>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62" w:type="dxa"/>
            <w:tcBorders>
              <w:bottom w:val="single" w:sz="12" w:space="0" w:color="000000"/>
            </w:tcBorders>
            <w:shd w:fill="FFFF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(187,315</w:t>
            </w:r>
          </w:p>
        </w:tc>
        <w:tc>
          <w:tcPr>
            <w:tcW w:w="104" w:type="dxa"/>
            <w:tcBorders/>
            <w:shd w:fill="FFFFFF" w:val="clear"/>
            <w:vAlign w:val="bottom"/>
          </w:tcPr>
          <w:p>
            <w:pPr>
              <w:pStyle w:val="TableContents"/>
              <w:spacing w:before="0" w:after="283"/>
              <w:jc w:val="left"/>
              <w:rPr>
                <w:rFonts w:ascii="helvetica" w:hAnsi="helvetica"/>
                <w:sz w:val="20"/>
              </w:rPr>
            </w:pPr>
            <w:r>
              <w:rPr>
                <w:rFonts w:ascii="helvetica" w:hAnsi="helvetica"/>
                <w:sz w:val="20"/>
              </w:rPr>
              <w:t>)</w:t>
            </w:r>
          </w:p>
        </w:tc>
        <w:tc>
          <w:tcPr>
            <w:tcW w:w="95" w:type="dxa"/>
            <w:tcBorders/>
            <w:shd w:fill="FFFFFF" w:val="clear"/>
            <w:vAlign w:val="bottom"/>
          </w:tcPr>
          <w:p>
            <w:pPr>
              <w:pStyle w:val="TableContents"/>
              <w:spacing w:before="0" w:after="283"/>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13" w:type="dxa"/>
            <w:tcBorders>
              <w:bottom w:val="single" w:sz="12" w:space="0" w:color="000000"/>
            </w:tcBorders>
            <w:shd w:fill="FFFF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(18,698</w:t>
            </w:r>
          </w:p>
        </w:tc>
        <w:tc>
          <w:tcPr>
            <w:tcW w:w="104" w:type="dxa"/>
            <w:tcBorders/>
            <w:shd w:fill="FFFFFF" w:val="clear"/>
            <w:vAlign w:val="bottom"/>
          </w:tcPr>
          <w:p>
            <w:pPr>
              <w:pStyle w:val="TableContents"/>
              <w:spacing w:before="0" w:after="283"/>
              <w:jc w:val="left"/>
              <w:rPr>
                <w:rFonts w:ascii="helvetica" w:hAnsi="helvetica"/>
                <w:sz w:val="20"/>
              </w:rPr>
            </w:pPr>
            <w:r>
              <w:rPr>
                <w:rFonts w:ascii="helvetica" w:hAnsi="helvetica"/>
                <w:sz w:val="20"/>
              </w:rPr>
              <w:t>)</w:t>
            </w:r>
          </w:p>
        </w:tc>
        <w:tc>
          <w:tcPr>
            <w:tcW w:w="95" w:type="dxa"/>
            <w:tcBorders/>
            <w:shd w:fill="FFFFFF" w:val="clear"/>
            <w:vAlign w:val="bottom"/>
          </w:tcPr>
          <w:p>
            <w:pPr>
              <w:pStyle w:val="TableContents"/>
              <w:spacing w:before="0" w:after="283"/>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62" w:type="dxa"/>
            <w:tcBorders>
              <w:bottom w:val="single" w:sz="12" w:space="0" w:color="000000"/>
            </w:tcBorders>
            <w:shd w:fill="FFFF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(1,214,484</w:t>
            </w:r>
          </w:p>
        </w:tc>
        <w:tc>
          <w:tcPr>
            <w:tcW w:w="104" w:type="dxa"/>
            <w:tcBorders/>
            <w:shd w:fill="FFFFFF" w:val="clear"/>
            <w:vAlign w:val="bottom"/>
          </w:tcPr>
          <w:p>
            <w:pPr>
              <w:pStyle w:val="TableContents"/>
              <w:spacing w:before="0" w:after="283"/>
              <w:jc w:val="left"/>
              <w:rPr>
                <w:rFonts w:ascii="helvetica" w:hAnsi="helvetica"/>
                <w:sz w:val="20"/>
              </w:rPr>
            </w:pPr>
            <w:r>
              <w:rPr>
                <w:rFonts w:ascii="helvetica" w:hAnsi="helvetica"/>
                <w:sz w:val="20"/>
              </w:rPr>
              <w:t>)</w:t>
            </w:r>
          </w:p>
        </w:tc>
        <w:tc>
          <w:tcPr>
            <w:tcW w:w="95" w:type="dxa"/>
            <w:tcBorders/>
            <w:shd w:fill="FFFFFF" w:val="clear"/>
            <w:vAlign w:val="bottom"/>
          </w:tcPr>
          <w:p>
            <w:pPr>
              <w:pStyle w:val="TableContents"/>
              <w:spacing w:before="0" w:after="283"/>
              <w:rPr/>
            </w:pPr>
            <w:r>
              <w:rPr/>
              <w:t> </w:t>
            </w:r>
          </w:p>
        </w:tc>
        <w:tc>
          <w:tcPr>
            <w:tcW w:w="124"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13" w:type="dxa"/>
            <w:tcBorders>
              <w:bottom w:val="single" w:sz="12" w:space="0" w:color="000000"/>
            </w:tcBorders>
            <w:shd w:fill="FFFF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(37,191</w:t>
            </w:r>
          </w:p>
        </w:tc>
        <w:tc>
          <w:tcPr>
            <w:tcW w:w="104" w:type="dxa"/>
            <w:tcBorders/>
            <w:shd w:fill="FFFFFF" w:val="clear"/>
            <w:vAlign w:val="bottom"/>
          </w:tcPr>
          <w:p>
            <w:pPr>
              <w:pStyle w:val="TableContents"/>
              <w:spacing w:before="0" w:after="283"/>
              <w:jc w:val="left"/>
              <w:rPr>
                <w:rFonts w:ascii="helvetica" w:hAnsi="helvetica"/>
                <w:sz w:val="20"/>
              </w:rPr>
            </w:pPr>
            <w:r>
              <w:rPr>
                <w:rFonts w:ascii="helvetica" w:hAnsi="helvetica"/>
                <w:sz w:val="20"/>
              </w:rPr>
              <w:t>)</w:t>
            </w:r>
          </w:p>
        </w:tc>
        <w:tc>
          <w:tcPr>
            <w:tcW w:w="95" w:type="dxa"/>
            <w:tcBorders/>
            <w:shd w:fill="FFFFFF" w:val="clear"/>
            <w:vAlign w:val="bottom"/>
          </w:tcPr>
          <w:p>
            <w:pPr>
              <w:pStyle w:val="TableContents"/>
              <w:spacing w:before="0" w:after="283"/>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90" w:type="dxa"/>
            <w:tcBorders>
              <w:bottom w:val="single" w:sz="12" w:space="0" w:color="000000"/>
            </w:tcBorders>
            <w:shd w:fill="FFFF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(2,241,632</w:t>
            </w:r>
          </w:p>
        </w:tc>
        <w:tc>
          <w:tcPr>
            <w:tcW w:w="124" w:type="dxa"/>
            <w:tcBorders/>
            <w:shd w:fill="FFFFFF" w:val="clear"/>
            <w:vAlign w:val="bottom"/>
          </w:tcPr>
          <w:p>
            <w:pPr>
              <w:pStyle w:val="TableContents"/>
              <w:spacing w:before="0" w:after="283"/>
              <w:jc w:val="left"/>
              <w:rPr>
                <w:rFonts w:ascii="helvetica" w:hAnsi="helvetica"/>
                <w:sz w:val="20"/>
              </w:rPr>
            </w:pPr>
            <w:r>
              <w:rPr>
                <w:rFonts w:ascii="helvetica" w:hAnsi="helvetica"/>
                <w:sz w:val="20"/>
              </w:rPr>
              <w:t>)</w:t>
            </w:r>
          </w:p>
        </w:tc>
      </w:tr>
      <w:tr>
        <w:trPr/>
        <w:tc>
          <w:tcPr>
            <w:tcW w:w="3326" w:type="dxa"/>
            <w:tcBorders/>
            <w:shd w:fill="CCEEFF" w:val="clear"/>
            <w:vAlign w:val="bottom"/>
          </w:tcPr>
          <w:p>
            <w:pPr>
              <w:pStyle w:val="TableContents"/>
              <w:spacing w:before="0" w:after="0"/>
              <w:ind w:left="0" w:right="0" w:hanging="0"/>
              <w:jc w:val="left"/>
              <w:rPr>
                <w:rFonts w:ascii="helvetica" w:hAnsi="helvetica"/>
                <w:sz w:val="20"/>
              </w:rPr>
            </w:pPr>
            <w:r>
              <w:rPr>
                <w:rFonts w:ascii="helvetica" w:hAnsi="helvetica"/>
                <w:sz w:val="20"/>
              </w:rPr>
              <w:t>Net loss</w:t>
            </w:r>
          </w:p>
        </w:tc>
        <w:tc>
          <w:tcPr>
            <w:tcW w:w="9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62"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(1,305,593</w:t>
            </w:r>
          </w:p>
        </w:tc>
        <w:tc>
          <w:tcPr>
            <w:tcW w:w="104" w:type="dxa"/>
            <w:tcBorders/>
            <w:shd w:fill="CCEEFF" w:val="clear"/>
            <w:vAlign w:val="bottom"/>
          </w:tcPr>
          <w:p>
            <w:pPr>
              <w:pStyle w:val="TableContents"/>
              <w:spacing w:before="0" w:after="283"/>
              <w:jc w:val="left"/>
              <w:rPr>
                <w:rFonts w:ascii="helvetica" w:hAnsi="helvetica"/>
                <w:sz w:val="20"/>
              </w:rPr>
            </w:pPr>
            <w:r>
              <w:rPr>
                <w:rFonts w:ascii="helvetica" w:hAnsi="helvetica"/>
                <w:sz w:val="20"/>
              </w:rPr>
              <w:t>)</w:t>
            </w:r>
          </w:p>
        </w:tc>
        <w:tc>
          <w:tcPr>
            <w:tcW w:w="9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13"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(164,465</w:t>
            </w:r>
          </w:p>
        </w:tc>
        <w:tc>
          <w:tcPr>
            <w:tcW w:w="104" w:type="dxa"/>
            <w:tcBorders/>
            <w:shd w:fill="CCEEFF" w:val="clear"/>
            <w:vAlign w:val="bottom"/>
          </w:tcPr>
          <w:p>
            <w:pPr>
              <w:pStyle w:val="TableContents"/>
              <w:spacing w:before="0" w:after="283"/>
              <w:jc w:val="left"/>
              <w:rPr>
                <w:rFonts w:ascii="helvetica" w:hAnsi="helvetica"/>
                <w:sz w:val="20"/>
              </w:rPr>
            </w:pPr>
            <w:r>
              <w:rPr>
                <w:rFonts w:ascii="helvetica" w:hAnsi="helvetica"/>
                <w:sz w:val="20"/>
              </w:rPr>
              <w:t>)</w:t>
            </w:r>
          </w:p>
        </w:tc>
        <w:tc>
          <w:tcPr>
            <w:tcW w:w="9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62"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(2,684,681</w:t>
            </w:r>
          </w:p>
        </w:tc>
        <w:tc>
          <w:tcPr>
            <w:tcW w:w="104" w:type="dxa"/>
            <w:tcBorders/>
            <w:shd w:fill="CCEEFF" w:val="clear"/>
            <w:vAlign w:val="bottom"/>
          </w:tcPr>
          <w:p>
            <w:pPr>
              <w:pStyle w:val="TableContents"/>
              <w:spacing w:before="0" w:after="283"/>
              <w:jc w:val="left"/>
              <w:rPr>
                <w:rFonts w:ascii="helvetica" w:hAnsi="helvetica"/>
                <w:sz w:val="20"/>
              </w:rPr>
            </w:pPr>
            <w:r>
              <w:rPr>
                <w:rFonts w:ascii="helvetica" w:hAnsi="helvetica"/>
                <w:sz w:val="20"/>
              </w:rPr>
              <w:t>)</w:t>
            </w:r>
          </w:p>
        </w:tc>
        <w:tc>
          <w:tcPr>
            <w:tcW w:w="95"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jc w:val="left"/>
              <w:rPr/>
            </w:pPr>
            <w:r>
              <w:rPr/>
              <w:t> </w:t>
            </w:r>
          </w:p>
        </w:tc>
        <w:tc>
          <w:tcPr>
            <w:tcW w:w="1013"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(596,778</w:t>
            </w:r>
          </w:p>
        </w:tc>
        <w:tc>
          <w:tcPr>
            <w:tcW w:w="104" w:type="dxa"/>
            <w:tcBorders/>
            <w:shd w:fill="CCEEFF" w:val="clear"/>
            <w:vAlign w:val="bottom"/>
          </w:tcPr>
          <w:p>
            <w:pPr>
              <w:pStyle w:val="TableContents"/>
              <w:spacing w:before="0" w:after="283"/>
              <w:jc w:val="left"/>
              <w:rPr>
                <w:rFonts w:ascii="helvetica" w:hAnsi="helvetica"/>
                <w:sz w:val="20"/>
              </w:rPr>
            </w:pPr>
            <w:r>
              <w:rPr>
                <w:rFonts w:ascii="helvetica" w:hAnsi="helvetica"/>
                <w:sz w:val="20"/>
              </w:rPr>
              <w:t>)</w:t>
            </w:r>
          </w:p>
        </w:tc>
        <w:tc>
          <w:tcPr>
            <w:tcW w:w="9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90"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(21,105,414</w:t>
            </w:r>
          </w:p>
        </w:tc>
        <w:tc>
          <w:tcPr>
            <w:tcW w:w="124" w:type="dxa"/>
            <w:tcBorders/>
            <w:shd w:fill="CCEEFF" w:val="clear"/>
            <w:vAlign w:val="bottom"/>
          </w:tcPr>
          <w:p>
            <w:pPr>
              <w:pStyle w:val="TableContents"/>
              <w:spacing w:before="0" w:after="283"/>
              <w:jc w:val="left"/>
              <w:rPr>
                <w:rFonts w:ascii="helvetica" w:hAnsi="helvetica"/>
                <w:sz w:val="20"/>
              </w:rPr>
            </w:pPr>
            <w:r>
              <w:rPr>
                <w:rFonts w:ascii="helvetica" w:hAnsi="helvetica"/>
                <w:sz w:val="20"/>
              </w:rPr>
              <w:t>)</w:t>
            </w:r>
          </w:p>
        </w:tc>
      </w:tr>
      <w:tr>
        <w:trPr/>
        <w:tc>
          <w:tcPr>
            <w:tcW w:w="3326" w:type="dxa"/>
            <w:tcBorders/>
            <w:shd w:fill="FFFFFF" w:val="clear"/>
            <w:vAlign w:val="bottom"/>
          </w:tcPr>
          <w:p>
            <w:pPr>
              <w:pStyle w:val="TableContents"/>
              <w:spacing w:before="0" w:after="0"/>
              <w:ind w:left="0" w:right="0" w:hanging="0"/>
              <w:jc w:val="left"/>
              <w:rPr>
                <w:rFonts w:ascii="helvetica" w:hAnsi="helvetica"/>
                <w:sz w:val="20"/>
              </w:rPr>
            </w:pPr>
            <w:r>
              <w:rPr>
                <w:rFonts w:ascii="helvetica" w:hAnsi="helvetica"/>
                <w:sz w:val="20"/>
              </w:rPr>
              <w:t>Deemed dividend to preferred stockholders</w:t>
            </w:r>
          </w:p>
        </w:tc>
        <w:tc>
          <w:tcPr>
            <w:tcW w:w="95" w:type="dxa"/>
            <w:tcBorders/>
            <w:shd w:fill="FFFFFF" w:val="clear"/>
            <w:vAlign w:val="bottom"/>
          </w:tcPr>
          <w:p>
            <w:pPr>
              <w:pStyle w:val="TableContents"/>
              <w:spacing w:before="0" w:after="283"/>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62" w:type="dxa"/>
            <w:tcBorders>
              <w:bottom w:val="single" w:sz="12" w:space="0" w:color="000000"/>
            </w:tcBorders>
            <w:shd w:fill="FFFF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(200,000</w:t>
            </w:r>
          </w:p>
        </w:tc>
        <w:tc>
          <w:tcPr>
            <w:tcW w:w="104" w:type="dxa"/>
            <w:tcBorders/>
            <w:shd w:fill="FFFFFF" w:val="clear"/>
            <w:vAlign w:val="bottom"/>
          </w:tcPr>
          <w:p>
            <w:pPr>
              <w:pStyle w:val="TableContents"/>
              <w:spacing w:before="0" w:after="283"/>
              <w:jc w:val="left"/>
              <w:rPr>
                <w:rFonts w:ascii="helvetica" w:hAnsi="helvetica"/>
                <w:sz w:val="20"/>
              </w:rPr>
            </w:pPr>
            <w:r>
              <w:rPr>
                <w:rFonts w:ascii="helvetica" w:hAnsi="helvetica"/>
                <w:sz w:val="20"/>
              </w:rPr>
              <w:t>)</w:t>
            </w:r>
          </w:p>
        </w:tc>
        <w:tc>
          <w:tcPr>
            <w:tcW w:w="95" w:type="dxa"/>
            <w:tcBorders/>
            <w:shd w:fill="FFFFFF" w:val="clear"/>
            <w:vAlign w:val="bottom"/>
          </w:tcPr>
          <w:p>
            <w:pPr>
              <w:pStyle w:val="TableContents"/>
              <w:spacing w:before="0" w:after="283"/>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13" w:type="dxa"/>
            <w:tcBorders>
              <w:bottom w:val="single" w:sz="12" w:space="0" w:color="000000"/>
            </w:tcBorders>
            <w:shd w:fill="FFFF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w:t>
            </w:r>
          </w:p>
        </w:tc>
        <w:tc>
          <w:tcPr>
            <w:tcW w:w="104" w:type="dxa"/>
            <w:tcBorders/>
            <w:shd w:fill="FFFFFF" w:val="clear"/>
            <w:vAlign w:val="bottom"/>
          </w:tcPr>
          <w:p>
            <w:pPr>
              <w:pStyle w:val="TableContents"/>
              <w:spacing w:before="0" w:after="283"/>
              <w:jc w:val="left"/>
              <w:rPr/>
            </w:pPr>
            <w:r>
              <w:rPr/>
              <w:t> </w:t>
            </w:r>
          </w:p>
        </w:tc>
        <w:tc>
          <w:tcPr>
            <w:tcW w:w="95" w:type="dxa"/>
            <w:tcBorders/>
            <w:shd w:fill="FFFFFF" w:val="clear"/>
            <w:vAlign w:val="bottom"/>
          </w:tcPr>
          <w:p>
            <w:pPr>
              <w:pStyle w:val="TableContents"/>
              <w:spacing w:before="0" w:after="283"/>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62" w:type="dxa"/>
            <w:tcBorders>
              <w:bottom w:val="single" w:sz="12" w:space="0" w:color="000000"/>
            </w:tcBorders>
            <w:shd w:fill="FFFF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(200,000</w:t>
            </w:r>
          </w:p>
        </w:tc>
        <w:tc>
          <w:tcPr>
            <w:tcW w:w="104" w:type="dxa"/>
            <w:tcBorders/>
            <w:shd w:fill="FFFFFF" w:val="clear"/>
            <w:vAlign w:val="bottom"/>
          </w:tcPr>
          <w:p>
            <w:pPr>
              <w:pStyle w:val="TableContents"/>
              <w:spacing w:before="0" w:after="283"/>
              <w:jc w:val="left"/>
              <w:rPr>
                <w:rFonts w:ascii="helvetica" w:hAnsi="helvetica"/>
                <w:sz w:val="20"/>
              </w:rPr>
            </w:pPr>
            <w:r>
              <w:rPr>
                <w:rFonts w:ascii="helvetica" w:hAnsi="helvetica"/>
                <w:sz w:val="20"/>
              </w:rPr>
              <w:t>)</w:t>
            </w:r>
          </w:p>
        </w:tc>
        <w:tc>
          <w:tcPr>
            <w:tcW w:w="95" w:type="dxa"/>
            <w:tcBorders/>
            <w:shd w:fill="FFFFFF" w:val="clear"/>
            <w:vAlign w:val="bottom"/>
          </w:tcPr>
          <w:p>
            <w:pPr>
              <w:pStyle w:val="TableContents"/>
              <w:spacing w:before="0" w:after="283"/>
              <w:rPr/>
            </w:pPr>
            <w:r>
              <w:rPr/>
              <w:t> </w:t>
            </w:r>
          </w:p>
        </w:tc>
        <w:tc>
          <w:tcPr>
            <w:tcW w:w="124"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13" w:type="dxa"/>
            <w:tcBorders>
              <w:bottom w:val="single" w:sz="12" w:space="0" w:color="000000"/>
            </w:tcBorders>
            <w:shd w:fill="FFFF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w:t>
            </w:r>
          </w:p>
        </w:tc>
        <w:tc>
          <w:tcPr>
            <w:tcW w:w="104" w:type="dxa"/>
            <w:tcBorders/>
            <w:shd w:fill="FFFFFF" w:val="clear"/>
            <w:vAlign w:val="bottom"/>
          </w:tcPr>
          <w:p>
            <w:pPr>
              <w:pStyle w:val="TableContents"/>
              <w:spacing w:before="0" w:after="283"/>
              <w:jc w:val="left"/>
              <w:rPr/>
            </w:pPr>
            <w:r>
              <w:rPr/>
              <w:t> </w:t>
            </w:r>
          </w:p>
        </w:tc>
        <w:tc>
          <w:tcPr>
            <w:tcW w:w="95" w:type="dxa"/>
            <w:tcBorders/>
            <w:shd w:fill="FFFFFF" w:val="clear"/>
            <w:vAlign w:val="bottom"/>
          </w:tcPr>
          <w:p>
            <w:pPr>
              <w:pStyle w:val="TableContents"/>
              <w:spacing w:before="0" w:after="283"/>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90" w:type="dxa"/>
            <w:tcBorders>
              <w:bottom w:val="single" w:sz="12" w:space="0" w:color="000000"/>
            </w:tcBorders>
            <w:shd w:fill="FFFF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(300,000</w:t>
            </w:r>
          </w:p>
        </w:tc>
        <w:tc>
          <w:tcPr>
            <w:tcW w:w="124" w:type="dxa"/>
            <w:tcBorders/>
            <w:shd w:fill="FFFFFF" w:val="clear"/>
            <w:vAlign w:val="bottom"/>
          </w:tcPr>
          <w:p>
            <w:pPr>
              <w:pStyle w:val="TableContents"/>
              <w:spacing w:before="0" w:after="283"/>
              <w:jc w:val="left"/>
              <w:rPr>
                <w:rFonts w:ascii="helvetica" w:hAnsi="helvetica"/>
                <w:sz w:val="20"/>
              </w:rPr>
            </w:pPr>
            <w:r>
              <w:rPr>
                <w:rFonts w:ascii="helvetica" w:hAnsi="helvetica"/>
                <w:sz w:val="20"/>
              </w:rPr>
              <w:t>)</w:t>
            </w:r>
          </w:p>
        </w:tc>
      </w:tr>
      <w:tr>
        <w:trPr/>
        <w:tc>
          <w:tcPr>
            <w:tcW w:w="3326" w:type="dxa"/>
            <w:tcBorders/>
            <w:shd w:fill="CCEEFF" w:val="clear"/>
            <w:vAlign w:val="bottom"/>
          </w:tcPr>
          <w:p>
            <w:pPr>
              <w:pStyle w:val="TableContents"/>
              <w:spacing w:before="0" w:after="0"/>
              <w:ind w:left="0" w:right="0" w:hanging="0"/>
              <w:jc w:val="left"/>
              <w:rPr>
                <w:rFonts w:ascii="helvetica" w:hAnsi="helvetica"/>
                <w:sz w:val="20"/>
              </w:rPr>
            </w:pPr>
            <w:r>
              <w:rPr>
                <w:rFonts w:ascii="helvetica" w:hAnsi="helvetica"/>
                <w:sz w:val="20"/>
              </w:rPr>
              <w:t>Net loss attributable to common stockholders</w:t>
            </w:r>
          </w:p>
        </w:tc>
        <w:tc>
          <w:tcPr>
            <w:tcW w:w="95" w:type="dxa"/>
            <w:tcBorders/>
            <w:shd w:fill="CCEEFF" w:val="clear"/>
            <w:vAlign w:val="bottom"/>
          </w:tcPr>
          <w:p>
            <w:pPr>
              <w:pStyle w:val="TableContents"/>
              <w:spacing w:before="0" w:after="283"/>
              <w:rPr/>
            </w:pPr>
            <w:r>
              <w:rPr/>
              <w:t> </w:t>
            </w:r>
          </w:p>
        </w:tc>
        <w:tc>
          <w:tcPr>
            <w:tcW w:w="125" w:type="dxa"/>
            <w:tcBorders>
              <w:bottom w:val="double" w:sz="8" w:space="0" w:color="000000"/>
            </w:tcBorders>
            <w:shd w:fill="CCEEFF" w:val="clear"/>
            <w:tcMar>
              <w:bottom w:w="28" w:type="dxa"/>
            </w:tcMar>
            <w:vAlign w:val="bottom"/>
          </w:tcPr>
          <w:p>
            <w:pPr>
              <w:pStyle w:val="TableContents"/>
              <w:spacing w:before="0" w:after="283"/>
              <w:jc w:val="left"/>
              <w:rPr>
                <w:rFonts w:ascii="helvetica" w:hAnsi="helvetica"/>
                <w:sz w:val="20"/>
              </w:rPr>
            </w:pPr>
            <w:r>
              <w:rPr>
                <w:rFonts w:ascii="helvetica" w:hAnsi="helvetica"/>
                <w:sz w:val="20"/>
              </w:rPr>
              <w:t>$</w:t>
            </w:r>
          </w:p>
        </w:tc>
        <w:tc>
          <w:tcPr>
            <w:tcW w:w="1062" w:type="dxa"/>
            <w:tcBorders>
              <w:bottom w:val="double" w:sz="8" w:space="0" w:color="000000"/>
            </w:tcBorders>
            <w:shd w:fill="CCEE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(1,505,593</w:t>
            </w:r>
          </w:p>
        </w:tc>
        <w:tc>
          <w:tcPr>
            <w:tcW w:w="104" w:type="dxa"/>
            <w:tcBorders/>
            <w:shd w:fill="CCEEFF" w:val="clear"/>
            <w:vAlign w:val="bottom"/>
          </w:tcPr>
          <w:p>
            <w:pPr>
              <w:pStyle w:val="TableContents"/>
              <w:spacing w:before="0" w:after="283"/>
              <w:jc w:val="left"/>
              <w:rPr>
                <w:rFonts w:ascii="helvetica" w:hAnsi="helvetica"/>
                <w:sz w:val="20"/>
              </w:rPr>
            </w:pPr>
            <w:r>
              <w:rPr>
                <w:rFonts w:ascii="helvetica" w:hAnsi="helvetica"/>
                <w:sz w:val="20"/>
              </w:rPr>
              <w:t>)</w:t>
            </w:r>
          </w:p>
        </w:tc>
        <w:tc>
          <w:tcPr>
            <w:tcW w:w="95" w:type="dxa"/>
            <w:tcBorders/>
            <w:shd w:fill="CCEEFF" w:val="clear"/>
            <w:vAlign w:val="bottom"/>
          </w:tcPr>
          <w:p>
            <w:pPr>
              <w:pStyle w:val="TableContents"/>
              <w:spacing w:before="0" w:after="283"/>
              <w:rPr/>
            </w:pPr>
            <w:r>
              <w:rPr/>
              <w:t> </w:t>
            </w:r>
          </w:p>
        </w:tc>
        <w:tc>
          <w:tcPr>
            <w:tcW w:w="125" w:type="dxa"/>
            <w:tcBorders>
              <w:bottom w:val="double" w:sz="8" w:space="0" w:color="000000"/>
            </w:tcBorders>
            <w:shd w:fill="CCEEFF" w:val="clear"/>
            <w:tcMar>
              <w:bottom w:w="28" w:type="dxa"/>
            </w:tcMar>
            <w:vAlign w:val="bottom"/>
          </w:tcPr>
          <w:p>
            <w:pPr>
              <w:pStyle w:val="TableContents"/>
              <w:spacing w:before="0" w:after="283"/>
              <w:jc w:val="left"/>
              <w:rPr>
                <w:rFonts w:ascii="helvetica" w:hAnsi="helvetica"/>
                <w:sz w:val="20"/>
              </w:rPr>
            </w:pPr>
            <w:r>
              <w:rPr>
                <w:rFonts w:ascii="helvetica" w:hAnsi="helvetica"/>
                <w:sz w:val="20"/>
              </w:rPr>
              <w:t>$</w:t>
            </w:r>
          </w:p>
        </w:tc>
        <w:tc>
          <w:tcPr>
            <w:tcW w:w="1013" w:type="dxa"/>
            <w:tcBorders>
              <w:bottom w:val="double" w:sz="8" w:space="0" w:color="000000"/>
            </w:tcBorders>
            <w:shd w:fill="CCEE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(164,465</w:t>
            </w:r>
          </w:p>
        </w:tc>
        <w:tc>
          <w:tcPr>
            <w:tcW w:w="104" w:type="dxa"/>
            <w:tcBorders/>
            <w:shd w:fill="CCEEFF" w:val="clear"/>
            <w:vAlign w:val="bottom"/>
          </w:tcPr>
          <w:p>
            <w:pPr>
              <w:pStyle w:val="TableContents"/>
              <w:spacing w:before="0" w:after="283"/>
              <w:jc w:val="left"/>
              <w:rPr>
                <w:rFonts w:ascii="helvetica" w:hAnsi="helvetica"/>
                <w:sz w:val="20"/>
              </w:rPr>
            </w:pPr>
            <w:r>
              <w:rPr>
                <w:rFonts w:ascii="helvetica" w:hAnsi="helvetica"/>
                <w:sz w:val="20"/>
              </w:rPr>
              <w:t>)</w:t>
            </w:r>
          </w:p>
        </w:tc>
        <w:tc>
          <w:tcPr>
            <w:tcW w:w="95" w:type="dxa"/>
            <w:tcBorders/>
            <w:shd w:fill="CCEEFF" w:val="clear"/>
            <w:vAlign w:val="bottom"/>
          </w:tcPr>
          <w:p>
            <w:pPr>
              <w:pStyle w:val="TableContents"/>
              <w:spacing w:before="0" w:after="283"/>
              <w:rPr/>
            </w:pPr>
            <w:r>
              <w:rPr/>
              <w:t> </w:t>
            </w:r>
          </w:p>
        </w:tc>
        <w:tc>
          <w:tcPr>
            <w:tcW w:w="125" w:type="dxa"/>
            <w:tcBorders>
              <w:bottom w:val="double" w:sz="8" w:space="0" w:color="000000"/>
            </w:tcBorders>
            <w:shd w:fill="CCEEFF" w:val="clear"/>
            <w:tcMar>
              <w:bottom w:w="28" w:type="dxa"/>
            </w:tcMar>
            <w:vAlign w:val="bottom"/>
          </w:tcPr>
          <w:p>
            <w:pPr>
              <w:pStyle w:val="TableContents"/>
              <w:spacing w:before="0" w:after="283"/>
              <w:jc w:val="left"/>
              <w:rPr>
                <w:rFonts w:ascii="helvetica" w:hAnsi="helvetica"/>
                <w:sz w:val="20"/>
              </w:rPr>
            </w:pPr>
            <w:r>
              <w:rPr>
                <w:rFonts w:ascii="helvetica" w:hAnsi="helvetica"/>
                <w:sz w:val="20"/>
              </w:rPr>
              <w:t>$</w:t>
            </w:r>
          </w:p>
        </w:tc>
        <w:tc>
          <w:tcPr>
            <w:tcW w:w="1062" w:type="dxa"/>
            <w:tcBorders>
              <w:bottom w:val="double" w:sz="8" w:space="0" w:color="000000"/>
            </w:tcBorders>
            <w:shd w:fill="CCEE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(2,884,681</w:t>
            </w:r>
          </w:p>
        </w:tc>
        <w:tc>
          <w:tcPr>
            <w:tcW w:w="104" w:type="dxa"/>
            <w:tcBorders/>
            <w:shd w:fill="CCEEFF" w:val="clear"/>
            <w:vAlign w:val="bottom"/>
          </w:tcPr>
          <w:p>
            <w:pPr>
              <w:pStyle w:val="TableContents"/>
              <w:spacing w:before="0" w:after="283"/>
              <w:jc w:val="left"/>
              <w:rPr>
                <w:rFonts w:ascii="helvetica" w:hAnsi="helvetica"/>
                <w:sz w:val="20"/>
              </w:rPr>
            </w:pPr>
            <w:r>
              <w:rPr>
                <w:rFonts w:ascii="helvetica" w:hAnsi="helvetica"/>
                <w:sz w:val="20"/>
              </w:rPr>
              <w:t>)</w:t>
            </w:r>
          </w:p>
        </w:tc>
        <w:tc>
          <w:tcPr>
            <w:tcW w:w="95" w:type="dxa"/>
            <w:tcBorders/>
            <w:shd w:fill="CCEEFF" w:val="clear"/>
            <w:vAlign w:val="bottom"/>
          </w:tcPr>
          <w:p>
            <w:pPr>
              <w:pStyle w:val="TableContents"/>
              <w:spacing w:before="0" w:after="283"/>
              <w:rPr/>
            </w:pPr>
            <w:r>
              <w:rPr/>
              <w:t> </w:t>
            </w:r>
          </w:p>
        </w:tc>
        <w:tc>
          <w:tcPr>
            <w:tcW w:w="124" w:type="dxa"/>
            <w:tcBorders>
              <w:bottom w:val="double" w:sz="8" w:space="0" w:color="000000"/>
            </w:tcBorders>
            <w:shd w:fill="CCEEFF" w:val="clear"/>
            <w:tcMar>
              <w:bottom w:w="28" w:type="dxa"/>
            </w:tcMar>
            <w:vAlign w:val="bottom"/>
          </w:tcPr>
          <w:p>
            <w:pPr>
              <w:pStyle w:val="TableContents"/>
              <w:spacing w:before="0" w:after="283"/>
              <w:jc w:val="left"/>
              <w:rPr>
                <w:rFonts w:ascii="helvetica" w:hAnsi="helvetica"/>
                <w:sz w:val="20"/>
              </w:rPr>
            </w:pPr>
            <w:r>
              <w:rPr>
                <w:rFonts w:ascii="helvetica" w:hAnsi="helvetica"/>
                <w:sz w:val="20"/>
              </w:rPr>
              <w:t>$</w:t>
            </w:r>
          </w:p>
        </w:tc>
        <w:tc>
          <w:tcPr>
            <w:tcW w:w="1013" w:type="dxa"/>
            <w:tcBorders>
              <w:bottom w:val="double" w:sz="8" w:space="0" w:color="000000"/>
            </w:tcBorders>
            <w:shd w:fill="CCEE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(596,778</w:t>
            </w:r>
          </w:p>
        </w:tc>
        <w:tc>
          <w:tcPr>
            <w:tcW w:w="104" w:type="dxa"/>
            <w:tcBorders/>
            <w:shd w:fill="CCEEFF" w:val="clear"/>
            <w:vAlign w:val="bottom"/>
          </w:tcPr>
          <w:p>
            <w:pPr>
              <w:pStyle w:val="TableContents"/>
              <w:spacing w:before="0" w:after="283"/>
              <w:jc w:val="left"/>
              <w:rPr>
                <w:rFonts w:ascii="helvetica" w:hAnsi="helvetica"/>
                <w:sz w:val="20"/>
              </w:rPr>
            </w:pPr>
            <w:r>
              <w:rPr>
                <w:rFonts w:ascii="helvetica" w:hAnsi="helvetica"/>
                <w:sz w:val="20"/>
              </w:rPr>
              <w:t>)</w:t>
            </w:r>
          </w:p>
        </w:tc>
        <w:tc>
          <w:tcPr>
            <w:tcW w:w="95" w:type="dxa"/>
            <w:tcBorders/>
            <w:shd w:fill="CCEEFF" w:val="clear"/>
            <w:vAlign w:val="bottom"/>
          </w:tcPr>
          <w:p>
            <w:pPr>
              <w:pStyle w:val="TableContents"/>
              <w:spacing w:before="0" w:after="283"/>
              <w:rPr/>
            </w:pPr>
            <w:r>
              <w:rPr/>
              <w:t> </w:t>
            </w:r>
          </w:p>
        </w:tc>
        <w:tc>
          <w:tcPr>
            <w:tcW w:w="125" w:type="dxa"/>
            <w:tcBorders>
              <w:bottom w:val="double" w:sz="8" w:space="0" w:color="000000"/>
            </w:tcBorders>
            <w:shd w:fill="CCEEFF" w:val="clear"/>
            <w:tcMar>
              <w:bottom w:w="28" w:type="dxa"/>
            </w:tcMar>
            <w:vAlign w:val="bottom"/>
          </w:tcPr>
          <w:p>
            <w:pPr>
              <w:pStyle w:val="TableContents"/>
              <w:spacing w:before="0" w:after="283"/>
              <w:jc w:val="left"/>
              <w:rPr>
                <w:rFonts w:ascii="helvetica" w:hAnsi="helvetica"/>
                <w:sz w:val="20"/>
              </w:rPr>
            </w:pPr>
            <w:r>
              <w:rPr>
                <w:rFonts w:ascii="helvetica" w:hAnsi="helvetica"/>
                <w:sz w:val="20"/>
              </w:rPr>
              <w:t>$</w:t>
            </w:r>
          </w:p>
        </w:tc>
        <w:tc>
          <w:tcPr>
            <w:tcW w:w="1090" w:type="dxa"/>
            <w:tcBorders>
              <w:bottom w:val="double" w:sz="8" w:space="0" w:color="000000"/>
            </w:tcBorders>
            <w:shd w:fill="CCEE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(21,405,414</w:t>
            </w:r>
          </w:p>
        </w:tc>
        <w:tc>
          <w:tcPr>
            <w:tcW w:w="124" w:type="dxa"/>
            <w:tcBorders/>
            <w:shd w:fill="CCEEFF" w:val="clear"/>
            <w:vAlign w:val="bottom"/>
          </w:tcPr>
          <w:p>
            <w:pPr>
              <w:pStyle w:val="TableContents"/>
              <w:spacing w:before="0" w:after="283"/>
              <w:jc w:val="left"/>
              <w:rPr>
                <w:rFonts w:ascii="helvetica" w:hAnsi="helvetica"/>
                <w:sz w:val="20"/>
              </w:rPr>
            </w:pPr>
            <w:r>
              <w:rPr>
                <w:rFonts w:ascii="helvetica" w:hAnsi="helvetica"/>
                <w:sz w:val="20"/>
              </w:rPr>
              <w:t>)</w:t>
            </w:r>
          </w:p>
        </w:tc>
      </w:tr>
      <w:tr>
        <w:trPr/>
        <w:tc>
          <w:tcPr>
            <w:tcW w:w="3326" w:type="dxa"/>
            <w:tcBorders/>
            <w:shd w:fill="FFFFFF" w:val="clear"/>
            <w:vAlign w:val="bottom"/>
          </w:tcPr>
          <w:p>
            <w:pPr>
              <w:pStyle w:val="TableContents"/>
              <w:spacing w:before="0" w:after="0"/>
              <w:ind w:left="0" w:right="0" w:hanging="0"/>
              <w:jc w:val="left"/>
              <w:rPr>
                <w:rFonts w:ascii="helvetica" w:hAnsi="helvetica"/>
                <w:sz w:val="20"/>
              </w:rPr>
            </w:pPr>
            <w:r>
              <w:rPr>
                <w:rFonts w:ascii="helvetica" w:hAnsi="helvetica"/>
                <w:sz w:val="20"/>
              </w:rPr>
              <w:t>Net loss per common share, basic and diluted:</w:t>
            </w:r>
          </w:p>
        </w:tc>
        <w:tc>
          <w:tcPr>
            <w:tcW w:w="95" w:type="dxa"/>
            <w:tcBorders/>
            <w:shd w:fill="FFFFFF" w:val="clear"/>
            <w:vAlign w:val="bottom"/>
          </w:tcPr>
          <w:p>
            <w:pPr>
              <w:pStyle w:val="TableContents"/>
              <w:spacing w:before="0" w:after="283"/>
              <w:rPr/>
            </w:pPr>
            <w:r>
              <w:rPr/>
              <w:t> </w:t>
            </w:r>
          </w:p>
        </w:tc>
        <w:tc>
          <w:tcPr>
            <w:tcW w:w="125" w:type="dxa"/>
            <w:tcBorders>
              <w:bottom w:val="double" w:sz="8" w:space="0" w:color="000000"/>
            </w:tcBorders>
            <w:shd w:fill="FFFFFF" w:val="clear"/>
            <w:tcMar>
              <w:bottom w:w="28" w:type="dxa"/>
            </w:tcMar>
            <w:vAlign w:val="bottom"/>
          </w:tcPr>
          <w:p>
            <w:pPr>
              <w:pStyle w:val="TableContents"/>
              <w:spacing w:before="0" w:after="283"/>
              <w:jc w:val="left"/>
              <w:rPr>
                <w:rFonts w:ascii="helvetica" w:hAnsi="helvetica"/>
                <w:sz w:val="20"/>
              </w:rPr>
            </w:pPr>
            <w:r>
              <w:rPr>
                <w:rFonts w:ascii="helvetica" w:hAnsi="helvetica"/>
                <w:sz w:val="20"/>
              </w:rPr>
              <w:t>$</w:t>
            </w:r>
          </w:p>
        </w:tc>
        <w:tc>
          <w:tcPr>
            <w:tcW w:w="1062" w:type="dxa"/>
            <w:tcBorders>
              <w:bottom w:val="double" w:sz="8" w:space="0" w:color="000000"/>
            </w:tcBorders>
            <w:shd w:fill="FFFF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(0.08</w:t>
            </w:r>
          </w:p>
        </w:tc>
        <w:tc>
          <w:tcPr>
            <w:tcW w:w="104" w:type="dxa"/>
            <w:tcBorders/>
            <w:shd w:fill="FFFFFF" w:val="clear"/>
            <w:vAlign w:val="bottom"/>
          </w:tcPr>
          <w:p>
            <w:pPr>
              <w:pStyle w:val="TableContents"/>
              <w:spacing w:before="0" w:after="283"/>
              <w:jc w:val="left"/>
              <w:rPr>
                <w:rFonts w:ascii="helvetica" w:hAnsi="helvetica"/>
                <w:sz w:val="20"/>
              </w:rPr>
            </w:pPr>
            <w:r>
              <w:rPr>
                <w:rFonts w:ascii="helvetica" w:hAnsi="helvetica"/>
                <w:sz w:val="20"/>
              </w:rPr>
              <w:t>)</w:t>
            </w:r>
          </w:p>
        </w:tc>
        <w:tc>
          <w:tcPr>
            <w:tcW w:w="95" w:type="dxa"/>
            <w:tcBorders/>
            <w:shd w:fill="FFFFFF" w:val="clear"/>
            <w:vAlign w:val="bottom"/>
          </w:tcPr>
          <w:p>
            <w:pPr>
              <w:pStyle w:val="TableContents"/>
              <w:spacing w:before="0" w:after="283"/>
              <w:rPr/>
            </w:pPr>
            <w:r>
              <w:rPr/>
              <w:t> </w:t>
            </w:r>
          </w:p>
        </w:tc>
        <w:tc>
          <w:tcPr>
            <w:tcW w:w="125" w:type="dxa"/>
            <w:tcBorders>
              <w:bottom w:val="double" w:sz="8" w:space="0" w:color="000000"/>
            </w:tcBorders>
            <w:shd w:fill="FFFFFF" w:val="clear"/>
            <w:tcMar>
              <w:bottom w:w="28" w:type="dxa"/>
            </w:tcMar>
            <w:vAlign w:val="bottom"/>
          </w:tcPr>
          <w:p>
            <w:pPr>
              <w:pStyle w:val="TableContents"/>
              <w:spacing w:before="0" w:after="283"/>
              <w:jc w:val="left"/>
              <w:rPr>
                <w:rFonts w:ascii="helvetica" w:hAnsi="helvetica"/>
                <w:sz w:val="20"/>
              </w:rPr>
            </w:pPr>
            <w:r>
              <w:rPr>
                <w:rFonts w:ascii="helvetica" w:hAnsi="helvetica"/>
                <w:sz w:val="20"/>
              </w:rPr>
              <w:t>$</w:t>
            </w:r>
          </w:p>
        </w:tc>
        <w:tc>
          <w:tcPr>
            <w:tcW w:w="1013" w:type="dxa"/>
            <w:tcBorders>
              <w:bottom w:val="double" w:sz="8" w:space="0" w:color="000000"/>
            </w:tcBorders>
            <w:shd w:fill="FFFF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(0.08</w:t>
            </w:r>
          </w:p>
        </w:tc>
        <w:tc>
          <w:tcPr>
            <w:tcW w:w="104" w:type="dxa"/>
            <w:tcBorders/>
            <w:shd w:fill="FFFFFF" w:val="clear"/>
            <w:vAlign w:val="bottom"/>
          </w:tcPr>
          <w:p>
            <w:pPr>
              <w:pStyle w:val="TableContents"/>
              <w:spacing w:before="0" w:after="283"/>
              <w:jc w:val="left"/>
              <w:rPr>
                <w:rFonts w:ascii="helvetica" w:hAnsi="helvetica"/>
                <w:sz w:val="20"/>
              </w:rPr>
            </w:pPr>
            <w:r>
              <w:rPr>
                <w:rFonts w:ascii="helvetica" w:hAnsi="helvetica"/>
                <w:sz w:val="20"/>
              </w:rPr>
              <w:t>)</w:t>
            </w:r>
          </w:p>
        </w:tc>
        <w:tc>
          <w:tcPr>
            <w:tcW w:w="95" w:type="dxa"/>
            <w:tcBorders/>
            <w:shd w:fill="FFFFFF" w:val="clear"/>
            <w:vAlign w:val="bottom"/>
          </w:tcPr>
          <w:p>
            <w:pPr>
              <w:pStyle w:val="TableContents"/>
              <w:spacing w:before="0" w:after="283"/>
              <w:rPr/>
            </w:pPr>
            <w:r>
              <w:rPr/>
              <w:t> </w:t>
            </w:r>
          </w:p>
        </w:tc>
        <w:tc>
          <w:tcPr>
            <w:tcW w:w="125" w:type="dxa"/>
            <w:tcBorders>
              <w:bottom w:val="double" w:sz="8" w:space="0" w:color="000000"/>
            </w:tcBorders>
            <w:shd w:fill="FFFFFF" w:val="clear"/>
            <w:tcMar>
              <w:bottom w:w="28" w:type="dxa"/>
            </w:tcMar>
            <w:vAlign w:val="bottom"/>
          </w:tcPr>
          <w:p>
            <w:pPr>
              <w:pStyle w:val="TableContents"/>
              <w:spacing w:before="0" w:after="283"/>
              <w:jc w:val="left"/>
              <w:rPr>
                <w:rFonts w:ascii="helvetica" w:hAnsi="helvetica"/>
                <w:sz w:val="20"/>
              </w:rPr>
            </w:pPr>
            <w:r>
              <w:rPr>
                <w:rFonts w:ascii="helvetica" w:hAnsi="helvetica"/>
                <w:sz w:val="20"/>
              </w:rPr>
              <w:t>$</w:t>
            </w:r>
          </w:p>
        </w:tc>
        <w:tc>
          <w:tcPr>
            <w:tcW w:w="1062" w:type="dxa"/>
            <w:tcBorders>
              <w:bottom w:val="double" w:sz="8" w:space="0" w:color="000000"/>
            </w:tcBorders>
            <w:shd w:fill="FFFF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(0.23</w:t>
            </w:r>
          </w:p>
        </w:tc>
        <w:tc>
          <w:tcPr>
            <w:tcW w:w="104" w:type="dxa"/>
            <w:tcBorders/>
            <w:shd w:fill="FFFFFF" w:val="clear"/>
            <w:vAlign w:val="bottom"/>
          </w:tcPr>
          <w:p>
            <w:pPr>
              <w:pStyle w:val="TableContents"/>
              <w:spacing w:before="0" w:after="283"/>
              <w:jc w:val="left"/>
              <w:rPr>
                <w:rFonts w:ascii="helvetica" w:hAnsi="helvetica"/>
                <w:sz w:val="20"/>
              </w:rPr>
            </w:pPr>
            <w:r>
              <w:rPr>
                <w:rFonts w:ascii="helvetica" w:hAnsi="helvetica"/>
                <w:sz w:val="20"/>
              </w:rPr>
              <w:t>)</w:t>
            </w:r>
          </w:p>
        </w:tc>
        <w:tc>
          <w:tcPr>
            <w:tcW w:w="95" w:type="dxa"/>
            <w:tcBorders/>
            <w:shd w:fill="FFFFFF" w:val="clear"/>
            <w:vAlign w:val="bottom"/>
          </w:tcPr>
          <w:p>
            <w:pPr>
              <w:pStyle w:val="TableContents"/>
              <w:spacing w:before="0" w:after="283"/>
              <w:rPr/>
            </w:pPr>
            <w:r>
              <w:rPr/>
              <w:t> </w:t>
            </w:r>
          </w:p>
        </w:tc>
        <w:tc>
          <w:tcPr>
            <w:tcW w:w="124" w:type="dxa"/>
            <w:tcBorders>
              <w:bottom w:val="double" w:sz="8" w:space="0" w:color="000000"/>
            </w:tcBorders>
            <w:shd w:fill="FFFFFF" w:val="clear"/>
            <w:tcMar>
              <w:bottom w:w="28" w:type="dxa"/>
            </w:tcMar>
            <w:vAlign w:val="bottom"/>
          </w:tcPr>
          <w:p>
            <w:pPr>
              <w:pStyle w:val="TableContents"/>
              <w:spacing w:before="0" w:after="283"/>
              <w:jc w:val="left"/>
              <w:rPr>
                <w:rFonts w:ascii="helvetica" w:hAnsi="helvetica"/>
                <w:sz w:val="20"/>
              </w:rPr>
            </w:pPr>
            <w:r>
              <w:rPr>
                <w:rFonts w:ascii="helvetica" w:hAnsi="helvetica"/>
                <w:sz w:val="20"/>
              </w:rPr>
              <w:t>$</w:t>
            </w:r>
          </w:p>
        </w:tc>
        <w:tc>
          <w:tcPr>
            <w:tcW w:w="1013" w:type="dxa"/>
            <w:tcBorders>
              <w:bottom w:val="double" w:sz="8" w:space="0" w:color="000000"/>
            </w:tcBorders>
            <w:shd w:fill="FFFF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(0.30</w:t>
            </w:r>
          </w:p>
        </w:tc>
        <w:tc>
          <w:tcPr>
            <w:tcW w:w="104" w:type="dxa"/>
            <w:tcBorders/>
            <w:shd w:fill="FFFFFF" w:val="clear"/>
            <w:vAlign w:val="bottom"/>
          </w:tcPr>
          <w:p>
            <w:pPr>
              <w:pStyle w:val="TableContents"/>
              <w:spacing w:before="0" w:after="283"/>
              <w:jc w:val="left"/>
              <w:rPr>
                <w:rFonts w:ascii="helvetica" w:hAnsi="helvetica"/>
                <w:sz w:val="20"/>
              </w:rPr>
            </w:pPr>
            <w:r>
              <w:rPr>
                <w:rFonts w:ascii="helvetica" w:hAnsi="helvetica"/>
                <w:sz w:val="20"/>
              </w:rPr>
              <w:t>)</w:t>
            </w:r>
          </w:p>
        </w:tc>
        <w:tc>
          <w:tcPr>
            <w:tcW w:w="95"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90" w:type="dxa"/>
            <w:tcBorders/>
            <w:shd w:fill="FFFFFF" w:val="clear"/>
            <w:vAlign w:val="bottom"/>
          </w:tcPr>
          <w:p>
            <w:pPr>
              <w:pStyle w:val="TableContents"/>
              <w:spacing w:before="0" w:after="283"/>
              <w:jc w:val="right"/>
              <w:rPr/>
            </w:pPr>
            <w:r>
              <w:rPr/>
              <w:t> </w:t>
            </w:r>
          </w:p>
        </w:tc>
        <w:tc>
          <w:tcPr>
            <w:tcW w:w="124" w:type="dxa"/>
            <w:tcBorders/>
            <w:shd w:fill="FFFFFF" w:val="clear"/>
            <w:vAlign w:val="bottom"/>
          </w:tcPr>
          <w:p>
            <w:pPr>
              <w:pStyle w:val="TableContents"/>
              <w:spacing w:before="0" w:after="283"/>
              <w:jc w:val="left"/>
              <w:rPr/>
            </w:pPr>
            <w:r>
              <w:rPr/>
              <w:t> </w:t>
            </w:r>
          </w:p>
        </w:tc>
      </w:tr>
      <w:tr>
        <w:trPr/>
        <w:tc>
          <w:tcPr>
            <w:tcW w:w="3326" w:type="dxa"/>
            <w:tcBorders/>
            <w:shd w:fill="CCEEFF" w:val="clear"/>
            <w:vAlign w:val="bottom"/>
          </w:tcPr>
          <w:p>
            <w:pPr>
              <w:pStyle w:val="TableContents"/>
              <w:spacing w:before="0" w:after="0"/>
              <w:ind w:left="0" w:right="0" w:hanging="0"/>
              <w:jc w:val="left"/>
              <w:rPr>
                <w:rFonts w:ascii="helvetica" w:hAnsi="helvetica"/>
                <w:sz w:val="20"/>
              </w:rPr>
            </w:pPr>
            <w:r>
              <w:rPr>
                <w:rFonts w:ascii="helvetica" w:hAnsi="helvetica"/>
                <w:sz w:val="20"/>
              </w:rPr>
              <w:t>Weighted average common shares outstanding,</w:t>
            </w:r>
          </w:p>
        </w:tc>
        <w:tc>
          <w:tcPr>
            <w:tcW w:w="9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62" w:type="dxa"/>
            <w:tcBorders/>
            <w:shd w:fill="CCEEFF" w:val="clear"/>
            <w:vAlign w:val="bottom"/>
          </w:tcPr>
          <w:p>
            <w:pPr>
              <w:pStyle w:val="TableContents"/>
              <w:spacing w:before="0" w:after="283"/>
              <w:jc w:val="right"/>
              <w:rPr/>
            </w:pPr>
            <w:r>
              <w:rPr/>
              <w:t> </w:t>
            </w:r>
          </w:p>
        </w:tc>
        <w:tc>
          <w:tcPr>
            <w:tcW w:w="104" w:type="dxa"/>
            <w:tcBorders/>
            <w:shd w:fill="CCEEFF" w:val="clear"/>
            <w:vAlign w:val="bottom"/>
          </w:tcPr>
          <w:p>
            <w:pPr>
              <w:pStyle w:val="TableContents"/>
              <w:spacing w:before="0" w:after="283"/>
              <w:jc w:val="left"/>
              <w:rPr/>
            </w:pPr>
            <w:r>
              <w:rPr/>
              <w:t> </w:t>
            </w:r>
          </w:p>
        </w:tc>
        <w:tc>
          <w:tcPr>
            <w:tcW w:w="9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13" w:type="dxa"/>
            <w:tcBorders/>
            <w:shd w:fill="CCEEFF" w:val="clear"/>
            <w:vAlign w:val="bottom"/>
          </w:tcPr>
          <w:p>
            <w:pPr>
              <w:pStyle w:val="TableContents"/>
              <w:spacing w:before="0" w:after="283"/>
              <w:jc w:val="right"/>
              <w:rPr/>
            </w:pPr>
            <w:r>
              <w:rPr/>
              <w:t> </w:t>
            </w:r>
          </w:p>
        </w:tc>
        <w:tc>
          <w:tcPr>
            <w:tcW w:w="104" w:type="dxa"/>
            <w:tcBorders/>
            <w:shd w:fill="CCEEFF" w:val="clear"/>
            <w:vAlign w:val="bottom"/>
          </w:tcPr>
          <w:p>
            <w:pPr>
              <w:pStyle w:val="TableContents"/>
              <w:spacing w:before="0" w:after="283"/>
              <w:jc w:val="left"/>
              <w:rPr/>
            </w:pPr>
            <w:r>
              <w:rPr/>
              <w:t> </w:t>
            </w:r>
          </w:p>
        </w:tc>
        <w:tc>
          <w:tcPr>
            <w:tcW w:w="9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62" w:type="dxa"/>
            <w:tcBorders/>
            <w:shd w:fill="CCEEFF" w:val="clear"/>
            <w:vAlign w:val="bottom"/>
          </w:tcPr>
          <w:p>
            <w:pPr>
              <w:pStyle w:val="TableContents"/>
              <w:spacing w:before="0" w:after="283"/>
              <w:jc w:val="right"/>
              <w:rPr/>
            </w:pPr>
            <w:r>
              <w:rPr/>
              <w:t> </w:t>
            </w:r>
          </w:p>
        </w:tc>
        <w:tc>
          <w:tcPr>
            <w:tcW w:w="104" w:type="dxa"/>
            <w:tcBorders/>
            <w:shd w:fill="CCEEFF" w:val="clear"/>
            <w:vAlign w:val="bottom"/>
          </w:tcPr>
          <w:p>
            <w:pPr>
              <w:pStyle w:val="TableContents"/>
              <w:spacing w:before="0" w:after="283"/>
              <w:jc w:val="left"/>
              <w:rPr/>
            </w:pPr>
            <w:r>
              <w:rPr/>
              <w:t> </w:t>
            </w:r>
          </w:p>
        </w:tc>
        <w:tc>
          <w:tcPr>
            <w:tcW w:w="95"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jc w:val="left"/>
              <w:rPr/>
            </w:pPr>
            <w:r>
              <w:rPr/>
              <w:t> </w:t>
            </w:r>
          </w:p>
        </w:tc>
        <w:tc>
          <w:tcPr>
            <w:tcW w:w="1013" w:type="dxa"/>
            <w:tcBorders/>
            <w:shd w:fill="CCEEFF" w:val="clear"/>
            <w:vAlign w:val="bottom"/>
          </w:tcPr>
          <w:p>
            <w:pPr>
              <w:pStyle w:val="TableContents"/>
              <w:spacing w:before="0" w:after="283"/>
              <w:jc w:val="right"/>
              <w:rPr/>
            </w:pPr>
            <w:r>
              <w:rPr/>
              <w:t> </w:t>
            </w:r>
          </w:p>
        </w:tc>
        <w:tc>
          <w:tcPr>
            <w:tcW w:w="104" w:type="dxa"/>
            <w:tcBorders/>
            <w:shd w:fill="CCEEFF" w:val="clear"/>
            <w:vAlign w:val="bottom"/>
          </w:tcPr>
          <w:p>
            <w:pPr>
              <w:pStyle w:val="TableContents"/>
              <w:spacing w:before="0" w:after="283"/>
              <w:jc w:val="left"/>
              <w:rPr/>
            </w:pPr>
            <w:r>
              <w:rPr/>
              <w:t> </w:t>
            </w:r>
          </w:p>
        </w:tc>
        <w:tc>
          <w:tcPr>
            <w:tcW w:w="9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90" w:type="dxa"/>
            <w:tcBorders/>
            <w:shd w:fill="CCEEFF" w:val="clear"/>
            <w:vAlign w:val="bottom"/>
          </w:tcPr>
          <w:p>
            <w:pPr>
              <w:pStyle w:val="TableContents"/>
              <w:spacing w:before="0" w:after="283"/>
              <w:jc w:val="right"/>
              <w:rPr/>
            </w:pPr>
            <w:r>
              <w:rPr/>
              <w:t> </w:t>
            </w:r>
          </w:p>
        </w:tc>
        <w:tc>
          <w:tcPr>
            <w:tcW w:w="124" w:type="dxa"/>
            <w:tcBorders/>
            <w:shd w:fill="CCEEFF" w:val="clear"/>
            <w:vAlign w:val="bottom"/>
          </w:tcPr>
          <w:p>
            <w:pPr>
              <w:pStyle w:val="TableContents"/>
              <w:spacing w:before="0" w:after="283"/>
              <w:jc w:val="left"/>
              <w:rPr/>
            </w:pPr>
            <w:r>
              <w:rPr/>
              <w:t> </w:t>
            </w:r>
          </w:p>
        </w:tc>
      </w:tr>
      <w:tr>
        <w:trPr/>
        <w:tc>
          <w:tcPr>
            <w:tcW w:w="3326" w:type="dxa"/>
            <w:tcBorders/>
            <w:shd w:fill="FFFFFF" w:val="clear"/>
            <w:vAlign w:val="bottom"/>
          </w:tcPr>
          <w:p>
            <w:pPr>
              <w:pStyle w:val="TableContents"/>
              <w:spacing w:before="0" w:after="0"/>
              <w:ind w:left="0" w:right="0" w:hanging="0"/>
              <w:jc w:val="left"/>
              <w:rPr>
                <w:rFonts w:ascii="helvetica" w:hAnsi="helvetica"/>
                <w:sz w:val="20"/>
              </w:rPr>
            </w:pPr>
            <w:r>
              <w:rPr>
                <w:rFonts w:ascii="helvetica" w:hAnsi="helvetica"/>
                <w:sz w:val="20"/>
              </w:rPr>
              <w:t>basic and diluted</w:t>
            </w:r>
          </w:p>
        </w:tc>
        <w:tc>
          <w:tcPr>
            <w:tcW w:w="95"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62"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19,372,768</w:t>
            </w:r>
          </w:p>
        </w:tc>
        <w:tc>
          <w:tcPr>
            <w:tcW w:w="104" w:type="dxa"/>
            <w:tcBorders/>
            <w:shd w:fill="FFFFFF" w:val="clear"/>
            <w:vAlign w:val="bottom"/>
          </w:tcPr>
          <w:p>
            <w:pPr>
              <w:pStyle w:val="TableContents"/>
              <w:spacing w:before="0" w:after="283"/>
              <w:jc w:val="left"/>
              <w:rPr/>
            </w:pPr>
            <w:r>
              <w:rPr/>
              <w:t> </w:t>
            </w:r>
          </w:p>
        </w:tc>
        <w:tc>
          <w:tcPr>
            <w:tcW w:w="95"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13"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1,989,404</w:t>
            </w:r>
          </w:p>
        </w:tc>
        <w:tc>
          <w:tcPr>
            <w:tcW w:w="104" w:type="dxa"/>
            <w:tcBorders/>
            <w:shd w:fill="FFFFFF" w:val="clear"/>
            <w:vAlign w:val="bottom"/>
          </w:tcPr>
          <w:p>
            <w:pPr>
              <w:pStyle w:val="TableContents"/>
              <w:spacing w:before="0" w:after="283"/>
              <w:jc w:val="left"/>
              <w:rPr/>
            </w:pPr>
            <w:r>
              <w:rPr/>
              <w:t> </w:t>
            </w:r>
          </w:p>
        </w:tc>
        <w:tc>
          <w:tcPr>
            <w:tcW w:w="95"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62"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12,345,855</w:t>
            </w:r>
          </w:p>
        </w:tc>
        <w:tc>
          <w:tcPr>
            <w:tcW w:w="104" w:type="dxa"/>
            <w:tcBorders/>
            <w:shd w:fill="FFFFFF" w:val="clear"/>
            <w:vAlign w:val="bottom"/>
          </w:tcPr>
          <w:p>
            <w:pPr>
              <w:pStyle w:val="TableContents"/>
              <w:spacing w:before="0" w:after="283"/>
              <w:jc w:val="left"/>
              <w:rPr/>
            </w:pPr>
            <w:r>
              <w:rPr/>
              <w:t> </w:t>
            </w:r>
          </w:p>
        </w:tc>
        <w:tc>
          <w:tcPr>
            <w:tcW w:w="95" w:type="dxa"/>
            <w:tcBorders/>
            <w:shd w:fill="FFFFFF" w:val="clear"/>
            <w:vAlign w:val="bottom"/>
          </w:tcPr>
          <w:p>
            <w:pPr>
              <w:pStyle w:val="TableContents"/>
              <w:spacing w:before="0" w:after="283"/>
              <w:rPr/>
            </w:pPr>
            <w:r>
              <w:rPr/>
              <w:t> </w:t>
            </w:r>
          </w:p>
        </w:tc>
        <w:tc>
          <w:tcPr>
            <w:tcW w:w="124" w:type="dxa"/>
            <w:tcBorders/>
            <w:shd w:fill="FFFFFF" w:val="clear"/>
            <w:vAlign w:val="bottom"/>
          </w:tcPr>
          <w:p>
            <w:pPr>
              <w:pStyle w:val="TableContents"/>
              <w:spacing w:before="0" w:after="283"/>
              <w:jc w:val="left"/>
              <w:rPr/>
            </w:pPr>
            <w:r>
              <w:rPr/>
              <w:t> </w:t>
            </w:r>
          </w:p>
        </w:tc>
        <w:tc>
          <w:tcPr>
            <w:tcW w:w="1013"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1,990,450</w:t>
            </w:r>
          </w:p>
        </w:tc>
        <w:tc>
          <w:tcPr>
            <w:tcW w:w="104" w:type="dxa"/>
            <w:tcBorders/>
            <w:shd w:fill="FFFFFF" w:val="clear"/>
            <w:vAlign w:val="bottom"/>
          </w:tcPr>
          <w:p>
            <w:pPr>
              <w:pStyle w:val="TableContents"/>
              <w:spacing w:before="0" w:after="283"/>
              <w:jc w:val="left"/>
              <w:rPr/>
            </w:pPr>
            <w:r>
              <w:rPr/>
              <w:t> </w:t>
            </w:r>
          </w:p>
        </w:tc>
        <w:tc>
          <w:tcPr>
            <w:tcW w:w="95"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90" w:type="dxa"/>
            <w:tcBorders/>
            <w:shd w:fill="FFFFFF" w:val="clear"/>
            <w:vAlign w:val="bottom"/>
          </w:tcPr>
          <w:p>
            <w:pPr>
              <w:pStyle w:val="TableContents"/>
              <w:spacing w:before="0" w:after="283"/>
              <w:jc w:val="right"/>
              <w:rPr/>
            </w:pPr>
            <w:r>
              <w:rPr/>
              <w:t> </w:t>
            </w:r>
          </w:p>
        </w:tc>
        <w:tc>
          <w:tcPr>
            <w:tcW w:w="124" w:type="dxa"/>
            <w:tcBorders/>
            <w:shd w:fill="FFFFFF" w:val="clear"/>
            <w:vAlign w:val="bottom"/>
          </w:tcPr>
          <w:p>
            <w:pPr>
              <w:pStyle w:val="TableContents"/>
              <w:spacing w:before="0" w:after="283"/>
              <w:jc w:val="left"/>
              <w:rPr/>
            </w:pPr>
            <w:r>
              <w:rPr/>
              <w:t> </w:t>
            </w:r>
          </w:p>
        </w:tc>
      </w:tr>
    </w:tbl>
    <w:p>
      <w:pPr>
        <w:pStyle w:val="TextBody"/>
        <w:spacing w:before="0" w:after="0"/>
        <w:jc w:val="left"/>
        <w:rPr/>
      </w:pPr>
      <w:r>
        <w:rPr/>
        <w:t> </w:t>
      </w:r>
    </w:p>
    <w:p>
      <w:pPr>
        <w:pStyle w:val="TextBody"/>
        <w:spacing w:before="0" w:after="0"/>
        <w:ind w:left="0" w:right="0" w:hanging="0"/>
        <w:jc w:val="center"/>
        <w:rPr>
          <w:rFonts w:ascii="helvetica" w:hAnsi="helvetica"/>
          <w:sz w:val="20"/>
        </w:rPr>
      </w:pPr>
      <w:r>
        <w:rPr>
          <w:rFonts w:ascii="helvetica" w:hAnsi="helvetica"/>
          <w:sz w:val="20"/>
        </w:rPr>
        <w:t>The accompanying notes are an integral part of these unaudited condensed consolidated financial statements</w:t>
      </w:r>
    </w:p>
    <w:p>
      <w:pPr>
        <w:pStyle w:val="TextBody"/>
        <w:spacing w:before="0" w:after="0"/>
        <w:ind w:left="0" w:right="0" w:hanging="0"/>
        <w:jc w:val="center"/>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918" w:name="PGBRK74"/>
      <w:bookmarkStart w:id="919" w:name="PGBRK74"/>
      <w:bookmarkEnd w:id="91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920" w:name="FTR74"/>
      <w:bookmarkStart w:id="921" w:name="FTR74"/>
      <w:bookmarkEnd w:id="92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922" w:name="GLFTR73"/>
      <w:bookmarkEnd w:id="922"/>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helvetica" w:hAnsi="helvetica"/>
          <w:sz w:val="20"/>
        </w:rPr>
      </w:pPr>
      <w:bookmarkStart w:id="923" w:name="PN73"/>
      <w:bookmarkEnd w:id="923"/>
      <w:r>
        <w:rPr>
          <w:rFonts w:ascii="helvetica" w:hAnsi="helvetica"/>
          <w:sz w:val="20"/>
        </w:rPr>
        <w:t>F-3</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924" w:name="HDR73"/>
      <w:bookmarkStart w:id="925" w:name="HDR73"/>
      <w:bookmarkEnd w:id="92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926" w:name="GLHDR73"/>
      <w:bookmarkEnd w:id="926"/>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t> </w:t>
      </w:r>
    </w:p>
    <w:p>
      <w:pPr>
        <w:pStyle w:val="TextBody"/>
        <w:spacing w:before="0" w:after="0"/>
        <w:ind w:left="0" w:right="0" w:hanging="0"/>
        <w:jc w:val="center"/>
        <w:rPr>
          <w:rFonts w:ascii="helvetica" w:hAnsi="helvetica"/>
          <w:b/>
          <w:sz w:val="20"/>
        </w:rPr>
      </w:pPr>
      <w:r>
        <w:rPr>
          <w:rFonts w:ascii="helvetica" w:hAnsi="helvetica"/>
          <w:b/>
          <w:sz w:val="20"/>
        </w:rPr>
        <w:t>IMPRIMIS PHARMACEUTICALS, INC.</w:t>
      </w:r>
    </w:p>
    <w:p>
      <w:pPr>
        <w:pStyle w:val="TextBody"/>
        <w:spacing w:before="0" w:after="0"/>
        <w:ind w:left="0" w:right="0" w:hanging="0"/>
        <w:jc w:val="center"/>
        <w:rPr>
          <w:rFonts w:ascii="helvetica" w:hAnsi="helvetica"/>
          <w:b/>
          <w:sz w:val="20"/>
        </w:rPr>
      </w:pPr>
      <w:r>
        <w:rPr>
          <w:rFonts w:ascii="helvetica" w:hAnsi="helvetica"/>
          <w:b/>
          <w:sz w:val="20"/>
        </w:rPr>
        <w:t>(A Development Stage Company)</w:t>
      </w:r>
    </w:p>
    <w:p>
      <w:pPr>
        <w:pStyle w:val="TextBody"/>
        <w:spacing w:before="0" w:after="0"/>
        <w:ind w:left="0" w:right="0" w:hanging="0"/>
        <w:jc w:val="center"/>
        <w:rPr>
          <w:rFonts w:ascii="helvetica" w:hAnsi="helvetica"/>
          <w:b/>
          <w:sz w:val="20"/>
        </w:rPr>
      </w:pPr>
      <w:r>
        <w:rPr>
          <w:rFonts w:ascii="helvetica" w:hAnsi="helvetica"/>
          <w:b/>
          <w:sz w:val="20"/>
        </w:rPr>
        <w:t>UNAUDITED CONDENSED CONSOLIDATED STATEMENTS OF CASH FLOWS</w:t>
      </w:r>
    </w:p>
    <w:p>
      <w:pPr>
        <w:pStyle w:val="TextBody"/>
        <w:spacing w:before="0" w:after="0"/>
        <w:ind w:left="0" w:right="0" w:hanging="0"/>
        <w:jc w:val="center"/>
        <w:rPr/>
      </w:pPr>
      <w:r>
        <w:rPr/>
        <w:t> </w:t>
      </w:r>
    </w:p>
    <w:tbl>
      <w:tblPr>
        <w:tblW w:w="5000" w:type="pct"/>
        <w:jc w:val="left"/>
        <w:tblInd w:w="0" w:type="dxa"/>
        <w:tblCellMar>
          <w:top w:w="0" w:type="dxa"/>
          <w:left w:w="0" w:type="dxa"/>
          <w:bottom w:w="0" w:type="dxa"/>
          <w:right w:w="0" w:type="dxa"/>
        </w:tblCellMar>
      </w:tblPr>
      <w:tblGrid>
        <w:gridCol w:w="5987"/>
        <w:gridCol w:w="104"/>
        <w:gridCol w:w="125"/>
        <w:gridCol w:w="1069"/>
        <w:gridCol w:w="110"/>
        <w:gridCol w:w="104"/>
        <w:gridCol w:w="125"/>
        <w:gridCol w:w="1017"/>
        <w:gridCol w:w="110"/>
        <w:gridCol w:w="104"/>
        <w:gridCol w:w="124"/>
        <w:gridCol w:w="1102"/>
        <w:gridCol w:w="124"/>
      </w:tblGrid>
      <w:tr>
        <w:trPr/>
        <w:tc>
          <w:tcPr>
            <w:tcW w:w="5987" w:type="dxa"/>
            <w:tcBorders/>
            <w:shd w:fill="auto" w:val="clear"/>
            <w:vAlign w:val="bottom"/>
          </w:tcPr>
          <w:p>
            <w:pPr>
              <w:pStyle w:val="TableContents"/>
              <w:spacing w:before="0" w:after="283"/>
              <w:rPr/>
            </w:pPr>
            <w:r>
              <w:rPr/>
              <w:t xml:space="preserve">  </w:t>
            </w:r>
          </w:p>
        </w:tc>
        <w:tc>
          <w:tcPr>
            <w:tcW w:w="104" w:type="dxa"/>
            <w:tcBorders/>
            <w:shd w:fill="auto" w:val="clear"/>
            <w:vAlign w:val="bottom"/>
          </w:tcPr>
          <w:p>
            <w:pPr>
              <w:pStyle w:val="TableContents"/>
              <w:spacing w:before="0" w:after="283"/>
              <w:rPr/>
            </w:pPr>
            <w:r>
              <w:rPr/>
              <w:t> </w:t>
            </w:r>
          </w:p>
        </w:tc>
        <w:tc>
          <w:tcPr>
            <w:tcW w:w="1194" w:type="dxa"/>
            <w:gridSpan w:val="2"/>
            <w:tcBorders/>
            <w:shd w:fill="auto" w:val="clear"/>
            <w:vAlign w:val="bottom"/>
          </w:tcPr>
          <w:p>
            <w:pPr>
              <w:pStyle w:val="TableContents"/>
              <w:spacing w:before="0" w:after="0"/>
              <w:ind w:left="0" w:right="0" w:hanging="0"/>
              <w:jc w:val="center"/>
              <w:rPr>
                <w:rFonts w:ascii="helvetica" w:hAnsi="helvetica"/>
                <w:b/>
                <w:sz w:val="16"/>
              </w:rPr>
            </w:pPr>
            <w:r>
              <w:rPr>
                <w:rFonts w:ascii="helvetica" w:hAnsi="helvetica"/>
                <w:b/>
                <w:sz w:val="16"/>
              </w:rPr>
              <w:t>For The</w:t>
            </w:r>
          </w:p>
        </w:tc>
        <w:tc>
          <w:tcPr>
            <w:tcW w:w="110" w:type="dxa"/>
            <w:tcBorders/>
            <w:shd w:fill="auto" w:val="clear"/>
            <w:vAlign w:val="bottom"/>
          </w:tcPr>
          <w:p>
            <w:pPr>
              <w:pStyle w:val="TableContents"/>
              <w:spacing w:before="0" w:after="283"/>
              <w:jc w:val="left"/>
              <w:rPr/>
            </w:pPr>
            <w:r>
              <w:rPr/>
              <w:t> </w:t>
            </w:r>
          </w:p>
        </w:tc>
        <w:tc>
          <w:tcPr>
            <w:tcW w:w="104" w:type="dxa"/>
            <w:tcBorders/>
            <w:shd w:fill="auto" w:val="clear"/>
            <w:vAlign w:val="bottom"/>
          </w:tcPr>
          <w:p>
            <w:pPr>
              <w:pStyle w:val="TableContents"/>
              <w:spacing w:before="0" w:after="283"/>
              <w:rPr/>
            </w:pPr>
            <w:r>
              <w:rPr/>
              <w:t> </w:t>
            </w:r>
          </w:p>
        </w:tc>
        <w:tc>
          <w:tcPr>
            <w:tcW w:w="1142" w:type="dxa"/>
            <w:gridSpan w:val="2"/>
            <w:tcBorders/>
            <w:shd w:fill="auto" w:val="clear"/>
            <w:vAlign w:val="bottom"/>
          </w:tcPr>
          <w:p>
            <w:pPr>
              <w:pStyle w:val="TableContents"/>
              <w:spacing w:before="0" w:after="0"/>
              <w:ind w:left="0" w:right="0" w:hanging="0"/>
              <w:jc w:val="center"/>
              <w:rPr>
                <w:rFonts w:ascii="helvetica" w:hAnsi="helvetica"/>
                <w:b/>
                <w:sz w:val="16"/>
              </w:rPr>
            </w:pPr>
            <w:r>
              <w:rPr>
                <w:rFonts w:ascii="helvetica" w:hAnsi="helvetica"/>
                <w:b/>
                <w:sz w:val="16"/>
              </w:rPr>
              <w:t>For The</w:t>
            </w:r>
          </w:p>
        </w:tc>
        <w:tc>
          <w:tcPr>
            <w:tcW w:w="110" w:type="dxa"/>
            <w:tcBorders/>
            <w:shd w:fill="auto" w:val="clear"/>
            <w:vAlign w:val="bottom"/>
          </w:tcPr>
          <w:p>
            <w:pPr>
              <w:pStyle w:val="TableContents"/>
              <w:spacing w:before="0" w:after="283"/>
              <w:jc w:val="left"/>
              <w:rPr/>
            </w:pPr>
            <w:r>
              <w:rPr/>
              <w:t> </w:t>
            </w:r>
          </w:p>
        </w:tc>
        <w:tc>
          <w:tcPr>
            <w:tcW w:w="104" w:type="dxa"/>
            <w:tcBorders/>
            <w:shd w:fill="auto" w:val="clear"/>
            <w:vAlign w:val="bottom"/>
          </w:tcPr>
          <w:p>
            <w:pPr>
              <w:pStyle w:val="TableContents"/>
              <w:spacing w:before="0" w:after="283"/>
              <w:rPr/>
            </w:pPr>
            <w:r>
              <w:rPr/>
              <w:t> </w:t>
            </w:r>
          </w:p>
        </w:tc>
        <w:tc>
          <w:tcPr>
            <w:tcW w:w="1226" w:type="dxa"/>
            <w:gridSpan w:val="2"/>
            <w:tcBorders/>
            <w:shd w:fill="auto" w:val="clear"/>
            <w:vAlign w:val="bottom"/>
          </w:tcPr>
          <w:p>
            <w:pPr>
              <w:pStyle w:val="TableContents"/>
              <w:spacing w:before="0" w:after="0"/>
              <w:ind w:left="0" w:right="0" w:hanging="0"/>
              <w:jc w:val="center"/>
              <w:rPr>
                <w:rFonts w:ascii="helvetica" w:hAnsi="helvetica"/>
                <w:b/>
                <w:sz w:val="16"/>
              </w:rPr>
            </w:pPr>
            <w:r>
              <w:rPr>
                <w:rFonts w:ascii="helvetica" w:hAnsi="helvetica"/>
                <w:b/>
                <w:sz w:val="16"/>
              </w:rPr>
              <w:t>For the Period From</w:t>
            </w:r>
          </w:p>
        </w:tc>
        <w:tc>
          <w:tcPr>
            <w:tcW w:w="124" w:type="dxa"/>
            <w:tcBorders/>
            <w:shd w:fill="auto" w:val="clear"/>
            <w:vAlign w:val="bottom"/>
          </w:tcPr>
          <w:p>
            <w:pPr>
              <w:pStyle w:val="TableContents"/>
              <w:spacing w:before="0" w:after="283"/>
              <w:jc w:val="left"/>
              <w:rPr/>
            </w:pPr>
            <w:r>
              <w:rPr/>
              <w:t> </w:t>
            </w:r>
          </w:p>
        </w:tc>
      </w:tr>
      <w:tr>
        <w:trPr/>
        <w:tc>
          <w:tcPr>
            <w:tcW w:w="5987" w:type="dxa"/>
            <w:tcBorders/>
            <w:shd w:fill="auto" w:val="clear"/>
            <w:vAlign w:val="bottom"/>
          </w:tcPr>
          <w:p>
            <w:pPr>
              <w:pStyle w:val="TableContents"/>
              <w:spacing w:before="0" w:after="283"/>
              <w:rPr/>
            </w:pPr>
            <w:r>
              <w:rPr/>
              <w:t xml:space="preserve">  </w:t>
            </w:r>
          </w:p>
        </w:tc>
        <w:tc>
          <w:tcPr>
            <w:tcW w:w="104" w:type="dxa"/>
            <w:tcBorders/>
            <w:shd w:fill="auto" w:val="clear"/>
            <w:vAlign w:val="bottom"/>
          </w:tcPr>
          <w:p>
            <w:pPr>
              <w:pStyle w:val="TableContents"/>
              <w:spacing w:before="0" w:after="283"/>
              <w:rPr/>
            </w:pPr>
            <w:r>
              <w:rPr/>
              <w:t> </w:t>
            </w:r>
          </w:p>
        </w:tc>
        <w:tc>
          <w:tcPr>
            <w:tcW w:w="1194" w:type="dxa"/>
            <w:gridSpan w:val="2"/>
            <w:tcBorders/>
            <w:shd w:fill="auto" w:val="clear"/>
            <w:vAlign w:val="bottom"/>
          </w:tcPr>
          <w:p>
            <w:pPr>
              <w:pStyle w:val="TableContents"/>
              <w:spacing w:before="0" w:after="0"/>
              <w:ind w:left="0" w:right="0" w:hanging="0"/>
              <w:jc w:val="center"/>
              <w:rPr>
                <w:rFonts w:ascii="helvetica" w:hAnsi="helvetica"/>
                <w:b/>
                <w:sz w:val="16"/>
              </w:rPr>
            </w:pPr>
            <w:r>
              <w:rPr>
                <w:rFonts w:ascii="helvetica" w:hAnsi="helvetica"/>
                <w:b/>
                <w:sz w:val="16"/>
              </w:rPr>
              <w:t>Six Months Ended</w:t>
            </w:r>
          </w:p>
        </w:tc>
        <w:tc>
          <w:tcPr>
            <w:tcW w:w="110" w:type="dxa"/>
            <w:tcBorders/>
            <w:shd w:fill="auto" w:val="clear"/>
            <w:vAlign w:val="bottom"/>
          </w:tcPr>
          <w:p>
            <w:pPr>
              <w:pStyle w:val="TableContents"/>
              <w:spacing w:before="0" w:after="283"/>
              <w:jc w:val="left"/>
              <w:rPr/>
            </w:pPr>
            <w:r>
              <w:rPr/>
              <w:t> </w:t>
            </w:r>
          </w:p>
        </w:tc>
        <w:tc>
          <w:tcPr>
            <w:tcW w:w="104" w:type="dxa"/>
            <w:tcBorders/>
            <w:shd w:fill="auto" w:val="clear"/>
            <w:vAlign w:val="bottom"/>
          </w:tcPr>
          <w:p>
            <w:pPr>
              <w:pStyle w:val="TableContents"/>
              <w:spacing w:before="0" w:after="283"/>
              <w:rPr/>
            </w:pPr>
            <w:r>
              <w:rPr/>
              <w:t> </w:t>
            </w:r>
          </w:p>
        </w:tc>
        <w:tc>
          <w:tcPr>
            <w:tcW w:w="1142" w:type="dxa"/>
            <w:gridSpan w:val="2"/>
            <w:tcBorders/>
            <w:shd w:fill="auto" w:val="clear"/>
            <w:vAlign w:val="bottom"/>
          </w:tcPr>
          <w:p>
            <w:pPr>
              <w:pStyle w:val="TableContents"/>
              <w:spacing w:before="0" w:after="0"/>
              <w:ind w:left="0" w:right="0" w:hanging="0"/>
              <w:jc w:val="center"/>
              <w:rPr>
                <w:rFonts w:ascii="helvetica" w:hAnsi="helvetica"/>
                <w:b/>
                <w:sz w:val="16"/>
              </w:rPr>
            </w:pPr>
            <w:r>
              <w:rPr>
                <w:rFonts w:ascii="helvetica" w:hAnsi="helvetica"/>
                <w:b/>
                <w:sz w:val="16"/>
              </w:rPr>
              <w:t>Six Months Ended</w:t>
            </w:r>
          </w:p>
        </w:tc>
        <w:tc>
          <w:tcPr>
            <w:tcW w:w="110" w:type="dxa"/>
            <w:tcBorders/>
            <w:shd w:fill="auto" w:val="clear"/>
            <w:vAlign w:val="bottom"/>
          </w:tcPr>
          <w:p>
            <w:pPr>
              <w:pStyle w:val="TableContents"/>
              <w:spacing w:before="0" w:after="283"/>
              <w:jc w:val="left"/>
              <w:rPr/>
            </w:pPr>
            <w:r>
              <w:rPr/>
              <w:t> </w:t>
            </w:r>
          </w:p>
        </w:tc>
        <w:tc>
          <w:tcPr>
            <w:tcW w:w="104" w:type="dxa"/>
            <w:tcBorders/>
            <w:shd w:fill="auto" w:val="clear"/>
            <w:vAlign w:val="bottom"/>
          </w:tcPr>
          <w:p>
            <w:pPr>
              <w:pStyle w:val="TableContents"/>
              <w:spacing w:before="0" w:after="283"/>
              <w:rPr/>
            </w:pPr>
            <w:r>
              <w:rPr/>
              <w:t> </w:t>
            </w:r>
          </w:p>
        </w:tc>
        <w:tc>
          <w:tcPr>
            <w:tcW w:w="1226" w:type="dxa"/>
            <w:gridSpan w:val="2"/>
            <w:tcBorders/>
            <w:shd w:fill="auto" w:val="clear"/>
            <w:vAlign w:val="bottom"/>
          </w:tcPr>
          <w:p>
            <w:pPr>
              <w:pStyle w:val="TableContents"/>
              <w:spacing w:before="0" w:after="0"/>
              <w:ind w:left="0" w:right="0" w:hanging="0"/>
              <w:jc w:val="center"/>
              <w:rPr>
                <w:rFonts w:ascii="helvetica" w:hAnsi="helvetica"/>
                <w:b/>
                <w:sz w:val="16"/>
              </w:rPr>
            </w:pPr>
            <w:r>
              <w:rPr>
                <w:rFonts w:ascii="helvetica" w:hAnsi="helvetica"/>
                <w:b/>
                <w:sz w:val="16"/>
              </w:rPr>
              <w:t>July 24, 1998</w:t>
            </w:r>
          </w:p>
        </w:tc>
        <w:tc>
          <w:tcPr>
            <w:tcW w:w="124" w:type="dxa"/>
            <w:tcBorders/>
            <w:shd w:fill="auto" w:val="clear"/>
            <w:vAlign w:val="bottom"/>
          </w:tcPr>
          <w:p>
            <w:pPr>
              <w:pStyle w:val="TableContents"/>
              <w:spacing w:before="0" w:after="283"/>
              <w:jc w:val="left"/>
              <w:rPr/>
            </w:pPr>
            <w:r>
              <w:rPr/>
              <w:t> </w:t>
            </w:r>
          </w:p>
        </w:tc>
      </w:tr>
      <w:tr>
        <w:trPr/>
        <w:tc>
          <w:tcPr>
            <w:tcW w:w="5987" w:type="dxa"/>
            <w:tcBorders/>
            <w:shd w:fill="auto" w:val="clear"/>
            <w:vAlign w:val="bottom"/>
          </w:tcPr>
          <w:p>
            <w:pPr>
              <w:pStyle w:val="TableContents"/>
              <w:spacing w:before="0" w:after="283"/>
              <w:rPr/>
            </w:pPr>
            <w:r>
              <w:rPr/>
              <w:t xml:space="preserve">  </w:t>
            </w:r>
          </w:p>
        </w:tc>
        <w:tc>
          <w:tcPr>
            <w:tcW w:w="104" w:type="dxa"/>
            <w:tcBorders/>
            <w:shd w:fill="auto" w:val="clear"/>
            <w:vAlign w:val="bottom"/>
          </w:tcPr>
          <w:p>
            <w:pPr>
              <w:pStyle w:val="TableContents"/>
              <w:spacing w:before="0" w:after="283"/>
              <w:rPr/>
            </w:pPr>
            <w:r>
              <w:rPr/>
              <w:t> </w:t>
            </w:r>
          </w:p>
        </w:tc>
        <w:tc>
          <w:tcPr>
            <w:tcW w:w="1194" w:type="dxa"/>
            <w:gridSpan w:val="2"/>
            <w:tcBorders/>
            <w:shd w:fill="auto" w:val="clear"/>
            <w:vAlign w:val="bottom"/>
          </w:tcPr>
          <w:p>
            <w:pPr>
              <w:pStyle w:val="TableContents"/>
              <w:spacing w:before="0" w:after="0"/>
              <w:ind w:left="0" w:right="0" w:hanging="0"/>
              <w:jc w:val="center"/>
              <w:rPr>
                <w:rFonts w:ascii="helvetica" w:hAnsi="helvetica"/>
                <w:b/>
                <w:sz w:val="16"/>
              </w:rPr>
            </w:pPr>
            <w:r>
              <w:rPr>
                <w:rFonts w:ascii="helvetica" w:hAnsi="helvetica"/>
                <w:b/>
                <w:sz w:val="16"/>
              </w:rPr>
              <w:t>June 30,</w:t>
            </w:r>
          </w:p>
        </w:tc>
        <w:tc>
          <w:tcPr>
            <w:tcW w:w="110" w:type="dxa"/>
            <w:tcBorders/>
            <w:shd w:fill="auto" w:val="clear"/>
            <w:vAlign w:val="bottom"/>
          </w:tcPr>
          <w:p>
            <w:pPr>
              <w:pStyle w:val="TableContents"/>
              <w:spacing w:before="0" w:after="283"/>
              <w:jc w:val="left"/>
              <w:rPr/>
            </w:pPr>
            <w:r>
              <w:rPr/>
              <w:t> </w:t>
            </w:r>
          </w:p>
        </w:tc>
        <w:tc>
          <w:tcPr>
            <w:tcW w:w="104" w:type="dxa"/>
            <w:tcBorders/>
            <w:shd w:fill="auto" w:val="clear"/>
            <w:vAlign w:val="bottom"/>
          </w:tcPr>
          <w:p>
            <w:pPr>
              <w:pStyle w:val="TableContents"/>
              <w:spacing w:before="0" w:after="283"/>
              <w:rPr/>
            </w:pPr>
            <w:r>
              <w:rPr/>
              <w:t> </w:t>
            </w:r>
          </w:p>
        </w:tc>
        <w:tc>
          <w:tcPr>
            <w:tcW w:w="1142" w:type="dxa"/>
            <w:gridSpan w:val="2"/>
            <w:tcBorders/>
            <w:shd w:fill="auto" w:val="clear"/>
            <w:vAlign w:val="bottom"/>
          </w:tcPr>
          <w:p>
            <w:pPr>
              <w:pStyle w:val="TableContents"/>
              <w:spacing w:before="0" w:after="0"/>
              <w:ind w:left="0" w:right="0" w:hanging="0"/>
              <w:jc w:val="center"/>
              <w:rPr>
                <w:rFonts w:ascii="helvetica" w:hAnsi="helvetica"/>
                <w:b/>
                <w:sz w:val="16"/>
              </w:rPr>
            </w:pPr>
            <w:r>
              <w:rPr>
                <w:rFonts w:ascii="helvetica" w:hAnsi="helvetica"/>
                <w:b/>
                <w:sz w:val="16"/>
              </w:rPr>
              <w:t>June 30,</w:t>
            </w:r>
          </w:p>
        </w:tc>
        <w:tc>
          <w:tcPr>
            <w:tcW w:w="110" w:type="dxa"/>
            <w:tcBorders/>
            <w:shd w:fill="auto" w:val="clear"/>
            <w:vAlign w:val="bottom"/>
          </w:tcPr>
          <w:p>
            <w:pPr>
              <w:pStyle w:val="TableContents"/>
              <w:spacing w:before="0" w:after="283"/>
              <w:jc w:val="left"/>
              <w:rPr/>
            </w:pPr>
            <w:r>
              <w:rPr/>
              <w:t> </w:t>
            </w:r>
          </w:p>
        </w:tc>
        <w:tc>
          <w:tcPr>
            <w:tcW w:w="104" w:type="dxa"/>
            <w:tcBorders/>
            <w:shd w:fill="auto" w:val="clear"/>
            <w:vAlign w:val="bottom"/>
          </w:tcPr>
          <w:p>
            <w:pPr>
              <w:pStyle w:val="TableContents"/>
              <w:spacing w:before="0" w:after="283"/>
              <w:rPr/>
            </w:pPr>
            <w:r>
              <w:rPr/>
              <w:t> </w:t>
            </w:r>
          </w:p>
        </w:tc>
        <w:tc>
          <w:tcPr>
            <w:tcW w:w="1226" w:type="dxa"/>
            <w:gridSpan w:val="2"/>
            <w:tcBorders/>
            <w:shd w:fill="auto" w:val="clear"/>
            <w:vAlign w:val="bottom"/>
          </w:tcPr>
          <w:p>
            <w:pPr>
              <w:pStyle w:val="TableContents"/>
              <w:spacing w:before="0" w:after="0"/>
              <w:ind w:left="0" w:right="0" w:hanging="0"/>
              <w:jc w:val="center"/>
              <w:rPr>
                <w:rFonts w:ascii="helvetica" w:hAnsi="helvetica"/>
                <w:b/>
                <w:sz w:val="16"/>
              </w:rPr>
            </w:pPr>
            <w:r>
              <w:rPr>
                <w:rFonts w:ascii="helvetica" w:hAnsi="helvetica"/>
                <w:b/>
                <w:sz w:val="16"/>
              </w:rPr>
              <w:t>(Inception) through</w:t>
            </w:r>
          </w:p>
        </w:tc>
        <w:tc>
          <w:tcPr>
            <w:tcW w:w="124" w:type="dxa"/>
            <w:tcBorders/>
            <w:shd w:fill="auto" w:val="clear"/>
            <w:vAlign w:val="bottom"/>
          </w:tcPr>
          <w:p>
            <w:pPr>
              <w:pStyle w:val="TableContents"/>
              <w:spacing w:before="0" w:after="283"/>
              <w:jc w:val="left"/>
              <w:rPr/>
            </w:pPr>
            <w:r>
              <w:rPr/>
              <w:t> </w:t>
            </w:r>
          </w:p>
        </w:tc>
      </w:tr>
      <w:tr>
        <w:trPr/>
        <w:tc>
          <w:tcPr>
            <w:tcW w:w="5987" w:type="dxa"/>
            <w:tcBorders/>
            <w:shd w:fill="auto" w:val="clear"/>
            <w:vAlign w:val="bottom"/>
          </w:tcPr>
          <w:p>
            <w:pPr>
              <w:pStyle w:val="TableContents"/>
              <w:spacing w:before="0" w:after="283"/>
              <w:rPr/>
            </w:pPr>
            <w:r>
              <w:rPr/>
              <w:t xml:space="preserve">  </w:t>
            </w:r>
          </w:p>
        </w:tc>
        <w:tc>
          <w:tcPr>
            <w:tcW w:w="104" w:type="dxa"/>
            <w:tcBorders/>
            <w:shd w:fill="auto" w:val="clear"/>
            <w:vAlign w:val="bottom"/>
          </w:tcPr>
          <w:p>
            <w:pPr>
              <w:pStyle w:val="TableContents"/>
              <w:spacing w:before="0" w:after="283"/>
              <w:rPr/>
            </w:pPr>
            <w:r>
              <w:rPr/>
              <w:t> </w:t>
            </w:r>
          </w:p>
        </w:tc>
        <w:tc>
          <w:tcPr>
            <w:tcW w:w="1194"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helvetica" w:hAnsi="helvetica"/>
                <w:b/>
                <w:sz w:val="16"/>
              </w:rPr>
            </w:pPr>
            <w:r>
              <w:rPr>
                <w:rFonts w:ascii="helvetica" w:hAnsi="helvetica"/>
                <w:b/>
                <w:sz w:val="16"/>
              </w:rPr>
              <w:t>2012</w:t>
            </w:r>
          </w:p>
        </w:tc>
        <w:tc>
          <w:tcPr>
            <w:tcW w:w="110" w:type="dxa"/>
            <w:tcBorders/>
            <w:shd w:fill="auto" w:val="clear"/>
            <w:vAlign w:val="bottom"/>
          </w:tcPr>
          <w:p>
            <w:pPr>
              <w:pStyle w:val="TableContents"/>
              <w:spacing w:before="0" w:after="283"/>
              <w:jc w:val="left"/>
              <w:rPr/>
            </w:pPr>
            <w:r>
              <w:rPr/>
              <w:t> </w:t>
            </w:r>
          </w:p>
        </w:tc>
        <w:tc>
          <w:tcPr>
            <w:tcW w:w="104" w:type="dxa"/>
            <w:tcBorders/>
            <w:shd w:fill="auto" w:val="clear"/>
            <w:vAlign w:val="bottom"/>
          </w:tcPr>
          <w:p>
            <w:pPr>
              <w:pStyle w:val="TableContents"/>
              <w:spacing w:before="0" w:after="283"/>
              <w:rPr/>
            </w:pPr>
            <w:r>
              <w:rPr/>
              <w:t> </w:t>
            </w:r>
          </w:p>
        </w:tc>
        <w:tc>
          <w:tcPr>
            <w:tcW w:w="1142"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helvetica" w:hAnsi="helvetica"/>
                <w:b/>
                <w:sz w:val="16"/>
              </w:rPr>
            </w:pPr>
            <w:r>
              <w:rPr>
                <w:rFonts w:ascii="helvetica" w:hAnsi="helvetica"/>
                <w:b/>
                <w:sz w:val="16"/>
              </w:rPr>
              <w:t>2011</w:t>
            </w:r>
          </w:p>
        </w:tc>
        <w:tc>
          <w:tcPr>
            <w:tcW w:w="110" w:type="dxa"/>
            <w:tcBorders/>
            <w:shd w:fill="auto" w:val="clear"/>
            <w:vAlign w:val="bottom"/>
          </w:tcPr>
          <w:p>
            <w:pPr>
              <w:pStyle w:val="TableContents"/>
              <w:spacing w:before="0" w:after="283"/>
              <w:jc w:val="left"/>
              <w:rPr/>
            </w:pPr>
            <w:r>
              <w:rPr/>
              <w:t> </w:t>
            </w:r>
          </w:p>
        </w:tc>
        <w:tc>
          <w:tcPr>
            <w:tcW w:w="104" w:type="dxa"/>
            <w:tcBorders/>
            <w:shd w:fill="auto" w:val="clear"/>
            <w:vAlign w:val="bottom"/>
          </w:tcPr>
          <w:p>
            <w:pPr>
              <w:pStyle w:val="TableContents"/>
              <w:spacing w:before="0" w:after="283"/>
              <w:rPr/>
            </w:pPr>
            <w:r>
              <w:rPr/>
              <w:t> </w:t>
            </w:r>
          </w:p>
        </w:tc>
        <w:tc>
          <w:tcPr>
            <w:tcW w:w="1226"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helvetica" w:hAnsi="helvetica"/>
                <w:b/>
                <w:sz w:val="16"/>
              </w:rPr>
            </w:pPr>
            <w:r>
              <w:rPr>
                <w:rFonts w:ascii="helvetica" w:hAnsi="helvetica"/>
                <w:b/>
                <w:sz w:val="16"/>
              </w:rPr>
              <w:t>June 30,2012</w:t>
            </w:r>
          </w:p>
        </w:tc>
        <w:tc>
          <w:tcPr>
            <w:tcW w:w="124" w:type="dxa"/>
            <w:tcBorders/>
            <w:shd w:fill="auto" w:val="clear"/>
            <w:vAlign w:val="bottom"/>
          </w:tcPr>
          <w:p>
            <w:pPr>
              <w:pStyle w:val="TableContents"/>
              <w:spacing w:before="0" w:after="283"/>
              <w:jc w:val="left"/>
              <w:rPr/>
            </w:pPr>
            <w:r>
              <w:rPr/>
              <w:t> </w:t>
            </w:r>
          </w:p>
        </w:tc>
      </w:tr>
      <w:tr>
        <w:trPr/>
        <w:tc>
          <w:tcPr>
            <w:tcW w:w="5987" w:type="dxa"/>
            <w:tcBorders/>
            <w:shd w:fill="auto" w:val="clear"/>
            <w:vAlign w:val="bottom"/>
          </w:tcPr>
          <w:p>
            <w:pPr>
              <w:pStyle w:val="TableContents"/>
              <w:spacing w:before="0" w:after="283"/>
              <w:rPr/>
            </w:pPr>
            <w:r>
              <w:rPr/>
              <w:t xml:space="preserve">  </w:t>
            </w:r>
          </w:p>
        </w:tc>
        <w:tc>
          <w:tcPr>
            <w:tcW w:w="104" w:type="dxa"/>
            <w:tcBorders/>
            <w:shd w:fill="auto" w:val="clear"/>
            <w:vAlign w:val="bottom"/>
          </w:tcPr>
          <w:p>
            <w:pPr>
              <w:pStyle w:val="TableContents"/>
              <w:spacing w:before="0" w:after="283"/>
              <w:rPr/>
            </w:pPr>
            <w:r>
              <w:rPr/>
              <w:t> </w:t>
            </w:r>
          </w:p>
        </w:tc>
        <w:tc>
          <w:tcPr>
            <w:tcW w:w="1194" w:type="dxa"/>
            <w:gridSpan w:val="2"/>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jc w:val="left"/>
              <w:rPr/>
            </w:pPr>
            <w:r>
              <w:rPr/>
              <w:t> </w:t>
            </w:r>
          </w:p>
        </w:tc>
        <w:tc>
          <w:tcPr>
            <w:tcW w:w="104" w:type="dxa"/>
            <w:tcBorders/>
            <w:shd w:fill="auto" w:val="clear"/>
            <w:vAlign w:val="bottom"/>
          </w:tcPr>
          <w:p>
            <w:pPr>
              <w:pStyle w:val="TableContents"/>
              <w:spacing w:before="0" w:after="283"/>
              <w:rPr/>
            </w:pPr>
            <w:r>
              <w:rPr/>
              <w:t> </w:t>
            </w:r>
          </w:p>
        </w:tc>
        <w:tc>
          <w:tcPr>
            <w:tcW w:w="1142" w:type="dxa"/>
            <w:gridSpan w:val="2"/>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jc w:val="left"/>
              <w:rPr/>
            </w:pPr>
            <w:r>
              <w:rPr/>
              <w:t> </w:t>
            </w:r>
          </w:p>
        </w:tc>
        <w:tc>
          <w:tcPr>
            <w:tcW w:w="104" w:type="dxa"/>
            <w:tcBorders/>
            <w:shd w:fill="auto" w:val="clear"/>
            <w:vAlign w:val="bottom"/>
          </w:tcPr>
          <w:p>
            <w:pPr>
              <w:pStyle w:val="TableContents"/>
              <w:spacing w:before="0" w:after="283"/>
              <w:rPr/>
            </w:pPr>
            <w:r>
              <w:rPr/>
              <w:t> </w:t>
            </w:r>
          </w:p>
        </w:tc>
        <w:tc>
          <w:tcPr>
            <w:tcW w:w="1226" w:type="dxa"/>
            <w:gridSpan w:val="2"/>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jc w:val="left"/>
              <w:rPr/>
            </w:pPr>
            <w:r>
              <w:rPr/>
              <w:t> </w:t>
            </w:r>
          </w:p>
        </w:tc>
      </w:tr>
      <w:tr>
        <w:trPr/>
        <w:tc>
          <w:tcPr>
            <w:tcW w:w="5987" w:type="dxa"/>
            <w:tcBorders/>
            <w:shd w:fill="auto" w:val="clear"/>
            <w:vAlign w:val="bottom"/>
          </w:tcPr>
          <w:p>
            <w:pPr>
              <w:pStyle w:val="TableContents"/>
              <w:spacing w:before="0" w:after="0"/>
              <w:ind w:left="0" w:right="0" w:hanging="0"/>
              <w:jc w:val="left"/>
              <w:rPr>
                <w:rFonts w:ascii="helvetica" w:hAnsi="helvetica"/>
                <w:sz w:val="20"/>
              </w:rPr>
            </w:pPr>
            <w:r>
              <w:rPr>
                <w:rFonts w:ascii="helvetica" w:hAnsi="helvetica"/>
                <w:sz w:val="20"/>
              </w:rPr>
              <w:t>CASH FLOWS FROM OPERATING ACTIVITIES</w:t>
            </w:r>
          </w:p>
        </w:tc>
        <w:tc>
          <w:tcPr>
            <w:tcW w:w="104" w:type="dxa"/>
            <w:tcBorders/>
            <w:shd w:fill="auto" w:val="clear"/>
            <w:vAlign w:val="bottom"/>
          </w:tcPr>
          <w:p>
            <w:pPr>
              <w:pStyle w:val="TableContents"/>
              <w:spacing w:before="0" w:after="283"/>
              <w:rPr/>
            </w:pPr>
            <w:r>
              <w:rPr/>
              <w:t> </w:t>
            </w:r>
          </w:p>
        </w:tc>
        <w:tc>
          <w:tcPr>
            <w:tcW w:w="1194" w:type="dxa"/>
            <w:gridSpan w:val="2"/>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jc w:val="left"/>
              <w:rPr/>
            </w:pPr>
            <w:r>
              <w:rPr/>
              <w:t> </w:t>
            </w:r>
          </w:p>
        </w:tc>
        <w:tc>
          <w:tcPr>
            <w:tcW w:w="104" w:type="dxa"/>
            <w:tcBorders/>
            <w:shd w:fill="auto" w:val="clear"/>
            <w:vAlign w:val="bottom"/>
          </w:tcPr>
          <w:p>
            <w:pPr>
              <w:pStyle w:val="TableContents"/>
              <w:spacing w:before="0" w:after="283"/>
              <w:rPr/>
            </w:pPr>
            <w:r>
              <w:rPr/>
              <w:t> </w:t>
            </w:r>
          </w:p>
        </w:tc>
        <w:tc>
          <w:tcPr>
            <w:tcW w:w="1142" w:type="dxa"/>
            <w:gridSpan w:val="2"/>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jc w:val="left"/>
              <w:rPr/>
            </w:pPr>
            <w:r>
              <w:rPr/>
              <w:t> </w:t>
            </w:r>
          </w:p>
        </w:tc>
        <w:tc>
          <w:tcPr>
            <w:tcW w:w="104" w:type="dxa"/>
            <w:tcBorders/>
            <w:shd w:fill="auto" w:val="clear"/>
            <w:vAlign w:val="bottom"/>
          </w:tcPr>
          <w:p>
            <w:pPr>
              <w:pStyle w:val="TableContents"/>
              <w:spacing w:before="0" w:after="283"/>
              <w:rPr/>
            </w:pPr>
            <w:r>
              <w:rPr/>
              <w:t> </w:t>
            </w:r>
          </w:p>
        </w:tc>
        <w:tc>
          <w:tcPr>
            <w:tcW w:w="1226" w:type="dxa"/>
            <w:gridSpan w:val="2"/>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jc w:val="left"/>
              <w:rPr/>
            </w:pPr>
            <w:r>
              <w:rPr/>
              <w:t> </w:t>
            </w:r>
          </w:p>
        </w:tc>
      </w:tr>
      <w:tr>
        <w:trPr/>
        <w:tc>
          <w:tcPr>
            <w:tcW w:w="5987" w:type="dxa"/>
            <w:tcBorders/>
            <w:shd w:fill="CCEEFF" w:val="clear"/>
            <w:vAlign w:val="bottom"/>
          </w:tcPr>
          <w:p>
            <w:pPr>
              <w:pStyle w:val="TableContents"/>
              <w:spacing w:before="0" w:after="0"/>
              <w:ind w:left="0" w:right="0" w:hanging="0"/>
              <w:jc w:val="left"/>
              <w:rPr/>
            </w:pPr>
            <w:r>
              <w:rPr/>
              <w:t>  </w:t>
            </w:r>
            <w:r>
              <w:rPr>
                <w:rFonts w:ascii="helvetica" w:hAnsi="helvetica"/>
                <w:sz w:val="20"/>
              </w:rPr>
              <w:t>Net loss</w:t>
            </w:r>
          </w:p>
        </w:tc>
        <w:tc>
          <w:tcPr>
            <w:tcW w:w="10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rFonts w:ascii="helvetica" w:hAnsi="helvetica"/>
                <w:sz w:val="20"/>
              </w:rPr>
            </w:pPr>
            <w:r>
              <w:rPr>
                <w:rFonts w:ascii="helvetica" w:hAnsi="helvetica"/>
                <w:sz w:val="20"/>
              </w:rPr>
              <w:t>$</w:t>
            </w:r>
          </w:p>
        </w:tc>
        <w:tc>
          <w:tcPr>
            <w:tcW w:w="1069"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(2,684,681</w:t>
            </w:r>
          </w:p>
        </w:tc>
        <w:tc>
          <w:tcPr>
            <w:tcW w:w="110" w:type="dxa"/>
            <w:tcBorders/>
            <w:shd w:fill="CCEEFF" w:val="clear"/>
            <w:vAlign w:val="bottom"/>
          </w:tcPr>
          <w:p>
            <w:pPr>
              <w:pStyle w:val="TableContents"/>
              <w:spacing w:before="0" w:after="283"/>
              <w:jc w:val="left"/>
              <w:rPr>
                <w:rFonts w:ascii="helvetica" w:hAnsi="helvetica"/>
                <w:sz w:val="20"/>
              </w:rPr>
            </w:pPr>
            <w:r>
              <w:rPr>
                <w:rFonts w:ascii="helvetica" w:hAnsi="helvetica"/>
                <w:sz w:val="20"/>
              </w:rPr>
              <w:t>)</w:t>
            </w:r>
          </w:p>
        </w:tc>
        <w:tc>
          <w:tcPr>
            <w:tcW w:w="10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rFonts w:ascii="helvetica" w:hAnsi="helvetica"/>
                <w:sz w:val="20"/>
              </w:rPr>
            </w:pPr>
            <w:r>
              <w:rPr>
                <w:rFonts w:ascii="helvetica" w:hAnsi="helvetica"/>
                <w:sz w:val="20"/>
              </w:rPr>
              <w:t>$</w:t>
            </w:r>
          </w:p>
        </w:tc>
        <w:tc>
          <w:tcPr>
            <w:tcW w:w="1017"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(596,778</w:t>
            </w:r>
          </w:p>
        </w:tc>
        <w:tc>
          <w:tcPr>
            <w:tcW w:w="110" w:type="dxa"/>
            <w:tcBorders/>
            <w:shd w:fill="CCEEFF" w:val="clear"/>
            <w:vAlign w:val="bottom"/>
          </w:tcPr>
          <w:p>
            <w:pPr>
              <w:pStyle w:val="TableContents"/>
              <w:spacing w:before="0" w:after="283"/>
              <w:jc w:val="left"/>
              <w:rPr>
                <w:rFonts w:ascii="helvetica" w:hAnsi="helvetica"/>
                <w:sz w:val="20"/>
              </w:rPr>
            </w:pPr>
            <w:r>
              <w:rPr>
                <w:rFonts w:ascii="helvetica" w:hAnsi="helvetica"/>
                <w:sz w:val="20"/>
              </w:rPr>
              <w:t>)</w:t>
            </w:r>
          </w:p>
        </w:tc>
        <w:tc>
          <w:tcPr>
            <w:tcW w:w="104"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jc w:val="left"/>
              <w:rPr>
                <w:rFonts w:ascii="helvetica" w:hAnsi="helvetica"/>
                <w:sz w:val="20"/>
              </w:rPr>
            </w:pPr>
            <w:r>
              <w:rPr>
                <w:rFonts w:ascii="helvetica" w:hAnsi="helvetica"/>
                <w:sz w:val="20"/>
              </w:rPr>
              <w:t>$</w:t>
            </w:r>
          </w:p>
        </w:tc>
        <w:tc>
          <w:tcPr>
            <w:tcW w:w="1102"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(21,105,414</w:t>
            </w:r>
          </w:p>
        </w:tc>
        <w:tc>
          <w:tcPr>
            <w:tcW w:w="124" w:type="dxa"/>
            <w:tcBorders/>
            <w:shd w:fill="CCEEFF" w:val="clear"/>
            <w:vAlign w:val="bottom"/>
          </w:tcPr>
          <w:p>
            <w:pPr>
              <w:pStyle w:val="TableContents"/>
              <w:spacing w:before="0" w:after="283"/>
              <w:jc w:val="left"/>
              <w:rPr>
                <w:rFonts w:ascii="helvetica" w:hAnsi="helvetica"/>
                <w:sz w:val="20"/>
              </w:rPr>
            </w:pPr>
            <w:r>
              <w:rPr>
                <w:rFonts w:ascii="helvetica" w:hAnsi="helvetica"/>
                <w:sz w:val="20"/>
              </w:rPr>
              <w:t>)</w:t>
            </w:r>
          </w:p>
        </w:tc>
      </w:tr>
      <w:tr>
        <w:trPr/>
        <w:tc>
          <w:tcPr>
            <w:tcW w:w="5987" w:type="dxa"/>
            <w:tcBorders/>
            <w:shd w:fill="FFFFFF" w:val="clear"/>
            <w:vAlign w:val="bottom"/>
          </w:tcPr>
          <w:p>
            <w:pPr>
              <w:pStyle w:val="TableContents"/>
              <w:spacing w:before="0" w:after="0"/>
              <w:ind w:left="0" w:right="0" w:hanging="0"/>
              <w:jc w:val="left"/>
              <w:rPr>
                <w:rFonts w:ascii="helvetica" w:hAnsi="helvetica"/>
                <w:sz w:val="20"/>
              </w:rPr>
            </w:pPr>
            <w:r>
              <w:rPr>
                <w:rFonts w:ascii="helvetica" w:hAnsi="helvetica"/>
                <w:sz w:val="20"/>
              </w:rPr>
              <w:t>Adjustments to reconcile net loss to net cash used in</w:t>
            </w:r>
          </w:p>
        </w:tc>
        <w:tc>
          <w:tcPr>
            <w:tcW w:w="104"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69" w:type="dxa"/>
            <w:tcBorders/>
            <w:shd w:fill="FFFFFF" w:val="clear"/>
            <w:vAlign w:val="bottom"/>
          </w:tcPr>
          <w:p>
            <w:pPr>
              <w:pStyle w:val="TableContents"/>
              <w:spacing w:before="0" w:after="283"/>
              <w:jc w:val="right"/>
              <w:rPr/>
            </w:pPr>
            <w:r>
              <w:rPr/>
              <w:t> </w:t>
            </w:r>
          </w:p>
        </w:tc>
        <w:tc>
          <w:tcPr>
            <w:tcW w:w="110" w:type="dxa"/>
            <w:tcBorders/>
            <w:shd w:fill="FFFFFF" w:val="clear"/>
            <w:vAlign w:val="bottom"/>
          </w:tcPr>
          <w:p>
            <w:pPr>
              <w:pStyle w:val="TableContents"/>
              <w:spacing w:before="0" w:after="283"/>
              <w:jc w:val="left"/>
              <w:rPr/>
            </w:pPr>
            <w:r>
              <w:rPr/>
              <w:t> </w:t>
            </w:r>
          </w:p>
        </w:tc>
        <w:tc>
          <w:tcPr>
            <w:tcW w:w="104"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17" w:type="dxa"/>
            <w:tcBorders/>
            <w:shd w:fill="FFFFFF" w:val="clear"/>
            <w:vAlign w:val="bottom"/>
          </w:tcPr>
          <w:p>
            <w:pPr>
              <w:pStyle w:val="TableContents"/>
              <w:spacing w:before="0" w:after="283"/>
              <w:jc w:val="right"/>
              <w:rPr/>
            </w:pPr>
            <w:r>
              <w:rPr/>
              <w:t> </w:t>
            </w:r>
          </w:p>
        </w:tc>
        <w:tc>
          <w:tcPr>
            <w:tcW w:w="110" w:type="dxa"/>
            <w:tcBorders/>
            <w:shd w:fill="FFFFFF" w:val="clear"/>
            <w:vAlign w:val="bottom"/>
          </w:tcPr>
          <w:p>
            <w:pPr>
              <w:pStyle w:val="TableContents"/>
              <w:spacing w:before="0" w:after="283"/>
              <w:jc w:val="left"/>
              <w:rPr/>
            </w:pPr>
            <w:r>
              <w:rPr/>
              <w:t> </w:t>
            </w:r>
          </w:p>
        </w:tc>
        <w:tc>
          <w:tcPr>
            <w:tcW w:w="104" w:type="dxa"/>
            <w:tcBorders/>
            <w:shd w:fill="FFFFFF" w:val="clear"/>
            <w:vAlign w:val="bottom"/>
          </w:tcPr>
          <w:p>
            <w:pPr>
              <w:pStyle w:val="TableContents"/>
              <w:spacing w:before="0" w:after="283"/>
              <w:rPr/>
            </w:pPr>
            <w:r>
              <w:rPr/>
              <w:t> </w:t>
            </w:r>
          </w:p>
        </w:tc>
        <w:tc>
          <w:tcPr>
            <w:tcW w:w="124" w:type="dxa"/>
            <w:tcBorders/>
            <w:shd w:fill="FFFFFF" w:val="clear"/>
            <w:vAlign w:val="bottom"/>
          </w:tcPr>
          <w:p>
            <w:pPr>
              <w:pStyle w:val="TableContents"/>
              <w:spacing w:before="0" w:after="283"/>
              <w:jc w:val="left"/>
              <w:rPr/>
            </w:pPr>
            <w:r>
              <w:rPr/>
              <w:t> </w:t>
            </w:r>
          </w:p>
        </w:tc>
        <w:tc>
          <w:tcPr>
            <w:tcW w:w="1102" w:type="dxa"/>
            <w:tcBorders/>
            <w:shd w:fill="FFFFFF" w:val="clear"/>
            <w:vAlign w:val="bottom"/>
          </w:tcPr>
          <w:p>
            <w:pPr>
              <w:pStyle w:val="TableContents"/>
              <w:spacing w:before="0" w:after="283"/>
              <w:jc w:val="right"/>
              <w:rPr/>
            </w:pPr>
            <w:r>
              <w:rPr/>
              <w:t> </w:t>
            </w:r>
          </w:p>
        </w:tc>
        <w:tc>
          <w:tcPr>
            <w:tcW w:w="124" w:type="dxa"/>
            <w:tcBorders/>
            <w:shd w:fill="FFFFFF" w:val="clear"/>
            <w:vAlign w:val="bottom"/>
          </w:tcPr>
          <w:p>
            <w:pPr>
              <w:pStyle w:val="TableContents"/>
              <w:spacing w:before="0" w:after="283"/>
              <w:jc w:val="left"/>
              <w:rPr/>
            </w:pPr>
            <w:r>
              <w:rPr/>
              <w:t> </w:t>
            </w:r>
          </w:p>
        </w:tc>
      </w:tr>
      <w:tr>
        <w:trPr/>
        <w:tc>
          <w:tcPr>
            <w:tcW w:w="5987" w:type="dxa"/>
            <w:tcBorders/>
            <w:shd w:fill="CCEEFF" w:val="clear"/>
            <w:vAlign w:val="bottom"/>
          </w:tcPr>
          <w:p>
            <w:pPr>
              <w:pStyle w:val="TableContents"/>
              <w:spacing w:before="0" w:after="0"/>
              <w:ind w:left="0" w:right="0" w:hanging="0"/>
              <w:jc w:val="left"/>
              <w:rPr>
                <w:rFonts w:ascii="helvetica" w:hAnsi="helvetica"/>
                <w:sz w:val="20"/>
              </w:rPr>
            </w:pPr>
            <w:r>
              <w:rPr>
                <w:rFonts w:ascii="helvetica" w:hAnsi="helvetica"/>
                <w:sz w:val="20"/>
              </w:rPr>
              <w:t>operating activities:</w:t>
            </w:r>
          </w:p>
        </w:tc>
        <w:tc>
          <w:tcPr>
            <w:tcW w:w="10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69" w:type="dxa"/>
            <w:tcBorders/>
            <w:shd w:fill="CCEEFF" w:val="clear"/>
            <w:vAlign w:val="bottom"/>
          </w:tcPr>
          <w:p>
            <w:pPr>
              <w:pStyle w:val="TableContents"/>
              <w:spacing w:before="0" w:after="283"/>
              <w:jc w:val="right"/>
              <w:rPr/>
            </w:pPr>
            <w:r>
              <w:rPr/>
              <w:t> </w:t>
            </w:r>
          </w:p>
        </w:tc>
        <w:tc>
          <w:tcPr>
            <w:tcW w:w="110" w:type="dxa"/>
            <w:tcBorders/>
            <w:shd w:fill="CCEEFF" w:val="clear"/>
            <w:vAlign w:val="bottom"/>
          </w:tcPr>
          <w:p>
            <w:pPr>
              <w:pStyle w:val="TableContents"/>
              <w:spacing w:before="0" w:after="283"/>
              <w:jc w:val="left"/>
              <w:rPr/>
            </w:pPr>
            <w:r>
              <w:rPr/>
              <w:t> </w:t>
            </w:r>
          </w:p>
        </w:tc>
        <w:tc>
          <w:tcPr>
            <w:tcW w:w="10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17" w:type="dxa"/>
            <w:tcBorders/>
            <w:shd w:fill="CCEEFF" w:val="clear"/>
            <w:vAlign w:val="bottom"/>
          </w:tcPr>
          <w:p>
            <w:pPr>
              <w:pStyle w:val="TableContents"/>
              <w:spacing w:before="0" w:after="283"/>
              <w:jc w:val="right"/>
              <w:rPr/>
            </w:pPr>
            <w:r>
              <w:rPr/>
              <w:t> </w:t>
            </w:r>
          </w:p>
        </w:tc>
        <w:tc>
          <w:tcPr>
            <w:tcW w:w="110" w:type="dxa"/>
            <w:tcBorders/>
            <w:shd w:fill="CCEEFF" w:val="clear"/>
            <w:vAlign w:val="bottom"/>
          </w:tcPr>
          <w:p>
            <w:pPr>
              <w:pStyle w:val="TableContents"/>
              <w:spacing w:before="0" w:after="283"/>
              <w:jc w:val="left"/>
              <w:rPr/>
            </w:pPr>
            <w:r>
              <w:rPr/>
              <w:t> </w:t>
            </w:r>
          </w:p>
        </w:tc>
        <w:tc>
          <w:tcPr>
            <w:tcW w:w="104"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jc w:val="left"/>
              <w:rPr/>
            </w:pPr>
            <w:r>
              <w:rPr/>
              <w:t> </w:t>
            </w:r>
          </w:p>
        </w:tc>
        <w:tc>
          <w:tcPr>
            <w:tcW w:w="1102" w:type="dxa"/>
            <w:tcBorders/>
            <w:shd w:fill="CCEEFF" w:val="clear"/>
            <w:vAlign w:val="bottom"/>
          </w:tcPr>
          <w:p>
            <w:pPr>
              <w:pStyle w:val="TableContents"/>
              <w:spacing w:before="0" w:after="283"/>
              <w:jc w:val="right"/>
              <w:rPr/>
            </w:pPr>
            <w:r>
              <w:rPr/>
              <w:t> </w:t>
            </w:r>
          </w:p>
        </w:tc>
        <w:tc>
          <w:tcPr>
            <w:tcW w:w="124" w:type="dxa"/>
            <w:tcBorders/>
            <w:shd w:fill="CCEEFF" w:val="clear"/>
            <w:vAlign w:val="bottom"/>
          </w:tcPr>
          <w:p>
            <w:pPr>
              <w:pStyle w:val="TableContents"/>
              <w:spacing w:before="0" w:after="283"/>
              <w:jc w:val="left"/>
              <w:rPr/>
            </w:pPr>
            <w:r>
              <w:rPr/>
              <w:t> </w:t>
            </w:r>
          </w:p>
        </w:tc>
      </w:tr>
      <w:tr>
        <w:trPr/>
        <w:tc>
          <w:tcPr>
            <w:tcW w:w="5987" w:type="dxa"/>
            <w:tcBorders/>
            <w:shd w:fill="FFFFFF" w:val="clear"/>
            <w:vAlign w:val="bottom"/>
          </w:tcPr>
          <w:p>
            <w:pPr>
              <w:pStyle w:val="TableContents"/>
              <w:spacing w:before="0" w:after="0"/>
              <w:ind w:left="0" w:right="0" w:hanging="0"/>
              <w:jc w:val="left"/>
              <w:rPr/>
            </w:pPr>
            <w:r>
              <w:rPr/>
              <w:t>     </w:t>
            </w:r>
            <w:r>
              <w:rPr>
                <w:rFonts w:ascii="helvetica" w:hAnsi="helvetica"/>
                <w:sz w:val="20"/>
              </w:rPr>
              <w:t>Estimated fair value of contributed services</w:t>
            </w:r>
          </w:p>
        </w:tc>
        <w:tc>
          <w:tcPr>
            <w:tcW w:w="104"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69"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w:t>
            </w:r>
          </w:p>
        </w:tc>
        <w:tc>
          <w:tcPr>
            <w:tcW w:w="110" w:type="dxa"/>
            <w:tcBorders/>
            <w:shd w:fill="FFFFFF" w:val="clear"/>
            <w:vAlign w:val="bottom"/>
          </w:tcPr>
          <w:p>
            <w:pPr>
              <w:pStyle w:val="TableContents"/>
              <w:spacing w:before="0" w:after="283"/>
              <w:jc w:val="left"/>
              <w:rPr/>
            </w:pPr>
            <w:r>
              <w:rPr/>
              <w:t> </w:t>
            </w:r>
          </w:p>
        </w:tc>
        <w:tc>
          <w:tcPr>
            <w:tcW w:w="104"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17"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w:t>
            </w:r>
          </w:p>
        </w:tc>
        <w:tc>
          <w:tcPr>
            <w:tcW w:w="110" w:type="dxa"/>
            <w:tcBorders/>
            <w:shd w:fill="FFFFFF" w:val="clear"/>
            <w:vAlign w:val="bottom"/>
          </w:tcPr>
          <w:p>
            <w:pPr>
              <w:pStyle w:val="TableContents"/>
              <w:spacing w:before="0" w:after="283"/>
              <w:jc w:val="left"/>
              <w:rPr/>
            </w:pPr>
            <w:r>
              <w:rPr/>
              <w:t> </w:t>
            </w:r>
          </w:p>
        </w:tc>
        <w:tc>
          <w:tcPr>
            <w:tcW w:w="104" w:type="dxa"/>
            <w:tcBorders/>
            <w:shd w:fill="FFFFFF" w:val="clear"/>
            <w:vAlign w:val="bottom"/>
          </w:tcPr>
          <w:p>
            <w:pPr>
              <w:pStyle w:val="TableContents"/>
              <w:spacing w:before="0" w:after="283"/>
              <w:rPr/>
            </w:pPr>
            <w:r>
              <w:rPr/>
              <w:t> </w:t>
            </w:r>
          </w:p>
        </w:tc>
        <w:tc>
          <w:tcPr>
            <w:tcW w:w="124" w:type="dxa"/>
            <w:tcBorders/>
            <w:shd w:fill="FFFFFF" w:val="clear"/>
            <w:vAlign w:val="bottom"/>
          </w:tcPr>
          <w:p>
            <w:pPr>
              <w:pStyle w:val="TableContents"/>
              <w:spacing w:before="0" w:after="283"/>
              <w:jc w:val="left"/>
              <w:rPr/>
            </w:pPr>
            <w:r>
              <w:rPr/>
              <w:t> </w:t>
            </w:r>
          </w:p>
        </w:tc>
        <w:tc>
          <w:tcPr>
            <w:tcW w:w="1102"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2,475,000</w:t>
            </w:r>
          </w:p>
        </w:tc>
        <w:tc>
          <w:tcPr>
            <w:tcW w:w="124" w:type="dxa"/>
            <w:tcBorders/>
            <w:shd w:fill="FFFFFF" w:val="clear"/>
            <w:vAlign w:val="bottom"/>
          </w:tcPr>
          <w:p>
            <w:pPr>
              <w:pStyle w:val="TableContents"/>
              <w:spacing w:before="0" w:after="283"/>
              <w:jc w:val="left"/>
              <w:rPr/>
            </w:pPr>
            <w:r>
              <w:rPr/>
              <w:t> </w:t>
            </w:r>
          </w:p>
        </w:tc>
      </w:tr>
      <w:tr>
        <w:trPr/>
        <w:tc>
          <w:tcPr>
            <w:tcW w:w="5987" w:type="dxa"/>
            <w:tcBorders/>
            <w:shd w:fill="CCEEFF" w:val="clear"/>
            <w:vAlign w:val="bottom"/>
          </w:tcPr>
          <w:p>
            <w:pPr>
              <w:pStyle w:val="TableContents"/>
              <w:spacing w:before="0" w:after="0"/>
              <w:ind w:left="0" w:right="0" w:hanging="0"/>
              <w:jc w:val="left"/>
              <w:rPr/>
            </w:pPr>
            <w:r>
              <w:rPr/>
              <w:t>     </w:t>
            </w:r>
            <w:r>
              <w:rPr>
                <w:rFonts w:ascii="helvetica" w:hAnsi="helvetica"/>
                <w:sz w:val="20"/>
              </w:rPr>
              <w:t>Gain on forgiveness of liabilities</w:t>
            </w:r>
          </w:p>
        </w:tc>
        <w:tc>
          <w:tcPr>
            <w:tcW w:w="10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69"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w:t>
            </w:r>
          </w:p>
        </w:tc>
        <w:tc>
          <w:tcPr>
            <w:tcW w:w="110" w:type="dxa"/>
            <w:tcBorders/>
            <w:shd w:fill="CCEEFF" w:val="clear"/>
            <w:vAlign w:val="bottom"/>
          </w:tcPr>
          <w:p>
            <w:pPr>
              <w:pStyle w:val="TableContents"/>
              <w:spacing w:before="0" w:after="283"/>
              <w:jc w:val="left"/>
              <w:rPr/>
            </w:pPr>
            <w:r>
              <w:rPr/>
              <w:t> </w:t>
            </w:r>
          </w:p>
        </w:tc>
        <w:tc>
          <w:tcPr>
            <w:tcW w:w="10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17"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w:t>
            </w:r>
          </w:p>
        </w:tc>
        <w:tc>
          <w:tcPr>
            <w:tcW w:w="110" w:type="dxa"/>
            <w:tcBorders/>
            <w:shd w:fill="CCEEFF" w:val="clear"/>
            <w:vAlign w:val="bottom"/>
          </w:tcPr>
          <w:p>
            <w:pPr>
              <w:pStyle w:val="TableContents"/>
              <w:spacing w:before="0" w:after="283"/>
              <w:jc w:val="left"/>
              <w:rPr/>
            </w:pPr>
            <w:r>
              <w:rPr/>
              <w:t> </w:t>
            </w:r>
          </w:p>
        </w:tc>
        <w:tc>
          <w:tcPr>
            <w:tcW w:w="104"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jc w:val="left"/>
              <w:rPr/>
            </w:pPr>
            <w:r>
              <w:rPr/>
              <w:t> </w:t>
            </w:r>
          </w:p>
        </w:tc>
        <w:tc>
          <w:tcPr>
            <w:tcW w:w="1102"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(176,505</w:t>
            </w:r>
          </w:p>
        </w:tc>
        <w:tc>
          <w:tcPr>
            <w:tcW w:w="124" w:type="dxa"/>
            <w:tcBorders/>
            <w:shd w:fill="CCEEFF" w:val="clear"/>
            <w:vAlign w:val="bottom"/>
          </w:tcPr>
          <w:p>
            <w:pPr>
              <w:pStyle w:val="TableContents"/>
              <w:spacing w:before="0" w:after="283"/>
              <w:jc w:val="left"/>
              <w:rPr>
                <w:rFonts w:ascii="helvetica" w:hAnsi="helvetica"/>
                <w:sz w:val="20"/>
              </w:rPr>
            </w:pPr>
            <w:r>
              <w:rPr>
                <w:rFonts w:ascii="helvetica" w:hAnsi="helvetica"/>
                <w:sz w:val="20"/>
              </w:rPr>
              <w:t>)</w:t>
            </w:r>
          </w:p>
        </w:tc>
      </w:tr>
      <w:tr>
        <w:trPr/>
        <w:tc>
          <w:tcPr>
            <w:tcW w:w="5987" w:type="dxa"/>
            <w:tcBorders/>
            <w:shd w:fill="FFFFFF" w:val="clear"/>
            <w:vAlign w:val="bottom"/>
          </w:tcPr>
          <w:p>
            <w:pPr>
              <w:pStyle w:val="TableContents"/>
              <w:spacing w:before="0" w:after="0"/>
              <w:ind w:left="0" w:right="0" w:hanging="0"/>
              <w:jc w:val="left"/>
              <w:rPr/>
            </w:pPr>
            <w:r>
              <w:rPr/>
              <w:t>     </w:t>
            </w:r>
            <w:r>
              <w:rPr>
                <w:rFonts w:ascii="helvetica" w:hAnsi="helvetica"/>
                <w:sz w:val="20"/>
              </w:rPr>
              <w:t>Amortization of prepaid consulting fees</w:t>
            </w:r>
          </w:p>
        </w:tc>
        <w:tc>
          <w:tcPr>
            <w:tcW w:w="104"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69"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w:t>
            </w:r>
          </w:p>
        </w:tc>
        <w:tc>
          <w:tcPr>
            <w:tcW w:w="110" w:type="dxa"/>
            <w:tcBorders/>
            <w:shd w:fill="FFFFFF" w:val="clear"/>
            <w:vAlign w:val="bottom"/>
          </w:tcPr>
          <w:p>
            <w:pPr>
              <w:pStyle w:val="TableContents"/>
              <w:spacing w:before="0" w:after="283"/>
              <w:jc w:val="left"/>
              <w:rPr/>
            </w:pPr>
            <w:r>
              <w:rPr/>
              <w:t> </w:t>
            </w:r>
          </w:p>
        </w:tc>
        <w:tc>
          <w:tcPr>
            <w:tcW w:w="104"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17"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w:t>
            </w:r>
          </w:p>
        </w:tc>
        <w:tc>
          <w:tcPr>
            <w:tcW w:w="110" w:type="dxa"/>
            <w:tcBorders/>
            <w:shd w:fill="FFFFFF" w:val="clear"/>
            <w:vAlign w:val="bottom"/>
          </w:tcPr>
          <w:p>
            <w:pPr>
              <w:pStyle w:val="TableContents"/>
              <w:spacing w:before="0" w:after="283"/>
              <w:jc w:val="left"/>
              <w:rPr/>
            </w:pPr>
            <w:r>
              <w:rPr/>
              <w:t> </w:t>
            </w:r>
          </w:p>
        </w:tc>
        <w:tc>
          <w:tcPr>
            <w:tcW w:w="104" w:type="dxa"/>
            <w:tcBorders/>
            <w:shd w:fill="FFFFFF" w:val="clear"/>
            <w:vAlign w:val="bottom"/>
          </w:tcPr>
          <w:p>
            <w:pPr>
              <w:pStyle w:val="TableContents"/>
              <w:spacing w:before="0" w:after="283"/>
              <w:rPr/>
            </w:pPr>
            <w:r>
              <w:rPr/>
              <w:t> </w:t>
            </w:r>
          </w:p>
        </w:tc>
        <w:tc>
          <w:tcPr>
            <w:tcW w:w="124" w:type="dxa"/>
            <w:tcBorders/>
            <w:shd w:fill="FFFFFF" w:val="clear"/>
            <w:vAlign w:val="bottom"/>
          </w:tcPr>
          <w:p>
            <w:pPr>
              <w:pStyle w:val="TableContents"/>
              <w:spacing w:before="0" w:after="283"/>
              <w:jc w:val="left"/>
              <w:rPr/>
            </w:pPr>
            <w:r>
              <w:rPr/>
              <w:t> </w:t>
            </w:r>
          </w:p>
        </w:tc>
        <w:tc>
          <w:tcPr>
            <w:tcW w:w="1102"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807,608</w:t>
            </w:r>
          </w:p>
        </w:tc>
        <w:tc>
          <w:tcPr>
            <w:tcW w:w="124" w:type="dxa"/>
            <w:tcBorders/>
            <w:shd w:fill="FFFFFF" w:val="clear"/>
            <w:vAlign w:val="bottom"/>
          </w:tcPr>
          <w:p>
            <w:pPr>
              <w:pStyle w:val="TableContents"/>
              <w:spacing w:before="0" w:after="283"/>
              <w:jc w:val="left"/>
              <w:rPr/>
            </w:pPr>
            <w:r>
              <w:rPr/>
              <w:t> </w:t>
            </w:r>
          </w:p>
        </w:tc>
      </w:tr>
      <w:tr>
        <w:trPr/>
        <w:tc>
          <w:tcPr>
            <w:tcW w:w="5987" w:type="dxa"/>
            <w:tcBorders/>
            <w:shd w:fill="CCEEFF" w:val="clear"/>
            <w:vAlign w:val="bottom"/>
          </w:tcPr>
          <w:p>
            <w:pPr>
              <w:pStyle w:val="TableContents"/>
              <w:spacing w:before="0" w:after="0"/>
              <w:ind w:left="0" w:right="0" w:hanging="0"/>
              <w:jc w:val="left"/>
              <w:rPr/>
            </w:pPr>
            <w:r>
              <w:rPr/>
              <w:t>     </w:t>
            </w:r>
            <w:r>
              <w:rPr>
                <w:rFonts w:ascii="helvetica" w:hAnsi="helvetica"/>
                <w:sz w:val="20"/>
              </w:rPr>
              <w:t>Depreciation</w:t>
            </w:r>
          </w:p>
        </w:tc>
        <w:tc>
          <w:tcPr>
            <w:tcW w:w="10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69"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1,247</w:t>
            </w:r>
          </w:p>
        </w:tc>
        <w:tc>
          <w:tcPr>
            <w:tcW w:w="110" w:type="dxa"/>
            <w:tcBorders/>
            <w:shd w:fill="CCEEFF" w:val="clear"/>
            <w:vAlign w:val="bottom"/>
          </w:tcPr>
          <w:p>
            <w:pPr>
              <w:pStyle w:val="TableContents"/>
              <w:spacing w:before="0" w:after="283"/>
              <w:jc w:val="left"/>
              <w:rPr/>
            </w:pPr>
            <w:r>
              <w:rPr/>
              <w:t> </w:t>
            </w:r>
          </w:p>
        </w:tc>
        <w:tc>
          <w:tcPr>
            <w:tcW w:w="10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17"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338</w:t>
            </w:r>
          </w:p>
        </w:tc>
        <w:tc>
          <w:tcPr>
            <w:tcW w:w="110" w:type="dxa"/>
            <w:tcBorders/>
            <w:shd w:fill="CCEEFF" w:val="clear"/>
            <w:vAlign w:val="bottom"/>
          </w:tcPr>
          <w:p>
            <w:pPr>
              <w:pStyle w:val="TableContents"/>
              <w:spacing w:before="0" w:after="283"/>
              <w:jc w:val="left"/>
              <w:rPr/>
            </w:pPr>
            <w:r>
              <w:rPr/>
              <w:t> </w:t>
            </w:r>
          </w:p>
        </w:tc>
        <w:tc>
          <w:tcPr>
            <w:tcW w:w="104"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jc w:val="left"/>
              <w:rPr/>
            </w:pPr>
            <w:r>
              <w:rPr/>
              <w:t> </w:t>
            </w:r>
          </w:p>
        </w:tc>
        <w:tc>
          <w:tcPr>
            <w:tcW w:w="1102"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4,401</w:t>
            </w:r>
          </w:p>
        </w:tc>
        <w:tc>
          <w:tcPr>
            <w:tcW w:w="124" w:type="dxa"/>
            <w:tcBorders/>
            <w:shd w:fill="CCEEFF" w:val="clear"/>
            <w:vAlign w:val="bottom"/>
          </w:tcPr>
          <w:p>
            <w:pPr>
              <w:pStyle w:val="TableContents"/>
              <w:spacing w:before="0" w:after="283"/>
              <w:jc w:val="left"/>
              <w:rPr/>
            </w:pPr>
            <w:r>
              <w:rPr/>
              <w:t> </w:t>
            </w:r>
          </w:p>
        </w:tc>
      </w:tr>
      <w:tr>
        <w:trPr/>
        <w:tc>
          <w:tcPr>
            <w:tcW w:w="5987" w:type="dxa"/>
            <w:tcBorders/>
            <w:shd w:fill="FFFFFF" w:val="clear"/>
            <w:vAlign w:val="bottom"/>
          </w:tcPr>
          <w:p>
            <w:pPr>
              <w:pStyle w:val="TableContents"/>
              <w:spacing w:before="0" w:after="0"/>
              <w:ind w:left="0" w:right="0" w:hanging="0"/>
              <w:jc w:val="left"/>
              <w:rPr/>
            </w:pPr>
            <w:r>
              <w:rPr/>
              <w:t>     </w:t>
            </w:r>
            <w:r>
              <w:rPr>
                <w:rFonts w:ascii="helvetica" w:hAnsi="helvetica"/>
                <w:sz w:val="20"/>
              </w:rPr>
              <w:t>Loss from extinguishment of debt</w:t>
            </w:r>
          </w:p>
        </w:tc>
        <w:tc>
          <w:tcPr>
            <w:tcW w:w="104"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69"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1,195,410</w:t>
            </w:r>
          </w:p>
        </w:tc>
        <w:tc>
          <w:tcPr>
            <w:tcW w:w="110" w:type="dxa"/>
            <w:tcBorders/>
            <w:shd w:fill="FFFFFF" w:val="clear"/>
            <w:vAlign w:val="bottom"/>
          </w:tcPr>
          <w:p>
            <w:pPr>
              <w:pStyle w:val="TableContents"/>
              <w:spacing w:before="0" w:after="283"/>
              <w:jc w:val="left"/>
              <w:rPr/>
            </w:pPr>
            <w:r>
              <w:rPr/>
              <w:t> </w:t>
            </w:r>
          </w:p>
        </w:tc>
        <w:tc>
          <w:tcPr>
            <w:tcW w:w="104"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17"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w:t>
            </w:r>
          </w:p>
        </w:tc>
        <w:tc>
          <w:tcPr>
            <w:tcW w:w="110" w:type="dxa"/>
            <w:tcBorders/>
            <w:shd w:fill="FFFFFF" w:val="clear"/>
            <w:vAlign w:val="bottom"/>
          </w:tcPr>
          <w:p>
            <w:pPr>
              <w:pStyle w:val="TableContents"/>
              <w:spacing w:before="0" w:after="283"/>
              <w:jc w:val="left"/>
              <w:rPr/>
            </w:pPr>
            <w:r>
              <w:rPr/>
              <w:t> </w:t>
            </w:r>
          </w:p>
        </w:tc>
        <w:tc>
          <w:tcPr>
            <w:tcW w:w="104" w:type="dxa"/>
            <w:tcBorders/>
            <w:shd w:fill="FFFFFF" w:val="clear"/>
            <w:vAlign w:val="bottom"/>
          </w:tcPr>
          <w:p>
            <w:pPr>
              <w:pStyle w:val="TableContents"/>
              <w:spacing w:before="0" w:after="283"/>
              <w:rPr/>
            </w:pPr>
            <w:r>
              <w:rPr/>
              <w:t> </w:t>
            </w:r>
          </w:p>
        </w:tc>
        <w:tc>
          <w:tcPr>
            <w:tcW w:w="124" w:type="dxa"/>
            <w:tcBorders/>
            <w:shd w:fill="FFFFFF" w:val="clear"/>
            <w:vAlign w:val="bottom"/>
          </w:tcPr>
          <w:p>
            <w:pPr>
              <w:pStyle w:val="TableContents"/>
              <w:spacing w:before="0" w:after="283"/>
              <w:jc w:val="left"/>
              <w:rPr/>
            </w:pPr>
            <w:r>
              <w:rPr/>
              <w:t> </w:t>
            </w:r>
          </w:p>
        </w:tc>
        <w:tc>
          <w:tcPr>
            <w:tcW w:w="1102"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1,195,410</w:t>
            </w:r>
          </w:p>
        </w:tc>
        <w:tc>
          <w:tcPr>
            <w:tcW w:w="124" w:type="dxa"/>
            <w:tcBorders/>
            <w:shd w:fill="FFFFFF" w:val="clear"/>
            <w:vAlign w:val="bottom"/>
          </w:tcPr>
          <w:p>
            <w:pPr>
              <w:pStyle w:val="TableContents"/>
              <w:spacing w:before="0" w:after="283"/>
              <w:jc w:val="left"/>
              <w:rPr/>
            </w:pPr>
            <w:r>
              <w:rPr/>
              <w:t> </w:t>
            </w:r>
          </w:p>
        </w:tc>
      </w:tr>
      <w:tr>
        <w:trPr/>
        <w:tc>
          <w:tcPr>
            <w:tcW w:w="5987" w:type="dxa"/>
            <w:tcBorders/>
            <w:shd w:fill="CCEEFF" w:val="clear"/>
            <w:vAlign w:val="bottom"/>
          </w:tcPr>
          <w:p>
            <w:pPr>
              <w:pStyle w:val="TableContents"/>
              <w:spacing w:before="0" w:after="0"/>
              <w:ind w:left="0" w:right="0" w:hanging="0"/>
              <w:jc w:val="left"/>
              <w:rPr/>
            </w:pPr>
            <w:r>
              <w:rPr/>
              <w:t>     </w:t>
            </w:r>
            <w:r>
              <w:rPr>
                <w:rFonts w:ascii="helvetica" w:hAnsi="helvetica"/>
                <w:sz w:val="20"/>
              </w:rPr>
              <w:t>Non-cash interest on notes payable</w:t>
            </w:r>
          </w:p>
        </w:tc>
        <w:tc>
          <w:tcPr>
            <w:tcW w:w="10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69"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24,658</w:t>
            </w:r>
          </w:p>
        </w:tc>
        <w:tc>
          <w:tcPr>
            <w:tcW w:w="110" w:type="dxa"/>
            <w:tcBorders/>
            <w:shd w:fill="CCEEFF" w:val="clear"/>
            <w:vAlign w:val="bottom"/>
          </w:tcPr>
          <w:p>
            <w:pPr>
              <w:pStyle w:val="TableContents"/>
              <w:spacing w:before="0" w:after="283"/>
              <w:jc w:val="left"/>
              <w:rPr/>
            </w:pPr>
            <w:r>
              <w:rPr/>
              <w:t> </w:t>
            </w:r>
          </w:p>
        </w:tc>
        <w:tc>
          <w:tcPr>
            <w:tcW w:w="10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17"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37,191</w:t>
            </w:r>
          </w:p>
        </w:tc>
        <w:tc>
          <w:tcPr>
            <w:tcW w:w="110" w:type="dxa"/>
            <w:tcBorders/>
            <w:shd w:fill="CCEEFF" w:val="clear"/>
            <w:vAlign w:val="bottom"/>
          </w:tcPr>
          <w:p>
            <w:pPr>
              <w:pStyle w:val="TableContents"/>
              <w:spacing w:before="0" w:after="283"/>
              <w:jc w:val="left"/>
              <w:rPr/>
            </w:pPr>
            <w:r>
              <w:rPr/>
              <w:t> </w:t>
            </w:r>
          </w:p>
        </w:tc>
        <w:tc>
          <w:tcPr>
            <w:tcW w:w="104"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jc w:val="left"/>
              <w:rPr/>
            </w:pPr>
            <w:r>
              <w:rPr/>
              <w:t> </w:t>
            </w:r>
          </w:p>
        </w:tc>
        <w:tc>
          <w:tcPr>
            <w:tcW w:w="1102"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1,730,892</w:t>
            </w:r>
          </w:p>
        </w:tc>
        <w:tc>
          <w:tcPr>
            <w:tcW w:w="124" w:type="dxa"/>
            <w:tcBorders/>
            <w:shd w:fill="CCEEFF" w:val="clear"/>
            <w:vAlign w:val="bottom"/>
          </w:tcPr>
          <w:p>
            <w:pPr>
              <w:pStyle w:val="TableContents"/>
              <w:spacing w:before="0" w:after="283"/>
              <w:jc w:val="left"/>
              <w:rPr/>
            </w:pPr>
            <w:r>
              <w:rPr/>
              <w:t> </w:t>
            </w:r>
          </w:p>
        </w:tc>
      </w:tr>
      <w:tr>
        <w:trPr/>
        <w:tc>
          <w:tcPr>
            <w:tcW w:w="5987" w:type="dxa"/>
            <w:tcBorders/>
            <w:shd w:fill="FFFFFF" w:val="clear"/>
            <w:vAlign w:val="bottom"/>
          </w:tcPr>
          <w:p>
            <w:pPr>
              <w:pStyle w:val="TableContents"/>
              <w:spacing w:before="0" w:after="0"/>
              <w:ind w:left="0" w:right="0" w:hanging="0"/>
              <w:jc w:val="left"/>
              <w:rPr/>
            </w:pPr>
            <w:r>
              <w:rPr/>
              <w:t>     </w:t>
            </w:r>
            <w:r>
              <w:rPr>
                <w:rFonts w:ascii="helvetica" w:hAnsi="helvetica"/>
                <w:sz w:val="20"/>
              </w:rPr>
              <w:t>Stock-based compensation</w:t>
            </w:r>
          </w:p>
        </w:tc>
        <w:tc>
          <w:tcPr>
            <w:tcW w:w="104"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69"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848,038</w:t>
            </w:r>
          </w:p>
        </w:tc>
        <w:tc>
          <w:tcPr>
            <w:tcW w:w="110" w:type="dxa"/>
            <w:tcBorders/>
            <w:shd w:fill="FFFFFF" w:val="clear"/>
            <w:vAlign w:val="bottom"/>
          </w:tcPr>
          <w:p>
            <w:pPr>
              <w:pStyle w:val="TableContents"/>
              <w:spacing w:before="0" w:after="283"/>
              <w:jc w:val="left"/>
              <w:rPr/>
            </w:pPr>
            <w:r>
              <w:rPr/>
              <w:t> </w:t>
            </w:r>
          </w:p>
        </w:tc>
        <w:tc>
          <w:tcPr>
            <w:tcW w:w="104"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17"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112,364</w:t>
            </w:r>
          </w:p>
        </w:tc>
        <w:tc>
          <w:tcPr>
            <w:tcW w:w="110" w:type="dxa"/>
            <w:tcBorders/>
            <w:shd w:fill="FFFFFF" w:val="clear"/>
            <w:vAlign w:val="bottom"/>
          </w:tcPr>
          <w:p>
            <w:pPr>
              <w:pStyle w:val="TableContents"/>
              <w:spacing w:before="0" w:after="283"/>
              <w:jc w:val="left"/>
              <w:rPr/>
            </w:pPr>
            <w:r>
              <w:rPr/>
              <w:t> </w:t>
            </w:r>
          </w:p>
        </w:tc>
        <w:tc>
          <w:tcPr>
            <w:tcW w:w="104" w:type="dxa"/>
            <w:tcBorders/>
            <w:shd w:fill="FFFFFF" w:val="clear"/>
            <w:vAlign w:val="bottom"/>
          </w:tcPr>
          <w:p>
            <w:pPr>
              <w:pStyle w:val="TableContents"/>
              <w:spacing w:before="0" w:after="283"/>
              <w:rPr/>
            </w:pPr>
            <w:r>
              <w:rPr/>
              <w:t> </w:t>
            </w:r>
          </w:p>
        </w:tc>
        <w:tc>
          <w:tcPr>
            <w:tcW w:w="124" w:type="dxa"/>
            <w:tcBorders/>
            <w:shd w:fill="FFFFFF" w:val="clear"/>
            <w:vAlign w:val="bottom"/>
          </w:tcPr>
          <w:p>
            <w:pPr>
              <w:pStyle w:val="TableContents"/>
              <w:spacing w:before="0" w:after="283"/>
              <w:jc w:val="left"/>
              <w:rPr/>
            </w:pPr>
            <w:r>
              <w:rPr/>
              <w:t> </w:t>
            </w:r>
          </w:p>
        </w:tc>
        <w:tc>
          <w:tcPr>
            <w:tcW w:w="1102"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2,976,854</w:t>
            </w:r>
          </w:p>
        </w:tc>
        <w:tc>
          <w:tcPr>
            <w:tcW w:w="124" w:type="dxa"/>
            <w:tcBorders/>
            <w:shd w:fill="FFFFFF" w:val="clear"/>
            <w:vAlign w:val="bottom"/>
          </w:tcPr>
          <w:p>
            <w:pPr>
              <w:pStyle w:val="TableContents"/>
              <w:spacing w:before="0" w:after="283"/>
              <w:jc w:val="left"/>
              <w:rPr/>
            </w:pPr>
            <w:r>
              <w:rPr/>
              <w:t> </w:t>
            </w:r>
          </w:p>
        </w:tc>
      </w:tr>
      <w:tr>
        <w:trPr/>
        <w:tc>
          <w:tcPr>
            <w:tcW w:w="5987" w:type="dxa"/>
            <w:tcBorders/>
            <w:shd w:fill="CCEEFF" w:val="clear"/>
            <w:vAlign w:val="bottom"/>
          </w:tcPr>
          <w:p>
            <w:pPr>
              <w:pStyle w:val="TableContents"/>
              <w:spacing w:before="0" w:after="0"/>
              <w:ind w:left="0" w:right="0" w:hanging="0"/>
              <w:jc w:val="left"/>
              <w:rPr/>
            </w:pPr>
            <w:r>
              <w:rPr/>
              <w:t>     </w:t>
            </w:r>
            <w:r>
              <w:rPr>
                <w:rFonts w:ascii="helvetica" w:hAnsi="helvetica"/>
                <w:sz w:val="20"/>
              </w:rPr>
              <w:t>Payments made on behalf of Company by related party</w:t>
            </w:r>
          </w:p>
        </w:tc>
        <w:tc>
          <w:tcPr>
            <w:tcW w:w="10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69"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w:t>
            </w:r>
          </w:p>
        </w:tc>
        <w:tc>
          <w:tcPr>
            <w:tcW w:w="110" w:type="dxa"/>
            <w:tcBorders/>
            <w:shd w:fill="CCEEFF" w:val="clear"/>
            <w:vAlign w:val="bottom"/>
          </w:tcPr>
          <w:p>
            <w:pPr>
              <w:pStyle w:val="TableContents"/>
              <w:spacing w:before="0" w:after="283"/>
              <w:jc w:val="left"/>
              <w:rPr/>
            </w:pPr>
            <w:r>
              <w:rPr/>
              <w:t> </w:t>
            </w:r>
          </w:p>
        </w:tc>
        <w:tc>
          <w:tcPr>
            <w:tcW w:w="10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17"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w:t>
            </w:r>
          </w:p>
        </w:tc>
        <w:tc>
          <w:tcPr>
            <w:tcW w:w="110" w:type="dxa"/>
            <w:tcBorders/>
            <w:shd w:fill="CCEEFF" w:val="clear"/>
            <w:vAlign w:val="bottom"/>
          </w:tcPr>
          <w:p>
            <w:pPr>
              <w:pStyle w:val="TableContents"/>
              <w:spacing w:before="0" w:after="283"/>
              <w:jc w:val="left"/>
              <w:rPr/>
            </w:pPr>
            <w:r>
              <w:rPr/>
              <w:t> </w:t>
            </w:r>
          </w:p>
        </w:tc>
        <w:tc>
          <w:tcPr>
            <w:tcW w:w="104"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jc w:val="left"/>
              <w:rPr/>
            </w:pPr>
            <w:r>
              <w:rPr/>
              <w:t> </w:t>
            </w:r>
          </w:p>
        </w:tc>
        <w:tc>
          <w:tcPr>
            <w:tcW w:w="1102"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254,142</w:t>
            </w:r>
          </w:p>
        </w:tc>
        <w:tc>
          <w:tcPr>
            <w:tcW w:w="124" w:type="dxa"/>
            <w:tcBorders/>
            <w:shd w:fill="CCEEFF" w:val="clear"/>
            <w:vAlign w:val="bottom"/>
          </w:tcPr>
          <w:p>
            <w:pPr>
              <w:pStyle w:val="TableContents"/>
              <w:spacing w:before="0" w:after="283"/>
              <w:jc w:val="left"/>
              <w:rPr/>
            </w:pPr>
            <w:r>
              <w:rPr/>
              <w:t> </w:t>
            </w:r>
          </w:p>
        </w:tc>
      </w:tr>
      <w:tr>
        <w:trPr/>
        <w:tc>
          <w:tcPr>
            <w:tcW w:w="5987" w:type="dxa"/>
            <w:tcBorders/>
            <w:shd w:fill="FFFFFF" w:val="clear"/>
            <w:vAlign w:val="bottom"/>
          </w:tcPr>
          <w:p>
            <w:pPr>
              <w:pStyle w:val="TableContents"/>
              <w:spacing w:before="0" w:after="0"/>
              <w:ind w:left="0" w:right="0" w:hanging="0"/>
              <w:jc w:val="left"/>
              <w:rPr>
                <w:rFonts w:ascii="helvetica" w:hAnsi="helvetica"/>
                <w:sz w:val="20"/>
              </w:rPr>
            </w:pPr>
            <w:r>
              <w:rPr>
                <w:rFonts w:ascii="helvetica" w:hAnsi="helvetica"/>
                <w:sz w:val="20"/>
              </w:rPr>
              <w:t>Changes in assets and liabilities:</w:t>
            </w:r>
          </w:p>
        </w:tc>
        <w:tc>
          <w:tcPr>
            <w:tcW w:w="104"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69" w:type="dxa"/>
            <w:tcBorders/>
            <w:shd w:fill="FFFFFF" w:val="clear"/>
            <w:vAlign w:val="bottom"/>
          </w:tcPr>
          <w:p>
            <w:pPr>
              <w:pStyle w:val="TableContents"/>
              <w:spacing w:before="0" w:after="283"/>
              <w:jc w:val="right"/>
              <w:rPr/>
            </w:pPr>
            <w:r>
              <w:rPr/>
              <w:t> </w:t>
            </w:r>
          </w:p>
        </w:tc>
        <w:tc>
          <w:tcPr>
            <w:tcW w:w="110" w:type="dxa"/>
            <w:tcBorders/>
            <w:shd w:fill="FFFFFF" w:val="clear"/>
            <w:vAlign w:val="bottom"/>
          </w:tcPr>
          <w:p>
            <w:pPr>
              <w:pStyle w:val="TableContents"/>
              <w:spacing w:before="0" w:after="283"/>
              <w:jc w:val="left"/>
              <w:rPr/>
            </w:pPr>
            <w:r>
              <w:rPr/>
              <w:t> </w:t>
            </w:r>
          </w:p>
        </w:tc>
        <w:tc>
          <w:tcPr>
            <w:tcW w:w="104"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17" w:type="dxa"/>
            <w:tcBorders/>
            <w:shd w:fill="FFFFFF" w:val="clear"/>
            <w:vAlign w:val="bottom"/>
          </w:tcPr>
          <w:p>
            <w:pPr>
              <w:pStyle w:val="TableContents"/>
              <w:spacing w:before="0" w:after="283"/>
              <w:jc w:val="right"/>
              <w:rPr/>
            </w:pPr>
            <w:r>
              <w:rPr/>
              <w:t> </w:t>
            </w:r>
          </w:p>
        </w:tc>
        <w:tc>
          <w:tcPr>
            <w:tcW w:w="110" w:type="dxa"/>
            <w:tcBorders/>
            <w:shd w:fill="FFFFFF" w:val="clear"/>
            <w:vAlign w:val="bottom"/>
          </w:tcPr>
          <w:p>
            <w:pPr>
              <w:pStyle w:val="TableContents"/>
              <w:spacing w:before="0" w:after="283"/>
              <w:jc w:val="left"/>
              <w:rPr/>
            </w:pPr>
            <w:r>
              <w:rPr/>
              <w:t> </w:t>
            </w:r>
          </w:p>
        </w:tc>
        <w:tc>
          <w:tcPr>
            <w:tcW w:w="104" w:type="dxa"/>
            <w:tcBorders/>
            <w:shd w:fill="FFFFFF" w:val="clear"/>
            <w:vAlign w:val="bottom"/>
          </w:tcPr>
          <w:p>
            <w:pPr>
              <w:pStyle w:val="TableContents"/>
              <w:spacing w:before="0" w:after="283"/>
              <w:rPr/>
            </w:pPr>
            <w:r>
              <w:rPr/>
              <w:t> </w:t>
            </w:r>
          </w:p>
        </w:tc>
        <w:tc>
          <w:tcPr>
            <w:tcW w:w="124" w:type="dxa"/>
            <w:tcBorders/>
            <w:shd w:fill="FFFFFF" w:val="clear"/>
            <w:vAlign w:val="bottom"/>
          </w:tcPr>
          <w:p>
            <w:pPr>
              <w:pStyle w:val="TableContents"/>
              <w:spacing w:before="0" w:after="283"/>
              <w:jc w:val="left"/>
              <w:rPr/>
            </w:pPr>
            <w:r>
              <w:rPr/>
              <w:t> </w:t>
            </w:r>
          </w:p>
        </w:tc>
        <w:tc>
          <w:tcPr>
            <w:tcW w:w="1102" w:type="dxa"/>
            <w:tcBorders/>
            <w:shd w:fill="FFFFFF" w:val="clear"/>
            <w:vAlign w:val="bottom"/>
          </w:tcPr>
          <w:p>
            <w:pPr>
              <w:pStyle w:val="TableContents"/>
              <w:spacing w:before="0" w:after="283"/>
              <w:jc w:val="right"/>
              <w:rPr/>
            </w:pPr>
            <w:r>
              <w:rPr/>
              <w:t> </w:t>
            </w:r>
          </w:p>
        </w:tc>
        <w:tc>
          <w:tcPr>
            <w:tcW w:w="124" w:type="dxa"/>
            <w:tcBorders/>
            <w:shd w:fill="FFFFFF" w:val="clear"/>
            <w:vAlign w:val="bottom"/>
          </w:tcPr>
          <w:p>
            <w:pPr>
              <w:pStyle w:val="TableContents"/>
              <w:spacing w:before="0" w:after="283"/>
              <w:jc w:val="left"/>
              <w:rPr/>
            </w:pPr>
            <w:r>
              <w:rPr/>
              <w:t> </w:t>
            </w:r>
          </w:p>
        </w:tc>
      </w:tr>
      <w:tr>
        <w:trPr/>
        <w:tc>
          <w:tcPr>
            <w:tcW w:w="5987" w:type="dxa"/>
            <w:tcBorders/>
            <w:shd w:fill="CCEEFF" w:val="clear"/>
            <w:vAlign w:val="bottom"/>
          </w:tcPr>
          <w:p>
            <w:pPr>
              <w:pStyle w:val="TableContents"/>
              <w:spacing w:before="0" w:after="0"/>
              <w:ind w:left="0" w:right="0" w:hanging="0"/>
              <w:jc w:val="left"/>
              <w:rPr/>
            </w:pPr>
            <w:r>
              <w:rPr/>
              <w:t>      </w:t>
            </w:r>
            <w:r>
              <w:rPr>
                <w:rFonts w:ascii="helvetica" w:hAnsi="helvetica"/>
                <w:sz w:val="20"/>
              </w:rPr>
              <w:t>Prepaid consulting costs</w:t>
            </w:r>
          </w:p>
        </w:tc>
        <w:tc>
          <w:tcPr>
            <w:tcW w:w="10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69"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w:t>
            </w:r>
          </w:p>
        </w:tc>
        <w:tc>
          <w:tcPr>
            <w:tcW w:w="110" w:type="dxa"/>
            <w:tcBorders/>
            <w:shd w:fill="CCEEFF" w:val="clear"/>
            <w:vAlign w:val="bottom"/>
          </w:tcPr>
          <w:p>
            <w:pPr>
              <w:pStyle w:val="TableContents"/>
              <w:spacing w:before="0" w:after="283"/>
              <w:jc w:val="left"/>
              <w:rPr/>
            </w:pPr>
            <w:r>
              <w:rPr/>
              <w:t> </w:t>
            </w:r>
          </w:p>
        </w:tc>
        <w:tc>
          <w:tcPr>
            <w:tcW w:w="10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17"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w:t>
            </w:r>
          </w:p>
        </w:tc>
        <w:tc>
          <w:tcPr>
            <w:tcW w:w="110" w:type="dxa"/>
            <w:tcBorders/>
            <w:shd w:fill="CCEEFF" w:val="clear"/>
            <w:vAlign w:val="bottom"/>
          </w:tcPr>
          <w:p>
            <w:pPr>
              <w:pStyle w:val="TableContents"/>
              <w:spacing w:before="0" w:after="283"/>
              <w:jc w:val="left"/>
              <w:rPr/>
            </w:pPr>
            <w:r>
              <w:rPr/>
              <w:t> </w:t>
            </w:r>
          </w:p>
        </w:tc>
        <w:tc>
          <w:tcPr>
            <w:tcW w:w="104"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jc w:val="left"/>
              <w:rPr/>
            </w:pPr>
            <w:r>
              <w:rPr/>
              <w:t> </w:t>
            </w:r>
          </w:p>
        </w:tc>
        <w:tc>
          <w:tcPr>
            <w:tcW w:w="1102"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(140,000</w:t>
            </w:r>
          </w:p>
        </w:tc>
        <w:tc>
          <w:tcPr>
            <w:tcW w:w="124" w:type="dxa"/>
            <w:tcBorders/>
            <w:shd w:fill="CCEEFF" w:val="clear"/>
            <w:vAlign w:val="bottom"/>
          </w:tcPr>
          <w:p>
            <w:pPr>
              <w:pStyle w:val="TableContents"/>
              <w:spacing w:before="0" w:after="283"/>
              <w:jc w:val="left"/>
              <w:rPr>
                <w:rFonts w:ascii="helvetica" w:hAnsi="helvetica"/>
                <w:sz w:val="20"/>
              </w:rPr>
            </w:pPr>
            <w:r>
              <w:rPr>
                <w:rFonts w:ascii="helvetica" w:hAnsi="helvetica"/>
                <w:sz w:val="20"/>
              </w:rPr>
              <w:t>)</w:t>
            </w:r>
          </w:p>
        </w:tc>
      </w:tr>
      <w:tr>
        <w:trPr/>
        <w:tc>
          <w:tcPr>
            <w:tcW w:w="5987" w:type="dxa"/>
            <w:tcBorders/>
            <w:shd w:fill="FFFFFF" w:val="clear"/>
            <w:vAlign w:val="bottom"/>
          </w:tcPr>
          <w:p>
            <w:pPr>
              <w:pStyle w:val="TableContents"/>
              <w:spacing w:before="0" w:after="0"/>
              <w:ind w:left="0" w:right="0" w:hanging="0"/>
              <w:jc w:val="left"/>
              <w:rPr/>
            </w:pPr>
            <w:r>
              <w:rPr/>
              <w:t>      </w:t>
            </w:r>
            <w:r>
              <w:rPr>
                <w:rFonts w:ascii="helvetica" w:hAnsi="helvetica"/>
                <w:sz w:val="20"/>
              </w:rPr>
              <w:t>Prepaid expenses and other current assets</w:t>
            </w:r>
          </w:p>
        </w:tc>
        <w:tc>
          <w:tcPr>
            <w:tcW w:w="104"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69"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(31,148</w:t>
            </w:r>
          </w:p>
        </w:tc>
        <w:tc>
          <w:tcPr>
            <w:tcW w:w="110" w:type="dxa"/>
            <w:tcBorders/>
            <w:shd w:fill="FFFFFF" w:val="clear"/>
            <w:vAlign w:val="bottom"/>
          </w:tcPr>
          <w:p>
            <w:pPr>
              <w:pStyle w:val="TableContents"/>
              <w:spacing w:before="0" w:after="283"/>
              <w:jc w:val="left"/>
              <w:rPr>
                <w:rFonts w:ascii="helvetica" w:hAnsi="helvetica"/>
                <w:sz w:val="20"/>
              </w:rPr>
            </w:pPr>
            <w:r>
              <w:rPr>
                <w:rFonts w:ascii="helvetica" w:hAnsi="helvetica"/>
                <w:sz w:val="20"/>
              </w:rPr>
              <w:t>)</w:t>
            </w:r>
          </w:p>
        </w:tc>
        <w:tc>
          <w:tcPr>
            <w:tcW w:w="104"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17"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(10,289</w:t>
            </w:r>
          </w:p>
        </w:tc>
        <w:tc>
          <w:tcPr>
            <w:tcW w:w="110" w:type="dxa"/>
            <w:tcBorders/>
            <w:shd w:fill="FFFFFF" w:val="clear"/>
            <w:vAlign w:val="bottom"/>
          </w:tcPr>
          <w:p>
            <w:pPr>
              <w:pStyle w:val="TableContents"/>
              <w:spacing w:before="0" w:after="283"/>
              <w:jc w:val="left"/>
              <w:rPr>
                <w:rFonts w:ascii="helvetica" w:hAnsi="helvetica"/>
                <w:sz w:val="20"/>
              </w:rPr>
            </w:pPr>
            <w:r>
              <w:rPr>
                <w:rFonts w:ascii="helvetica" w:hAnsi="helvetica"/>
                <w:sz w:val="20"/>
              </w:rPr>
              <w:t>)</w:t>
            </w:r>
          </w:p>
        </w:tc>
        <w:tc>
          <w:tcPr>
            <w:tcW w:w="104" w:type="dxa"/>
            <w:tcBorders/>
            <w:shd w:fill="FFFFFF" w:val="clear"/>
            <w:vAlign w:val="bottom"/>
          </w:tcPr>
          <w:p>
            <w:pPr>
              <w:pStyle w:val="TableContents"/>
              <w:spacing w:before="0" w:after="283"/>
              <w:rPr/>
            </w:pPr>
            <w:r>
              <w:rPr/>
              <w:t> </w:t>
            </w:r>
          </w:p>
        </w:tc>
        <w:tc>
          <w:tcPr>
            <w:tcW w:w="124" w:type="dxa"/>
            <w:tcBorders/>
            <w:shd w:fill="FFFFFF" w:val="clear"/>
            <w:vAlign w:val="bottom"/>
          </w:tcPr>
          <w:p>
            <w:pPr>
              <w:pStyle w:val="TableContents"/>
              <w:spacing w:before="0" w:after="283"/>
              <w:jc w:val="left"/>
              <w:rPr/>
            </w:pPr>
            <w:r>
              <w:rPr/>
              <w:t> </w:t>
            </w:r>
          </w:p>
        </w:tc>
        <w:tc>
          <w:tcPr>
            <w:tcW w:w="1102"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(45,945</w:t>
            </w:r>
          </w:p>
        </w:tc>
        <w:tc>
          <w:tcPr>
            <w:tcW w:w="124" w:type="dxa"/>
            <w:tcBorders/>
            <w:shd w:fill="FFFFFF" w:val="clear"/>
            <w:vAlign w:val="bottom"/>
          </w:tcPr>
          <w:p>
            <w:pPr>
              <w:pStyle w:val="TableContents"/>
              <w:spacing w:before="0" w:after="283"/>
              <w:jc w:val="left"/>
              <w:rPr>
                <w:rFonts w:ascii="helvetica" w:hAnsi="helvetica"/>
                <w:sz w:val="20"/>
              </w:rPr>
            </w:pPr>
            <w:r>
              <w:rPr>
                <w:rFonts w:ascii="helvetica" w:hAnsi="helvetica"/>
                <w:sz w:val="20"/>
              </w:rPr>
              <w:t>)</w:t>
            </w:r>
          </w:p>
        </w:tc>
      </w:tr>
      <w:tr>
        <w:trPr/>
        <w:tc>
          <w:tcPr>
            <w:tcW w:w="5987" w:type="dxa"/>
            <w:tcBorders/>
            <w:shd w:fill="CCEEFF" w:val="clear"/>
            <w:vAlign w:val="bottom"/>
          </w:tcPr>
          <w:p>
            <w:pPr>
              <w:pStyle w:val="TableContents"/>
              <w:spacing w:before="0" w:after="0"/>
              <w:ind w:left="0" w:right="0" w:hanging="0"/>
              <w:jc w:val="left"/>
              <w:rPr/>
            </w:pPr>
            <w:r>
              <w:rPr/>
              <w:t>     </w:t>
            </w:r>
            <w:r>
              <w:rPr>
                <w:rFonts w:ascii="helvetica" w:hAnsi="helvetica"/>
                <w:sz w:val="20"/>
              </w:rPr>
              <w:t>Accounts payable and accrued expenses</w:t>
            </w:r>
          </w:p>
        </w:tc>
        <w:tc>
          <w:tcPr>
            <w:tcW w:w="10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69"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117,156</w:t>
            </w:r>
          </w:p>
        </w:tc>
        <w:tc>
          <w:tcPr>
            <w:tcW w:w="110" w:type="dxa"/>
            <w:tcBorders/>
            <w:shd w:fill="CCEEFF" w:val="clear"/>
            <w:vAlign w:val="bottom"/>
          </w:tcPr>
          <w:p>
            <w:pPr>
              <w:pStyle w:val="TableContents"/>
              <w:spacing w:before="0" w:after="283"/>
              <w:jc w:val="left"/>
              <w:rPr/>
            </w:pPr>
            <w:r>
              <w:rPr/>
              <w:t> </w:t>
            </w:r>
          </w:p>
        </w:tc>
        <w:tc>
          <w:tcPr>
            <w:tcW w:w="10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17"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102,430</w:t>
            </w:r>
          </w:p>
        </w:tc>
        <w:tc>
          <w:tcPr>
            <w:tcW w:w="110" w:type="dxa"/>
            <w:tcBorders/>
            <w:shd w:fill="CCEEFF" w:val="clear"/>
            <w:vAlign w:val="bottom"/>
          </w:tcPr>
          <w:p>
            <w:pPr>
              <w:pStyle w:val="TableContents"/>
              <w:spacing w:before="0" w:after="283"/>
              <w:jc w:val="left"/>
              <w:rPr/>
            </w:pPr>
            <w:r>
              <w:rPr/>
              <w:t> </w:t>
            </w:r>
          </w:p>
        </w:tc>
        <w:tc>
          <w:tcPr>
            <w:tcW w:w="104"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jc w:val="left"/>
              <w:rPr/>
            </w:pPr>
            <w:r>
              <w:rPr/>
              <w:t> </w:t>
            </w:r>
          </w:p>
        </w:tc>
        <w:tc>
          <w:tcPr>
            <w:tcW w:w="1102"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425,682</w:t>
            </w:r>
          </w:p>
        </w:tc>
        <w:tc>
          <w:tcPr>
            <w:tcW w:w="124" w:type="dxa"/>
            <w:tcBorders/>
            <w:shd w:fill="CCEEFF" w:val="clear"/>
            <w:vAlign w:val="bottom"/>
          </w:tcPr>
          <w:p>
            <w:pPr>
              <w:pStyle w:val="TableContents"/>
              <w:spacing w:before="0" w:after="283"/>
              <w:jc w:val="left"/>
              <w:rPr/>
            </w:pPr>
            <w:r>
              <w:rPr/>
              <w:t> </w:t>
            </w:r>
          </w:p>
        </w:tc>
      </w:tr>
      <w:tr>
        <w:trPr/>
        <w:tc>
          <w:tcPr>
            <w:tcW w:w="5987" w:type="dxa"/>
            <w:tcBorders/>
            <w:shd w:fill="FFFFFF" w:val="clear"/>
            <w:vAlign w:val="bottom"/>
          </w:tcPr>
          <w:p>
            <w:pPr>
              <w:pStyle w:val="TableContents"/>
              <w:spacing w:before="0" w:after="0"/>
              <w:ind w:left="0" w:right="0" w:hanging="0"/>
              <w:jc w:val="left"/>
              <w:rPr/>
            </w:pPr>
            <w:r>
              <w:rPr/>
              <w:t>     </w:t>
            </w:r>
            <w:r>
              <w:rPr>
                <w:rFonts w:ascii="helvetica" w:hAnsi="helvetica"/>
                <w:sz w:val="20"/>
              </w:rPr>
              <w:t>Accrued Phase 3 expenses</w:t>
            </w:r>
          </w:p>
        </w:tc>
        <w:tc>
          <w:tcPr>
            <w:tcW w:w="104"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69"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w:t>
            </w:r>
          </w:p>
        </w:tc>
        <w:tc>
          <w:tcPr>
            <w:tcW w:w="110" w:type="dxa"/>
            <w:tcBorders/>
            <w:shd w:fill="FFFFFF" w:val="clear"/>
            <w:vAlign w:val="bottom"/>
          </w:tcPr>
          <w:p>
            <w:pPr>
              <w:pStyle w:val="TableContents"/>
              <w:spacing w:before="0" w:after="283"/>
              <w:jc w:val="left"/>
              <w:rPr/>
            </w:pPr>
            <w:r>
              <w:rPr/>
              <w:t> </w:t>
            </w:r>
          </w:p>
        </w:tc>
        <w:tc>
          <w:tcPr>
            <w:tcW w:w="104"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17"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w:t>
            </w:r>
          </w:p>
        </w:tc>
        <w:tc>
          <w:tcPr>
            <w:tcW w:w="110" w:type="dxa"/>
            <w:tcBorders/>
            <w:shd w:fill="FFFFFF" w:val="clear"/>
            <w:vAlign w:val="bottom"/>
          </w:tcPr>
          <w:p>
            <w:pPr>
              <w:pStyle w:val="TableContents"/>
              <w:spacing w:before="0" w:after="283"/>
              <w:jc w:val="left"/>
              <w:rPr/>
            </w:pPr>
            <w:r>
              <w:rPr/>
              <w:t> </w:t>
            </w:r>
          </w:p>
        </w:tc>
        <w:tc>
          <w:tcPr>
            <w:tcW w:w="104" w:type="dxa"/>
            <w:tcBorders/>
            <w:shd w:fill="FFFFFF" w:val="clear"/>
            <w:vAlign w:val="bottom"/>
          </w:tcPr>
          <w:p>
            <w:pPr>
              <w:pStyle w:val="TableContents"/>
              <w:spacing w:before="0" w:after="283"/>
              <w:rPr/>
            </w:pPr>
            <w:r>
              <w:rPr/>
              <w:t> </w:t>
            </w:r>
          </w:p>
        </w:tc>
        <w:tc>
          <w:tcPr>
            <w:tcW w:w="124" w:type="dxa"/>
            <w:tcBorders/>
            <w:shd w:fill="FFFFFF" w:val="clear"/>
            <w:vAlign w:val="bottom"/>
          </w:tcPr>
          <w:p>
            <w:pPr>
              <w:pStyle w:val="TableContents"/>
              <w:spacing w:before="0" w:after="283"/>
              <w:jc w:val="left"/>
              <w:rPr/>
            </w:pPr>
            <w:r>
              <w:rPr/>
              <w:t> </w:t>
            </w:r>
          </w:p>
        </w:tc>
        <w:tc>
          <w:tcPr>
            <w:tcW w:w="1102"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111,871</w:t>
            </w:r>
          </w:p>
        </w:tc>
        <w:tc>
          <w:tcPr>
            <w:tcW w:w="124" w:type="dxa"/>
            <w:tcBorders/>
            <w:shd w:fill="FFFFFF" w:val="clear"/>
            <w:vAlign w:val="bottom"/>
          </w:tcPr>
          <w:p>
            <w:pPr>
              <w:pStyle w:val="TableContents"/>
              <w:spacing w:before="0" w:after="283"/>
              <w:jc w:val="left"/>
              <w:rPr/>
            </w:pPr>
            <w:r>
              <w:rPr/>
              <w:t> </w:t>
            </w:r>
          </w:p>
        </w:tc>
      </w:tr>
      <w:tr>
        <w:trPr/>
        <w:tc>
          <w:tcPr>
            <w:tcW w:w="5987" w:type="dxa"/>
            <w:tcBorders/>
            <w:shd w:fill="CCEEFF" w:val="clear"/>
            <w:vAlign w:val="bottom"/>
          </w:tcPr>
          <w:p>
            <w:pPr>
              <w:pStyle w:val="TableContents"/>
              <w:spacing w:before="0" w:after="0"/>
              <w:ind w:left="0" w:right="0" w:hanging="0"/>
              <w:jc w:val="left"/>
              <w:rPr/>
            </w:pPr>
            <w:r>
              <w:rPr/>
              <w:t>     </w:t>
            </w:r>
            <w:r>
              <w:rPr>
                <w:rFonts w:ascii="helvetica" w:hAnsi="helvetica"/>
                <w:sz w:val="20"/>
              </w:rPr>
              <w:t>Accrued payroll</w:t>
            </w:r>
          </w:p>
        </w:tc>
        <w:tc>
          <w:tcPr>
            <w:tcW w:w="10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69"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11,915</w:t>
            </w:r>
          </w:p>
        </w:tc>
        <w:tc>
          <w:tcPr>
            <w:tcW w:w="110" w:type="dxa"/>
            <w:tcBorders/>
            <w:shd w:fill="CCEEFF" w:val="clear"/>
            <w:vAlign w:val="bottom"/>
          </w:tcPr>
          <w:p>
            <w:pPr>
              <w:pStyle w:val="TableContents"/>
              <w:spacing w:before="0" w:after="283"/>
              <w:jc w:val="left"/>
              <w:rPr/>
            </w:pPr>
            <w:r>
              <w:rPr/>
              <w:t> </w:t>
            </w:r>
          </w:p>
        </w:tc>
        <w:tc>
          <w:tcPr>
            <w:tcW w:w="10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17"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48,835</w:t>
            </w:r>
          </w:p>
        </w:tc>
        <w:tc>
          <w:tcPr>
            <w:tcW w:w="110" w:type="dxa"/>
            <w:tcBorders/>
            <w:shd w:fill="CCEEFF" w:val="clear"/>
            <w:vAlign w:val="bottom"/>
          </w:tcPr>
          <w:p>
            <w:pPr>
              <w:pStyle w:val="TableContents"/>
              <w:spacing w:before="0" w:after="283"/>
              <w:jc w:val="left"/>
              <w:rPr/>
            </w:pPr>
            <w:r>
              <w:rPr/>
              <w:t> </w:t>
            </w:r>
          </w:p>
        </w:tc>
        <w:tc>
          <w:tcPr>
            <w:tcW w:w="104"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jc w:val="left"/>
              <w:rPr/>
            </w:pPr>
            <w:r>
              <w:rPr/>
              <w:t> </w:t>
            </w:r>
          </w:p>
        </w:tc>
        <w:tc>
          <w:tcPr>
            <w:tcW w:w="1102"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98,506</w:t>
            </w:r>
          </w:p>
        </w:tc>
        <w:tc>
          <w:tcPr>
            <w:tcW w:w="124" w:type="dxa"/>
            <w:tcBorders/>
            <w:shd w:fill="CCEEFF" w:val="clear"/>
            <w:vAlign w:val="bottom"/>
          </w:tcPr>
          <w:p>
            <w:pPr>
              <w:pStyle w:val="TableContents"/>
              <w:spacing w:before="0" w:after="283"/>
              <w:jc w:val="left"/>
              <w:rPr/>
            </w:pPr>
            <w:r>
              <w:rPr/>
              <w:t> </w:t>
            </w:r>
          </w:p>
        </w:tc>
      </w:tr>
      <w:tr>
        <w:trPr/>
        <w:tc>
          <w:tcPr>
            <w:tcW w:w="5987" w:type="dxa"/>
            <w:tcBorders/>
            <w:shd w:fill="FFFFFF" w:val="clear"/>
            <w:vAlign w:val="bottom"/>
          </w:tcPr>
          <w:p>
            <w:pPr>
              <w:pStyle w:val="TableContents"/>
              <w:spacing w:before="0" w:after="0"/>
              <w:ind w:left="0" w:right="0" w:hanging="0"/>
              <w:jc w:val="left"/>
              <w:rPr/>
            </w:pPr>
            <w:r>
              <w:rPr/>
              <w:t>     </w:t>
            </w:r>
            <w:r>
              <w:rPr>
                <w:rFonts w:ascii="helvetica" w:hAnsi="helvetica"/>
                <w:sz w:val="20"/>
              </w:rPr>
              <w:t>Deferred revenue</w:t>
            </w:r>
          </w:p>
        </w:tc>
        <w:tc>
          <w:tcPr>
            <w:tcW w:w="104" w:type="dxa"/>
            <w:tcBorders/>
            <w:shd w:fill="FFFFFF" w:val="clear"/>
            <w:vAlign w:val="bottom"/>
          </w:tcPr>
          <w:p>
            <w:pPr>
              <w:pStyle w:val="TableContents"/>
              <w:spacing w:before="0" w:after="283"/>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69" w:type="dxa"/>
            <w:tcBorders>
              <w:bottom w:val="single" w:sz="12" w:space="0" w:color="000000"/>
            </w:tcBorders>
            <w:shd w:fill="FFFF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(100,000</w:t>
            </w:r>
          </w:p>
        </w:tc>
        <w:tc>
          <w:tcPr>
            <w:tcW w:w="110" w:type="dxa"/>
            <w:tcBorders/>
            <w:shd w:fill="FFFFFF" w:val="clear"/>
            <w:vAlign w:val="bottom"/>
          </w:tcPr>
          <w:p>
            <w:pPr>
              <w:pStyle w:val="TableContents"/>
              <w:spacing w:before="0" w:after="283"/>
              <w:jc w:val="left"/>
              <w:rPr>
                <w:rFonts w:ascii="helvetica" w:hAnsi="helvetica"/>
                <w:sz w:val="20"/>
              </w:rPr>
            </w:pPr>
            <w:r>
              <w:rPr>
                <w:rFonts w:ascii="helvetica" w:hAnsi="helvetica"/>
                <w:sz w:val="20"/>
              </w:rPr>
              <w:t>)</w:t>
            </w:r>
          </w:p>
        </w:tc>
        <w:tc>
          <w:tcPr>
            <w:tcW w:w="104" w:type="dxa"/>
            <w:tcBorders/>
            <w:shd w:fill="FFFFFF" w:val="clear"/>
            <w:vAlign w:val="bottom"/>
          </w:tcPr>
          <w:p>
            <w:pPr>
              <w:pStyle w:val="TableContents"/>
              <w:spacing w:before="0" w:after="283"/>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17" w:type="dxa"/>
            <w:tcBorders>
              <w:bottom w:val="single" w:sz="12" w:space="0" w:color="000000"/>
            </w:tcBorders>
            <w:shd w:fill="FFFF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20,000</w:t>
            </w:r>
          </w:p>
        </w:tc>
        <w:tc>
          <w:tcPr>
            <w:tcW w:w="110" w:type="dxa"/>
            <w:tcBorders/>
            <w:shd w:fill="FFFFFF" w:val="clear"/>
            <w:vAlign w:val="bottom"/>
          </w:tcPr>
          <w:p>
            <w:pPr>
              <w:pStyle w:val="TableContents"/>
              <w:spacing w:before="0" w:after="283"/>
              <w:jc w:val="left"/>
              <w:rPr/>
            </w:pPr>
            <w:r>
              <w:rPr/>
              <w:t> </w:t>
            </w:r>
          </w:p>
        </w:tc>
        <w:tc>
          <w:tcPr>
            <w:tcW w:w="104" w:type="dxa"/>
            <w:tcBorders/>
            <w:shd w:fill="FFFFFF" w:val="clear"/>
            <w:vAlign w:val="bottom"/>
          </w:tcPr>
          <w:p>
            <w:pPr>
              <w:pStyle w:val="TableContents"/>
              <w:spacing w:before="0" w:after="283"/>
              <w:rPr/>
            </w:pPr>
            <w:r>
              <w:rPr/>
              <w:t> </w:t>
            </w:r>
          </w:p>
        </w:tc>
        <w:tc>
          <w:tcPr>
            <w:tcW w:w="124"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102" w:type="dxa"/>
            <w:tcBorders>
              <w:bottom w:val="single" w:sz="12" w:space="0" w:color="000000"/>
            </w:tcBorders>
            <w:shd w:fill="FFFF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w:t>
            </w:r>
          </w:p>
        </w:tc>
        <w:tc>
          <w:tcPr>
            <w:tcW w:w="124" w:type="dxa"/>
            <w:tcBorders/>
            <w:shd w:fill="FFFFFF" w:val="clear"/>
            <w:vAlign w:val="bottom"/>
          </w:tcPr>
          <w:p>
            <w:pPr>
              <w:pStyle w:val="TableContents"/>
              <w:spacing w:before="0" w:after="283"/>
              <w:jc w:val="left"/>
              <w:rPr/>
            </w:pPr>
            <w:r>
              <w:rPr/>
              <w:t> </w:t>
            </w:r>
          </w:p>
        </w:tc>
      </w:tr>
      <w:tr>
        <w:trPr/>
        <w:tc>
          <w:tcPr>
            <w:tcW w:w="5987" w:type="dxa"/>
            <w:tcBorders/>
            <w:shd w:fill="CCEEFF" w:val="clear"/>
            <w:vAlign w:val="bottom"/>
          </w:tcPr>
          <w:p>
            <w:pPr>
              <w:pStyle w:val="TableContents"/>
              <w:spacing w:before="0" w:after="0"/>
              <w:ind w:left="0" w:right="0" w:hanging="0"/>
              <w:jc w:val="left"/>
              <w:rPr>
                <w:rFonts w:ascii="helvetica" w:hAnsi="helvetica"/>
                <w:sz w:val="20"/>
              </w:rPr>
            </w:pPr>
            <w:r>
              <w:rPr>
                <w:rFonts w:ascii="helvetica" w:hAnsi="helvetica"/>
                <w:sz w:val="20"/>
              </w:rPr>
              <w:t>NET CASH USED IN OPERATING ACTIVITIES</w:t>
            </w:r>
          </w:p>
        </w:tc>
        <w:tc>
          <w:tcPr>
            <w:tcW w:w="104" w:type="dxa"/>
            <w:tcBorders/>
            <w:shd w:fill="CCEEFF" w:val="clear"/>
            <w:vAlign w:val="bottom"/>
          </w:tcPr>
          <w:p>
            <w:pPr>
              <w:pStyle w:val="TableContents"/>
              <w:spacing w:before="0" w:after="283"/>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69" w:type="dxa"/>
            <w:tcBorders>
              <w:bottom w:val="single" w:sz="12" w:space="0" w:color="000000"/>
            </w:tcBorders>
            <w:shd w:fill="CCEE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(617,405</w:t>
            </w:r>
          </w:p>
        </w:tc>
        <w:tc>
          <w:tcPr>
            <w:tcW w:w="110" w:type="dxa"/>
            <w:tcBorders/>
            <w:shd w:fill="CCEEFF" w:val="clear"/>
            <w:vAlign w:val="bottom"/>
          </w:tcPr>
          <w:p>
            <w:pPr>
              <w:pStyle w:val="TableContents"/>
              <w:spacing w:before="0" w:after="283"/>
              <w:jc w:val="left"/>
              <w:rPr>
                <w:rFonts w:ascii="helvetica" w:hAnsi="helvetica"/>
                <w:sz w:val="20"/>
              </w:rPr>
            </w:pPr>
            <w:r>
              <w:rPr>
                <w:rFonts w:ascii="helvetica" w:hAnsi="helvetica"/>
                <w:sz w:val="20"/>
              </w:rPr>
              <w:t>)</w:t>
            </w:r>
          </w:p>
        </w:tc>
        <w:tc>
          <w:tcPr>
            <w:tcW w:w="104" w:type="dxa"/>
            <w:tcBorders/>
            <w:shd w:fill="CCEEFF" w:val="clear"/>
            <w:vAlign w:val="bottom"/>
          </w:tcPr>
          <w:p>
            <w:pPr>
              <w:pStyle w:val="TableContents"/>
              <w:spacing w:before="0" w:after="283"/>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17" w:type="dxa"/>
            <w:tcBorders>
              <w:bottom w:val="single" w:sz="12" w:space="0" w:color="000000"/>
            </w:tcBorders>
            <w:shd w:fill="CCEE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(285,909</w:t>
            </w:r>
          </w:p>
        </w:tc>
        <w:tc>
          <w:tcPr>
            <w:tcW w:w="110" w:type="dxa"/>
            <w:tcBorders/>
            <w:shd w:fill="CCEEFF" w:val="clear"/>
            <w:vAlign w:val="bottom"/>
          </w:tcPr>
          <w:p>
            <w:pPr>
              <w:pStyle w:val="TableContents"/>
              <w:spacing w:before="0" w:after="283"/>
              <w:jc w:val="left"/>
              <w:rPr>
                <w:rFonts w:ascii="helvetica" w:hAnsi="helvetica"/>
                <w:sz w:val="20"/>
              </w:rPr>
            </w:pPr>
            <w:r>
              <w:rPr>
                <w:rFonts w:ascii="helvetica" w:hAnsi="helvetica"/>
                <w:sz w:val="20"/>
              </w:rPr>
              <w:t>)</w:t>
            </w:r>
          </w:p>
        </w:tc>
        <w:tc>
          <w:tcPr>
            <w:tcW w:w="104" w:type="dxa"/>
            <w:tcBorders/>
            <w:shd w:fill="CCEEFF" w:val="clear"/>
            <w:vAlign w:val="bottom"/>
          </w:tcPr>
          <w:p>
            <w:pPr>
              <w:pStyle w:val="TableContents"/>
              <w:spacing w:before="0" w:after="283"/>
              <w:rPr/>
            </w:pPr>
            <w:r>
              <w:rPr/>
              <w:t> </w:t>
            </w:r>
          </w:p>
        </w:tc>
        <w:tc>
          <w:tcPr>
            <w:tcW w:w="124"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102" w:type="dxa"/>
            <w:tcBorders>
              <w:bottom w:val="single" w:sz="12" w:space="0" w:color="000000"/>
            </w:tcBorders>
            <w:shd w:fill="CCEE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(11,387,498</w:t>
            </w:r>
          </w:p>
        </w:tc>
        <w:tc>
          <w:tcPr>
            <w:tcW w:w="124" w:type="dxa"/>
            <w:tcBorders/>
            <w:shd w:fill="CCEEFF" w:val="clear"/>
            <w:vAlign w:val="bottom"/>
          </w:tcPr>
          <w:p>
            <w:pPr>
              <w:pStyle w:val="TableContents"/>
              <w:spacing w:before="0" w:after="283"/>
              <w:jc w:val="left"/>
              <w:rPr>
                <w:rFonts w:ascii="helvetica" w:hAnsi="helvetica"/>
                <w:sz w:val="20"/>
              </w:rPr>
            </w:pPr>
            <w:r>
              <w:rPr>
                <w:rFonts w:ascii="helvetica" w:hAnsi="helvetica"/>
                <w:sz w:val="20"/>
              </w:rPr>
              <w:t>)</w:t>
            </w:r>
          </w:p>
        </w:tc>
      </w:tr>
      <w:tr>
        <w:trPr/>
        <w:tc>
          <w:tcPr>
            <w:tcW w:w="5987" w:type="dxa"/>
            <w:tcBorders/>
            <w:shd w:fill="FFFFFF" w:val="clear"/>
            <w:vAlign w:val="bottom"/>
          </w:tcPr>
          <w:p>
            <w:pPr>
              <w:pStyle w:val="TableContents"/>
              <w:spacing w:before="0" w:after="0"/>
              <w:ind w:left="0" w:right="0" w:hanging="0"/>
              <w:jc w:val="left"/>
              <w:rPr>
                <w:rFonts w:ascii="helvetica" w:hAnsi="helvetica"/>
                <w:sz w:val="20"/>
              </w:rPr>
            </w:pPr>
            <w:r>
              <w:rPr>
                <w:rFonts w:ascii="helvetica" w:hAnsi="helvetica"/>
                <w:sz w:val="20"/>
              </w:rPr>
              <w:t>CASH FLOWS FROM INVESTING ACTIVITIES</w:t>
            </w:r>
          </w:p>
        </w:tc>
        <w:tc>
          <w:tcPr>
            <w:tcW w:w="104"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69" w:type="dxa"/>
            <w:tcBorders/>
            <w:shd w:fill="FFFFFF" w:val="clear"/>
            <w:vAlign w:val="bottom"/>
          </w:tcPr>
          <w:p>
            <w:pPr>
              <w:pStyle w:val="TableContents"/>
              <w:spacing w:before="0" w:after="283"/>
              <w:jc w:val="right"/>
              <w:rPr/>
            </w:pPr>
            <w:r>
              <w:rPr/>
              <w:t> </w:t>
            </w:r>
          </w:p>
        </w:tc>
        <w:tc>
          <w:tcPr>
            <w:tcW w:w="110" w:type="dxa"/>
            <w:tcBorders/>
            <w:shd w:fill="FFFFFF" w:val="clear"/>
            <w:vAlign w:val="bottom"/>
          </w:tcPr>
          <w:p>
            <w:pPr>
              <w:pStyle w:val="TableContents"/>
              <w:spacing w:before="0" w:after="283"/>
              <w:jc w:val="left"/>
              <w:rPr/>
            </w:pPr>
            <w:r>
              <w:rPr/>
              <w:t> </w:t>
            </w:r>
          </w:p>
        </w:tc>
        <w:tc>
          <w:tcPr>
            <w:tcW w:w="104"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17" w:type="dxa"/>
            <w:tcBorders/>
            <w:shd w:fill="FFFFFF" w:val="clear"/>
            <w:vAlign w:val="bottom"/>
          </w:tcPr>
          <w:p>
            <w:pPr>
              <w:pStyle w:val="TableContents"/>
              <w:spacing w:before="0" w:after="283"/>
              <w:jc w:val="right"/>
              <w:rPr/>
            </w:pPr>
            <w:r>
              <w:rPr/>
              <w:t> </w:t>
            </w:r>
          </w:p>
        </w:tc>
        <w:tc>
          <w:tcPr>
            <w:tcW w:w="110" w:type="dxa"/>
            <w:tcBorders/>
            <w:shd w:fill="FFFFFF" w:val="clear"/>
            <w:vAlign w:val="bottom"/>
          </w:tcPr>
          <w:p>
            <w:pPr>
              <w:pStyle w:val="TableContents"/>
              <w:spacing w:before="0" w:after="283"/>
              <w:jc w:val="left"/>
              <w:rPr/>
            </w:pPr>
            <w:r>
              <w:rPr/>
              <w:t> </w:t>
            </w:r>
          </w:p>
        </w:tc>
        <w:tc>
          <w:tcPr>
            <w:tcW w:w="104" w:type="dxa"/>
            <w:tcBorders/>
            <w:shd w:fill="FFFFFF" w:val="clear"/>
            <w:vAlign w:val="bottom"/>
          </w:tcPr>
          <w:p>
            <w:pPr>
              <w:pStyle w:val="TableContents"/>
              <w:spacing w:before="0" w:after="283"/>
              <w:rPr/>
            </w:pPr>
            <w:r>
              <w:rPr/>
              <w:t> </w:t>
            </w:r>
          </w:p>
        </w:tc>
        <w:tc>
          <w:tcPr>
            <w:tcW w:w="124" w:type="dxa"/>
            <w:tcBorders/>
            <w:shd w:fill="FFFFFF" w:val="clear"/>
            <w:vAlign w:val="bottom"/>
          </w:tcPr>
          <w:p>
            <w:pPr>
              <w:pStyle w:val="TableContents"/>
              <w:spacing w:before="0" w:after="283"/>
              <w:jc w:val="left"/>
              <w:rPr/>
            </w:pPr>
            <w:r>
              <w:rPr/>
              <w:t> </w:t>
            </w:r>
          </w:p>
        </w:tc>
        <w:tc>
          <w:tcPr>
            <w:tcW w:w="1102" w:type="dxa"/>
            <w:tcBorders/>
            <w:shd w:fill="FFFFFF" w:val="clear"/>
            <w:vAlign w:val="bottom"/>
          </w:tcPr>
          <w:p>
            <w:pPr>
              <w:pStyle w:val="TableContents"/>
              <w:spacing w:before="0" w:after="283"/>
              <w:jc w:val="right"/>
              <w:rPr/>
            </w:pPr>
            <w:r>
              <w:rPr/>
              <w:t> </w:t>
            </w:r>
          </w:p>
        </w:tc>
        <w:tc>
          <w:tcPr>
            <w:tcW w:w="124" w:type="dxa"/>
            <w:tcBorders/>
            <w:shd w:fill="FFFFFF" w:val="clear"/>
            <w:vAlign w:val="bottom"/>
          </w:tcPr>
          <w:p>
            <w:pPr>
              <w:pStyle w:val="TableContents"/>
              <w:spacing w:before="0" w:after="283"/>
              <w:jc w:val="left"/>
              <w:rPr/>
            </w:pPr>
            <w:r>
              <w:rPr/>
              <w:t> </w:t>
            </w:r>
          </w:p>
        </w:tc>
      </w:tr>
      <w:tr>
        <w:trPr/>
        <w:tc>
          <w:tcPr>
            <w:tcW w:w="5987" w:type="dxa"/>
            <w:tcBorders/>
            <w:shd w:fill="CCEEFF" w:val="clear"/>
            <w:vAlign w:val="bottom"/>
          </w:tcPr>
          <w:p>
            <w:pPr>
              <w:pStyle w:val="TableContents"/>
              <w:spacing w:before="0" w:after="0"/>
              <w:ind w:left="0" w:right="0" w:hanging="0"/>
              <w:jc w:val="left"/>
              <w:rPr/>
            </w:pPr>
            <w:r>
              <w:rPr/>
              <w:t>     </w:t>
            </w:r>
            <w:r>
              <w:rPr>
                <w:rFonts w:ascii="helvetica" w:hAnsi="helvetica"/>
                <w:sz w:val="20"/>
              </w:rPr>
              <w:t>Purchases of fixed assets</w:t>
            </w:r>
          </w:p>
        </w:tc>
        <w:tc>
          <w:tcPr>
            <w:tcW w:w="104" w:type="dxa"/>
            <w:tcBorders/>
            <w:shd w:fill="CCEEFF" w:val="clear"/>
            <w:vAlign w:val="bottom"/>
          </w:tcPr>
          <w:p>
            <w:pPr>
              <w:pStyle w:val="TableContents"/>
              <w:spacing w:before="0" w:after="283"/>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69" w:type="dxa"/>
            <w:tcBorders>
              <w:bottom w:val="single" w:sz="12" w:space="0" w:color="000000"/>
            </w:tcBorders>
            <w:shd w:fill="CCEE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(15,308</w:t>
            </w:r>
          </w:p>
        </w:tc>
        <w:tc>
          <w:tcPr>
            <w:tcW w:w="110" w:type="dxa"/>
            <w:tcBorders/>
            <w:shd w:fill="CCEEFF" w:val="clear"/>
            <w:vAlign w:val="bottom"/>
          </w:tcPr>
          <w:p>
            <w:pPr>
              <w:pStyle w:val="TableContents"/>
              <w:spacing w:before="0" w:after="283"/>
              <w:jc w:val="left"/>
              <w:rPr>
                <w:rFonts w:ascii="helvetica" w:hAnsi="helvetica"/>
                <w:sz w:val="20"/>
              </w:rPr>
            </w:pPr>
            <w:r>
              <w:rPr>
                <w:rFonts w:ascii="helvetica" w:hAnsi="helvetica"/>
                <w:sz w:val="20"/>
              </w:rPr>
              <w:t>)</w:t>
            </w:r>
          </w:p>
        </w:tc>
        <w:tc>
          <w:tcPr>
            <w:tcW w:w="104" w:type="dxa"/>
            <w:tcBorders/>
            <w:shd w:fill="CCEEFF" w:val="clear"/>
            <w:vAlign w:val="bottom"/>
          </w:tcPr>
          <w:p>
            <w:pPr>
              <w:pStyle w:val="TableContents"/>
              <w:spacing w:before="0" w:after="283"/>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17" w:type="dxa"/>
            <w:tcBorders>
              <w:bottom w:val="single" w:sz="12" w:space="0" w:color="000000"/>
            </w:tcBorders>
            <w:shd w:fill="CCEE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w:t>
            </w:r>
          </w:p>
        </w:tc>
        <w:tc>
          <w:tcPr>
            <w:tcW w:w="110" w:type="dxa"/>
            <w:tcBorders/>
            <w:shd w:fill="CCEEFF" w:val="clear"/>
            <w:vAlign w:val="bottom"/>
          </w:tcPr>
          <w:p>
            <w:pPr>
              <w:pStyle w:val="TableContents"/>
              <w:spacing w:before="0" w:after="283"/>
              <w:jc w:val="left"/>
              <w:rPr/>
            </w:pPr>
            <w:r>
              <w:rPr/>
              <w:t> </w:t>
            </w:r>
          </w:p>
        </w:tc>
        <w:tc>
          <w:tcPr>
            <w:tcW w:w="104" w:type="dxa"/>
            <w:tcBorders/>
            <w:shd w:fill="CCEEFF" w:val="clear"/>
            <w:vAlign w:val="bottom"/>
          </w:tcPr>
          <w:p>
            <w:pPr>
              <w:pStyle w:val="TableContents"/>
              <w:spacing w:before="0" w:after="283"/>
              <w:rPr/>
            </w:pPr>
            <w:r>
              <w:rPr/>
              <w:t> </w:t>
            </w:r>
          </w:p>
        </w:tc>
        <w:tc>
          <w:tcPr>
            <w:tcW w:w="124"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102" w:type="dxa"/>
            <w:tcBorders>
              <w:bottom w:val="single" w:sz="12" w:space="0" w:color="000000"/>
            </w:tcBorders>
            <w:shd w:fill="CCEE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(18,462</w:t>
            </w:r>
          </w:p>
        </w:tc>
        <w:tc>
          <w:tcPr>
            <w:tcW w:w="124" w:type="dxa"/>
            <w:tcBorders/>
            <w:shd w:fill="CCEEFF" w:val="clear"/>
            <w:vAlign w:val="bottom"/>
          </w:tcPr>
          <w:p>
            <w:pPr>
              <w:pStyle w:val="TableContents"/>
              <w:spacing w:before="0" w:after="283"/>
              <w:jc w:val="left"/>
              <w:rPr>
                <w:rFonts w:ascii="helvetica" w:hAnsi="helvetica"/>
                <w:sz w:val="20"/>
              </w:rPr>
            </w:pPr>
            <w:r>
              <w:rPr>
                <w:rFonts w:ascii="helvetica" w:hAnsi="helvetica"/>
                <w:sz w:val="20"/>
              </w:rPr>
              <w:t>)</w:t>
            </w:r>
          </w:p>
        </w:tc>
      </w:tr>
      <w:tr>
        <w:trPr/>
        <w:tc>
          <w:tcPr>
            <w:tcW w:w="5987" w:type="dxa"/>
            <w:tcBorders/>
            <w:shd w:fill="FFFFFF" w:val="clear"/>
            <w:vAlign w:val="bottom"/>
          </w:tcPr>
          <w:p>
            <w:pPr>
              <w:pStyle w:val="TableContents"/>
              <w:spacing w:before="0" w:after="0"/>
              <w:ind w:left="0" w:right="0" w:hanging="0"/>
              <w:jc w:val="left"/>
              <w:rPr>
                <w:rFonts w:ascii="helvetica" w:hAnsi="helvetica"/>
                <w:sz w:val="20"/>
              </w:rPr>
            </w:pPr>
            <w:r>
              <w:rPr>
                <w:rFonts w:ascii="helvetica" w:hAnsi="helvetica"/>
                <w:sz w:val="20"/>
              </w:rPr>
              <w:t>NET CASH USED IN INVESTING ACTIVITIES</w:t>
            </w:r>
          </w:p>
        </w:tc>
        <w:tc>
          <w:tcPr>
            <w:tcW w:w="104" w:type="dxa"/>
            <w:tcBorders/>
            <w:shd w:fill="FFFFFF" w:val="clear"/>
            <w:vAlign w:val="bottom"/>
          </w:tcPr>
          <w:p>
            <w:pPr>
              <w:pStyle w:val="TableContents"/>
              <w:spacing w:before="0" w:after="283"/>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69" w:type="dxa"/>
            <w:tcBorders>
              <w:bottom w:val="single" w:sz="12" w:space="0" w:color="000000"/>
            </w:tcBorders>
            <w:shd w:fill="FFFF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(15,308</w:t>
            </w:r>
          </w:p>
        </w:tc>
        <w:tc>
          <w:tcPr>
            <w:tcW w:w="110" w:type="dxa"/>
            <w:tcBorders/>
            <w:shd w:fill="FFFFFF" w:val="clear"/>
            <w:vAlign w:val="bottom"/>
          </w:tcPr>
          <w:p>
            <w:pPr>
              <w:pStyle w:val="TableContents"/>
              <w:spacing w:before="0" w:after="283"/>
              <w:jc w:val="left"/>
              <w:rPr>
                <w:rFonts w:ascii="helvetica" w:hAnsi="helvetica"/>
                <w:sz w:val="20"/>
              </w:rPr>
            </w:pPr>
            <w:r>
              <w:rPr>
                <w:rFonts w:ascii="helvetica" w:hAnsi="helvetica"/>
                <w:sz w:val="20"/>
              </w:rPr>
              <w:t>)</w:t>
            </w:r>
          </w:p>
        </w:tc>
        <w:tc>
          <w:tcPr>
            <w:tcW w:w="104" w:type="dxa"/>
            <w:tcBorders/>
            <w:shd w:fill="FFFFFF" w:val="clear"/>
            <w:vAlign w:val="bottom"/>
          </w:tcPr>
          <w:p>
            <w:pPr>
              <w:pStyle w:val="TableContents"/>
              <w:spacing w:before="0" w:after="283"/>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17" w:type="dxa"/>
            <w:tcBorders>
              <w:bottom w:val="single" w:sz="12" w:space="0" w:color="000000"/>
            </w:tcBorders>
            <w:shd w:fill="FFFF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w:t>
            </w:r>
          </w:p>
        </w:tc>
        <w:tc>
          <w:tcPr>
            <w:tcW w:w="110" w:type="dxa"/>
            <w:tcBorders/>
            <w:shd w:fill="FFFFFF" w:val="clear"/>
            <w:vAlign w:val="bottom"/>
          </w:tcPr>
          <w:p>
            <w:pPr>
              <w:pStyle w:val="TableContents"/>
              <w:spacing w:before="0" w:after="283"/>
              <w:jc w:val="left"/>
              <w:rPr/>
            </w:pPr>
            <w:r>
              <w:rPr/>
              <w:t> </w:t>
            </w:r>
          </w:p>
        </w:tc>
        <w:tc>
          <w:tcPr>
            <w:tcW w:w="104" w:type="dxa"/>
            <w:tcBorders/>
            <w:shd w:fill="FFFFFF" w:val="clear"/>
            <w:vAlign w:val="bottom"/>
          </w:tcPr>
          <w:p>
            <w:pPr>
              <w:pStyle w:val="TableContents"/>
              <w:spacing w:before="0" w:after="283"/>
              <w:rPr/>
            </w:pPr>
            <w:r>
              <w:rPr/>
              <w:t> </w:t>
            </w:r>
          </w:p>
        </w:tc>
        <w:tc>
          <w:tcPr>
            <w:tcW w:w="124"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102" w:type="dxa"/>
            <w:tcBorders>
              <w:bottom w:val="single" w:sz="12" w:space="0" w:color="000000"/>
            </w:tcBorders>
            <w:shd w:fill="FFFF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(18,462</w:t>
            </w:r>
          </w:p>
        </w:tc>
        <w:tc>
          <w:tcPr>
            <w:tcW w:w="124" w:type="dxa"/>
            <w:tcBorders/>
            <w:shd w:fill="FFFFFF" w:val="clear"/>
            <w:vAlign w:val="bottom"/>
          </w:tcPr>
          <w:p>
            <w:pPr>
              <w:pStyle w:val="TableContents"/>
              <w:spacing w:before="0" w:after="283"/>
              <w:jc w:val="left"/>
              <w:rPr>
                <w:rFonts w:ascii="helvetica" w:hAnsi="helvetica"/>
                <w:sz w:val="20"/>
              </w:rPr>
            </w:pPr>
            <w:r>
              <w:rPr>
                <w:rFonts w:ascii="helvetica" w:hAnsi="helvetica"/>
                <w:sz w:val="20"/>
              </w:rPr>
              <w:t>)</w:t>
            </w:r>
          </w:p>
        </w:tc>
      </w:tr>
      <w:tr>
        <w:trPr/>
        <w:tc>
          <w:tcPr>
            <w:tcW w:w="5987" w:type="dxa"/>
            <w:tcBorders/>
            <w:shd w:fill="CCEEFF" w:val="clear"/>
            <w:vAlign w:val="bottom"/>
          </w:tcPr>
          <w:p>
            <w:pPr>
              <w:pStyle w:val="TableContents"/>
              <w:spacing w:before="0" w:after="0"/>
              <w:ind w:left="0" w:right="0" w:hanging="0"/>
              <w:jc w:val="left"/>
              <w:rPr>
                <w:rFonts w:ascii="helvetica" w:hAnsi="helvetica"/>
                <w:sz w:val="20"/>
              </w:rPr>
            </w:pPr>
            <w:r>
              <w:rPr>
                <w:rFonts w:ascii="helvetica" w:hAnsi="helvetica"/>
                <w:sz w:val="20"/>
              </w:rPr>
              <w:t>CASH FLOWS FROM FINANCING ACTIVITIES</w:t>
            </w:r>
          </w:p>
        </w:tc>
        <w:tc>
          <w:tcPr>
            <w:tcW w:w="10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69" w:type="dxa"/>
            <w:tcBorders/>
            <w:shd w:fill="CCEEFF" w:val="clear"/>
            <w:vAlign w:val="bottom"/>
          </w:tcPr>
          <w:p>
            <w:pPr>
              <w:pStyle w:val="TableContents"/>
              <w:spacing w:before="0" w:after="283"/>
              <w:jc w:val="right"/>
              <w:rPr/>
            </w:pPr>
            <w:r>
              <w:rPr/>
              <w:t> </w:t>
            </w:r>
          </w:p>
        </w:tc>
        <w:tc>
          <w:tcPr>
            <w:tcW w:w="110" w:type="dxa"/>
            <w:tcBorders/>
            <w:shd w:fill="CCEEFF" w:val="clear"/>
            <w:vAlign w:val="bottom"/>
          </w:tcPr>
          <w:p>
            <w:pPr>
              <w:pStyle w:val="TableContents"/>
              <w:spacing w:before="0" w:after="283"/>
              <w:jc w:val="left"/>
              <w:rPr/>
            </w:pPr>
            <w:r>
              <w:rPr/>
              <w:t> </w:t>
            </w:r>
          </w:p>
        </w:tc>
        <w:tc>
          <w:tcPr>
            <w:tcW w:w="10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17" w:type="dxa"/>
            <w:tcBorders/>
            <w:shd w:fill="CCEEFF" w:val="clear"/>
            <w:vAlign w:val="bottom"/>
          </w:tcPr>
          <w:p>
            <w:pPr>
              <w:pStyle w:val="TableContents"/>
              <w:spacing w:before="0" w:after="283"/>
              <w:jc w:val="right"/>
              <w:rPr/>
            </w:pPr>
            <w:r>
              <w:rPr/>
              <w:t> </w:t>
            </w:r>
          </w:p>
        </w:tc>
        <w:tc>
          <w:tcPr>
            <w:tcW w:w="110" w:type="dxa"/>
            <w:tcBorders/>
            <w:shd w:fill="CCEEFF" w:val="clear"/>
            <w:vAlign w:val="bottom"/>
          </w:tcPr>
          <w:p>
            <w:pPr>
              <w:pStyle w:val="TableContents"/>
              <w:spacing w:before="0" w:after="283"/>
              <w:jc w:val="left"/>
              <w:rPr/>
            </w:pPr>
            <w:r>
              <w:rPr/>
              <w:t> </w:t>
            </w:r>
          </w:p>
        </w:tc>
        <w:tc>
          <w:tcPr>
            <w:tcW w:w="104"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jc w:val="left"/>
              <w:rPr/>
            </w:pPr>
            <w:r>
              <w:rPr/>
              <w:t> </w:t>
            </w:r>
          </w:p>
        </w:tc>
        <w:tc>
          <w:tcPr>
            <w:tcW w:w="1102" w:type="dxa"/>
            <w:tcBorders/>
            <w:shd w:fill="CCEEFF" w:val="clear"/>
            <w:vAlign w:val="bottom"/>
          </w:tcPr>
          <w:p>
            <w:pPr>
              <w:pStyle w:val="TableContents"/>
              <w:spacing w:before="0" w:after="283"/>
              <w:jc w:val="right"/>
              <w:rPr/>
            </w:pPr>
            <w:r>
              <w:rPr/>
              <w:t> </w:t>
            </w:r>
          </w:p>
        </w:tc>
        <w:tc>
          <w:tcPr>
            <w:tcW w:w="124" w:type="dxa"/>
            <w:tcBorders/>
            <w:shd w:fill="CCEEFF" w:val="clear"/>
            <w:vAlign w:val="bottom"/>
          </w:tcPr>
          <w:p>
            <w:pPr>
              <w:pStyle w:val="TableContents"/>
              <w:spacing w:before="0" w:after="283"/>
              <w:jc w:val="left"/>
              <w:rPr/>
            </w:pPr>
            <w:r>
              <w:rPr/>
              <w:t> </w:t>
            </w:r>
          </w:p>
        </w:tc>
      </w:tr>
      <w:tr>
        <w:trPr/>
        <w:tc>
          <w:tcPr>
            <w:tcW w:w="5987" w:type="dxa"/>
            <w:tcBorders/>
            <w:shd w:fill="FFFFFF" w:val="clear"/>
            <w:vAlign w:val="bottom"/>
          </w:tcPr>
          <w:p>
            <w:pPr>
              <w:pStyle w:val="TableContents"/>
              <w:spacing w:before="0" w:after="0"/>
              <w:ind w:left="0" w:right="0" w:hanging="0"/>
              <w:jc w:val="left"/>
              <w:rPr/>
            </w:pPr>
            <w:r>
              <w:rPr/>
              <w:t>     </w:t>
            </w:r>
            <w:r>
              <w:rPr>
                <w:rFonts w:ascii="helvetica" w:hAnsi="helvetica"/>
                <w:sz w:val="20"/>
              </w:rPr>
              <w:t>Proceeds from issuance of notes payable to a related party</w:t>
            </w:r>
          </w:p>
        </w:tc>
        <w:tc>
          <w:tcPr>
            <w:tcW w:w="104"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69"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450,000</w:t>
            </w:r>
          </w:p>
        </w:tc>
        <w:tc>
          <w:tcPr>
            <w:tcW w:w="110" w:type="dxa"/>
            <w:tcBorders/>
            <w:shd w:fill="FFFFFF" w:val="clear"/>
            <w:vAlign w:val="bottom"/>
          </w:tcPr>
          <w:p>
            <w:pPr>
              <w:pStyle w:val="TableContents"/>
              <w:spacing w:before="0" w:after="283"/>
              <w:jc w:val="left"/>
              <w:rPr/>
            </w:pPr>
            <w:r>
              <w:rPr/>
              <w:t> </w:t>
            </w:r>
          </w:p>
        </w:tc>
        <w:tc>
          <w:tcPr>
            <w:tcW w:w="104"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17"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w:t>
            </w:r>
          </w:p>
        </w:tc>
        <w:tc>
          <w:tcPr>
            <w:tcW w:w="110" w:type="dxa"/>
            <w:tcBorders/>
            <w:shd w:fill="FFFFFF" w:val="clear"/>
            <w:vAlign w:val="bottom"/>
          </w:tcPr>
          <w:p>
            <w:pPr>
              <w:pStyle w:val="TableContents"/>
              <w:spacing w:before="0" w:after="283"/>
              <w:jc w:val="left"/>
              <w:rPr/>
            </w:pPr>
            <w:r>
              <w:rPr/>
              <w:t> </w:t>
            </w:r>
          </w:p>
        </w:tc>
        <w:tc>
          <w:tcPr>
            <w:tcW w:w="104" w:type="dxa"/>
            <w:tcBorders/>
            <w:shd w:fill="FFFFFF" w:val="clear"/>
            <w:vAlign w:val="bottom"/>
          </w:tcPr>
          <w:p>
            <w:pPr>
              <w:pStyle w:val="TableContents"/>
              <w:spacing w:before="0" w:after="283"/>
              <w:rPr/>
            </w:pPr>
            <w:r>
              <w:rPr/>
              <w:t> </w:t>
            </w:r>
          </w:p>
        </w:tc>
        <w:tc>
          <w:tcPr>
            <w:tcW w:w="124" w:type="dxa"/>
            <w:tcBorders/>
            <w:shd w:fill="FFFFFF" w:val="clear"/>
            <w:vAlign w:val="bottom"/>
          </w:tcPr>
          <w:p>
            <w:pPr>
              <w:pStyle w:val="TableContents"/>
              <w:spacing w:before="0" w:after="283"/>
              <w:jc w:val="left"/>
              <w:rPr/>
            </w:pPr>
            <w:r>
              <w:rPr/>
              <w:t> </w:t>
            </w:r>
          </w:p>
        </w:tc>
        <w:tc>
          <w:tcPr>
            <w:tcW w:w="1102"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976,300</w:t>
            </w:r>
          </w:p>
        </w:tc>
        <w:tc>
          <w:tcPr>
            <w:tcW w:w="124" w:type="dxa"/>
            <w:tcBorders/>
            <w:shd w:fill="FFFFFF" w:val="clear"/>
            <w:vAlign w:val="bottom"/>
          </w:tcPr>
          <w:p>
            <w:pPr>
              <w:pStyle w:val="TableContents"/>
              <w:spacing w:before="0" w:after="283"/>
              <w:jc w:val="left"/>
              <w:rPr/>
            </w:pPr>
            <w:r>
              <w:rPr/>
              <w:t> </w:t>
            </w:r>
          </w:p>
        </w:tc>
      </w:tr>
      <w:tr>
        <w:trPr/>
        <w:tc>
          <w:tcPr>
            <w:tcW w:w="5987" w:type="dxa"/>
            <w:tcBorders/>
            <w:shd w:fill="CCEEFF" w:val="clear"/>
            <w:vAlign w:val="bottom"/>
          </w:tcPr>
          <w:p>
            <w:pPr>
              <w:pStyle w:val="TableContents"/>
              <w:spacing w:before="0" w:after="0"/>
              <w:ind w:left="0" w:right="0" w:hanging="0"/>
              <w:jc w:val="left"/>
              <w:rPr/>
            </w:pPr>
            <w:r>
              <w:rPr/>
              <w:t>     </w:t>
            </w:r>
            <w:r>
              <w:rPr>
                <w:rFonts w:ascii="helvetica" w:hAnsi="helvetica"/>
                <w:sz w:val="20"/>
              </w:rPr>
              <w:t>Proceeds received in connection with debt modification</w:t>
            </w:r>
          </w:p>
        </w:tc>
        <w:tc>
          <w:tcPr>
            <w:tcW w:w="10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69"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50,000</w:t>
            </w:r>
          </w:p>
        </w:tc>
        <w:tc>
          <w:tcPr>
            <w:tcW w:w="110" w:type="dxa"/>
            <w:tcBorders/>
            <w:shd w:fill="CCEEFF" w:val="clear"/>
            <w:vAlign w:val="bottom"/>
          </w:tcPr>
          <w:p>
            <w:pPr>
              <w:pStyle w:val="TableContents"/>
              <w:spacing w:before="0" w:after="283"/>
              <w:jc w:val="left"/>
              <w:rPr/>
            </w:pPr>
            <w:r>
              <w:rPr/>
              <w:t> </w:t>
            </w:r>
          </w:p>
        </w:tc>
        <w:tc>
          <w:tcPr>
            <w:tcW w:w="10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17"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w:t>
            </w:r>
          </w:p>
        </w:tc>
        <w:tc>
          <w:tcPr>
            <w:tcW w:w="110" w:type="dxa"/>
            <w:tcBorders/>
            <w:shd w:fill="CCEEFF" w:val="clear"/>
            <w:vAlign w:val="bottom"/>
          </w:tcPr>
          <w:p>
            <w:pPr>
              <w:pStyle w:val="TableContents"/>
              <w:spacing w:before="0" w:after="283"/>
              <w:jc w:val="left"/>
              <w:rPr/>
            </w:pPr>
            <w:r>
              <w:rPr/>
              <w:t> </w:t>
            </w:r>
          </w:p>
        </w:tc>
        <w:tc>
          <w:tcPr>
            <w:tcW w:w="104"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jc w:val="left"/>
              <w:rPr/>
            </w:pPr>
            <w:r>
              <w:rPr/>
              <w:t> </w:t>
            </w:r>
          </w:p>
        </w:tc>
        <w:tc>
          <w:tcPr>
            <w:tcW w:w="1102"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50,000</w:t>
            </w:r>
          </w:p>
        </w:tc>
        <w:tc>
          <w:tcPr>
            <w:tcW w:w="124" w:type="dxa"/>
            <w:tcBorders/>
            <w:shd w:fill="CCEEFF" w:val="clear"/>
            <w:vAlign w:val="bottom"/>
          </w:tcPr>
          <w:p>
            <w:pPr>
              <w:pStyle w:val="TableContents"/>
              <w:spacing w:before="0" w:after="283"/>
              <w:jc w:val="left"/>
              <w:rPr/>
            </w:pPr>
            <w:r>
              <w:rPr/>
              <w:t> </w:t>
            </w:r>
          </w:p>
        </w:tc>
      </w:tr>
      <w:tr>
        <w:trPr/>
        <w:tc>
          <w:tcPr>
            <w:tcW w:w="5987" w:type="dxa"/>
            <w:tcBorders/>
            <w:shd w:fill="FFFFFF" w:val="clear"/>
            <w:vAlign w:val="bottom"/>
          </w:tcPr>
          <w:p>
            <w:pPr>
              <w:pStyle w:val="TableContents"/>
              <w:spacing w:before="0" w:after="0"/>
              <w:ind w:left="0" w:right="0" w:hanging="0"/>
              <w:jc w:val="left"/>
              <w:rPr/>
            </w:pPr>
            <w:r>
              <w:rPr/>
              <w:t>     </w:t>
            </w:r>
            <w:r>
              <w:rPr>
                <w:rFonts w:ascii="helvetica" w:hAnsi="helvetica"/>
                <w:sz w:val="20"/>
              </w:rPr>
              <w:t>Proceeds from issuance of preferred stock</w:t>
            </w:r>
          </w:p>
        </w:tc>
        <w:tc>
          <w:tcPr>
            <w:tcW w:w="104"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69"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w:t>
            </w:r>
          </w:p>
        </w:tc>
        <w:tc>
          <w:tcPr>
            <w:tcW w:w="110" w:type="dxa"/>
            <w:tcBorders/>
            <w:shd w:fill="FFFFFF" w:val="clear"/>
            <w:vAlign w:val="bottom"/>
          </w:tcPr>
          <w:p>
            <w:pPr>
              <w:pStyle w:val="TableContents"/>
              <w:spacing w:before="0" w:after="283"/>
              <w:jc w:val="left"/>
              <w:rPr/>
            </w:pPr>
            <w:r>
              <w:rPr/>
              <w:t> </w:t>
            </w:r>
          </w:p>
        </w:tc>
        <w:tc>
          <w:tcPr>
            <w:tcW w:w="104"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17"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w:t>
            </w:r>
          </w:p>
        </w:tc>
        <w:tc>
          <w:tcPr>
            <w:tcW w:w="110" w:type="dxa"/>
            <w:tcBorders/>
            <w:shd w:fill="FFFFFF" w:val="clear"/>
            <w:vAlign w:val="bottom"/>
          </w:tcPr>
          <w:p>
            <w:pPr>
              <w:pStyle w:val="TableContents"/>
              <w:spacing w:before="0" w:after="283"/>
              <w:jc w:val="left"/>
              <w:rPr/>
            </w:pPr>
            <w:r>
              <w:rPr/>
              <w:t> </w:t>
            </w:r>
          </w:p>
        </w:tc>
        <w:tc>
          <w:tcPr>
            <w:tcW w:w="104" w:type="dxa"/>
            <w:tcBorders/>
            <w:shd w:fill="FFFFFF" w:val="clear"/>
            <w:vAlign w:val="bottom"/>
          </w:tcPr>
          <w:p>
            <w:pPr>
              <w:pStyle w:val="TableContents"/>
              <w:spacing w:before="0" w:after="283"/>
              <w:rPr/>
            </w:pPr>
            <w:r>
              <w:rPr/>
              <w:t> </w:t>
            </w:r>
          </w:p>
        </w:tc>
        <w:tc>
          <w:tcPr>
            <w:tcW w:w="124" w:type="dxa"/>
            <w:tcBorders/>
            <w:shd w:fill="FFFFFF" w:val="clear"/>
            <w:vAlign w:val="bottom"/>
          </w:tcPr>
          <w:p>
            <w:pPr>
              <w:pStyle w:val="TableContents"/>
              <w:spacing w:before="0" w:after="283"/>
              <w:jc w:val="left"/>
              <w:rPr/>
            </w:pPr>
            <w:r>
              <w:rPr/>
              <w:t> </w:t>
            </w:r>
          </w:p>
        </w:tc>
        <w:tc>
          <w:tcPr>
            <w:tcW w:w="1102"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100,000</w:t>
            </w:r>
          </w:p>
        </w:tc>
        <w:tc>
          <w:tcPr>
            <w:tcW w:w="124" w:type="dxa"/>
            <w:tcBorders/>
            <w:shd w:fill="FFFFFF" w:val="clear"/>
            <w:vAlign w:val="bottom"/>
          </w:tcPr>
          <w:p>
            <w:pPr>
              <w:pStyle w:val="TableContents"/>
              <w:spacing w:before="0" w:after="283"/>
              <w:jc w:val="left"/>
              <w:rPr/>
            </w:pPr>
            <w:r>
              <w:rPr/>
              <w:t> </w:t>
            </w:r>
          </w:p>
        </w:tc>
      </w:tr>
      <w:tr>
        <w:trPr/>
        <w:tc>
          <w:tcPr>
            <w:tcW w:w="5987" w:type="dxa"/>
            <w:tcBorders/>
            <w:shd w:fill="CCEEFF" w:val="clear"/>
            <w:vAlign w:val="bottom"/>
          </w:tcPr>
          <w:p>
            <w:pPr>
              <w:pStyle w:val="TableContents"/>
              <w:spacing w:before="0" w:after="0"/>
              <w:ind w:left="0" w:right="0" w:hanging="0"/>
              <w:jc w:val="left"/>
              <w:rPr/>
            </w:pPr>
            <w:r>
              <w:rPr/>
              <w:t>     </w:t>
            </w:r>
            <w:r>
              <w:rPr>
                <w:rFonts w:ascii="helvetica" w:hAnsi="helvetica"/>
                <w:sz w:val="20"/>
              </w:rPr>
              <w:t>Proceeds from notes payable</w:t>
            </w:r>
          </w:p>
        </w:tc>
        <w:tc>
          <w:tcPr>
            <w:tcW w:w="10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69"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w:t>
            </w:r>
          </w:p>
        </w:tc>
        <w:tc>
          <w:tcPr>
            <w:tcW w:w="110" w:type="dxa"/>
            <w:tcBorders/>
            <w:shd w:fill="CCEEFF" w:val="clear"/>
            <w:vAlign w:val="bottom"/>
          </w:tcPr>
          <w:p>
            <w:pPr>
              <w:pStyle w:val="TableContents"/>
              <w:spacing w:before="0" w:after="283"/>
              <w:jc w:val="left"/>
              <w:rPr/>
            </w:pPr>
            <w:r>
              <w:rPr/>
              <w:t> </w:t>
            </w:r>
          </w:p>
        </w:tc>
        <w:tc>
          <w:tcPr>
            <w:tcW w:w="10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17"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w:t>
            </w:r>
          </w:p>
        </w:tc>
        <w:tc>
          <w:tcPr>
            <w:tcW w:w="110" w:type="dxa"/>
            <w:tcBorders/>
            <w:shd w:fill="CCEEFF" w:val="clear"/>
            <w:vAlign w:val="bottom"/>
          </w:tcPr>
          <w:p>
            <w:pPr>
              <w:pStyle w:val="TableContents"/>
              <w:spacing w:before="0" w:after="283"/>
              <w:jc w:val="left"/>
              <w:rPr/>
            </w:pPr>
            <w:r>
              <w:rPr/>
              <w:t> </w:t>
            </w:r>
          </w:p>
        </w:tc>
        <w:tc>
          <w:tcPr>
            <w:tcW w:w="104"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jc w:val="left"/>
              <w:rPr/>
            </w:pPr>
            <w:r>
              <w:rPr/>
              <w:t> </w:t>
            </w:r>
          </w:p>
        </w:tc>
        <w:tc>
          <w:tcPr>
            <w:tcW w:w="1102"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2,500,000</w:t>
            </w:r>
          </w:p>
        </w:tc>
        <w:tc>
          <w:tcPr>
            <w:tcW w:w="124" w:type="dxa"/>
            <w:tcBorders/>
            <w:shd w:fill="CCEEFF" w:val="clear"/>
            <w:vAlign w:val="bottom"/>
          </w:tcPr>
          <w:p>
            <w:pPr>
              <w:pStyle w:val="TableContents"/>
              <w:spacing w:before="0" w:after="283"/>
              <w:jc w:val="left"/>
              <w:rPr/>
            </w:pPr>
            <w:r>
              <w:rPr/>
              <w:t> </w:t>
            </w:r>
          </w:p>
        </w:tc>
      </w:tr>
      <w:tr>
        <w:trPr/>
        <w:tc>
          <w:tcPr>
            <w:tcW w:w="5987" w:type="dxa"/>
            <w:tcBorders/>
            <w:shd w:fill="FFFFFF" w:val="clear"/>
            <w:vAlign w:val="bottom"/>
          </w:tcPr>
          <w:p>
            <w:pPr>
              <w:pStyle w:val="TableContents"/>
              <w:spacing w:before="0" w:after="0"/>
              <w:ind w:left="0" w:right="0" w:hanging="0"/>
              <w:jc w:val="left"/>
              <w:rPr/>
            </w:pPr>
            <w:r>
              <w:rPr/>
              <w:t>     </w:t>
            </w:r>
            <w:r>
              <w:rPr>
                <w:rFonts w:ascii="helvetica" w:hAnsi="helvetica"/>
                <w:sz w:val="20"/>
              </w:rPr>
              <w:t>Preferred stock deemed dividend paid at conversion</w:t>
            </w:r>
          </w:p>
        </w:tc>
        <w:tc>
          <w:tcPr>
            <w:tcW w:w="104"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69"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(200,000</w:t>
            </w:r>
          </w:p>
        </w:tc>
        <w:tc>
          <w:tcPr>
            <w:tcW w:w="110" w:type="dxa"/>
            <w:tcBorders/>
            <w:shd w:fill="FFFFFF" w:val="clear"/>
            <w:vAlign w:val="bottom"/>
          </w:tcPr>
          <w:p>
            <w:pPr>
              <w:pStyle w:val="TableContents"/>
              <w:spacing w:before="0" w:after="283"/>
              <w:jc w:val="left"/>
              <w:rPr>
                <w:rFonts w:ascii="helvetica" w:hAnsi="helvetica"/>
                <w:sz w:val="20"/>
              </w:rPr>
            </w:pPr>
            <w:r>
              <w:rPr>
                <w:rFonts w:ascii="helvetica" w:hAnsi="helvetica"/>
                <w:sz w:val="20"/>
              </w:rPr>
              <w:t>)</w:t>
            </w:r>
          </w:p>
        </w:tc>
        <w:tc>
          <w:tcPr>
            <w:tcW w:w="104"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17"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w:t>
            </w:r>
          </w:p>
        </w:tc>
        <w:tc>
          <w:tcPr>
            <w:tcW w:w="110" w:type="dxa"/>
            <w:tcBorders/>
            <w:shd w:fill="FFFFFF" w:val="clear"/>
            <w:vAlign w:val="bottom"/>
          </w:tcPr>
          <w:p>
            <w:pPr>
              <w:pStyle w:val="TableContents"/>
              <w:spacing w:before="0" w:after="283"/>
              <w:jc w:val="left"/>
              <w:rPr/>
            </w:pPr>
            <w:r>
              <w:rPr/>
              <w:t> </w:t>
            </w:r>
          </w:p>
        </w:tc>
        <w:tc>
          <w:tcPr>
            <w:tcW w:w="104" w:type="dxa"/>
            <w:tcBorders/>
            <w:shd w:fill="FFFFFF" w:val="clear"/>
            <w:vAlign w:val="bottom"/>
          </w:tcPr>
          <w:p>
            <w:pPr>
              <w:pStyle w:val="TableContents"/>
              <w:spacing w:before="0" w:after="283"/>
              <w:rPr/>
            </w:pPr>
            <w:r>
              <w:rPr/>
              <w:t> </w:t>
            </w:r>
          </w:p>
        </w:tc>
        <w:tc>
          <w:tcPr>
            <w:tcW w:w="124" w:type="dxa"/>
            <w:tcBorders/>
            <w:shd w:fill="FFFFFF" w:val="clear"/>
            <w:vAlign w:val="bottom"/>
          </w:tcPr>
          <w:p>
            <w:pPr>
              <w:pStyle w:val="TableContents"/>
              <w:spacing w:before="0" w:after="283"/>
              <w:jc w:val="left"/>
              <w:rPr/>
            </w:pPr>
            <w:r>
              <w:rPr/>
              <w:t> </w:t>
            </w:r>
          </w:p>
        </w:tc>
        <w:tc>
          <w:tcPr>
            <w:tcW w:w="1102"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(200,000</w:t>
            </w:r>
          </w:p>
        </w:tc>
        <w:tc>
          <w:tcPr>
            <w:tcW w:w="124" w:type="dxa"/>
            <w:tcBorders/>
            <w:shd w:fill="FFFFFF" w:val="clear"/>
            <w:vAlign w:val="bottom"/>
          </w:tcPr>
          <w:p>
            <w:pPr>
              <w:pStyle w:val="TableContents"/>
              <w:spacing w:before="0" w:after="283"/>
              <w:jc w:val="left"/>
              <w:rPr>
                <w:rFonts w:ascii="helvetica" w:hAnsi="helvetica"/>
                <w:sz w:val="20"/>
              </w:rPr>
            </w:pPr>
            <w:r>
              <w:rPr>
                <w:rFonts w:ascii="helvetica" w:hAnsi="helvetica"/>
                <w:sz w:val="20"/>
              </w:rPr>
              <w:t>)</w:t>
            </w:r>
          </w:p>
        </w:tc>
      </w:tr>
      <w:tr>
        <w:trPr/>
        <w:tc>
          <w:tcPr>
            <w:tcW w:w="5987" w:type="dxa"/>
            <w:tcBorders/>
            <w:shd w:fill="CCEEFF" w:val="clear"/>
            <w:vAlign w:val="bottom"/>
          </w:tcPr>
          <w:p>
            <w:pPr>
              <w:pStyle w:val="TableContents"/>
              <w:spacing w:before="0" w:after="0"/>
              <w:ind w:left="0" w:right="0" w:hanging="0"/>
              <w:jc w:val="left"/>
              <w:rPr/>
            </w:pPr>
            <w:r>
              <w:rPr/>
              <w:t>     </w:t>
            </w:r>
            <w:r>
              <w:rPr>
                <w:rFonts w:ascii="helvetica" w:hAnsi="helvetica"/>
                <w:sz w:val="20"/>
              </w:rPr>
              <w:t>Cash advances from related party</w:t>
            </w:r>
          </w:p>
        </w:tc>
        <w:tc>
          <w:tcPr>
            <w:tcW w:w="10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69"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w:t>
            </w:r>
          </w:p>
        </w:tc>
        <w:tc>
          <w:tcPr>
            <w:tcW w:w="110" w:type="dxa"/>
            <w:tcBorders/>
            <w:shd w:fill="CCEEFF" w:val="clear"/>
            <w:vAlign w:val="bottom"/>
          </w:tcPr>
          <w:p>
            <w:pPr>
              <w:pStyle w:val="TableContents"/>
              <w:spacing w:before="0" w:after="283"/>
              <w:jc w:val="left"/>
              <w:rPr/>
            </w:pPr>
            <w:r>
              <w:rPr/>
              <w:t> </w:t>
            </w:r>
          </w:p>
        </w:tc>
        <w:tc>
          <w:tcPr>
            <w:tcW w:w="10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17"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w:t>
            </w:r>
          </w:p>
        </w:tc>
        <w:tc>
          <w:tcPr>
            <w:tcW w:w="110" w:type="dxa"/>
            <w:tcBorders/>
            <w:shd w:fill="CCEEFF" w:val="clear"/>
            <w:vAlign w:val="bottom"/>
          </w:tcPr>
          <w:p>
            <w:pPr>
              <w:pStyle w:val="TableContents"/>
              <w:spacing w:before="0" w:after="283"/>
              <w:jc w:val="left"/>
              <w:rPr/>
            </w:pPr>
            <w:r>
              <w:rPr/>
              <w:t> </w:t>
            </w:r>
          </w:p>
        </w:tc>
        <w:tc>
          <w:tcPr>
            <w:tcW w:w="104"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jc w:val="left"/>
              <w:rPr/>
            </w:pPr>
            <w:r>
              <w:rPr/>
              <w:t> </w:t>
            </w:r>
          </w:p>
        </w:tc>
        <w:tc>
          <w:tcPr>
            <w:tcW w:w="1102"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27,537</w:t>
            </w:r>
          </w:p>
        </w:tc>
        <w:tc>
          <w:tcPr>
            <w:tcW w:w="124" w:type="dxa"/>
            <w:tcBorders/>
            <w:shd w:fill="CCEEFF" w:val="clear"/>
            <w:vAlign w:val="bottom"/>
          </w:tcPr>
          <w:p>
            <w:pPr>
              <w:pStyle w:val="TableContents"/>
              <w:spacing w:before="0" w:after="283"/>
              <w:jc w:val="left"/>
              <w:rPr/>
            </w:pPr>
            <w:r>
              <w:rPr/>
              <w:t> </w:t>
            </w:r>
          </w:p>
        </w:tc>
      </w:tr>
      <w:tr>
        <w:trPr/>
        <w:tc>
          <w:tcPr>
            <w:tcW w:w="5987" w:type="dxa"/>
            <w:tcBorders/>
            <w:shd w:fill="FFFFFF" w:val="clear"/>
            <w:vAlign w:val="bottom"/>
          </w:tcPr>
          <w:p>
            <w:pPr>
              <w:pStyle w:val="TableContents"/>
              <w:spacing w:before="0" w:after="0"/>
              <w:ind w:left="0" w:right="0" w:hanging="0"/>
              <w:jc w:val="left"/>
              <w:rPr/>
            </w:pPr>
            <w:r>
              <w:rPr/>
              <w:t>     </w:t>
            </w:r>
            <w:r>
              <w:rPr>
                <w:rFonts w:ascii="helvetica" w:hAnsi="helvetica"/>
                <w:sz w:val="20"/>
              </w:rPr>
              <w:t>Repayment of advances from related party</w:t>
            </w:r>
          </w:p>
        </w:tc>
        <w:tc>
          <w:tcPr>
            <w:tcW w:w="104"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69"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w:t>
            </w:r>
          </w:p>
        </w:tc>
        <w:tc>
          <w:tcPr>
            <w:tcW w:w="110" w:type="dxa"/>
            <w:tcBorders/>
            <w:shd w:fill="FFFFFF" w:val="clear"/>
            <w:vAlign w:val="bottom"/>
          </w:tcPr>
          <w:p>
            <w:pPr>
              <w:pStyle w:val="TableContents"/>
              <w:spacing w:before="0" w:after="283"/>
              <w:jc w:val="left"/>
              <w:rPr/>
            </w:pPr>
            <w:r>
              <w:rPr/>
              <w:t> </w:t>
            </w:r>
          </w:p>
        </w:tc>
        <w:tc>
          <w:tcPr>
            <w:tcW w:w="104"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17"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w:t>
            </w:r>
          </w:p>
        </w:tc>
        <w:tc>
          <w:tcPr>
            <w:tcW w:w="110" w:type="dxa"/>
            <w:tcBorders/>
            <w:shd w:fill="FFFFFF" w:val="clear"/>
            <w:vAlign w:val="bottom"/>
          </w:tcPr>
          <w:p>
            <w:pPr>
              <w:pStyle w:val="TableContents"/>
              <w:spacing w:before="0" w:after="283"/>
              <w:jc w:val="left"/>
              <w:rPr/>
            </w:pPr>
            <w:r>
              <w:rPr/>
              <w:t> </w:t>
            </w:r>
          </w:p>
        </w:tc>
        <w:tc>
          <w:tcPr>
            <w:tcW w:w="104" w:type="dxa"/>
            <w:tcBorders/>
            <w:shd w:fill="FFFFFF" w:val="clear"/>
            <w:vAlign w:val="bottom"/>
          </w:tcPr>
          <w:p>
            <w:pPr>
              <w:pStyle w:val="TableContents"/>
              <w:spacing w:before="0" w:after="283"/>
              <w:rPr/>
            </w:pPr>
            <w:r>
              <w:rPr/>
              <w:t> </w:t>
            </w:r>
          </w:p>
        </w:tc>
        <w:tc>
          <w:tcPr>
            <w:tcW w:w="124" w:type="dxa"/>
            <w:tcBorders/>
            <w:shd w:fill="FFFFFF" w:val="clear"/>
            <w:vAlign w:val="bottom"/>
          </w:tcPr>
          <w:p>
            <w:pPr>
              <w:pStyle w:val="TableContents"/>
              <w:spacing w:before="0" w:after="283"/>
              <w:jc w:val="left"/>
              <w:rPr/>
            </w:pPr>
            <w:r>
              <w:rPr/>
              <w:t> </w:t>
            </w:r>
          </w:p>
        </w:tc>
        <w:tc>
          <w:tcPr>
            <w:tcW w:w="1102"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(281,679</w:t>
            </w:r>
          </w:p>
        </w:tc>
        <w:tc>
          <w:tcPr>
            <w:tcW w:w="124" w:type="dxa"/>
            <w:tcBorders/>
            <w:shd w:fill="FFFFFF" w:val="clear"/>
            <w:vAlign w:val="bottom"/>
          </w:tcPr>
          <w:p>
            <w:pPr>
              <w:pStyle w:val="TableContents"/>
              <w:spacing w:before="0" w:after="283"/>
              <w:jc w:val="left"/>
              <w:rPr>
                <w:rFonts w:ascii="helvetica" w:hAnsi="helvetica"/>
                <w:sz w:val="20"/>
              </w:rPr>
            </w:pPr>
            <w:r>
              <w:rPr>
                <w:rFonts w:ascii="helvetica" w:hAnsi="helvetica"/>
                <w:sz w:val="20"/>
              </w:rPr>
              <w:t>)</w:t>
            </w:r>
          </w:p>
        </w:tc>
      </w:tr>
      <w:tr>
        <w:trPr/>
        <w:tc>
          <w:tcPr>
            <w:tcW w:w="5987" w:type="dxa"/>
            <w:tcBorders/>
            <w:shd w:fill="CCEEFF" w:val="clear"/>
            <w:vAlign w:val="bottom"/>
          </w:tcPr>
          <w:p>
            <w:pPr>
              <w:pStyle w:val="TableContents"/>
              <w:spacing w:before="0" w:after="0"/>
              <w:ind w:left="0" w:right="0" w:hanging="0"/>
              <w:jc w:val="left"/>
              <w:rPr/>
            </w:pPr>
            <w:r>
              <w:rPr/>
              <w:t>     </w:t>
            </w:r>
            <w:r>
              <w:rPr>
                <w:rFonts w:ascii="helvetica" w:hAnsi="helvetica"/>
                <w:sz w:val="20"/>
              </w:rPr>
              <w:t>Capital contributions</w:t>
            </w:r>
          </w:p>
        </w:tc>
        <w:tc>
          <w:tcPr>
            <w:tcW w:w="10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69"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w:t>
            </w:r>
          </w:p>
        </w:tc>
        <w:tc>
          <w:tcPr>
            <w:tcW w:w="110" w:type="dxa"/>
            <w:tcBorders/>
            <w:shd w:fill="CCEEFF" w:val="clear"/>
            <w:vAlign w:val="bottom"/>
          </w:tcPr>
          <w:p>
            <w:pPr>
              <w:pStyle w:val="TableContents"/>
              <w:spacing w:before="0" w:after="283"/>
              <w:jc w:val="left"/>
              <w:rPr/>
            </w:pPr>
            <w:r>
              <w:rPr/>
              <w:t> </w:t>
            </w:r>
          </w:p>
        </w:tc>
        <w:tc>
          <w:tcPr>
            <w:tcW w:w="10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17"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w:t>
            </w:r>
          </w:p>
        </w:tc>
        <w:tc>
          <w:tcPr>
            <w:tcW w:w="110" w:type="dxa"/>
            <w:tcBorders/>
            <w:shd w:fill="CCEEFF" w:val="clear"/>
            <w:vAlign w:val="bottom"/>
          </w:tcPr>
          <w:p>
            <w:pPr>
              <w:pStyle w:val="TableContents"/>
              <w:spacing w:before="0" w:after="283"/>
              <w:jc w:val="left"/>
              <w:rPr/>
            </w:pPr>
            <w:r>
              <w:rPr/>
              <w:t> </w:t>
            </w:r>
          </w:p>
        </w:tc>
        <w:tc>
          <w:tcPr>
            <w:tcW w:w="104"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jc w:val="left"/>
              <w:rPr/>
            </w:pPr>
            <w:r>
              <w:rPr/>
              <w:t> </w:t>
            </w:r>
          </w:p>
        </w:tc>
        <w:tc>
          <w:tcPr>
            <w:tcW w:w="1102"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168,707</w:t>
            </w:r>
          </w:p>
        </w:tc>
        <w:tc>
          <w:tcPr>
            <w:tcW w:w="124" w:type="dxa"/>
            <w:tcBorders/>
            <w:shd w:fill="CCEEFF" w:val="clear"/>
            <w:vAlign w:val="bottom"/>
          </w:tcPr>
          <w:p>
            <w:pPr>
              <w:pStyle w:val="TableContents"/>
              <w:spacing w:before="0" w:after="283"/>
              <w:jc w:val="left"/>
              <w:rPr/>
            </w:pPr>
            <w:r>
              <w:rPr/>
              <w:t> </w:t>
            </w:r>
          </w:p>
        </w:tc>
      </w:tr>
      <w:tr>
        <w:trPr/>
        <w:tc>
          <w:tcPr>
            <w:tcW w:w="5987" w:type="dxa"/>
            <w:tcBorders/>
            <w:shd w:fill="FFFFFF" w:val="clear"/>
            <w:vAlign w:val="bottom"/>
          </w:tcPr>
          <w:p>
            <w:pPr>
              <w:pStyle w:val="TableContents"/>
              <w:spacing w:before="0" w:after="0"/>
              <w:ind w:left="0" w:right="0" w:hanging="0"/>
              <w:jc w:val="left"/>
              <w:rPr/>
            </w:pPr>
            <w:r>
              <w:rPr/>
              <w:t>     </w:t>
            </w:r>
            <w:r>
              <w:rPr>
                <w:rFonts w:ascii="helvetica" w:hAnsi="helvetica"/>
                <w:sz w:val="20"/>
              </w:rPr>
              <w:t>Net proceeds from purchase of common stock and</w:t>
            </w:r>
          </w:p>
        </w:tc>
        <w:tc>
          <w:tcPr>
            <w:tcW w:w="104"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69" w:type="dxa"/>
            <w:tcBorders/>
            <w:shd w:fill="FFFFFF" w:val="clear"/>
            <w:vAlign w:val="bottom"/>
          </w:tcPr>
          <w:p>
            <w:pPr>
              <w:pStyle w:val="TableContents"/>
              <w:spacing w:before="0" w:after="283"/>
              <w:jc w:val="right"/>
              <w:rPr/>
            </w:pPr>
            <w:r>
              <w:rPr/>
              <w:t> </w:t>
            </w:r>
          </w:p>
        </w:tc>
        <w:tc>
          <w:tcPr>
            <w:tcW w:w="110" w:type="dxa"/>
            <w:tcBorders/>
            <w:shd w:fill="FFFFFF" w:val="clear"/>
            <w:vAlign w:val="bottom"/>
          </w:tcPr>
          <w:p>
            <w:pPr>
              <w:pStyle w:val="TableContents"/>
              <w:spacing w:before="0" w:after="283"/>
              <w:jc w:val="left"/>
              <w:rPr/>
            </w:pPr>
            <w:r>
              <w:rPr/>
              <w:t> </w:t>
            </w:r>
          </w:p>
        </w:tc>
        <w:tc>
          <w:tcPr>
            <w:tcW w:w="104"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17" w:type="dxa"/>
            <w:tcBorders/>
            <w:shd w:fill="FFFFFF" w:val="clear"/>
            <w:vAlign w:val="bottom"/>
          </w:tcPr>
          <w:p>
            <w:pPr>
              <w:pStyle w:val="TableContents"/>
              <w:spacing w:before="0" w:after="283"/>
              <w:jc w:val="right"/>
              <w:rPr/>
            </w:pPr>
            <w:r>
              <w:rPr/>
              <w:t> </w:t>
            </w:r>
          </w:p>
        </w:tc>
        <w:tc>
          <w:tcPr>
            <w:tcW w:w="110" w:type="dxa"/>
            <w:tcBorders/>
            <w:shd w:fill="FFFFFF" w:val="clear"/>
            <w:vAlign w:val="bottom"/>
          </w:tcPr>
          <w:p>
            <w:pPr>
              <w:pStyle w:val="TableContents"/>
              <w:spacing w:before="0" w:after="283"/>
              <w:jc w:val="left"/>
              <w:rPr/>
            </w:pPr>
            <w:r>
              <w:rPr/>
              <w:t> </w:t>
            </w:r>
          </w:p>
        </w:tc>
        <w:tc>
          <w:tcPr>
            <w:tcW w:w="104" w:type="dxa"/>
            <w:tcBorders/>
            <w:shd w:fill="FFFFFF" w:val="clear"/>
            <w:vAlign w:val="bottom"/>
          </w:tcPr>
          <w:p>
            <w:pPr>
              <w:pStyle w:val="TableContents"/>
              <w:spacing w:before="0" w:after="283"/>
              <w:rPr/>
            </w:pPr>
            <w:r>
              <w:rPr/>
              <w:t> </w:t>
            </w:r>
          </w:p>
        </w:tc>
        <w:tc>
          <w:tcPr>
            <w:tcW w:w="124" w:type="dxa"/>
            <w:tcBorders/>
            <w:shd w:fill="FFFFFF" w:val="clear"/>
            <w:vAlign w:val="bottom"/>
          </w:tcPr>
          <w:p>
            <w:pPr>
              <w:pStyle w:val="TableContents"/>
              <w:spacing w:before="0" w:after="283"/>
              <w:jc w:val="left"/>
              <w:rPr/>
            </w:pPr>
            <w:r>
              <w:rPr/>
              <w:t> </w:t>
            </w:r>
          </w:p>
        </w:tc>
        <w:tc>
          <w:tcPr>
            <w:tcW w:w="1102" w:type="dxa"/>
            <w:tcBorders/>
            <w:shd w:fill="FFFFFF" w:val="clear"/>
            <w:vAlign w:val="bottom"/>
          </w:tcPr>
          <w:p>
            <w:pPr>
              <w:pStyle w:val="TableContents"/>
              <w:spacing w:before="0" w:after="283"/>
              <w:jc w:val="right"/>
              <w:rPr/>
            </w:pPr>
            <w:r>
              <w:rPr/>
              <w:t> </w:t>
            </w:r>
          </w:p>
        </w:tc>
        <w:tc>
          <w:tcPr>
            <w:tcW w:w="124" w:type="dxa"/>
            <w:tcBorders/>
            <w:shd w:fill="FFFFFF" w:val="clear"/>
            <w:vAlign w:val="bottom"/>
          </w:tcPr>
          <w:p>
            <w:pPr>
              <w:pStyle w:val="TableContents"/>
              <w:spacing w:before="0" w:after="283"/>
              <w:jc w:val="left"/>
              <w:rPr/>
            </w:pPr>
            <w:r>
              <w:rPr/>
              <w:t> </w:t>
            </w:r>
          </w:p>
        </w:tc>
      </w:tr>
      <w:tr>
        <w:trPr/>
        <w:tc>
          <w:tcPr>
            <w:tcW w:w="5987" w:type="dxa"/>
            <w:tcBorders/>
            <w:shd w:fill="CCEEFF" w:val="clear"/>
            <w:vAlign w:val="bottom"/>
          </w:tcPr>
          <w:p>
            <w:pPr>
              <w:pStyle w:val="TableContents"/>
              <w:spacing w:before="0" w:after="0"/>
              <w:ind w:left="0" w:right="0" w:hanging="0"/>
              <w:jc w:val="left"/>
              <w:rPr/>
            </w:pPr>
            <w:r>
              <w:rPr/>
              <w:t>         </w:t>
            </w:r>
            <w:r>
              <w:rPr>
                <w:rFonts w:ascii="helvetica" w:hAnsi="helvetica"/>
                <w:sz w:val="20"/>
              </w:rPr>
              <w:t>exercise of warrants and stock options</w:t>
            </w:r>
          </w:p>
        </w:tc>
        <w:tc>
          <w:tcPr>
            <w:tcW w:w="10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69"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w:t>
            </w:r>
          </w:p>
        </w:tc>
        <w:tc>
          <w:tcPr>
            <w:tcW w:w="110" w:type="dxa"/>
            <w:tcBorders/>
            <w:shd w:fill="CCEEFF" w:val="clear"/>
            <w:vAlign w:val="bottom"/>
          </w:tcPr>
          <w:p>
            <w:pPr>
              <w:pStyle w:val="TableContents"/>
              <w:spacing w:before="0" w:after="283"/>
              <w:jc w:val="left"/>
              <w:rPr/>
            </w:pPr>
            <w:r>
              <w:rPr/>
              <w:t> </w:t>
            </w:r>
          </w:p>
        </w:tc>
        <w:tc>
          <w:tcPr>
            <w:tcW w:w="10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17"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w:t>
            </w:r>
          </w:p>
        </w:tc>
        <w:tc>
          <w:tcPr>
            <w:tcW w:w="110" w:type="dxa"/>
            <w:tcBorders/>
            <w:shd w:fill="CCEEFF" w:val="clear"/>
            <w:vAlign w:val="bottom"/>
          </w:tcPr>
          <w:p>
            <w:pPr>
              <w:pStyle w:val="TableContents"/>
              <w:spacing w:before="0" w:after="283"/>
              <w:jc w:val="left"/>
              <w:rPr/>
            </w:pPr>
            <w:r>
              <w:rPr/>
              <w:t> </w:t>
            </w:r>
          </w:p>
        </w:tc>
        <w:tc>
          <w:tcPr>
            <w:tcW w:w="104"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jc w:val="left"/>
              <w:rPr/>
            </w:pPr>
            <w:r>
              <w:rPr/>
              <w:t> </w:t>
            </w:r>
          </w:p>
        </w:tc>
        <w:tc>
          <w:tcPr>
            <w:tcW w:w="1102"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99,450</w:t>
            </w:r>
          </w:p>
        </w:tc>
        <w:tc>
          <w:tcPr>
            <w:tcW w:w="124" w:type="dxa"/>
            <w:tcBorders/>
            <w:shd w:fill="CCEEFF" w:val="clear"/>
            <w:vAlign w:val="bottom"/>
          </w:tcPr>
          <w:p>
            <w:pPr>
              <w:pStyle w:val="TableContents"/>
              <w:spacing w:before="0" w:after="283"/>
              <w:jc w:val="left"/>
              <w:rPr/>
            </w:pPr>
            <w:r>
              <w:rPr/>
              <w:t> </w:t>
            </w:r>
          </w:p>
        </w:tc>
      </w:tr>
      <w:tr>
        <w:trPr/>
        <w:tc>
          <w:tcPr>
            <w:tcW w:w="5987" w:type="dxa"/>
            <w:tcBorders/>
            <w:shd w:fill="FFFFFF" w:val="clear"/>
            <w:vAlign w:val="bottom"/>
          </w:tcPr>
          <w:p>
            <w:pPr>
              <w:pStyle w:val="TableContents"/>
              <w:spacing w:before="0" w:after="0"/>
              <w:ind w:left="0" w:right="0" w:hanging="0"/>
              <w:jc w:val="left"/>
              <w:rPr/>
            </w:pPr>
            <w:r>
              <w:rPr/>
              <w:t>    </w:t>
            </w:r>
            <w:r>
              <w:rPr>
                <w:rFonts w:ascii="helvetica" w:hAnsi="helvetica"/>
                <w:sz w:val="20"/>
              </w:rPr>
              <w:t>Proceeds from issuance of common stock and warrants</w:t>
            </w:r>
          </w:p>
        </w:tc>
        <w:tc>
          <w:tcPr>
            <w:tcW w:w="104"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69" w:type="dxa"/>
            <w:tcBorders/>
            <w:shd w:fill="FFFFFF" w:val="clear"/>
            <w:vAlign w:val="bottom"/>
          </w:tcPr>
          <w:p>
            <w:pPr>
              <w:pStyle w:val="TableContents"/>
              <w:spacing w:before="0" w:after="283"/>
              <w:jc w:val="right"/>
              <w:rPr/>
            </w:pPr>
            <w:r>
              <w:rPr/>
              <w:t> </w:t>
            </w:r>
          </w:p>
        </w:tc>
        <w:tc>
          <w:tcPr>
            <w:tcW w:w="110" w:type="dxa"/>
            <w:tcBorders/>
            <w:shd w:fill="FFFFFF" w:val="clear"/>
            <w:vAlign w:val="bottom"/>
          </w:tcPr>
          <w:p>
            <w:pPr>
              <w:pStyle w:val="TableContents"/>
              <w:spacing w:before="0" w:after="283"/>
              <w:jc w:val="left"/>
              <w:rPr/>
            </w:pPr>
            <w:r>
              <w:rPr/>
              <w:t> </w:t>
            </w:r>
          </w:p>
        </w:tc>
        <w:tc>
          <w:tcPr>
            <w:tcW w:w="104"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17" w:type="dxa"/>
            <w:tcBorders/>
            <w:shd w:fill="FFFFFF" w:val="clear"/>
            <w:vAlign w:val="bottom"/>
          </w:tcPr>
          <w:p>
            <w:pPr>
              <w:pStyle w:val="TableContents"/>
              <w:spacing w:before="0" w:after="283"/>
              <w:jc w:val="right"/>
              <w:rPr/>
            </w:pPr>
            <w:r>
              <w:rPr/>
              <w:t> </w:t>
            </w:r>
          </w:p>
        </w:tc>
        <w:tc>
          <w:tcPr>
            <w:tcW w:w="110" w:type="dxa"/>
            <w:tcBorders/>
            <w:shd w:fill="FFFFFF" w:val="clear"/>
            <w:vAlign w:val="bottom"/>
          </w:tcPr>
          <w:p>
            <w:pPr>
              <w:pStyle w:val="TableContents"/>
              <w:spacing w:before="0" w:after="283"/>
              <w:jc w:val="left"/>
              <w:rPr/>
            </w:pPr>
            <w:r>
              <w:rPr/>
              <w:t> </w:t>
            </w:r>
          </w:p>
        </w:tc>
        <w:tc>
          <w:tcPr>
            <w:tcW w:w="104" w:type="dxa"/>
            <w:tcBorders/>
            <w:shd w:fill="FFFFFF" w:val="clear"/>
            <w:vAlign w:val="bottom"/>
          </w:tcPr>
          <w:p>
            <w:pPr>
              <w:pStyle w:val="TableContents"/>
              <w:spacing w:before="0" w:after="283"/>
              <w:rPr/>
            </w:pPr>
            <w:r>
              <w:rPr/>
              <w:t> </w:t>
            </w:r>
          </w:p>
        </w:tc>
        <w:tc>
          <w:tcPr>
            <w:tcW w:w="124" w:type="dxa"/>
            <w:tcBorders/>
            <w:shd w:fill="FFFFFF" w:val="clear"/>
            <w:vAlign w:val="bottom"/>
          </w:tcPr>
          <w:p>
            <w:pPr>
              <w:pStyle w:val="TableContents"/>
              <w:spacing w:before="0" w:after="283"/>
              <w:jc w:val="left"/>
              <w:rPr/>
            </w:pPr>
            <w:r>
              <w:rPr/>
              <w:t> </w:t>
            </w:r>
          </w:p>
        </w:tc>
        <w:tc>
          <w:tcPr>
            <w:tcW w:w="1102" w:type="dxa"/>
            <w:tcBorders/>
            <w:shd w:fill="FFFFFF" w:val="clear"/>
            <w:vAlign w:val="bottom"/>
          </w:tcPr>
          <w:p>
            <w:pPr>
              <w:pStyle w:val="TableContents"/>
              <w:spacing w:before="0" w:after="283"/>
              <w:jc w:val="right"/>
              <w:rPr/>
            </w:pPr>
            <w:r>
              <w:rPr/>
              <w:t> </w:t>
            </w:r>
          </w:p>
        </w:tc>
        <w:tc>
          <w:tcPr>
            <w:tcW w:w="124" w:type="dxa"/>
            <w:tcBorders/>
            <w:shd w:fill="FFFFFF" w:val="clear"/>
            <w:vAlign w:val="bottom"/>
          </w:tcPr>
          <w:p>
            <w:pPr>
              <w:pStyle w:val="TableContents"/>
              <w:spacing w:before="0" w:after="283"/>
              <w:jc w:val="left"/>
              <w:rPr/>
            </w:pPr>
            <w:r>
              <w:rPr/>
              <w:t> </w:t>
            </w:r>
          </w:p>
        </w:tc>
      </w:tr>
      <w:tr>
        <w:trPr/>
        <w:tc>
          <w:tcPr>
            <w:tcW w:w="5987" w:type="dxa"/>
            <w:tcBorders/>
            <w:shd w:fill="CCEEFF" w:val="clear"/>
            <w:vAlign w:val="bottom"/>
          </w:tcPr>
          <w:p>
            <w:pPr>
              <w:pStyle w:val="TableContents"/>
              <w:spacing w:before="0" w:after="0"/>
              <w:ind w:left="0" w:right="0" w:hanging="0"/>
              <w:jc w:val="left"/>
              <w:rPr/>
            </w:pPr>
            <w:r>
              <w:rPr/>
              <w:t>         </w:t>
            </w:r>
            <w:r>
              <w:rPr>
                <w:rFonts w:ascii="helvetica" w:hAnsi="helvetica"/>
                <w:sz w:val="20"/>
              </w:rPr>
              <w:t>for cash, net of offering costs</w:t>
            </w:r>
          </w:p>
        </w:tc>
        <w:tc>
          <w:tcPr>
            <w:tcW w:w="10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69"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7,933,845</w:t>
            </w:r>
          </w:p>
        </w:tc>
        <w:tc>
          <w:tcPr>
            <w:tcW w:w="110" w:type="dxa"/>
            <w:tcBorders/>
            <w:shd w:fill="CCEEFF" w:val="clear"/>
            <w:vAlign w:val="bottom"/>
          </w:tcPr>
          <w:p>
            <w:pPr>
              <w:pStyle w:val="TableContents"/>
              <w:spacing w:before="0" w:after="283"/>
              <w:jc w:val="left"/>
              <w:rPr/>
            </w:pPr>
            <w:r>
              <w:rPr/>
              <w:t> </w:t>
            </w:r>
          </w:p>
        </w:tc>
        <w:tc>
          <w:tcPr>
            <w:tcW w:w="10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17"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w:t>
            </w:r>
          </w:p>
        </w:tc>
        <w:tc>
          <w:tcPr>
            <w:tcW w:w="110" w:type="dxa"/>
            <w:tcBorders/>
            <w:shd w:fill="CCEEFF" w:val="clear"/>
            <w:vAlign w:val="bottom"/>
          </w:tcPr>
          <w:p>
            <w:pPr>
              <w:pStyle w:val="TableContents"/>
              <w:spacing w:before="0" w:after="283"/>
              <w:jc w:val="left"/>
              <w:rPr/>
            </w:pPr>
            <w:r>
              <w:rPr/>
              <w:t> </w:t>
            </w:r>
          </w:p>
        </w:tc>
        <w:tc>
          <w:tcPr>
            <w:tcW w:w="104"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jc w:val="left"/>
              <w:rPr/>
            </w:pPr>
            <w:r>
              <w:rPr/>
              <w:t> </w:t>
            </w:r>
          </w:p>
        </w:tc>
        <w:tc>
          <w:tcPr>
            <w:tcW w:w="1102"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15,712,937</w:t>
            </w:r>
          </w:p>
        </w:tc>
        <w:tc>
          <w:tcPr>
            <w:tcW w:w="124" w:type="dxa"/>
            <w:tcBorders/>
            <w:shd w:fill="CCEEFF" w:val="clear"/>
            <w:vAlign w:val="bottom"/>
          </w:tcPr>
          <w:p>
            <w:pPr>
              <w:pStyle w:val="TableContents"/>
              <w:spacing w:before="0" w:after="283"/>
              <w:jc w:val="left"/>
              <w:rPr/>
            </w:pPr>
            <w:r>
              <w:rPr/>
              <w:t> </w:t>
            </w:r>
          </w:p>
        </w:tc>
      </w:tr>
      <w:tr>
        <w:trPr/>
        <w:tc>
          <w:tcPr>
            <w:tcW w:w="5987" w:type="dxa"/>
            <w:tcBorders/>
            <w:shd w:fill="FFFFFF" w:val="clear"/>
            <w:vAlign w:val="bottom"/>
          </w:tcPr>
          <w:p>
            <w:pPr>
              <w:pStyle w:val="TableContents"/>
              <w:spacing w:before="0" w:after="0"/>
              <w:ind w:left="0" w:right="0" w:hanging="0"/>
              <w:jc w:val="left"/>
              <w:rPr/>
            </w:pPr>
            <w:r>
              <w:rPr/>
              <w:t>      </w:t>
            </w:r>
            <w:r>
              <w:rPr>
                <w:rFonts w:ascii="helvetica" w:hAnsi="helvetica"/>
                <w:sz w:val="20"/>
              </w:rPr>
              <w:t>Deferred offering costs</w:t>
            </w:r>
          </w:p>
        </w:tc>
        <w:tc>
          <w:tcPr>
            <w:tcW w:w="104" w:type="dxa"/>
            <w:tcBorders/>
            <w:shd w:fill="FFFFFF" w:val="clear"/>
            <w:vAlign w:val="bottom"/>
          </w:tcPr>
          <w:p>
            <w:pPr>
              <w:pStyle w:val="TableContents"/>
              <w:spacing w:before="0" w:after="283"/>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69" w:type="dxa"/>
            <w:tcBorders>
              <w:bottom w:val="single" w:sz="12" w:space="0" w:color="000000"/>
            </w:tcBorders>
            <w:shd w:fill="FFFF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(30,000</w:t>
            </w:r>
          </w:p>
        </w:tc>
        <w:tc>
          <w:tcPr>
            <w:tcW w:w="110" w:type="dxa"/>
            <w:tcBorders/>
            <w:shd w:fill="FFFFFF" w:val="clear"/>
            <w:vAlign w:val="bottom"/>
          </w:tcPr>
          <w:p>
            <w:pPr>
              <w:pStyle w:val="TableContents"/>
              <w:spacing w:before="0" w:after="283"/>
              <w:jc w:val="left"/>
              <w:rPr>
                <w:rFonts w:ascii="helvetica" w:hAnsi="helvetica"/>
                <w:sz w:val="20"/>
              </w:rPr>
            </w:pPr>
            <w:r>
              <w:rPr>
                <w:rFonts w:ascii="helvetica" w:hAnsi="helvetica"/>
                <w:sz w:val="20"/>
              </w:rPr>
              <w:t>)</w:t>
            </w:r>
          </w:p>
        </w:tc>
        <w:tc>
          <w:tcPr>
            <w:tcW w:w="104" w:type="dxa"/>
            <w:tcBorders/>
            <w:shd w:fill="FFFFFF" w:val="clear"/>
            <w:vAlign w:val="bottom"/>
          </w:tcPr>
          <w:p>
            <w:pPr>
              <w:pStyle w:val="TableContents"/>
              <w:spacing w:before="0" w:after="283"/>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17" w:type="dxa"/>
            <w:tcBorders>
              <w:bottom w:val="single" w:sz="12" w:space="0" w:color="000000"/>
            </w:tcBorders>
            <w:shd w:fill="FFFF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w:t>
            </w:r>
          </w:p>
        </w:tc>
        <w:tc>
          <w:tcPr>
            <w:tcW w:w="110" w:type="dxa"/>
            <w:tcBorders/>
            <w:shd w:fill="FFFFFF" w:val="clear"/>
            <w:vAlign w:val="bottom"/>
          </w:tcPr>
          <w:p>
            <w:pPr>
              <w:pStyle w:val="TableContents"/>
              <w:spacing w:before="0" w:after="283"/>
              <w:jc w:val="left"/>
              <w:rPr/>
            </w:pPr>
            <w:r>
              <w:rPr/>
              <w:t> </w:t>
            </w:r>
          </w:p>
        </w:tc>
        <w:tc>
          <w:tcPr>
            <w:tcW w:w="104" w:type="dxa"/>
            <w:tcBorders/>
            <w:shd w:fill="FFFFFF" w:val="clear"/>
            <w:vAlign w:val="bottom"/>
          </w:tcPr>
          <w:p>
            <w:pPr>
              <w:pStyle w:val="TableContents"/>
              <w:spacing w:before="0" w:after="283"/>
              <w:rPr/>
            </w:pPr>
            <w:r>
              <w:rPr/>
              <w:t> </w:t>
            </w:r>
          </w:p>
        </w:tc>
        <w:tc>
          <w:tcPr>
            <w:tcW w:w="124"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102" w:type="dxa"/>
            <w:tcBorders>
              <w:bottom w:val="single" w:sz="12" w:space="0" w:color="000000"/>
            </w:tcBorders>
            <w:shd w:fill="FFFF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(30,000</w:t>
            </w:r>
          </w:p>
        </w:tc>
        <w:tc>
          <w:tcPr>
            <w:tcW w:w="124" w:type="dxa"/>
            <w:tcBorders/>
            <w:shd w:fill="FFFFFF" w:val="clear"/>
            <w:vAlign w:val="bottom"/>
          </w:tcPr>
          <w:p>
            <w:pPr>
              <w:pStyle w:val="TableContents"/>
              <w:spacing w:before="0" w:after="283"/>
              <w:jc w:val="left"/>
              <w:rPr>
                <w:rFonts w:ascii="helvetica" w:hAnsi="helvetica"/>
                <w:sz w:val="20"/>
              </w:rPr>
            </w:pPr>
            <w:r>
              <w:rPr>
                <w:rFonts w:ascii="helvetica" w:hAnsi="helvetica"/>
                <w:sz w:val="20"/>
              </w:rPr>
              <w:t>)</w:t>
            </w:r>
          </w:p>
        </w:tc>
      </w:tr>
      <w:tr>
        <w:trPr/>
        <w:tc>
          <w:tcPr>
            <w:tcW w:w="5987" w:type="dxa"/>
            <w:tcBorders/>
            <w:shd w:fill="CCEEFF" w:val="clear"/>
            <w:vAlign w:val="bottom"/>
          </w:tcPr>
          <w:p>
            <w:pPr>
              <w:pStyle w:val="TableContents"/>
              <w:spacing w:before="0" w:after="0"/>
              <w:ind w:left="0" w:right="0" w:hanging="0"/>
              <w:jc w:val="left"/>
              <w:rPr>
                <w:rFonts w:ascii="helvetica" w:hAnsi="helvetica"/>
                <w:sz w:val="20"/>
              </w:rPr>
            </w:pPr>
            <w:r>
              <w:rPr>
                <w:rFonts w:ascii="helvetica" w:hAnsi="helvetica"/>
                <w:sz w:val="20"/>
              </w:rPr>
              <w:t>NET CASH PROVIDED BY FINANCING ACTIVITIES</w:t>
            </w:r>
          </w:p>
        </w:tc>
        <w:tc>
          <w:tcPr>
            <w:tcW w:w="104" w:type="dxa"/>
            <w:tcBorders/>
            <w:shd w:fill="CCEEFF" w:val="clear"/>
            <w:vAlign w:val="bottom"/>
          </w:tcPr>
          <w:p>
            <w:pPr>
              <w:pStyle w:val="TableContents"/>
              <w:spacing w:before="0" w:after="283"/>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69" w:type="dxa"/>
            <w:tcBorders>
              <w:bottom w:val="single" w:sz="12" w:space="0" w:color="000000"/>
            </w:tcBorders>
            <w:shd w:fill="CCEE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8,203,845</w:t>
            </w:r>
          </w:p>
        </w:tc>
        <w:tc>
          <w:tcPr>
            <w:tcW w:w="110" w:type="dxa"/>
            <w:tcBorders/>
            <w:shd w:fill="CCEEFF" w:val="clear"/>
            <w:vAlign w:val="bottom"/>
          </w:tcPr>
          <w:p>
            <w:pPr>
              <w:pStyle w:val="TableContents"/>
              <w:spacing w:before="0" w:after="283"/>
              <w:jc w:val="left"/>
              <w:rPr/>
            </w:pPr>
            <w:r>
              <w:rPr/>
              <w:t> </w:t>
            </w:r>
          </w:p>
        </w:tc>
        <w:tc>
          <w:tcPr>
            <w:tcW w:w="104" w:type="dxa"/>
            <w:tcBorders/>
            <w:shd w:fill="CCEEFF" w:val="clear"/>
            <w:vAlign w:val="bottom"/>
          </w:tcPr>
          <w:p>
            <w:pPr>
              <w:pStyle w:val="TableContents"/>
              <w:spacing w:before="0" w:after="283"/>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17" w:type="dxa"/>
            <w:tcBorders>
              <w:bottom w:val="single" w:sz="12" w:space="0" w:color="000000"/>
            </w:tcBorders>
            <w:shd w:fill="CCEE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w:t>
            </w:r>
          </w:p>
        </w:tc>
        <w:tc>
          <w:tcPr>
            <w:tcW w:w="110" w:type="dxa"/>
            <w:tcBorders/>
            <w:shd w:fill="CCEEFF" w:val="clear"/>
            <w:vAlign w:val="bottom"/>
          </w:tcPr>
          <w:p>
            <w:pPr>
              <w:pStyle w:val="TableContents"/>
              <w:spacing w:before="0" w:after="283"/>
              <w:jc w:val="left"/>
              <w:rPr/>
            </w:pPr>
            <w:r>
              <w:rPr/>
              <w:t> </w:t>
            </w:r>
          </w:p>
        </w:tc>
        <w:tc>
          <w:tcPr>
            <w:tcW w:w="104" w:type="dxa"/>
            <w:tcBorders/>
            <w:shd w:fill="CCEEFF" w:val="clear"/>
            <w:vAlign w:val="bottom"/>
          </w:tcPr>
          <w:p>
            <w:pPr>
              <w:pStyle w:val="TableContents"/>
              <w:spacing w:before="0" w:after="283"/>
              <w:rPr/>
            </w:pPr>
            <w:r>
              <w:rPr/>
              <w:t> </w:t>
            </w:r>
          </w:p>
        </w:tc>
        <w:tc>
          <w:tcPr>
            <w:tcW w:w="124"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102" w:type="dxa"/>
            <w:tcBorders>
              <w:bottom w:val="single" w:sz="12" w:space="0" w:color="000000"/>
            </w:tcBorders>
            <w:shd w:fill="CCEE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19,123,252</w:t>
            </w:r>
          </w:p>
        </w:tc>
        <w:tc>
          <w:tcPr>
            <w:tcW w:w="124" w:type="dxa"/>
            <w:tcBorders/>
            <w:shd w:fill="CCEEFF" w:val="clear"/>
            <w:vAlign w:val="bottom"/>
          </w:tcPr>
          <w:p>
            <w:pPr>
              <w:pStyle w:val="TableContents"/>
              <w:spacing w:before="0" w:after="283"/>
              <w:jc w:val="left"/>
              <w:rPr/>
            </w:pPr>
            <w:r>
              <w:rPr/>
              <w:t> </w:t>
            </w:r>
          </w:p>
        </w:tc>
      </w:tr>
      <w:tr>
        <w:trPr/>
        <w:tc>
          <w:tcPr>
            <w:tcW w:w="5987" w:type="dxa"/>
            <w:tcBorders/>
            <w:shd w:fill="FFFFFF" w:val="clear"/>
            <w:vAlign w:val="bottom"/>
          </w:tcPr>
          <w:p>
            <w:pPr>
              <w:pStyle w:val="TableContents"/>
              <w:spacing w:before="0" w:after="0"/>
              <w:ind w:left="0" w:right="0" w:hanging="0"/>
              <w:jc w:val="left"/>
              <w:rPr>
                <w:rFonts w:ascii="helvetica" w:hAnsi="helvetica"/>
                <w:sz w:val="20"/>
              </w:rPr>
            </w:pPr>
            <w:r>
              <w:rPr>
                <w:rFonts w:ascii="helvetica" w:hAnsi="helvetica"/>
                <w:sz w:val="20"/>
              </w:rPr>
              <w:t>NET CHANGE IN CASH AND CASH EQUIVALENTS</w:t>
            </w:r>
          </w:p>
        </w:tc>
        <w:tc>
          <w:tcPr>
            <w:tcW w:w="104"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69"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7,571,132</w:t>
            </w:r>
          </w:p>
        </w:tc>
        <w:tc>
          <w:tcPr>
            <w:tcW w:w="110" w:type="dxa"/>
            <w:tcBorders/>
            <w:shd w:fill="FFFFFF" w:val="clear"/>
            <w:vAlign w:val="bottom"/>
          </w:tcPr>
          <w:p>
            <w:pPr>
              <w:pStyle w:val="TableContents"/>
              <w:spacing w:before="0" w:after="283"/>
              <w:jc w:val="left"/>
              <w:rPr/>
            </w:pPr>
            <w:r>
              <w:rPr/>
              <w:t> </w:t>
            </w:r>
          </w:p>
        </w:tc>
        <w:tc>
          <w:tcPr>
            <w:tcW w:w="104"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17"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(285,909</w:t>
            </w:r>
          </w:p>
        </w:tc>
        <w:tc>
          <w:tcPr>
            <w:tcW w:w="110" w:type="dxa"/>
            <w:tcBorders/>
            <w:shd w:fill="FFFFFF" w:val="clear"/>
            <w:vAlign w:val="bottom"/>
          </w:tcPr>
          <w:p>
            <w:pPr>
              <w:pStyle w:val="TableContents"/>
              <w:spacing w:before="0" w:after="283"/>
              <w:jc w:val="left"/>
              <w:rPr>
                <w:rFonts w:ascii="helvetica" w:hAnsi="helvetica"/>
                <w:sz w:val="20"/>
              </w:rPr>
            </w:pPr>
            <w:r>
              <w:rPr>
                <w:rFonts w:ascii="helvetica" w:hAnsi="helvetica"/>
                <w:sz w:val="20"/>
              </w:rPr>
              <w:t>)</w:t>
            </w:r>
          </w:p>
        </w:tc>
        <w:tc>
          <w:tcPr>
            <w:tcW w:w="104" w:type="dxa"/>
            <w:tcBorders/>
            <w:shd w:fill="FFFFFF" w:val="clear"/>
            <w:vAlign w:val="bottom"/>
          </w:tcPr>
          <w:p>
            <w:pPr>
              <w:pStyle w:val="TableContents"/>
              <w:spacing w:before="0" w:after="283"/>
              <w:rPr/>
            </w:pPr>
            <w:r>
              <w:rPr/>
              <w:t> </w:t>
            </w:r>
          </w:p>
        </w:tc>
        <w:tc>
          <w:tcPr>
            <w:tcW w:w="124" w:type="dxa"/>
            <w:tcBorders/>
            <w:shd w:fill="FFFFFF" w:val="clear"/>
            <w:vAlign w:val="bottom"/>
          </w:tcPr>
          <w:p>
            <w:pPr>
              <w:pStyle w:val="TableContents"/>
              <w:spacing w:before="0" w:after="283"/>
              <w:jc w:val="left"/>
              <w:rPr/>
            </w:pPr>
            <w:r>
              <w:rPr/>
              <w:t> </w:t>
            </w:r>
          </w:p>
        </w:tc>
        <w:tc>
          <w:tcPr>
            <w:tcW w:w="1102"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7,717,292</w:t>
            </w:r>
          </w:p>
        </w:tc>
        <w:tc>
          <w:tcPr>
            <w:tcW w:w="124" w:type="dxa"/>
            <w:tcBorders/>
            <w:shd w:fill="FFFFFF" w:val="clear"/>
            <w:vAlign w:val="bottom"/>
          </w:tcPr>
          <w:p>
            <w:pPr>
              <w:pStyle w:val="TableContents"/>
              <w:spacing w:before="0" w:after="283"/>
              <w:jc w:val="left"/>
              <w:rPr/>
            </w:pPr>
            <w:r>
              <w:rPr/>
              <w:t> </w:t>
            </w:r>
          </w:p>
        </w:tc>
      </w:tr>
      <w:tr>
        <w:trPr/>
        <w:tc>
          <w:tcPr>
            <w:tcW w:w="5987" w:type="dxa"/>
            <w:tcBorders/>
            <w:shd w:fill="CCEEFF" w:val="clear"/>
            <w:vAlign w:val="bottom"/>
          </w:tcPr>
          <w:p>
            <w:pPr>
              <w:pStyle w:val="TableContents"/>
              <w:spacing w:before="0" w:after="0"/>
              <w:ind w:left="0" w:right="0" w:hanging="0"/>
              <w:jc w:val="left"/>
              <w:rPr/>
            </w:pPr>
            <w:r>
              <w:rPr/>
              <w:t>  </w:t>
            </w:r>
            <w:r>
              <w:rPr>
                <w:rFonts w:ascii="helvetica" w:hAnsi="helvetica"/>
                <w:sz w:val="20"/>
              </w:rPr>
              <w:t>CASH AND CASH EQUIVALENTS, beginning of period</w:t>
            </w:r>
          </w:p>
        </w:tc>
        <w:tc>
          <w:tcPr>
            <w:tcW w:w="104" w:type="dxa"/>
            <w:tcBorders/>
            <w:shd w:fill="CCEEFF" w:val="clear"/>
            <w:vAlign w:val="bottom"/>
          </w:tcPr>
          <w:p>
            <w:pPr>
              <w:pStyle w:val="TableContents"/>
              <w:spacing w:before="0" w:after="283"/>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69" w:type="dxa"/>
            <w:tcBorders>
              <w:bottom w:val="single" w:sz="12" w:space="0" w:color="000000"/>
            </w:tcBorders>
            <w:shd w:fill="CCEE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146,160</w:t>
            </w:r>
          </w:p>
        </w:tc>
        <w:tc>
          <w:tcPr>
            <w:tcW w:w="110" w:type="dxa"/>
            <w:tcBorders/>
            <w:shd w:fill="CCEEFF" w:val="clear"/>
            <w:vAlign w:val="bottom"/>
          </w:tcPr>
          <w:p>
            <w:pPr>
              <w:pStyle w:val="TableContents"/>
              <w:spacing w:before="0" w:after="283"/>
              <w:jc w:val="left"/>
              <w:rPr/>
            </w:pPr>
            <w:r>
              <w:rPr/>
              <w:t> </w:t>
            </w:r>
          </w:p>
        </w:tc>
        <w:tc>
          <w:tcPr>
            <w:tcW w:w="104" w:type="dxa"/>
            <w:tcBorders/>
            <w:shd w:fill="CCEEFF" w:val="clear"/>
            <w:vAlign w:val="bottom"/>
          </w:tcPr>
          <w:p>
            <w:pPr>
              <w:pStyle w:val="TableContents"/>
              <w:spacing w:before="0" w:after="283"/>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17" w:type="dxa"/>
            <w:tcBorders>
              <w:bottom w:val="single" w:sz="12" w:space="0" w:color="000000"/>
            </w:tcBorders>
            <w:shd w:fill="CCEE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291,462</w:t>
            </w:r>
          </w:p>
        </w:tc>
        <w:tc>
          <w:tcPr>
            <w:tcW w:w="110" w:type="dxa"/>
            <w:tcBorders/>
            <w:shd w:fill="CCEEFF" w:val="clear"/>
            <w:vAlign w:val="bottom"/>
          </w:tcPr>
          <w:p>
            <w:pPr>
              <w:pStyle w:val="TableContents"/>
              <w:spacing w:before="0" w:after="283"/>
              <w:jc w:val="left"/>
              <w:rPr/>
            </w:pPr>
            <w:r>
              <w:rPr/>
              <w:t> </w:t>
            </w:r>
          </w:p>
        </w:tc>
        <w:tc>
          <w:tcPr>
            <w:tcW w:w="104" w:type="dxa"/>
            <w:tcBorders/>
            <w:shd w:fill="CCEEFF" w:val="clear"/>
            <w:vAlign w:val="bottom"/>
          </w:tcPr>
          <w:p>
            <w:pPr>
              <w:pStyle w:val="TableContents"/>
              <w:spacing w:before="0" w:after="283"/>
              <w:rPr/>
            </w:pPr>
            <w:r>
              <w:rPr/>
              <w:t> </w:t>
            </w:r>
          </w:p>
        </w:tc>
        <w:tc>
          <w:tcPr>
            <w:tcW w:w="124"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102" w:type="dxa"/>
            <w:tcBorders>
              <w:bottom w:val="single" w:sz="12" w:space="0" w:color="000000"/>
            </w:tcBorders>
            <w:shd w:fill="CCEE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w:t>
            </w:r>
          </w:p>
        </w:tc>
        <w:tc>
          <w:tcPr>
            <w:tcW w:w="124" w:type="dxa"/>
            <w:tcBorders/>
            <w:shd w:fill="CCEEFF" w:val="clear"/>
            <w:vAlign w:val="bottom"/>
          </w:tcPr>
          <w:p>
            <w:pPr>
              <w:pStyle w:val="TableContents"/>
              <w:spacing w:before="0" w:after="283"/>
              <w:jc w:val="left"/>
              <w:rPr/>
            </w:pPr>
            <w:r>
              <w:rPr/>
              <w:t> </w:t>
            </w:r>
          </w:p>
        </w:tc>
      </w:tr>
      <w:tr>
        <w:trPr/>
        <w:tc>
          <w:tcPr>
            <w:tcW w:w="5987" w:type="dxa"/>
            <w:tcBorders/>
            <w:shd w:fill="FFFFFF" w:val="clear"/>
            <w:vAlign w:val="bottom"/>
          </w:tcPr>
          <w:p>
            <w:pPr>
              <w:pStyle w:val="TableContents"/>
              <w:spacing w:before="0" w:after="0"/>
              <w:ind w:left="0" w:right="0" w:hanging="0"/>
              <w:jc w:val="left"/>
              <w:rPr/>
            </w:pPr>
            <w:r>
              <w:rPr/>
              <w:t>  </w:t>
            </w:r>
            <w:r>
              <w:rPr>
                <w:rFonts w:ascii="helvetica" w:hAnsi="helvetica"/>
                <w:sz w:val="20"/>
              </w:rPr>
              <w:t>CASH AND CASH EQUIVALENTS, end of period</w:t>
            </w:r>
          </w:p>
        </w:tc>
        <w:tc>
          <w:tcPr>
            <w:tcW w:w="104" w:type="dxa"/>
            <w:tcBorders/>
            <w:shd w:fill="FFFFFF" w:val="clear"/>
            <w:vAlign w:val="bottom"/>
          </w:tcPr>
          <w:p>
            <w:pPr>
              <w:pStyle w:val="TableContents"/>
              <w:spacing w:before="0" w:after="283"/>
              <w:rPr/>
            </w:pPr>
            <w:r>
              <w:rPr/>
              <w:t> </w:t>
            </w:r>
          </w:p>
        </w:tc>
        <w:tc>
          <w:tcPr>
            <w:tcW w:w="125" w:type="dxa"/>
            <w:tcBorders>
              <w:bottom w:val="double" w:sz="8" w:space="0" w:color="000000"/>
            </w:tcBorders>
            <w:shd w:fill="FFFFFF" w:val="clear"/>
            <w:tcMar>
              <w:bottom w:w="28" w:type="dxa"/>
            </w:tcMar>
            <w:vAlign w:val="bottom"/>
          </w:tcPr>
          <w:p>
            <w:pPr>
              <w:pStyle w:val="TableContents"/>
              <w:spacing w:before="0" w:after="283"/>
              <w:jc w:val="left"/>
              <w:rPr>
                <w:rFonts w:ascii="helvetica" w:hAnsi="helvetica"/>
                <w:sz w:val="20"/>
              </w:rPr>
            </w:pPr>
            <w:r>
              <w:rPr>
                <w:rFonts w:ascii="helvetica" w:hAnsi="helvetica"/>
                <w:sz w:val="20"/>
              </w:rPr>
              <w:t>$</w:t>
            </w:r>
          </w:p>
        </w:tc>
        <w:tc>
          <w:tcPr>
            <w:tcW w:w="1069" w:type="dxa"/>
            <w:tcBorders>
              <w:bottom w:val="double" w:sz="8" w:space="0" w:color="000000"/>
            </w:tcBorders>
            <w:shd w:fill="FFFF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7,717,292</w:t>
            </w:r>
          </w:p>
        </w:tc>
        <w:tc>
          <w:tcPr>
            <w:tcW w:w="110" w:type="dxa"/>
            <w:tcBorders/>
            <w:shd w:fill="FFFFFF" w:val="clear"/>
            <w:vAlign w:val="bottom"/>
          </w:tcPr>
          <w:p>
            <w:pPr>
              <w:pStyle w:val="TableContents"/>
              <w:spacing w:before="0" w:after="283"/>
              <w:jc w:val="left"/>
              <w:rPr/>
            </w:pPr>
            <w:r>
              <w:rPr/>
              <w:t> </w:t>
            </w:r>
          </w:p>
        </w:tc>
        <w:tc>
          <w:tcPr>
            <w:tcW w:w="104" w:type="dxa"/>
            <w:tcBorders/>
            <w:shd w:fill="FFFFFF" w:val="clear"/>
            <w:vAlign w:val="bottom"/>
          </w:tcPr>
          <w:p>
            <w:pPr>
              <w:pStyle w:val="TableContents"/>
              <w:spacing w:before="0" w:after="283"/>
              <w:rPr/>
            </w:pPr>
            <w:r>
              <w:rPr/>
              <w:t> </w:t>
            </w:r>
          </w:p>
        </w:tc>
        <w:tc>
          <w:tcPr>
            <w:tcW w:w="125" w:type="dxa"/>
            <w:tcBorders>
              <w:bottom w:val="double" w:sz="8" w:space="0" w:color="000000"/>
            </w:tcBorders>
            <w:shd w:fill="FFFFFF" w:val="clear"/>
            <w:tcMar>
              <w:bottom w:w="28" w:type="dxa"/>
            </w:tcMar>
            <w:vAlign w:val="bottom"/>
          </w:tcPr>
          <w:p>
            <w:pPr>
              <w:pStyle w:val="TableContents"/>
              <w:spacing w:before="0" w:after="283"/>
              <w:jc w:val="left"/>
              <w:rPr>
                <w:rFonts w:ascii="helvetica" w:hAnsi="helvetica"/>
                <w:sz w:val="20"/>
              </w:rPr>
            </w:pPr>
            <w:r>
              <w:rPr>
                <w:rFonts w:ascii="helvetica" w:hAnsi="helvetica"/>
                <w:sz w:val="20"/>
              </w:rPr>
              <w:t>$</w:t>
            </w:r>
          </w:p>
        </w:tc>
        <w:tc>
          <w:tcPr>
            <w:tcW w:w="1017" w:type="dxa"/>
            <w:tcBorders>
              <w:bottom w:val="double" w:sz="8" w:space="0" w:color="000000"/>
            </w:tcBorders>
            <w:shd w:fill="FFFF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5,553</w:t>
            </w:r>
          </w:p>
        </w:tc>
        <w:tc>
          <w:tcPr>
            <w:tcW w:w="110" w:type="dxa"/>
            <w:tcBorders/>
            <w:shd w:fill="FFFFFF" w:val="clear"/>
            <w:vAlign w:val="bottom"/>
          </w:tcPr>
          <w:p>
            <w:pPr>
              <w:pStyle w:val="TableContents"/>
              <w:spacing w:before="0" w:after="283"/>
              <w:jc w:val="left"/>
              <w:rPr/>
            </w:pPr>
            <w:r>
              <w:rPr/>
              <w:t> </w:t>
            </w:r>
          </w:p>
        </w:tc>
        <w:tc>
          <w:tcPr>
            <w:tcW w:w="104" w:type="dxa"/>
            <w:tcBorders/>
            <w:shd w:fill="FFFFFF" w:val="clear"/>
            <w:vAlign w:val="bottom"/>
          </w:tcPr>
          <w:p>
            <w:pPr>
              <w:pStyle w:val="TableContents"/>
              <w:spacing w:before="0" w:after="283"/>
              <w:rPr/>
            </w:pPr>
            <w:r>
              <w:rPr/>
              <w:t> </w:t>
            </w:r>
          </w:p>
        </w:tc>
        <w:tc>
          <w:tcPr>
            <w:tcW w:w="124" w:type="dxa"/>
            <w:tcBorders>
              <w:bottom w:val="double" w:sz="8" w:space="0" w:color="000000"/>
            </w:tcBorders>
            <w:shd w:fill="FFFFFF" w:val="clear"/>
            <w:tcMar>
              <w:bottom w:w="28" w:type="dxa"/>
            </w:tcMar>
            <w:vAlign w:val="bottom"/>
          </w:tcPr>
          <w:p>
            <w:pPr>
              <w:pStyle w:val="TableContents"/>
              <w:spacing w:before="0" w:after="283"/>
              <w:jc w:val="left"/>
              <w:rPr>
                <w:rFonts w:ascii="helvetica" w:hAnsi="helvetica"/>
                <w:sz w:val="20"/>
              </w:rPr>
            </w:pPr>
            <w:r>
              <w:rPr>
                <w:rFonts w:ascii="helvetica" w:hAnsi="helvetica"/>
                <w:sz w:val="20"/>
              </w:rPr>
              <w:t>$</w:t>
            </w:r>
          </w:p>
        </w:tc>
        <w:tc>
          <w:tcPr>
            <w:tcW w:w="1102" w:type="dxa"/>
            <w:tcBorders>
              <w:bottom w:val="double" w:sz="8" w:space="0" w:color="000000"/>
            </w:tcBorders>
            <w:shd w:fill="FFFF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7,717,292</w:t>
            </w:r>
          </w:p>
        </w:tc>
        <w:tc>
          <w:tcPr>
            <w:tcW w:w="124" w:type="dxa"/>
            <w:tcBorders/>
            <w:shd w:fill="FFFFFF" w:val="clear"/>
            <w:vAlign w:val="bottom"/>
          </w:tcPr>
          <w:p>
            <w:pPr>
              <w:pStyle w:val="TableContents"/>
              <w:spacing w:before="0" w:after="283"/>
              <w:jc w:val="left"/>
              <w:rPr/>
            </w:pPr>
            <w:r>
              <w:rPr/>
              <w:t> </w:t>
            </w:r>
          </w:p>
        </w:tc>
      </w:tr>
      <w:tr>
        <w:trPr/>
        <w:tc>
          <w:tcPr>
            <w:tcW w:w="7285" w:type="dxa"/>
            <w:gridSpan w:val="4"/>
            <w:tcBorders/>
            <w:shd w:fill="CCEEFF" w:val="clear"/>
            <w:vAlign w:val="bottom"/>
          </w:tcPr>
          <w:p>
            <w:pPr>
              <w:pStyle w:val="TableContents"/>
              <w:spacing w:before="0" w:after="0"/>
              <w:ind w:left="0" w:right="0" w:hanging="0"/>
              <w:jc w:val="left"/>
              <w:rPr>
                <w:rFonts w:ascii="helvetica" w:hAnsi="helvetica"/>
                <w:sz w:val="20"/>
              </w:rPr>
            </w:pPr>
            <w:r>
              <w:rPr>
                <w:rFonts w:ascii="helvetica" w:hAnsi="helvetica"/>
                <w:sz w:val="20"/>
              </w:rPr>
              <w:t>SUPPLEMENTAL DISCLOSURE OF CASH FLOW INFORMATION:</w:t>
            </w:r>
          </w:p>
        </w:tc>
        <w:tc>
          <w:tcPr>
            <w:tcW w:w="110" w:type="dxa"/>
            <w:tcBorders/>
            <w:shd w:fill="CCEEFF" w:val="clear"/>
            <w:vAlign w:val="bottom"/>
          </w:tcPr>
          <w:p>
            <w:pPr>
              <w:pStyle w:val="TableContents"/>
              <w:spacing w:before="0" w:after="283"/>
              <w:jc w:val="left"/>
              <w:rPr/>
            </w:pPr>
            <w:r>
              <w:rPr/>
              <w:t> </w:t>
            </w:r>
          </w:p>
        </w:tc>
        <w:tc>
          <w:tcPr>
            <w:tcW w:w="10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17" w:type="dxa"/>
            <w:tcBorders/>
            <w:shd w:fill="CCEEFF" w:val="clear"/>
            <w:vAlign w:val="bottom"/>
          </w:tcPr>
          <w:p>
            <w:pPr>
              <w:pStyle w:val="TableContents"/>
              <w:spacing w:before="0" w:after="283"/>
              <w:jc w:val="right"/>
              <w:rPr/>
            </w:pPr>
            <w:r>
              <w:rPr/>
              <w:t> </w:t>
            </w:r>
          </w:p>
        </w:tc>
        <w:tc>
          <w:tcPr>
            <w:tcW w:w="110" w:type="dxa"/>
            <w:tcBorders/>
            <w:shd w:fill="CCEEFF" w:val="clear"/>
            <w:vAlign w:val="bottom"/>
          </w:tcPr>
          <w:p>
            <w:pPr>
              <w:pStyle w:val="TableContents"/>
              <w:spacing w:before="0" w:after="283"/>
              <w:jc w:val="left"/>
              <w:rPr/>
            </w:pPr>
            <w:r>
              <w:rPr/>
              <w:t> </w:t>
            </w:r>
          </w:p>
        </w:tc>
        <w:tc>
          <w:tcPr>
            <w:tcW w:w="104"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jc w:val="left"/>
              <w:rPr/>
            </w:pPr>
            <w:r>
              <w:rPr/>
              <w:t> </w:t>
            </w:r>
          </w:p>
        </w:tc>
        <w:tc>
          <w:tcPr>
            <w:tcW w:w="1102" w:type="dxa"/>
            <w:tcBorders/>
            <w:shd w:fill="CCEEFF" w:val="clear"/>
            <w:vAlign w:val="bottom"/>
          </w:tcPr>
          <w:p>
            <w:pPr>
              <w:pStyle w:val="TableContents"/>
              <w:spacing w:before="0" w:after="283"/>
              <w:jc w:val="right"/>
              <w:rPr/>
            </w:pPr>
            <w:r>
              <w:rPr/>
              <w:t> </w:t>
            </w:r>
          </w:p>
        </w:tc>
        <w:tc>
          <w:tcPr>
            <w:tcW w:w="124" w:type="dxa"/>
            <w:tcBorders/>
            <w:shd w:fill="CCEEFF" w:val="clear"/>
            <w:vAlign w:val="bottom"/>
          </w:tcPr>
          <w:p>
            <w:pPr>
              <w:pStyle w:val="TableContents"/>
              <w:spacing w:before="0" w:after="283"/>
              <w:jc w:val="left"/>
              <w:rPr/>
            </w:pPr>
            <w:r>
              <w:rPr/>
              <w:t> </w:t>
            </w:r>
          </w:p>
        </w:tc>
      </w:tr>
      <w:tr>
        <w:trPr/>
        <w:tc>
          <w:tcPr>
            <w:tcW w:w="5987" w:type="dxa"/>
            <w:tcBorders/>
            <w:shd w:fill="FFFFFF" w:val="clear"/>
            <w:vAlign w:val="bottom"/>
          </w:tcPr>
          <w:p>
            <w:pPr>
              <w:pStyle w:val="TableContents"/>
              <w:spacing w:before="0" w:after="0"/>
              <w:ind w:left="0" w:right="0" w:hanging="0"/>
              <w:jc w:val="left"/>
              <w:rPr>
                <w:rFonts w:ascii="helvetica" w:hAnsi="helvetica"/>
                <w:sz w:val="20"/>
              </w:rPr>
            </w:pPr>
            <w:r>
              <w:rPr>
                <w:rFonts w:ascii="helvetica" w:hAnsi="helvetica"/>
                <w:sz w:val="20"/>
              </w:rPr>
              <w:t>Issuance of and adjustment to common stock and warrants to</w:t>
            </w:r>
          </w:p>
        </w:tc>
        <w:tc>
          <w:tcPr>
            <w:tcW w:w="104"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69" w:type="dxa"/>
            <w:tcBorders/>
            <w:shd w:fill="FFFFFF" w:val="clear"/>
            <w:vAlign w:val="bottom"/>
          </w:tcPr>
          <w:p>
            <w:pPr>
              <w:pStyle w:val="TableContents"/>
              <w:spacing w:before="0" w:after="283"/>
              <w:jc w:val="right"/>
              <w:rPr/>
            </w:pPr>
            <w:r>
              <w:rPr/>
              <w:t> </w:t>
            </w:r>
          </w:p>
        </w:tc>
        <w:tc>
          <w:tcPr>
            <w:tcW w:w="110" w:type="dxa"/>
            <w:tcBorders/>
            <w:shd w:fill="FFFFFF" w:val="clear"/>
            <w:vAlign w:val="bottom"/>
          </w:tcPr>
          <w:p>
            <w:pPr>
              <w:pStyle w:val="TableContents"/>
              <w:spacing w:before="0" w:after="283"/>
              <w:jc w:val="left"/>
              <w:rPr/>
            </w:pPr>
            <w:r>
              <w:rPr/>
              <w:t> </w:t>
            </w:r>
          </w:p>
        </w:tc>
        <w:tc>
          <w:tcPr>
            <w:tcW w:w="104"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17" w:type="dxa"/>
            <w:tcBorders/>
            <w:shd w:fill="FFFFFF" w:val="clear"/>
            <w:vAlign w:val="bottom"/>
          </w:tcPr>
          <w:p>
            <w:pPr>
              <w:pStyle w:val="TableContents"/>
              <w:spacing w:before="0" w:after="283"/>
              <w:jc w:val="right"/>
              <w:rPr/>
            </w:pPr>
            <w:r>
              <w:rPr/>
              <w:t> </w:t>
            </w:r>
          </w:p>
        </w:tc>
        <w:tc>
          <w:tcPr>
            <w:tcW w:w="110" w:type="dxa"/>
            <w:tcBorders/>
            <w:shd w:fill="FFFFFF" w:val="clear"/>
            <w:vAlign w:val="bottom"/>
          </w:tcPr>
          <w:p>
            <w:pPr>
              <w:pStyle w:val="TableContents"/>
              <w:spacing w:before="0" w:after="283"/>
              <w:jc w:val="left"/>
              <w:rPr/>
            </w:pPr>
            <w:r>
              <w:rPr/>
              <w:t> </w:t>
            </w:r>
          </w:p>
        </w:tc>
        <w:tc>
          <w:tcPr>
            <w:tcW w:w="104" w:type="dxa"/>
            <w:tcBorders/>
            <w:shd w:fill="FFFFFF" w:val="clear"/>
            <w:vAlign w:val="bottom"/>
          </w:tcPr>
          <w:p>
            <w:pPr>
              <w:pStyle w:val="TableContents"/>
              <w:spacing w:before="0" w:after="283"/>
              <w:rPr/>
            </w:pPr>
            <w:r>
              <w:rPr/>
              <w:t> </w:t>
            </w:r>
          </w:p>
        </w:tc>
        <w:tc>
          <w:tcPr>
            <w:tcW w:w="124" w:type="dxa"/>
            <w:tcBorders/>
            <w:shd w:fill="FFFFFF" w:val="clear"/>
            <w:vAlign w:val="bottom"/>
          </w:tcPr>
          <w:p>
            <w:pPr>
              <w:pStyle w:val="TableContents"/>
              <w:spacing w:before="0" w:after="283"/>
              <w:jc w:val="left"/>
              <w:rPr/>
            </w:pPr>
            <w:r>
              <w:rPr/>
              <w:t> </w:t>
            </w:r>
          </w:p>
        </w:tc>
        <w:tc>
          <w:tcPr>
            <w:tcW w:w="1102" w:type="dxa"/>
            <w:tcBorders/>
            <w:shd w:fill="FFFFFF" w:val="clear"/>
            <w:vAlign w:val="bottom"/>
          </w:tcPr>
          <w:p>
            <w:pPr>
              <w:pStyle w:val="TableContents"/>
              <w:spacing w:before="0" w:after="283"/>
              <w:jc w:val="right"/>
              <w:rPr/>
            </w:pPr>
            <w:r>
              <w:rPr/>
              <w:t> </w:t>
            </w:r>
          </w:p>
        </w:tc>
        <w:tc>
          <w:tcPr>
            <w:tcW w:w="124" w:type="dxa"/>
            <w:tcBorders/>
            <w:shd w:fill="FFFFFF" w:val="clear"/>
            <w:vAlign w:val="bottom"/>
          </w:tcPr>
          <w:p>
            <w:pPr>
              <w:pStyle w:val="TableContents"/>
              <w:spacing w:before="0" w:after="283"/>
              <w:jc w:val="left"/>
              <w:rPr/>
            </w:pPr>
            <w:r>
              <w:rPr/>
              <w:t> </w:t>
            </w:r>
          </w:p>
        </w:tc>
      </w:tr>
      <w:tr>
        <w:trPr/>
        <w:tc>
          <w:tcPr>
            <w:tcW w:w="5987" w:type="dxa"/>
            <w:tcBorders/>
            <w:shd w:fill="CCEEFF" w:val="clear"/>
            <w:vAlign w:val="bottom"/>
          </w:tcPr>
          <w:p>
            <w:pPr>
              <w:pStyle w:val="TableContents"/>
              <w:spacing w:before="0" w:after="0"/>
              <w:ind w:left="0" w:right="0" w:hanging="0"/>
              <w:jc w:val="left"/>
              <w:rPr/>
            </w:pPr>
            <w:r>
              <w:rPr/>
              <w:t>  </w:t>
            </w:r>
            <w:r>
              <w:rPr>
                <w:rFonts w:ascii="helvetica" w:hAnsi="helvetica"/>
                <w:sz w:val="20"/>
              </w:rPr>
              <w:t>consulting firms for prepaid consulting fees</w:t>
            </w:r>
          </w:p>
        </w:tc>
        <w:tc>
          <w:tcPr>
            <w:tcW w:w="10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rFonts w:ascii="helvetica" w:hAnsi="helvetica"/>
                <w:sz w:val="20"/>
              </w:rPr>
            </w:pPr>
            <w:r>
              <w:rPr>
                <w:rFonts w:ascii="helvetica" w:hAnsi="helvetica"/>
                <w:sz w:val="20"/>
              </w:rPr>
              <w:t>$</w:t>
            </w:r>
          </w:p>
        </w:tc>
        <w:tc>
          <w:tcPr>
            <w:tcW w:w="1069"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w:t>
            </w:r>
          </w:p>
        </w:tc>
        <w:tc>
          <w:tcPr>
            <w:tcW w:w="110" w:type="dxa"/>
            <w:tcBorders/>
            <w:shd w:fill="CCEEFF" w:val="clear"/>
            <w:vAlign w:val="bottom"/>
          </w:tcPr>
          <w:p>
            <w:pPr>
              <w:pStyle w:val="TableContents"/>
              <w:spacing w:before="0" w:after="283"/>
              <w:jc w:val="left"/>
              <w:rPr/>
            </w:pPr>
            <w:r>
              <w:rPr/>
              <w:t> </w:t>
            </w:r>
          </w:p>
        </w:tc>
        <w:tc>
          <w:tcPr>
            <w:tcW w:w="10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rFonts w:ascii="helvetica" w:hAnsi="helvetica"/>
                <w:sz w:val="20"/>
              </w:rPr>
            </w:pPr>
            <w:r>
              <w:rPr>
                <w:rFonts w:ascii="helvetica" w:hAnsi="helvetica"/>
                <w:sz w:val="20"/>
              </w:rPr>
              <w:t>$</w:t>
            </w:r>
          </w:p>
        </w:tc>
        <w:tc>
          <w:tcPr>
            <w:tcW w:w="1017"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w:t>
            </w:r>
          </w:p>
        </w:tc>
        <w:tc>
          <w:tcPr>
            <w:tcW w:w="110" w:type="dxa"/>
            <w:tcBorders/>
            <w:shd w:fill="CCEEFF" w:val="clear"/>
            <w:vAlign w:val="bottom"/>
          </w:tcPr>
          <w:p>
            <w:pPr>
              <w:pStyle w:val="TableContents"/>
              <w:spacing w:before="0" w:after="283"/>
              <w:jc w:val="left"/>
              <w:rPr/>
            </w:pPr>
            <w:r>
              <w:rPr/>
              <w:t> </w:t>
            </w:r>
          </w:p>
        </w:tc>
        <w:tc>
          <w:tcPr>
            <w:tcW w:w="104"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jc w:val="left"/>
              <w:rPr>
                <w:rFonts w:ascii="helvetica" w:hAnsi="helvetica"/>
                <w:sz w:val="20"/>
              </w:rPr>
            </w:pPr>
            <w:r>
              <w:rPr>
                <w:rFonts w:ascii="helvetica" w:hAnsi="helvetica"/>
                <w:sz w:val="20"/>
              </w:rPr>
              <w:t>$</w:t>
            </w:r>
          </w:p>
        </w:tc>
        <w:tc>
          <w:tcPr>
            <w:tcW w:w="1102"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432,007</w:t>
            </w:r>
          </w:p>
        </w:tc>
        <w:tc>
          <w:tcPr>
            <w:tcW w:w="124" w:type="dxa"/>
            <w:tcBorders/>
            <w:shd w:fill="CCEEFF" w:val="clear"/>
            <w:vAlign w:val="bottom"/>
          </w:tcPr>
          <w:p>
            <w:pPr>
              <w:pStyle w:val="TableContents"/>
              <w:spacing w:before="0" w:after="283"/>
              <w:jc w:val="left"/>
              <w:rPr/>
            </w:pPr>
            <w:r>
              <w:rPr/>
              <w:t> </w:t>
            </w:r>
          </w:p>
        </w:tc>
      </w:tr>
      <w:tr>
        <w:trPr/>
        <w:tc>
          <w:tcPr>
            <w:tcW w:w="5987" w:type="dxa"/>
            <w:tcBorders/>
            <w:shd w:fill="FFFFFF" w:val="clear"/>
            <w:vAlign w:val="bottom"/>
          </w:tcPr>
          <w:p>
            <w:pPr>
              <w:pStyle w:val="TableContents"/>
              <w:spacing w:before="0" w:after="0"/>
              <w:ind w:left="0" w:right="0" w:hanging="0"/>
              <w:jc w:val="left"/>
              <w:rPr>
                <w:rFonts w:ascii="helvetica" w:hAnsi="helvetica"/>
                <w:sz w:val="20"/>
              </w:rPr>
            </w:pPr>
            <w:r>
              <w:rPr>
                <w:rFonts w:ascii="helvetica" w:hAnsi="helvetica"/>
                <w:sz w:val="20"/>
              </w:rPr>
              <w:t>Deferred offering costs in connection with equity</w:t>
            </w:r>
          </w:p>
        </w:tc>
        <w:tc>
          <w:tcPr>
            <w:tcW w:w="104"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69" w:type="dxa"/>
            <w:tcBorders/>
            <w:shd w:fill="FFFFFF" w:val="clear"/>
            <w:vAlign w:val="bottom"/>
          </w:tcPr>
          <w:p>
            <w:pPr>
              <w:pStyle w:val="TableContents"/>
              <w:spacing w:before="0" w:after="283"/>
              <w:jc w:val="right"/>
              <w:rPr/>
            </w:pPr>
            <w:r>
              <w:rPr/>
              <w:t> </w:t>
            </w:r>
          </w:p>
        </w:tc>
        <w:tc>
          <w:tcPr>
            <w:tcW w:w="110" w:type="dxa"/>
            <w:tcBorders/>
            <w:shd w:fill="FFFFFF" w:val="clear"/>
            <w:vAlign w:val="bottom"/>
          </w:tcPr>
          <w:p>
            <w:pPr>
              <w:pStyle w:val="TableContents"/>
              <w:spacing w:before="0" w:after="283"/>
              <w:jc w:val="left"/>
              <w:rPr/>
            </w:pPr>
            <w:r>
              <w:rPr/>
              <w:t> </w:t>
            </w:r>
          </w:p>
        </w:tc>
        <w:tc>
          <w:tcPr>
            <w:tcW w:w="104"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17" w:type="dxa"/>
            <w:tcBorders/>
            <w:shd w:fill="FFFFFF" w:val="clear"/>
            <w:vAlign w:val="bottom"/>
          </w:tcPr>
          <w:p>
            <w:pPr>
              <w:pStyle w:val="TableContents"/>
              <w:spacing w:before="0" w:after="283"/>
              <w:jc w:val="right"/>
              <w:rPr/>
            </w:pPr>
            <w:r>
              <w:rPr/>
              <w:t> </w:t>
            </w:r>
          </w:p>
        </w:tc>
        <w:tc>
          <w:tcPr>
            <w:tcW w:w="110" w:type="dxa"/>
            <w:tcBorders/>
            <w:shd w:fill="FFFFFF" w:val="clear"/>
            <w:vAlign w:val="bottom"/>
          </w:tcPr>
          <w:p>
            <w:pPr>
              <w:pStyle w:val="TableContents"/>
              <w:spacing w:before="0" w:after="283"/>
              <w:jc w:val="left"/>
              <w:rPr/>
            </w:pPr>
            <w:r>
              <w:rPr/>
              <w:t> </w:t>
            </w:r>
          </w:p>
        </w:tc>
        <w:tc>
          <w:tcPr>
            <w:tcW w:w="104" w:type="dxa"/>
            <w:tcBorders/>
            <w:shd w:fill="FFFFFF" w:val="clear"/>
            <w:vAlign w:val="bottom"/>
          </w:tcPr>
          <w:p>
            <w:pPr>
              <w:pStyle w:val="TableContents"/>
              <w:spacing w:before="0" w:after="283"/>
              <w:rPr/>
            </w:pPr>
            <w:r>
              <w:rPr/>
              <w:t> </w:t>
            </w:r>
          </w:p>
        </w:tc>
        <w:tc>
          <w:tcPr>
            <w:tcW w:w="124" w:type="dxa"/>
            <w:tcBorders/>
            <w:shd w:fill="FFFFFF" w:val="clear"/>
            <w:vAlign w:val="bottom"/>
          </w:tcPr>
          <w:p>
            <w:pPr>
              <w:pStyle w:val="TableContents"/>
              <w:spacing w:before="0" w:after="283"/>
              <w:jc w:val="left"/>
              <w:rPr/>
            </w:pPr>
            <w:r>
              <w:rPr/>
              <w:t> </w:t>
            </w:r>
          </w:p>
        </w:tc>
        <w:tc>
          <w:tcPr>
            <w:tcW w:w="1102" w:type="dxa"/>
            <w:tcBorders/>
            <w:shd w:fill="FFFFFF" w:val="clear"/>
            <w:vAlign w:val="bottom"/>
          </w:tcPr>
          <w:p>
            <w:pPr>
              <w:pStyle w:val="TableContents"/>
              <w:spacing w:before="0" w:after="283"/>
              <w:jc w:val="right"/>
              <w:rPr/>
            </w:pPr>
            <w:r>
              <w:rPr/>
              <w:t> </w:t>
            </w:r>
          </w:p>
        </w:tc>
        <w:tc>
          <w:tcPr>
            <w:tcW w:w="124" w:type="dxa"/>
            <w:tcBorders/>
            <w:shd w:fill="FFFFFF" w:val="clear"/>
            <w:vAlign w:val="bottom"/>
          </w:tcPr>
          <w:p>
            <w:pPr>
              <w:pStyle w:val="TableContents"/>
              <w:spacing w:before="0" w:after="283"/>
              <w:jc w:val="left"/>
              <w:rPr/>
            </w:pPr>
            <w:r>
              <w:rPr/>
              <w:t> </w:t>
            </w:r>
          </w:p>
        </w:tc>
      </w:tr>
      <w:tr>
        <w:trPr/>
        <w:tc>
          <w:tcPr>
            <w:tcW w:w="5987" w:type="dxa"/>
            <w:tcBorders/>
            <w:shd w:fill="CCEEFF" w:val="clear"/>
            <w:vAlign w:val="bottom"/>
          </w:tcPr>
          <w:p>
            <w:pPr>
              <w:pStyle w:val="TableContents"/>
              <w:spacing w:before="0" w:after="0"/>
              <w:ind w:left="0" w:right="0" w:hanging="0"/>
              <w:jc w:val="left"/>
              <w:rPr/>
            </w:pPr>
            <w:r>
              <w:rPr/>
              <w:t>   </w:t>
            </w:r>
            <w:r>
              <w:rPr>
                <w:rFonts w:ascii="helvetica" w:hAnsi="helvetica"/>
                <w:sz w:val="20"/>
              </w:rPr>
              <w:t>offering recorded in accounts payable</w:t>
            </w:r>
          </w:p>
        </w:tc>
        <w:tc>
          <w:tcPr>
            <w:tcW w:w="10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rFonts w:ascii="helvetica" w:hAnsi="helvetica"/>
                <w:sz w:val="20"/>
              </w:rPr>
            </w:pPr>
            <w:r>
              <w:rPr>
                <w:rFonts w:ascii="helvetica" w:hAnsi="helvetica"/>
                <w:sz w:val="20"/>
              </w:rPr>
              <w:t>$</w:t>
            </w:r>
          </w:p>
        </w:tc>
        <w:tc>
          <w:tcPr>
            <w:tcW w:w="1069"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87,732</w:t>
            </w:r>
          </w:p>
        </w:tc>
        <w:tc>
          <w:tcPr>
            <w:tcW w:w="110" w:type="dxa"/>
            <w:tcBorders/>
            <w:shd w:fill="CCEEFF" w:val="clear"/>
            <w:vAlign w:val="bottom"/>
          </w:tcPr>
          <w:p>
            <w:pPr>
              <w:pStyle w:val="TableContents"/>
              <w:spacing w:before="0" w:after="283"/>
              <w:jc w:val="left"/>
              <w:rPr/>
            </w:pPr>
            <w:r>
              <w:rPr/>
              <w:t> </w:t>
            </w:r>
          </w:p>
        </w:tc>
        <w:tc>
          <w:tcPr>
            <w:tcW w:w="10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rFonts w:ascii="helvetica" w:hAnsi="helvetica"/>
                <w:sz w:val="20"/>
              </w:rPr>
            </w:pPr>
            <w:r>
              <w:rPr>
                <w:rFonts w:ascii="helvetica" w:hAnsi="helvetica"/>
                <w:sz w:val="20"/>
              </w:rPr>
              <w:t>$</w:t>
            </w:r>
          </w:p>
        </w:tc>
        <w:tc>
          <w:tcPr>
            <w:tcW w:w="1017"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w:t>
            </w:r>
          </w:p>
        </w:tc>
        <w:tc>
          <w:tcPr>
            <w:tcW w:w="110" w:type="dxa"/>
            <w:tcBorders/>
            <w:shd w:fill="CCEEFF" w:val="clear"/>
            <w:vAlign w:val="bottom"/>
          </w:tcPr>
          <w:p>
            <w:pPr>
              <w:pStyle w:val="TableContents"/>
              <w:spacing w:before="0" w:after="283"/>
              <w:jc w:val="left"/>
              <w:rPr/>
            </w:pPr>
            <w:r>
              <w:rPr/>
              <w:t> </w:t>
            </w:r>
          </w:p>
        </w:tc>
        <w:tc>
          <w:tcPr>
            <w:tcW w:w="104"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jc w:val="left"/>
              <w:rPr>
                <w:rFonts w:ascii="helvetica" w:hAnsi="helvetica"/>
                <w:sz w:val="20"/>
              </w:rPr>
            </w:pPr>
            <w:r>
              <w:rPr>
                <w:rFonts w:ascii="helvetica" w:hAnsi="helvetica"/>
                <w:sz w:val="20"/>
              </w:rPr>
              <w:t>$</w:t>
            </w:r>
          </w:p>
        </w:tc>
        <w:tc>
          <w:tcPr>
            <w:tcW w:w="1102"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87,732</w:t>
            </w:r>
          </w:p>
        </w:tc>
        <w:tc>
          <w:tcPr>
            <w:tcW w:w="124" w:type="dxa"/>
            <w:tcBorders/>
            <w:shd w:fill="CCEEFF" w:val="clear"/>
            <w:vAlign w:val="bottom"/>
          </w:tcPr>
          <w:p>
            <w:pPr>
              <w:pStyle w:val="TableContents"/>
              <w:spacing w:before="0" w:after="283"/>
              <w:jc w:val="left"/>
              <w:rPr/>
            </w:pPr>
            <w:r>
              <w:rPr/>
              <w:t> </w:t>
            </w:r>
          </w:p>
        </w:tc>
      </w:tr>
      <w:tr>
        <w:trPr/>
        <w:tc>
          <w:tcPr>
            <w:tcW w:w="5987" w:type="dxa"/>
            <w:tcBorders/>
            <w:shd w:fill="FFFFFF" w:val="clear"/>
            <w:vAlign w:val="bottom"/>
          </w:tcPr>
          <w:p>
            <w:pPr>
              <w:pStyle w:val="TableContents"/>
              <w:spacing w:before="0" w:after="0"/>
              <w:ind w:left="0" w:right="0" w:hanging="0"/>
              <w:jc w:val="left"/>
              <w:rPr>
                <w:rFonts w:ascii="helvetica" w:hAnsi="helvetica"/>
                <w:sz w:val="20"/>
              </w:rPr>
            </w:pPr>
            <w:r>
              <w:rPr>
                <w:rFonts w:ascii="helvetica" w:hAnsi="helvetica"/>
                <w:sz w:val="20"/>
              </w:rPr>
              <w:t>Conversion of related party accounts payable into common stock</w:t>
            </w:r>
          </w:p>
        </w:tc>
        <w:tc>
          <w:tcPr>
            <w:tcW w:w="104"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rFonts w:ascii="helvetica" w:hAnsi="helvetica"/>
                <w:sz w:val="20"/>
              </w:rPr>
            </w:pPr>
            <w:r>
              <w:rPr>
                <w:rFonts w:ascii="helvetica" w:hAnsi="helvetica"/>
                <w:sz w:val="20"/>
              </w:rPr>
              <w:t>$</w:t>
            </w:r>
          </w:p>
        </w:tc>
        <w:tc>
          <w:tcPr>
            <w:tcW w:w="1069"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56,087</w:t>
            </w:r>
          </w:p>
        </w:tc>
        <w:tc>
          <w:tcPr>
            <w:tcW w:w="110" w:type="dxa"/>
            <w:tcBorders/>
            <w:shd w:fill="FFFFFF" w:val="clear"/>
            <w:vAlign w:val="bottom"/>
          </w:tcPr>
          <w:p>
            <w:pPr>
              <w:pStyle w:val="TableContents"/>
              <w:spacing w:before="0" w:after="283"/>
              <w:jc w:val="left"/>
              <w:rPr/>
            </w:pPr>
            <w:r>
              <w:rPr/>
              <w:t> </w:t>
            </w:r>
          </w:p>
        </w:tc>
        <w:tc>
          <w:tcPr>
            <w:tcW w:w="104"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rFonts w:ascii="helvetica" w:hAnsi="helvetica"/>
                <w:sz w:val="20"/>
              </w:rPr>
            </w:pPr>
            <w:r>
              <w:rPr>
                <w:rFonts w:ascii="helvetica" w:hAnsi="helvetica"/>
                <w:sz w:val="20"/>
              </w:rPr>
              <w:t>$</w:t>
            </w:r>
          </w:p>
        </w:tc>
        <w:tc>
          <w:tcPr>
            <w:tcW w:w="1017"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w:t>
            </w:r>
          </w:p>
        </w:tc>
        <w:tc>
          <w:tcPr>
            <w:tcW w:w="110" w:type="dxa"/>
            <w:tcBorders/>
            <w:shd w:fill="FFFFFF" w:val="clear"/>
            <w:vAlign w:val="bottom"/>
          </w:tcPr>
          <w:p>
            <w:pPr>
              <w:pStyle w:val="TableContents"/>
              <w:spacing w:before="0" w:after="283"/>
              <w:jc w:val="left"/>
              <w:rPr/>
            </w:pPr>
            <w:r>
              <w:rPr/>
              <w:t> </w:t>
            </w:r>
          </w:p>
        </w:tc>
        <w:tc>
          <w:tcPr>
            <w:tcW w:w="104" w:type="dxa"/>
            <w:tcBorders/>
            <w:shd w:fill="FFFFFF" w:val="clear"/>
            <w:vAlign w:val="bottom"/>
          </w:tcPr>
          <w:p>
            <w:pPr>
              <w:pStyle w:val="TableContents"/>
              <w:spacing w:before="0" w:after="283"/>
              <w:rPr/>
            </w:pPr>
            <w:r>
              <w:rPr/>
              <w:t> </w:t>
            </w:r>
          </w:p>
        </w:tc>
        <w:tc>
          <w:tcPr>
            <w:tcW w:w="124" w:type="dxa"/>
            <w:tcBorders/>
            <w:shd w:fill="FFFFFF" w:val="clear"/>
            <w:vAlign w:val="bottom"/>
          </w:tcPr>
          <w:p>
            <w:pPr>
              <w:pStyle w:val="TableContents"/>
              <w:spacing w:before="0" w:after="283"/>
              <w:jc w:val="left"/>
              <w:rPr>
                <w:rFonts w:ascii="helvetica" w:hAnsi="helvetica"/>
                <w:sz w:val="20"/>
              </w:rPr>
            </w:pPr>
            <w:r>
              <w:rPr>
                <w:rFonts w:ascii="helvetica" w:hAnsi="helvetica"/>
                <w:sz w:val="20"/>
              </w:rPr>
              <w:t>$</w:t>
            </w:r>
          </w:p>
        </w:tc>
        <w:tc>
          <w:tcPr>
            <w:tcW w:w="1102"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56,087</w:t>
            </w:r>
          </w:p>
        </w:tc>
        <w:tc>
          <w:tcPr>
            <w:tcW w:w="124" w:type="dxa"/>
            <w:tcBorders/>
            <w:shd w:fill="FFFFFF" w:val="clear"/>
            <w:vAlign w:val="bottom"/>
          </w:tcPr>
          <w:p>
            <w:pPr>
              <w:pStyle w:val="TableContents"/>
              <w:spacing w:before="0" w:after="283"/>
              <w:jc w:val="left"/>
              <w:rPr/>
            </w:pPr>
            <w:r>
              <w:rPr/>
              <w:t> </w:t>
            </w:r>
          </w:p>
        </w:tc>
      </w:tr>
      <w:tr>
        <w:trPr/>
        <w:tc>
          <w:tcPr>
            <w:tcW w:w="5987" w:type="dxa"/>
            <w:tcBorders/>
            <w:shd w:fill="CCEEFF" w:val="clear"/>
            <w:vAlign w:val="bottom"/>
          </w:tcPr>
          <w:p>
            <w:pPr>
              <w:pStyle w:val="TableContents"/>
              <w:spacing w:before="0" w:after="0"/>
              <w:ind w:left="0" w:right="0" w:hanging="0"/>
              <w:jc w:val="left"/>
              <w:rPr>
                <w:rFonts w:ascii="helvetica" w:hAnsi="helvetica"/>
                <w:sz w:val="20"/>
              </w:rPr>
            </w:pPr>
            <w:r>
              <w:rPr>
                <w:rFonts w:ascii="helvetica" w:hAnsi="helvetica"/>
                <w:sz w:val="20"/>
              </w:rPr>
              <w:t>Conversion of notes payable and accrued interest into</w:t>
            </w:r>
          </w:p>
        </w:tc>
        <w:tc>
          <w:tcPr>
            <w:tcW w:w="10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69" w:type="dxa"/>
            <w:tcBorders/>
            <w:shd w:fill="CCEEFF" w:val="clear"/>
            <w:vAlign w:val="bottom"/>
          </w:tcPr>
          <w:p>
            <w:pPr>
              <w:pStyle w:val="TableContents"/>
              <w:spacing w:before="0" w:after="283"/>
              <w:jc w:val="right"/>
              <w:rPr/>
            </w:pPr>
            <w:r>
              <w:rPr/>
              <w:t> </w:t>
            </w:r>
          </w:p>
        </w:tc>
        <w:tc>
          <w:tcPr>
            <w:tcW w:w="110" w:type="dxa"/>
            <w:tcBorders/>
            <w:shd w:fill="CCEEFF" w:val="clear"/>
            <w:vAlign w:val="bottom"/>
          </w:tcPr>
          <w:p>
            <w:pPr>
              <w:pStyle w:val="TableContents"/>
              <w:spacing w:before="0" w:after="283"/>
              <w:jc w:val="left"/>
              <w:rPr/>
            </w:pPr>
            <w:r>
              <w:rPr/>
              <w:t> </w:t>
            </w:r>
          </w:p>
        </w:tc>
        <w:tc>
          <w:tcPr>
            <w:tcW w:w="10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17" w:type="dxa"/>
            <w:tcBorders/>
            <w:shd w:fill="CCEEFF" w:val="clear"/>
            <w:vAlign w:val="bottom"/>
          </w:tcPr>
          <w:p>
            <w:pPr>
              <w:pStyle w:val="TableContents"/>
              <w:spacing w:before="0" w:after="283"/>
              <w:jc w:val="right"/>
              <w:rPr/>
            </w:pPr>
            <w:r>
              <w:rPr/>
              <w:t> </w:t>
            </w:r>
          </w:p>
        </w:tc>
        <w:tc>
          <w:tcPr>
            <w:tcW w:w="110" w:type="dxa"/>
            <w:tcBorders/>
            <w:shd w:fill="CCEEFF" w:val="clear"/>
            <w:vAlign w:val="bottom"/>
          </w:tcPr>
          <w:p>
            <w:pPr>
              <w:pStyle w:val="TableContents"/>
              <w:spacing w:before="0" w:after="283"/>
              <w:jc w:val="left"/>
              <w:rPr/>
            </w:pPr>
            <w:r>
              <w:rPr/>
              <w:t> </w:t>
            </w:r>
          </w:p>
        </w:tc>
        <w:tc>
          <w:tcPr>
            <w:tcW w:w="104"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jc w:val="left"/>
              <w:rPr/>
            </w:pPr>
            <w:r>
              <w:rPr/>
              <w:t> </w:t>
            </w:r>
          </w:p>
        </w:tc>
        <w:tc>
          <w:tcPr>
            <w:tcW w:w="1102" w:type="dxa"/>
            <w:tcBorders/>
            <w:shd w:fill="CCEEFF" w:val="clear"/>
            <w:vAlign w:val="bottom"/>
          </w:tcPr>
          <w:p>
            <w:pPr>
              <w:pStyle w:val="TableContents"/>
              <w:spacing w:before="0" w:after="283"/>
              <w:jc w:val="right"/>
              <w:rPr/>
            </w:pPr>
            <w:r>
              <w:rPr/>
              <w:t> </w:t>
            </w:r>
          </w:p>
        </w:tc>
        <w:tc>
          <w:tcPr>
            <w:tcW w:w="124" w:type="dxa"/>
            <w:tcBorders/>
            <w:shd w:fill="CCEEFF" w:val="clear"/>
            <w:vAlign w:val="bottom"/>
          </w:tcPr>
          <w:p>
            <w:pPr>
              <w:pStyle w:val="TableContents"/>
              <w:spacing w:before="0" w:after="283"/>
              <w:jc w:val="left"/>
              <w:rPr/>
            </w:pPr>
            <w:r>
              <w:rPr/>
              <w:t> </w:t>
            </w:r>
          </w:p>
        </w:tc>
      </w:tr>
      <w:tr>
        <w:trPr/>
        <w:tc>
          <w:tcPr>
            <w:tcW w:w="5987" w:type="dxa"/>
            <w:tcBorders/>
            <w:shd w:fill="FFFFFF" w:val="clear"/>
            <w:vAlign w:val="bottom"/>
          </w:tcPr>
          <w:p>
            <w:pPr>
              <w:pStyle w:val="TableContents"/>
              <w:spacing w:before="0" w:after="0"/>
              <w:ind w:left="0" w:right="0" w:hanging="0"/>
              <w:jc w:val="left"/>
              <w:rPr/>
            </w:pPr>
            <w:r>
              <w:rPr/>
              <w:t>  </w:t>
            </w:r>
            <w:r>
              <w:rPr>
                <w:rFonts w:ascii="helvetica" w:hAnsi="helvetica"/>
                <w:sz w:val="20"/>
              </w:rPr>
              <w:t>common stock</w:t>
            </w:r>
          </w:p>
        </w:tc>
        <w:tc>
          <w:tcPr>
            <w:tcW w:w="104"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rFonts w:ascii="helvetica" w:hAnsi="helvetica"/>
                <w:sz w:val="20"/>
              </w:rPr>
            </w:pPr>
            <w:r>
              <w:rPr>
                <w:rFonts w:ascii="helvetica" w:hAnsi="helvetica"/>
                <w:sz w:val="20"/>
              </w:rPr>
              <w:t>$</w:t>
            </w:r>
          </w:p>
        </w:tc>
        <w:tc>
          <w:tcPr>
            <w:tcW w:w="1069"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1,905,137</w:t>
            </w:r>
          </w:p>
        </w:tc>
        <w:tc>
          <w:tcPr>
            <w:tcW w:w="110" w:type="dxa"/>
            <w:tcBorders/>
            <w:shd w:fill="FFFFFF" w:val="clear"/>
            <w:vAlign w:val="bottom"/>
          </w:tcPr>
          <w:p>
            <w:pPr>
              <w:pStyle w:val="TableContents"/>
              <w:spacing w:before="0" w:after="283"/>
              <w:jc w:val="left"/>
              <w:rPr/>
            </w:pPr>
            <w:r>
              <w:rPr/>
              <w:t> </w:t>
            </w:r>
          </w:p>
        </w:tc>
        <w:tc>
          <w:tcPr>
            <w:tcW w:w="104"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rFonts w:ascii="helvetica" w:hAnsi="helvetica"/>
                <w:sz w:val="20"/>
              </w:rPr>
            </w:pPr>
            <w:r>
              <w:rPr>
                <w:rFonts w:ascii="helvetica" w:hAnsi="helvetica"/>
                <w:sz w:val="20"/>
              </w:rPr>
              <w:t>$</w:t>
            </w:r>
          </w:p>
        </w:tc>
        <w:tc>
          <w:tcPr>
            <w:tcW w:w="1017"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w:t>
            </w:r>
          </w:p>
        </w:tc>
        <w:tc>
          <w:tcPr>
            <w:tcW w:w="110" w:type="dxa"/>
            <w:tcBorders/>
            <w:shd w:fill="FFFFFF" w:val="clear"/>
            <w:vAlign w:val="bottom"/>
          </w:tcPr>
          <w:p>
            <w:pPr>
              <w:pStyle w:val="TableContents"/>
              <w:spacing w:before="0" w:after="283"/>
              <w:jc w:val="left"/>
              <w:rPr/>
            </w:pPr>
            <w:r>
              <w:rPr/>
              <w:t> </w:t>
            </w:r>
          </w:p>
        </w:tc>
        <w:tc>
          <w:tcPr>
            <w:tcW w:w="104" w:type="dxa"/>
            <w:tcBorders/>
            <w:shd w:fill="FFFFFF" w:val="clear"/>
            <w:vAlign w:val="bottom"/>
          </w:tcPr>
          <w:p>
            <w:pPr>
              <w:pStyle w:val="TableContents"/>
              <w:spacing w:before="0" w:after="283"/>
              <w:rPr/>
            </w:pPr>
            <w:r>
              <w:rPr/>
              <w:t> </w:t>
            </w:r>
          </w:p>
        </w:tc>
        <w:tc>
          <w:tcPr>
            <w:tcW w:w="124" w:type="dxa"/>
            <w:tcBorders/>
            <w:shd w:fill="FFFFFF" w:val="clear"/>
            <w:vAlign w:val="bottom"/>
          </w:tcPr>
          <w:p>
            <w:pPr>
              <w:pStyle w:val="TableContents"/>
              <w:spacing w:before="0" w:after="283"/>
              <w:jc w:val="left"/>
              <w:rPr>
                <w:rFonts w:ascii="helvetica" w:hAnsi="helvetica"/>
                <w:sz w:val="20"/>
              </w:rPr>
            </w:pPr>
            <w:r>
              <w:rPr>
                <w:rFonts w:ascii="helvetica" w:hAnsi="helvetica"/>
                <w:sz w:val="20"/>
              </w:rPr>
              <w:t>$</w:t>
            </w:r>
          </w:p>
        </w:tc>
        <w:tc>
          <w:tcPr>
            <w:tcW w:w="1102"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3,435,314</w:t>
            </w:r>
          </w:p>
        </w:tc>
        <w:tc>
          <w:tcPr>
            <w:tcW w:w="124" w:type="dxa"/>
            <w:tcBorders/>
            <w:shd w:fill="FFFFFF" w:val="clear"/>
            <w:vAlign w:val="bottom"/>
          </w:tcPr>
          <w:p>
            <w:pPr>
              <w:pStyle w:val="TableContents"/>
              <w:spacing w:before="0" w:after="283"/>
              <w:jc w:val="left"/>
              <w:rPr/>
            </w:pPr>
            <w:r>
              <w:rPr/>
              <w:t> </w:t>
            </w:r>
          </w:p>
        </w:tc>
      </w:tr>
      <w:tr>
        <w:trPr/>
        <w:tc>
          <w:tcPr>
            <w:tcW w:w="5987" w:type="dxa"/>
            <w:tcBorders/>
            <w:shd w:fill="CCEEFF" w:val="clear"/>
            <w:vAlign w:val="bottom"/>
          </w:tcPr>
          <w:p>
            <w:pPr>
              <w:pStyle w:val="TableContents"/>
              <w:spacing w:before="0" w:after="0"/>
              <w:ind w:left="0" w:right="0" w:hanging="0"/>
              <w:jc w:val="left"/>
              <w:rPr>
                <w:rFonts w:ascii="helvetica" w:hAnsi="helvetica"/>
                <w:sz w:val="20"/>
              </w:rPr>
            </w:pPr>
            <w:r>
              <w:rPr>
                <w:rFonts w:ascii="helvetica" w:hAnsi="helvetica"/>
                <w:sz w:val="20"/>
              </w:rPr>
              <w:t>Forgiveness of notes payable and accrued interest to</w:t>
            </w:r>
          </w:p>
        </w:tc>
        <w:tc>
          <w:tcPr>
            <w:tcW w:w="10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69" w:type="dxa"/>
            <w:tcBorders/>
            <w:shd w:fill="CCEEFF" w:val="clear"/>
            <w:vAlign w:val="bottom"/>
          </w:tcPr>
          <w:p>
            <w:pPr>
              <w:pStyle w:val="TableContents"/>
              <w:spacing w:before="0" w:after="283"/>
              <w:jc w:val="right"/>
              <w:rPr/>
            </w:pPr>
            <w:r>
              <w:rPr/>
              <w:t> </w:t>
            </w:r>
          </w:p>
        </w:tc>
        <w:tc>
          <w:tcPr>
            <w:tcW w:w="110" w:type="dxa"/>
            <w:tcBorders/>
            <w:shd w:fill="CCEEFF" w:val="clear"/>
            <w:vAlign w:val="bottom"/>
          </w:tcPr>
          <w:p>
            <w:pPr>
              <w:pStyle w:val="TableContents"/>
              <w:spacing w:before="0" w:after="283"/>
              <w:jc w:val="left"/>
              <w:rPr/>
            </w:pPr>
            <w:r>
              <w:rPr/>
              <w:t> </w:t>
            </w:r>
          </w:p>
        </w:tc>
        <w:tc>
          <w:tcPr>
            <w:tcW w:w="10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17" w:type="dxa"/>
            <w:tcBorders/>
            <w:shd w:fill="CCEEFF" w:val="clear"/>
            <w:vAlign w:val="bottom"/>
          </w:tcPr>
          <w:p>
            <w:pPr>
              <w:pStyle w:val="TableContents"/>
              <w:spacing w:before="0" w:after="283"/>
              <w:jc w:val="right"/>
              <w:rPr/>
            </w:pPr>
            <w:r>
              <w:rPr/>
              <w:t> </w:t>
            </w:r>
          </w:p>
        </w:tc>
        <w:tc>
          <w:tcPr>
            <w:tcW w:w="110" w:type="dxa"/>
            <w:tcBorders/>
            <w:shd w:fill="CCEEFF" w:val="clear"/>
            <w:vAlign w:val="bottom"/>
          </w:tcPr>
          <w:p>
            <w:pPr>
              <w:pStyle w:val="TableContents"/>
              <w:spacing w:before="0" w:after="283"/>
              <w:jc w:val="left"/>
              <w:rPr/>
            </w:pPr>
            <w:r>
              <w:rPr/>
              <w:t> </w:t>
            </w:r>
          </w:p>
        </w:tc>
        <w:tc>
          <w:tcPr>
            <w:tcW w:w="104"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jc w:val="left"/>
              <w:rPr/>
            </w:pPr>
            <w:r>
              <w:rPr/>
              <w:t> </w:t>
            </w:r>
          </w:p>
        </w:tc>
        <w:tc>
          <w:tcPr>
            <w:tcW w:w="1102" w:type="dxa"/>
            <w:tcBorders/>
            <w:shd w:fill="CCEEFF" w:val="clear"/>
            <w:vAlign w:val="bottom"/>
          </w:tcPr>
          <w:p>
            <w:pPr>
              <w:pStyle w:val="TableContents"/>
              <w:spacing w:before="0" w:after="283"/>
              <w:jc w:val="right"/>
              <w:rPr/>
            </w:pPr>
            <w:r>
              <w:rPr/>
              <w:t> </w:t>
            </w:r>
          </w:p>
        </w:tc>
        <w:tc>
          <w:tcPr>
            <w:tcW w:w="124" w:type="dxa"/>
            <w:tcBorders/>
            <w:shd w:fill="CCEEFF" w:val="clear"/>
            <w:vAlign w:val="bottom"/>
          </w:tcPr>
          <w:p>
            <w:pPr>
              <w:pStyle w:val="TableContents"/>
              <w:spacing w:before="0" w:after="283"/>
              <w:jc w:val="left"/>
              <w:rPr/>
            </w:pPr>
            <w:r>
              <w:rPr/>
              <w:t> </w:t>
            </w:r>
          </w:p>
        </w:tc>
      </w:tr>
      <w:tr>
        <w:trPr/>
        <w:tc>
          <w:tcPr>
            <w:tcW w:w="5987" w:type="dxa"/>
            <w:tcBorders/>
            <w:shd w:fill="FFFFFF" w:val="clear"/>
            <w:vAlign w:val="bottom"/>
          </w:tcPr>
          <w:p>
            <w:pPr>
              <w:pStyle w:val="TableContents"/>
              <w:spacing w:before="0" w:after="0"/>
              <w:ind w:left="0" w:right="0" w:hanging="0"/>
              <w:jc w:val="left"/>
              <w:rPr/>
            </w:pPr>
            <w:r>
              <w:rPr/>
              <w:t>  </w:t>
            </w:r>
            <w:r>
              <w:rPr>
                <w:rFonts w:ascii="helvetica" w:hAnsi="helvetica"/>
                <w:sz w:val="20"/>
              </w:rPr>
              <w:t>shareholders</w:t>
            </w:r>
          </w:p>
        </w:tc>
        <w:tc>
          <w:tcPr>
            <w:tcW w:w="104"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rFonts w:ascii="helvetica" w:hAnsi="helvetica"/>
                <w:sz w:val="20"/>
              </w:rPr>
            </w:pPr>
            <w:r>
              <w:rPr>
                <w:rFonts w:ascii="helvetica" w:hAnsi="helvetica"/>
                <w:sz w:val="20"/>
              </w:rPr>
              <w:t>$</w:t>
            </w:r>
          </w:p>
        </w:tc>
        <w:tc>
          <w:tcPr>
            <w:tcW w:w="1069"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w:t>
            </w:r>
          </w:p>
        </w:tc>
        <w:tc>
          <w:tcPr>
            <w:tcW w:w="110" w:type="dxa"/>
            <w:tcBorders/>
            <w:shd w:fill="FFFFFF" w:val="clear"/>
            <w:vAlign w:val="bottom"/>
          </w:tcPr>
          <w:p>
            <w:pPr>
              <w:pStyle w:val="TableContents"/>
              <w:spacing w:before="0" w:after="283"/>
              <w:jc w:val="left"/>
              <w:rPr/>
            </w:pPr>
            <w:r>
              <w:rPr/>
              <w:t> </w:t>
            </w:r>
          </w:p>
        </w:tc>
        <w:tc>
          <w:tcPr>
            <w:tcW w:w="104"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rFonts w:ascii="helvetica" w:hAnsi="helvetica"/>
                <w:sz w:val="20"/>
              </w:rPr>
            </w:pPr>
            <w:r>
              <w:rPr>
                <w:rFonts w:ascii="helvetica" w:hAnsi="helvetica"/>
                <w:sz w:val="20"/>
              </w:rPr>
              <w:t>$</w:t>
            </w:r>
          </w:p>
        </w:tc>
        <w:tc>
          <w:tcPr>
            <w:tcW w:w="1017"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w:t>
            </w:r>
          </w:p>
        </w:tc>
        <w:tc>
          <w:tcPr>
            <w:tcW w:w="110" w:type="dxa"/>
            <w:tcBorders/>
            <w:shd w:fill="FFFFFF" w:val="clear"/>
            <w:vAlign w:val="bottom"/>
          </w:tcPr>
          <w:p>
            <w:pPr>
              <w:pStyle w:val="TableContents"/>
              <w:spacing w:before="0" w:after="283"/>
              <w:jc w:val="left"/>
              <w:rPr/>
            </w:pPr>
            <w:r>
              <w:rPr/>
              <w:t> </w:t>
            </w:r>
          </w:p>
        </w:tc>
        <w:tc>
          <w:tcPr>
            <w:tcW w:w="104" w:type="dxa"/>
            <w:tcBorders/>
            <w:shd w:fill="FFFFFF" w:val="clear"/>
            <w:vAlign w:val="bottom"/>
          </w:tcPr>
          <w:p>
            <w:pPr>
              <w:pStyle w:val="TableContents"/>
              <w:spacing w:before="0" w:after="283"/>
              <w:rPr/>
            </w:pPr>
            <w:r>
              <w:rPr/>
              <w:t> </w:t>
            </w:r>
          </w:p>
        </w:tc>
        <w:tc>
          <w:tcPr>
            <w:tcW w:w="124" w:type="dxa"/>
            <w:tcBorders/>
            <w:shd w:fill="FFFFFF" w:val="clear"/>
            <w:vAlign w:val="bottom"/>
          </w:tcPr>
          <w:p>
            <w:pPr>
              <w:pStyle w:val="TableContents"/>
              <w:spacing w:before="0" w:after="283"/>
              <w:jc w:val="left"/>
              <w:rPr>
                <w:rFonts w:ascii="helvetica" w:hAnsi="helvetica"/>
                <w:sz w:val="20"/>
              </w:rPr>
            </w:pPr>
            <w:r>
              <w:rPr>
                <w:rFonts w:ascii="helvetica" w:hAnsi="helvetica"/>
                <w:sz w:val="20"/>
              </w:rPr>
              <w:t>$</w:t>
            </w:r>
          </w:p>
        </w:tc>
        <w:tc>
          <w:tcPr>
            <w:tcW w:w="1102"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241,701</w:t>
            </w:r>
          </w:p>
        </w:tc>
        <w:tc>
          <w:tcPr>
            <w:tcW w:w="124" w:type="dxa"/>
            <w:tcBorders/>
            <w:shd w:fill="FFFFFF" w:val="clear"/>
            <w:vAlign w:val="bottom"/>
          </w:tcPr>
          <w:p>
            <w:pPr>
              <w:pStyle w:val="TableContents"/>
              <w:spacing w:before="0" w:after="283"/>
              <w:jc w:val="left"/>
              <w:rPr/>
            </w:pPr>
            <w:r>
              <w:rPr/>
              <w:t> </w:t>
            </w:r>
          </w:p>
        </w:tc>
      </w:tr>
      <w:tr>
        <w:trPr/>
        <w:tc>
          <w:tcPr>
            <w:tcW w:w="5987" w:type="dxa"/>
            <w:tcBorders/>
            <w:shd w:fill="CCEEFF" w:val="clear"/>
            <w:vAlign w:val="bottom"/>
          </w:tcPr>
          <w:p>
            <w:pPr>
              <w:pStyle w:val="TableContents"/>
              <w:spacing w:before="0" w:after="0"/>
              <w:ind w:left="0" w:right="0" w:hanging="0"/>
              <w:jc w:val="left"/>
              <w:rPr>
                <w:rFonts w:ascii="helvetica" w:hAnsi="helvetica"/>
                <w:sz w:val="20"/>
              </w:rPr>
            </w:pPr>
            <w:r>
              <w:rPr>
                <w:rFonts w:ascii="helvetica" w:hAnsi="helvetica"/>
                <w:sz w:val="20"/>
              </w:rPr>
              <w:t>Conversion of advances to notes payable to shareholders</w:t>
            </w:r>
          </w:p>
        </w:tc>
        <w:tc>
          <w:tcPr>
            <w:tcW w:w="10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rFonts w:ascii="helvetica" w:hAnsi="helvetica"/>
                <w:sz w:val="20"/>
              </w:rPr>
            </w:pPr>
            <w:r>
              <w:rPr>
                <w:rFonts w:ascii="helvetica" w:hAnsi="helvetica"/>
                <w:sz w:val="20"/>
              </w:rPr>
              <w:t>$</w:t>
            </w:r>
          </w:p>
        </w:tc>
        <w:tc>
          <w:tcPr>
            <w:tcW w:w="1069"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w:t>
            </w:r>
          </w:p>
        </w:tc>
        <w:tc>
          <w:tcPr>
            <w:tcW w:w="110" w:type="dxa"/>
            <w:tcBorders/>
            <w:shd w:fill="CCEEFF" w:val="clear"/>
            <w:vAlign w:val="bottom"/>
          </w:tcPr>
          <w:p>
            <w:pPr>
              <w:pStyle w:val="TableContents"/>
              <w:spacing w:before="0" w:after="283"/>
              <w:jc w:val="left"/>
              <w:rPr/>
            </w:pPr>
            <w:r>
              <w:rPr/>
              <w:t> </w:t>
            </w:r>
          </w:p>
        </w:tc>
        <w:tc>
          <w:tcPr>
            <w:tcW w:w="10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rFonts w:ascii="helvetica" w:hAnsi="helvetica"/>
                <w:sz w:val="20"/>
              </w:rPr>
            </w:pPr>
            <w:r>
              <w:rPr>
                <w:rFonts w:ascii="helvetica" w:hAnsi="helvetica"/>
                <w:sz w:val="20"/>
              </w:rPr>
              <w:t>$</w:t>
            </w:r>
          </w:p>
        </w:tc>
        <w:tc>
          <w:tcPr>
            <w:tcW w:w="1017"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w:t>
            </w:r>
          </w:p>
        </w:tc>
        <w:tc>
          <w:tcPr>
            <w:tcW w:w="110" w:type="dxa"/>
            <w:tcBorders/>
            <w:shd w:fill="CCEEFF" w:val="clear"/>
            <w:vAlign w:val="bottom"/>
          </w:tcPr>
          <w:p>
            <w:pPr>
              <w:pStyle w:val="TableContents"/>
              <w:spacing w:before="0" w:after="283"/>
              <w:jc w:val="left"/>
              <w:rPr/>
            </w:pPr>
            <w:r>
              <w:rPr/>
              <w:t> </w:t>
            </w:r>
          </w:p>
        </w:tc>
        <w:tc>
          <w:tcPr>
            <w:tcW w:w="104"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jc w:val="left"/>
              <w:rPr>
                <w:rFonts w:ascii="helvetica" w:hAnsi="helvetica"/>
                <w:sz w:val="20"/>
              </w:rPr>
            </w:pPr>
            <w:r>
              <w:rPr>
                <w:rFonts w:ascii="helvetica" w:hAnsi="helvetica"/>
                <w:sz w:val="20"/>
              </w:rPr>
              <w:t>$</w:t>
            </w:r>
          </w:p>
        </w:tc>
        <w:tc>
          <w:tcPr>
            <w:tcW w:w="1102"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196,300</w:t>
            </w:r>
          </w:p>
        </w:tc>
        <w:tc>
          <w:tcPr>
            <w:tcW w:w="124" w:type="dxa"/>
            <w:tcBorders/>
            <w:shd w:fill="CCEEFF" w:val="clear"/>
            <w:vAlign w:val="bottom"/>
          </w:tcPr>
          <w:p>
            <w:pPr>
              <w:pStyle w:val="TableContents"/>
              <w:spacing w:before="0" w:after="283"/>
              <w:jc w:val="left"/>
              <w:rPr/>
            </w:pPr>
            <w:r>
              <w:rPr/>
              <w:t> </w:t>
            </w:r>
          </w:p>
        </w:tc>
      </w:tr>
      <w:tr>
        <w:trPr/>
        <w:tc>
          <w:tcPr>
            <w:tcW w:w="5987" w:type="dxa"/>
            <w:tcBorders/>
            <w:shd w:fill="FFFFFF" w:val="clear"/>
            <w:vAlign w:val="bottom"/>
          </w:tcPr>
          <w:p>
            <w:pPr>
              <w:pStyle w:val="TableContents"/>
              <w:spacing w:before="0" w:after="0"/>
              <w:ind w:left="0" w:right="0" w:hanging="0"/>
              <w:jc w:val="left"/>
              <w:rPr>
                <w:rFonts w:ascii="helvetica" w:hAnsi="helvetica"/>
                <w:sz w:val="20"/>
              </w:rPr>
            </w:pPr>
            <w:r>
              <w:rPr>
                <w:rFonts w:ascii="helvetica" w:hAnsi="helvetica"/>
                <w:sz w:val="20"/>
              </w:rPr>
              <w:t>Accretion of preferred stock discount</w:t>
            </w:r>
          </w:p>
        </w:tc>
        <w:tc>
          <w:tcPr>
            <w:tcW w:w="104"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rFonts w:ascii="helvetica" w:hAnsi="helvetica"/>
                <w:sz w:val="20"/>
              </w:rPr>
            </w:pPr>
            <w:r>
              <w:rPr>
                <w:rFonts w:ascii="helvetica" w:hAnsi="helvetica"/>
                <w:sz w:val="20"/>
              </w:rPr>
              <w:t>$</w:t>
            </w:r>
          </w:p>
        </w:tc>
        <w:tc>
          <w:tcPr>
            <w:tcW w:w="1069"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w:t>
            </w:r>
          </w:p>
        </w:tc>
        <w:tc>
          <w:tcPr>
            <w:tcW w:w="110" w:type="dxa"/>
            <w:tcBorders/>
            <w:shd w:fill="FFFFFF" w:val="clear"/>
            <w:vAlign w:val="bottom"/>
          </w:tcPr>
          <w:p>
            <w:pPr>
              <w:pStyle w:val="TableContents"/>
              <w:spacing w:before="0" w:after="283"/>
              <w:jc w:val="left"/>
              <w:rPr/>
            </w:pPr>
            <w:r>
              <w:rPr/>
              <w:t> </w:t>
            </w:r>
          </w:p>
        </w:tc>
        <w:tc>
          <w:tcPr>
            <w:tcW w:w="104"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rFonts w:ascii="helvetica" w:hAnsi="helvetica"/>
                <w:sz w:val="20"/>
              </w:rPr>
            </w:pPr>
            <w:r>
              <w:rPr>
                <w:rFonts w:ascii="helvetica" w:hAnsi="helvetica"/>
                <w:sz w:val="20"/>
              </w:rPr>
              <w:t>$</w:t>
            </w:r>
          </w:p>
        </w:tc>
        <w:tc>
          <w:tcPr>
            <w:tcW w:w="1017"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w:t>
            </w:r>
          </w:p>
        </w:tc>
        <w:tc>
          <w:tcPr>
            <w:tcW w:w="110" w:type="dxa"/>
            <w:tcBorders/>
            <w:shd w:fill="FFFFFF" w:val="clear"/>
            <w:vAlign w:val="bottom"/>
          </w:tcPr>
          <w:p>
            <w:pPr>
              <w:pStyle w:val="TableContents"/>
              <w:spacing w:before="0" w:after="283"/>
              <w:jc w:val="left"/>
              <w:rPr/>
            </w:pPr>
            <w:r>
              <w:rPr/>
              <w:t> </w:t>
            </w:r>
          </w:p>
        </w:tc>
        <w:tc>
          <w:tcPr>
            <w:tcW w:w="104" w:type="dxa"/>
            <w:tcBorders/>
            <w:shd w:fill="FFFFFF" w:val="clear"/>
            <w:vAlign w:val="bottom"/>
          </w:tcPr>
          <w:p>
            <w:pPr>
              <w:pStyle w:val="TableContents"/>
              <w:spacing w:before="0" w:after="283"/>
              <w:rPr/>
            </w:pPr>
            <w:r>
              <w:rPr/>
              <w:t> </w:t>
            </w:r>
          </w:p>
        </w:tc>
        <w:tc>
          <w:tcPr>
            <w:tcW w:w="124" w:type="dxa"/>
            <w:tcBorders/>
            <w:shd w:fill="FFFFFF" w:val="clear"/>
            <w:vAlign w:val="bottom"/>
          </w:tcPr>
          <w:p>
            <w:pPr>
              <w:pStyle w:val="TableContents"/>
              <w:spacing w:before="0" w:after="283"/>
              <w:jc w:val="left"/>
              <w:rPr>
                <w:rFonts w:ascii="helvetica" w:hAnsi="helvetica"/>
                <w:sz w:val="20"/>
              </w:rPr>
            </w:pPr>
            <w:r>
              <w:rPr>
                <w:rFonts w:ascii="helvetica" w:hAnsi="helvetica"/>
                <w:sz w:val="20"/>
              </w:rPr>
              <w:t>$</w:t>
            </w:r>
          </w:p>
        </w:tc>
        <w:tc>
          <w:tcPr>
            <w:tcW w:w="1102"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100,000</w:t>
            </w:r>
          </w:p>
        </w:tc>
        <w:tc>
          <w:tcPr>
            <w:tcW w:w="124" w:type="dxa"/>
            <w:tcBorders/>
            <w:shd w:fill="FFFFFF" w:val="clear"/>
            <w:vAlign w:val="bottom"/>
          </w:tcPr>
          <w:p>
            <w:pPr>
              <w:pStyle w:val="TableContents"/>
              <w:spacing w:before="0" w:after="283"/>
              <w:jc w:val="left"/>
              <w:rPr/>
            </w:pPr>
            <w:r>
              <w:rPr/>
              <w:t> </w:t>
            </w:r>
          </w:p>
        </w:tc>
      </w:tr>
      <w:tr>
        <w:trPr/>
        <w:tc>
          <w:tcPr>
            <w:tcW w:w="5987" w:type="dxa"/>
            <w:tcBorders/>
            <w:shd w:fill="CCEEFF" w:val="clear"/>
            <w:vAlign w:val="bottom"/>
          </w:tcPr>
          <w:p>
            <w:pPr>
              <w:pStyle w:val="TableContents"/>
              <w:spacing w:before="0" w:after="0"/>
              <w:ind w:left="0" w:right="0" w:hanging="0"/>
              <w:jc w:val="left"/>
              <w:rPr>
                <w:rFonts w:ascii="helvetica" w:hAnsi="helvetica"/>
                <w:sz w:val="20"/>
              </w:rPr>
            </w:pPr>
            <w:r>
              <w:rPr>
                <w:rFonts w:ascii="helvetica" w:hAnsi="helvetica"/>
                <w:sz w:val="20"/>
              </w:rPr>
              <w:t>Related party acquisition of Phase 3 liabilities</w:t>
            </w:r>
          </w:p>
        </w:tc>
        <w:tc>
          <w:tcPr>
            <w:tcW w:w="10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rFonts w:ascii="helvetica" w:hAnsi="helvetica"/>
                <w:sz w:val="20"/>
              </w:rPr>
            </w:pPr>
            <w:r>
              <w:rPr>
                <w:rFonts w:ascii="helvetica" w:hAnsi="helvetica"/>
                <w:sz w:val="20"/>
              </w:rPr>
              <w:t>$</w:t>
            </w:r>
          </w:p>
        </w:tc>
        <w:tc>
          <w:tcPr>
            <w:tcW w:w="1069"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w:t>
            </w:r>
          </w:p>
        </w:tc>
        <w:tc>
          <w:tcPr>
            <w:tcW w:w="110" w:type="dxa"/>
            <w:tcBorders/>
            <w:shd w:fill="CCEEFF" w:val="clear"/>
            <w:vAlign w:val="bottom"/>
          </w:tcPr>
          <w:p>
            <w:pPr>
              <w:pStyle w:val="TableContents"/>
              <w:spacing w:before="0" w:after="283"/>
              <w:jc w:val="left"/>
              <w:rPr/>
            </w:pPr>
            <w:r>
              <w:rPr/>
              <w:t> </w:t>
            </w:r>
          </w:p>
        </w:tc>
        <w:tc>
          <w:tcPr>
            <w:tcW w:w="10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rFonts w:ascii="helvetica" w:hAnsi="helvetica"/>
                <w:sz w:val="20"/>
              </w:rPr>
            </w:pPr>
            <w:r>
              <w:rPr>
                <w:rFonts w:ascii="helvetica" w:hAnsi="helvetica"/>
                <w:sz w:val="20"/>
              </w:rPr>
              <w:t>$</w:t>
            </w:r>
          </w:p>
        </w:tc>
        <w:tc>
          <w:tcPr>
            <w:tcW w:w="1017"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w:t>
            </w:r>
          </w:p>
        </w:tc>
        <w:tc>
          <w:tcPr>
            <w:tcW w:w="110" w:type="dxa"/>
            <w:tcBorders/>
            <w:shd w:fill="CCEEFF" w:val="clear"/>
            <w:vAlign w:val="bottom"/>
          </w:tcPr>
          <w:p>
            <w:pPr>
              <w:pStyle w:val="TableContents"/>
              <w:spacing w:before="0" w:after="283"/>
              <w:jc w:val="left"/>
              <w:rPr/>
            </w:pPr>
            <w:r>
              <w:rPr/>
              <w:t> </w:t>
            </w:r>
          </w:p>
        </w:tc>
        <w:tc>
          <w:tcPr>
            <w:tcW w:w="104"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jc w:val="left"/>
              <w:rPr>
                <w:rFonts w:ascii="helvetica" w:hAnsi="helvetica"/>
                <w:sz w:val="20"/>
              </w:rPr>
            </w:pPr>
            <w:r>
              <w:rPr>
                <w:rFonts w:ascii="helvetica" w:hAnsi="helvetica"/>
                <w:sz w:val="20"/>
              </w:rPr>
              <w:t>$</w:t>
            </w:r>
          </w:p>
        </w:tc>
        <w:tc>
          <w:tcPr>
            <w:tcW w:w="1102"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56,087</w:t>
            </w:r>
          </w:p>
        </w:tc>
        <w:tc>
          <w:tcPr>
            <w:tcW w:w="124" w:type="dxa"/>
            <w:tcBorders/>
            <w:shd w:fill="CCEEFF" w:val="clear"/>
            <w:vAlign w:val="bottom"/>
          </w:tcPr>
          <w:p>
            <w:pPr>
              <w:pStyle w:val="TableContents"/>
              <w:spacing w:before="0" w:after="283"/>
              <w:jc w:val="left"/>
              <w:rPr/>
            </w:pPr>
            <w:r>
              <w:rPr/>
              <w:t> </w:t>
            </w:r>
          </w:p>
        </w:tc>
      </w:tr>
      <w:tr>
        <w:trPr/>
        <w:tc>
          <w:tcPr>
            <w:tcW w:w="5987" w:type="dxa"/>
            <w:tcBorders/>
            <w:shd w:fill="FFFFFF" w:val="clear"/>
            <w:vAlign w:val="bottom"/>
          </w:tcPr>
          <w:p>
            <w:pPr>
              <w:pStyle w:val="TableContents"/>
              <w:spacing w:before="0" w:after="0"/>
              <w:ind w:left="0" w:right="0" w:hanging="0"/>
              <w:jc w:val="left"/>
              <w:rPr>
                <w:rFonts w:ascii="helvetica" w:hAnsi="helvetica"/>
                <w:sz w:val="20"/>
              </w:rPr>
            </w:pPr>
            <w:r>
              <w:rPr>
                <w:rFonts w:ascii="helvetica" w:hAnsi="helvetica"/>
                <w:sz w:val="20"/>
              </w:rPr>
              <w:t>Conversion of preferred stock into common stock</w:t>
            </w:r>
          </w:p>
        </w:tc>
        <w:tc>
          <w:tcPr>
            <w:tcW w:w="104"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rFonts w:ascii="helvetica" w:hAnsi="helvetica"/>
                <w:sz w:val="20"/>
              </w:rPr>
            </w:pPr>
            <w:r>
              <w:rPr>
                <w:rFonts w:ascii="helvetica" w:hAnsi="helvetica"/>
                <w:sz w:val="20"/>
              </w:rPr>
              <w:t>$</w:t>
            </w:r>
          </w:p>
        </w:tc>
        <w:tc>
          <w:tcPr>
            <w:tcW w:w="1069"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7,499</w:t>
            </w:r>
          </w:p>
        </w:tc>
        <w:tc>
          <w:tcPr>
            <w:tcW w:w="110" w:type="dxa"/>
            <w:tcBorders/>
            <w:shd w:fill="FFFFFF" w:val="clear"/>
            <w:vAlign w:val="bottom"/>
          </w:tcPr>
          <w:p>
            <w:pPr>
              <w:pStyle w:val="TableContents"/>
              <w:spacing w:before="0" w:after="283"/>
              <w:jc w:val="left"/>
              <w:rPr/>
            </w:pPr>
            <w:r>
              <w:rPr/>
              <w:t> </w:t>
            </w:r>
          </w:p>
        </w:tc>
        <w:tc>
          <w:tcPr>
            <w:tcW w:w="104"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rFonts w:ascii="helvetica" w:hAnsi="helvetica"/>
                <w:sz w:val="20"/>
              </w:rPr>
            </w:pPr>
            <w:r>
              <w:rPr>
                <w:rFonts w:ascii="helvetica" w:hAnsi="helvetica"/>
                <w:sz w:val="20"/>
              </w:rPr>
              <w:t>$</w:t>
            </w:r>
          </w:p>
        </w:tc>
        <w:tc>
          <w:tcPr>
            <w:tcW w:w="1017"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w:t>
            </w:r>
          </w:p>
        </w:tc>
        <w:tc>
          <w:tcPr>
            <w:tcW w:w="110" w:type="dxa"/>
            <w:tcBorders/>
            <w:shd w:fill="FFFFFF" w:val="clear"/>
            <w:vAlign w:val="bottom"/>
          </w:tcPr>
          <w:p>
            <w:pPr>
              <w:pStyle w:val="TableContents"/>
              <w:spacing w:before="0" w:after="283"/>
              <w:jc w:val="left"/>
              <w:rPr/>
            </w:pPr>
            <w:r>
              <w:rPr/>
              <w:t> </w:t>
            </w:r>
          </w:p>
        </w:tc>
        <w:tc>
          <w:tcPr>
            <w:tcW w:w="104" w:type="dxa"/>
            <w:tcBorders/>
            <w:shd w:fill="FFFFFF" w:val="clear"/>
            <w:vAlign w:val="bottom"/>
          </w:tcPr>
          <w:p>
            <w:pPr>
              <w:pStyle w:val="TableContents"/>
              <w:spacing w:before="0" w:after="283"/>
              <w:rPr/>
            </w:pPr>
            <w:r>
              <w:rPr/>
              <w:t> </w:t>
            </w:r>
          </w:p>
        </w:tc>
        <w:tc>
          <w:tcPr>
            <w:tcW w:w="124" w:type="dxa"/>
            <w:tcBorders/>
            <w:shd w:fill="FFFFFF" w:val="clear"/>
            <w:vAlign w:val="bottom"/>
          </w:tcPr>
          <w:p>
            <w:pPr>
              <w:pStyle w:val="TableContents"/>
              <w:spacing w:before="0" w:after="283"/>
              <w:jc w:val="left"/>
              <w:rPr>
                <w:rFonts w:ascii="helvetica" w:hAnsi="helvetica"/>
                <w:sz w:val="20"/>
              </w:rPr>
            </w:pPr>
            <w:r>
              <w:rPr>
                <w:rFonts w:ascii="helvetica" w:hAnsi="helvetica"/>
                <w:sz w:val="20"/>
              </w:rPr>
              <w:t>$</w:t>
            </w:r>
          </w:p>
        </w:tc>
        <w:tc>
          <w:tcPr>
            <w:tcW w:w="1102"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7,499</w:t>
            </w:r>
          </w:p>
        </w:tc>
        <w:tc>
          <w:tcPr>
            <w:tcW w:w="124" w:type="dxa"/>
            <w:tcBorders/>
            <w:shd w:fill="FFFFFF" w:val="clear"/>
            <w:vAlign w:val="bottom"/>
          </w:tcPr>
          <w:p>
            <w:pPr>
              <w:pStyle w:val="TableContents"/>
              <w:spacing w:before="0" w:after="283"/>
              <w:jc w:val="left"/>
              <w:rPr/>
            </w:pPr>
            <w:r>
              <w:rPr/>
              <w:t> </w:t>
            </w:r>
          </w:p>
        </w:tc>
      </w:tr>
    </w:tbl>
    <w:p>
      <w:pPr>
        <w:pStyle w:val="TextBody"/>
        <w:spacing w:before="0" w:after="0"/>
        <w:ind w:left="0" w:right="0" w:hanging="0"/>
        <w:jc w:val="center"/>
        <w:rPr/>
      </w:pPr>
      <w:r>
        <w:rPr/>
        <w:t> </w:t>
      </w:r>
    </w:p>
    <w:p>
      <w:pPr>
        <w:pStyle w:val="TextBody"/>
        <w:spacing w:before="0" w:after="0"/>
        <w:ind w:left="0" w:right="0" w:hanging="0"/>
        <w:jc w:val="center"/>
        <w:rPr>
          <w:rFonts w:ascii="helvetica" w:hAnsi="helvetica"/>
          <w:sz w:val="20"/>
        </w:rPr>
      </w:pPr>
      <w:r>
        <w:rPr>
          <w:rFonts w:ascii="helvetica" w:hAnsi="helvetica"/>
          <w:sz w:val="20"/>
        </w:rPr>
        <w:t>The accompanying notes are an integral part of these unaudited condensed consolidated financial statements</w:t>
      </w:r>
    </w:p>
    <w:p>
      <w:pPr>
        <w:pStyle w:val="TextBody"/>
        <w:spacing w:before="0" w:after="0"/>
        <w:ind w:left="0" w:right="0" w:hanging="0"/>
        <w:jc w:val="center"/>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927" w:name="PGBRK75"/>
      <w:bookmarkStart w:id="928" w:name="PGBRK75"/>
      <w:bookmarkEnd w:id="92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929" w:name="FTR75"/>
      <w:bookmarkStart w:id="930" w:name="FTR75"/>
      <w:bookmarkEnd w:id="93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931" w:name="GLFTR74"/>
      <w:bookmarkEnd w:id="931"/>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helvetica" w:hAnsi="helvetica"/>
          <w:sz w:val="20"/>
        </w:rPr>
      </w:pPr>
      <w:bookmarkStart w:id="932" w:name="PN74"/>
      <w:bookmarkEnd w:id="932"/>
      <w:r>
        <w:rPr>
          <w:rFonts w:ascii="helvetica" w:hAnsi="helvetica"/>
          <w:sz w:val="20"/>
        </w:rPr>
        <w:t>F-4</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933" w:name="HDR74"/>
      <w:bookmarkStart w:id="934" w:name="HDR74"/>
      <w:bookmarkEnd w:id="93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935" w:name="GLHDR74"/>
      <w:bookmarkEnd w:id="935"/>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t> </w:t>
      </w:r>
    </w:p>
    <w:p>
      <w:pPr>
        <w:pStyle w:val="TextBody"/>
        <w:spacing w:before="0" w:after="0"/>
        <w:ind w:left="0" w:right="0" w:hanging="0"/>
        <w:jc w:val="center"/>
        <w:rPr>
          <w:rFonts w:ascii="helvetica" w:hAnsi="helvetica"/>
          <w:b/>
          <w:sz w:val="20"/>
        </w:rPr>
      </w:pPr>
      <w:r>
        <w:rPr>
          <w:rFonts w:ascii="helvetica" w:hAnsi="helvetica"/>
          <w:b/>
          <w:sz w:val="20"/>
        </w:rPr>
        <w:t>IMPRIMIS PHARMACEUTICALS, INC.</w:t>
      </w:r>
    </w:p>
    <w:p>
      <w:pPr>
        <w:pStyle w:val="TextBody"/>
        <w:spacing w:before="0" w:after="0"/>
        <w:ind w:left="0" w:right="0" w:hanging="0"/>
        <w:jc w:val="center"/>
        <w:rPr>
          <w:rFonts w:ascii="helvetica" w:hAnsi="helvetica"/>
          <w:b/>
          <w:sz w:val="20"/>
        </w:rPr>
      </w:pPr>
      <w:r>
        <w:rPr>
          <w:rFonts w:ascii="helvetica" w:hAnsi="helvetica"/>
          <w:b/>
          <w:sz w:val="20"/>
        </w:rPr>
        <w:t>(A Development Stage Company)</w:t>
      </w:r>
      <w:bookmarkStart w:id="936" w:name="fis_notes_to_financial_statement"/>
      <w:bookmarkEnd w:id="936"/>
    </w:p>
    <w:p>
      <w:pPr>
        <w:pStyle w:val="TextBody"/>
        <w:spacing w:before="0" w:after="0"/>
        <w:ind w:left="0" w:right="0" w:hanging="0"/>
        <w:jc w:val="center"/>
        <w:rPr>
          <w:rFonts w:ascii="helvetica" w:hAnsi="helvetica"/>
          <w:b/>
          <w:sz w:val="20"/>
        </w:rPr>
      </w:pPr>
      <w:r>
        <w:rPr>
          <w:rFonts w:ascii="helvetica" w:hAnsi="helvetica"/>
          <w:b/>
          <w:sz w:val="20"/>
        </w:rPr>
        <w:t>NOTES TO THE UNAUDITED CONDENSED CONSOLIDATED FINANCIAL STATEMENTS</w:t>
      </w:r>
    </w:p>
    <w:p>
      <w:pPr>
        <w:pStyle w:val="TextBody"/>
        <w:spacing w:before="0" w:after="0"/>
        <w:ind w:left="0" w:right="0" w:hanging="0"/>
        <w:jc w:val="center"/>
        <w:rPr>
          <w:rFonts w:ascii="helvetica" w:hAnsi="helvetica"/>
          <w:b/>
          <w:sz w:val="20"/>
        </w:rPr>
      </w:pPr>
      <w:r>
        <w:rPr>
          <w:rFonts w:ascii="helvetica" w:hAnsi="helvetica"/>
          <w:b/>
          <w:sz w:val="20"/>
        </w:rPr>
        <w:t>For the three and six months ended June 30, 2012 and 2011 and the period from July 24, 1998 (Inception) through June 30, 2012</w:t>
      </w:r>
    </w:p>
    <w:p>
      <w:pPr>
        <w:pStyle w:val="TextBody"/>
        <w:spacing w:before="0" w:after="0"/>
        <w:ind w:left="0" w:right="0" w:hanging="0"/>
        <w:jc w:val="center"/>
        <w:rPr/>
      </w:pPr>
      <w:r>
        <w:rPr/>
        <w:t> </w:t>
      </w:r>
    </w:p>
    <w:p>
      <w:pPr>
        <w:pStyle w:val="Normal"/>
        <w:spacing w:before="0" w:after="0"/>
        <w:jc w:val="center"/>
        <w:rPr>
          <w:sz w:val="4"/>
          <w:szCs w:val="4"/>
        </w:rPr>
      </w:pPr>
      <w:r>
        <w:rPr>
          <w:sz w:val="4"/>
          <w:szCs w:val="4"/>
        </w:rPr>
      </w:r>
      <w:bookmarkStart w:id="937" w:name="hangingindent"/>
      <w:bookmarkStart w:id="938" w:name="hangingindent"/>
      <w:bookmarkEnd w:id="938"/>
    </w:p>
    <w:tbl>
      <w:tblPr>
        <w:tblW w:w="5000" w:type="pct"/>
        <w:jc w:val="center"/>
        <w:tblInd w:w="0" w:type="dxa"/>
        <w:tblCellMar>
          <w:top w:w="0" w:type="dxa"/>
          <w:left w:w="0" w:type="dxa"/>
          <w:bottom w:w="0" w:type="dxa"/>
          <w:right w:w="0" w:type="dxa"/>
        </w:tblCellMar>
      </w:tblPr>
      <w:tblGrid>
        <w:gridCol w:w="1672"/>
        <w:gridCol w:w="8533"/>
      </w:tblGrid>
      <w:tr>
        <w:trPr/>
        <w:tc>
          <w:tcPr>
            <w:tcW w:w="1672" w:type="dxa"/>
            <w:tcBorders/>
            <w:shd w:fill="auto" w:val="clear"/>
          </w:tcPr>
          <w:p>
            <w:pPr>
              <w:pStyle w:val="TableContents"/>
              <w:spacing w:before="0" w:after="0"/>
              <w:rPr>
                <w:rFonts w:ascii="helvetica" w:hAnsi="helvetica"/>
                <w:b/>
                <w:sz w:val="20"/>
              </w:rPr>
            </w:pPr>
            <w:r>
              <w:rPr>
                <w:rFonts w:ascii="helvetica" w:hAnsi="helvetica"/>
                <w:b/>
                <w:sz w:val="20"/>
              </w:rPr>
              <w:t>NOTE 1. </w:t>
            </w:r>
          </w:p>
        </w:tc>
        <w:tc>
          <w:tcPr>
            <w:tcW w:w="8533" w:type="dxa"/>
            <w:tcBorders/>
            <w:shd w:fill="auto" w:val="clear"/>
          </w:tcPr>
          <w:p>
            <w:pPr>
              <w:pStyle w:val="TableContents"/>
              <w:spacing w:before="0" w:after="0"/>
              <w:jc w:val="both"/>
              <w:rPr/>
            </w:pPr>
            <w:r>
              <w:rPr/>
              <w:t>   </w:t>
            </w:r>
            <w:r>
              <w:rPr>
                <w:rFonts w:ascii="helvetica" w:hAnsi="helvetica"/>
                <w:b/>
                <w:sz w:val="20"/>
              </w:rPr>
              <w:t>OVERVIEW AND BASIS OF PRESENTATION</w:t>
            </w:r>
          </w:p>
        </w:tc>
      </w:tr>
    </w:tbl>
    <w:p>
      <w:pPr>
        <w:pStyle w:val="TextBody"/>
        <w:spacing w:before="0" w:after="0"/>
        <w:ind w:left="0" w:right="0" w:hanging="0"/>
        <w:jc w:val="center"/>
        <w:rPr/>
      </w:pPr>
      <w:r>
        <w:rPr/>
        <w:t> </w:t>
      </w:r>
    </w:p>
    <w:p>
      <w:pPr>
        <w:pStyle w:val="TextBody"/>
        <w:spacing w:before="0" w:after="0"/>
        <w:ind w:left="0" w:right="0" w:hanging="0"/>
        <w:jc w:val="both"/>
        <w:rPr>
          <w:rFonts w:ascii="helvetica" w:hAnsi="helvetica"/>
          <w:b/>
          <w:sz w:val="20"/>
        </w:rPr>
      </w:pPr>
      <w:r>
        <w:rPr>
          <w:rFonts w:ascii="helvetica" w:hAnsi="helvetica"/>
          <w:b/>
          <w:sz w:val="20"/>
        </w:rPr>
        <w:t>Company and Background</w:t>
      </w:r>
    </w:p>
    <w:p>
      <w:pPr>
        <w:pStyle w:val="TextBody"/>
        <w:spacing w:before="0" w:after="0"/>
        <w:ind w:left="0" w:right="0" w:hanging="0"/>
        <w:jc w:val="center"/>
        <w:rPr/>
      </w:pPr>
      <w:r>
        <w:rPr/>
        <w:t> </w:t>
      </w:r>
    </w:p>
    <w:p>
      <w:pPr>
        <w:pStyle w:val="TextBody"/>
        <w:spacing w:before="0" w:after="0"/>
        <w:ind w:left="0" w:right="0" w:hanging="0"/>
        <w:jc w:val="both"/>
        <w:rPr>
          <w:rFonts w:ascii="helvetica" w:hAnsi="helvetica"/>
          <w:b w:val="false"/>
          <w:sz w:val="20"/>
        </w:rPr>
      </w:pPr>
      <w:r>
        <w:rPr>
          <w:rFonts w:ascii="helvetica" w:hAnsi="helvetica"/>
          <w:b w:val="false"/>
          <w:sz w:val="20"/>
        </w:rPr>
        <w:t>Imprimis Pharmaceuticals, Inc. (“Imprimis”, the “Company”, “we”, “us”, or “our”), is a specialty pharmaceutical company developing non-invasive, topically delivered products. Our innovative patented Accudel cream formulation technology is designed to enable highly targeted site specific treatment.  Impracor, our lead pain product, utilizes the Accudel platform technology to deliver the active drug, ketoprofen, a non-steroidal anti-inflammatory drug, through the skin directly into the underlying tissues where the drug exerts its localized anti-inflammatory and analgesic effects.  We intend to leverage the Accudel platform technology to expand and create a portfolio of topical products for a variety of indications.</w:t>
      </w:r>
    </w:p>
    <w:p>
      <w:pPr>
        <w:pStyle w:val="TextBody"/>
        <w:spacing w:before="0" w:after="0"/>
        <w:ind w:left="0" w:right="0" w:hanging="0"/>
        <w:jc w:val="both"/>
        <w:rPr/>
      </w:pPr>
      <w:r>
        <w:rPr/>
        <w:t> </w:t>
      </w:r>
    </w:p>
    <w:p>
      <w:pPr>
        <w:pStyle w:val="TextBody"/>
        <w:spacing w:before="0" w:after="0"/>
        <w:ind w:left="0" w:right="0" w:hanging="0"/>
        <w:jc w:val="both"/>
        <w:rPr>
          <w:rFonts w:ascii="helvetica" w:hAnsi="helvetica"/>
          <w:b/>
          <w:sz w:val="20"/>
        </w:rPr>
      </w:pPr>
      <w:r>
        <w:rPr>
          <w:rFonts w:ascii="helvetica" w:hAnsi="helvetica"/>
          <w:b/>
          <w:sz w:val="20"/>
        </w:rPr>
        <w:t>Basis of Presentation</w:t>
      </w:r>
    </w:p>
    <w:p>
      <w:pPr>
        <w:pStyle w:val="TextBody"/>
        <w:spacing w:before="0" w:after="0"/>
        <w:ind w:left="0" w:right="0" w:hanging="0"/>
        <w:jc w:val="center"/>
        <w:rPr/>
      </w:pPr>
      <w:r>
        <w:rPr/>
        <w:t> </w:t>
      </w:r>
    </w:p>
    <w:p>
      <w:pPr>
        <w:pStyle w:val="TextBody"/>
        <w:spacing w:before="0" w:after="0"/>
        <w:ind w:left="0" w:right="0" w:hanging="0"/>
        <w:jc w:val="both"/>
        <w:rPr>
          <w:rFonts w:ascii="helvetica" w:hAnsi="helvetica"/>
          <w:b w:val="false"/>
          <w:sz w:val="20"/>
        </w:rPr>
      </w:pPr>
      <w:r>
        <w:rPr>
          <w:rFonts w:ascii="helvetica" w:hAnsi="helvetica"/>
          <w:b w:val="false"/>
          <w:sz w:val="20"/>
        </w:rPr>
        <w:t>On February 28, 2012, the Company changed its name from Transdel Pharmaceuticals, Inc. to Imprimis Pharmaceuticals, Inc. All prior references to Transdel Pharmaceuticals, Inc. have been changed to Imprimis Pharmaceuticals, Inc. to reflect the change.  On February 28, 2012, the Company effected a one-for-eight reverse stock split. All per share amounts and calculations in this report reflect this change.</w:t>
      </w:r>
    </w:p>
    <w:p>
      <w:pPr>
        <w:pStyle w:val="TextBody"/>
        <w:spacing w:before="0" w:after="0"/>
        <w:ind w:left="0" w:right="0" w:hanging="0"/>
        <w:jc w:val="both"/>
        <w:rPr>
          <w:rFonts w:ascii="helvetica" w:hAnsi="helvetica"/>
          <w:b w:val="false"/>
          <w:sz w:val="20"/>
        </w:rPr>
      </w:pPr>
      <w:r>
        <w:rPr>
          <w:rFonts w:ascii="helvetica" w:hAnsi="helvetica"/>
          <w:b w:val="false"/>
          <w:sz w:val="20"/>
        </w:rPr>
        <w:t>Imprimis has prepared the accompanying interim condensed unaudited consolidated financial statements in accordance with accounting principles generally accepted in the United Stated States of America (“GAAP”) for interim financial information and with the instructions to Form 10-Q and Article 8 of Regulation S-X.  Accordingly, they do not include all of the information and footnotes required by GAAP for complete financial statements.  In the opinion of management, all adjustments (consisting of only normal recurring accruals) considered necessary for a fair presentation have been included.  Operating results for the three and six months ended June 30, 2012 are not necessarily indicative of the results that may be expected for the year ending December 31, 2012.  For further information, refer to the Company’s audited consolidated financial statements and footnotes thereto included in the Company’s Annual Report on Form 10-K for the year ended December 31, 2011.  </w:t>
      </w:r>
    </w:p>
    <w:p>
      <w:pPr>
        <w:pStyle w:val="TextBody"/>
        <w:spacing w:before="0" w:after="0"/>
        <w:ind w:left="0" w:right="0" w:hanging="0"/>
        <w:jc w:val="center"/>
        <w:rPr/>
      </w:pPr>
      <w:r>
        <w:rPr/>
        <w:t> </w:t>
      </w:r>
    </w:p>
    <w:p>
      <w:pPr>
        <w:pStyle w:val="TextBody"/>
        <w:spacing w:before="0" w:after="0"/>
        <w:ind w:left="0" w:right="0" w:hanging="0"/>
        <w:jc w:val="both"/>
        <w:rPr>
          <w:rFonts w:ascii="helvetica" w:hAnsi="helvetica"/>
          <w:b/>
          <w:sz w:val="20"/>
        </w:rPr>
      </w:pPr>
      <w:r>
        <w:rPr>
          <w:rFonts w:ascii="helvetica" w:hAnsi="helvetica"/>
          <w:b/>
          <w:sz w:val="20"/>
        </w:rPr>
        <w:t>Principles of Consolidation</w:t>
      </w:r>
    </w:p>
    <w:p>
      <w:pPr>
        <w:pStyle w:val="TextBody"/>
        <w:spacing w:before="0" w:after="0"/>
        <w:ind w:left="0" w:right="0" w:hanging="0"/>
        <w:jc w:val="center"/>
        <w:rPr/>
      </w:pPr>
      <w:r>
        <w:rPr/>
        <w:t> </w:t>
      </w:r>
    </w:p>
    <w:p>
      <w:pPr>
        <w:pStyle w:val="TextBody"/>
        <w:spacing w:before="0" w:after="0"/>
        <w:ind w:left="0" w:right="0" w:hanging="0"/>
        <w:jc w:val="both"/>
        <w:rPr>
          <w:rFonts w:ascii="helvetica" w:hAnsi="helvetica"/>
          <w:b w:val="false"/>
          <w:sz w:val="20"/>
        </w:rPr>
      </w:pPr>
      <w:r>
        <w:rPr>
          <w:rFonts w:ascii="helvetica" w:hAnsi="helvetica"/>
          <w:b w:val="false"/>
          <w:sz w:val="20"/>
        </w:rPr>
        <w:t>On September 17, 2007, Imprimis entered into an Agreement of Merger and Plan of Reorganization (the “Merger Agreement”) by and among Imprimis, Transdel Pharmaceuticals Holdings, Inc., a privately held Nevada corporation (“Transdel Holdings”), and Trans-Pharma Acquisition Corp., a newly formed, wholly-owned Delaware subsidiary of Imprimis (“Acquisition Sub”). Upon closing of the merger transaction contemplated under the Merger Agreement (the “Merger”), Acquisition Sub merged with and into Transdel Holdings, and Transdel Holdings, as the surviving corporation, became a wholly-owned subsidiary of Imprimis.  As a result of the Merger, the former owners of Transdel Holdings became the controlling stockholders of Imprimis. Accordingly, the merger of Transdel Holdings and Imprimis is a reverse merger that has been accounted for as a recapitalization of Transdel Holdings.</w:t>
      </w:r>
    </w:p>
    <w:p>
      <w:pPr>
        <w:pStyle w:val="TextBody"/>
        <w:spacing w:before="0" w:after="0"/>
        <w:ind w:left="0" w:right="0" w:hanging="0"/>
        <w:jc w:val="both"/>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939" w:name="PGBRK76"/>
      <w:bookmarkStart w:id="940" w:name="PGBRK76"/>
      <w:bookmarkEnd w:id="94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941" w:name="FTR76"/>
      <w:bookmarkStart w:id="942" w:name="FTR76"/>
      <w:bookmarkEnd w:id="94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943" w:name="GLFTR75"/>
      <w:bookmarkEnd w:id="943"/>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helvetica" w:hAnsi="helvetica"/>
          <w:sz w:val="20"/>
        </w:rPr>
      </w:pPr>
      <w:bookmarkStart w:id="944" w:name="PN75"/>
      <w:bookmarkEnd w:id="944"/>
      <w:r>
        <w:rPr>
          <w:rFonts w:ascii="helvetica" w:hAnsi="helvetica"/>
          <w:sz w:val="20"/>
        </w:rPr>
        <w:t>F-5</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945" w:name="HDR75"/>
      <w:bookmarkStart w:id="946" w:name="HDR75"/>
      <w:bookmarkEnd w:id="94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947" w:name="GLHDR75"/>
      <w:bookmarkEnd w:id="947"/>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pPr>
      <w:r>
        <w:rPr/>
        <w:t> </w:t>
      </w:r>
    </w:p>
    <w:p>
      <w:pPr>
        <w:pStyle w:val="TextBody"/>
        <w:spacing w:before="0" w:after="0"/>
        <w:ind w:left="0" w:right="0" w:hanging="0"/>
        <w:jc w:val="both"/>
        <w:rPr>
          <w:rFonts w:ascii="helvetica" w:hAnsi="helvetica"/>
          <w:sz w:val="20"/>
        </w:rPr>
      </w:pPr>
      <w:r>
        <w:rPr>
          <w:rFonts w:ascii="helvetica" w:hAnsi="helvetica"/>
          <w:sz w:val="20"/>
        </w:rPr>
        <w:t>Effective on September 17, 2007, and for all reporting periods thereafter, Imprimis’ operating activities, including any prior comparative period, include only those of Transdel Holdings. All references to share and per share amounts in the accompanying consolidated financial statements and footnotes have been restated to reflect the aforementioned share exchange. All significant intercompany accounts and transactions have been eliminated in consolidation.</w:t>
      </w:r>
    </w:p>
    <w:p>
      <w:pPr>
        <w:pStyle w:val="TextBody"/>
        <w:spacing w:before="0" w:after="0"/>
        <w:ind w:left="0" w:right="0" w:hanging="0"/>
        <w:jc w:val="both"/>
        <w:rPr/>
      </w:pPr>
      <w:r>
        <w:rPr/>
        <w:t> </w:t>
      </w:r>
    </w:p>
    <w:p>
      <w:pPr>
        <w:pStyle w:val="TextBody"/>
        <w:spacing w:before="0" w:after="0"/>
        <w:ind w:left="0" w:right="0" w:hanging="0"/>
        <w:jc w:val="both"/>
        <w:rPr>
          <w:rFonts w:ascii="helvetica" w:hAnsi="helvetica"/>
          <w:sz w:val="20"/>
        </w:rPr>
      </w:pPr>
      <w:r>
        <w:rPr>
          <w:rFonts w:ascii="helvetica" w:hAnsi="helvetica"/>
          <w:sz w:val="20"/>
        </w:rPr>
        <w:t>On June 20, 2011, Transdel Holdings was merged with Imprimis Pharmaceuticals, Inc., at which time Transdel Holdings ceased as a corporation, and Imprimis Pharmaceuticals, Inc. remains as the sole surviving corporation.</w:t>
      </w:r>
    </w:p>
    <w:p>
      <w:pPr>
        <w:pStyle w:val="TextBody"/>
        <w:spacing w:before="0" w:after="0"/>
        <w:jc w:val="both"/>
        <w:rPr/>
      </w:pPr>
      <w:r>
        <w:rPr/>
      </w:r>
    </w:p>
    <w:p>
      <w:pPr>
        <w:pStyle w:val="TextBody"/>
        <w:spacing w:before="0" w:after="0"/>
        <w:ind w:left="0" w:right="0" w:hanging="0"/>
        <w:jc w:val="both"/>
        <w:rPr>
          <w:rFonts w:ascii="helvetica" w:hAnsi="helvetica"/>
          <w:b/>
          <w:sz w:val="20"/>
        </w:rPr>
      </w:pPr>
      <w:r>
        <w:rPr>
          <w:rFonts w:ascii="helvetica" w:hAnsi="helvetica"/>
          <w:b/>
          <w:sz w:val="20"/>
        </w:rPr>
        <w:t>Development Stage Enterprise</w:t>
      </w:r>
    </w:p>
    <w:p>
      <w:pPr>
        <w:pStyle w:val="TextBody"/>
        <w:spacing w:before="0" w:after="0"/>
        <w:ind w:left="0" w:right="0" w:hanging="0"/>
        <w:rPr/>
      </w:pPr>
      <w:r>
        <w:rPr/>
        <w:t> </w:t>
      </w:r>
    </w:p>
    <w:p>
      <w:pPr>
        <w:pStyle w:val="TextBody"/>
        <w:spacing w:before="0" w:after="0"/>
        <w:ind w:left="0" w:right="0" w:hanging="0"/>
        <w:jc w:val="both"/>
        <w:rPr>
          <w:rFonts w:ascii="helvetica" w:hAnsi="helvetica"/>
          <w:sz w:val="20"/>
        </w:rPr>
      </w:pPr>
      <w:r>
        <w:rPr>
          <w:rFonts w:ascii="helvetica" w:hAnsi="helvetica"/>
          <w:sz w:val="20"/>
        </w:rPr>
        <w:t>The Company is a development stage company as defined under Financial Accounting Standards Board (“FASB”) guidance. The Company is devoting substantially all of its present efforts to establish a new business, and its planned principal operations have not yet commenced. All losses accumulated since inception have been considered as part of the Company’s development stage activities.</w:t>
      </w:r>
    </w:p>
    <w:p>
      <w:pPr>
        <w:pStyle w:val="TextBody"/>
        <w:spacing w:before="0" w:after="0"/>
        <w:ind w:left="0" w:right="0" w:hanging="0"/>
        <w:jc w:val="both"/>
        <w:rPr/>
      </w:pPr>
      <w:r>
        <w:rPr/>
        <w:t> </w:t>
      </w:r>
    </w:p>
    <w:p>
      <w:pPr>
        <w:pStyle w:val="TextBody"/>
        <w:spacing w:before="0" w:after="0"/>
        <w:ind w:left="0" w:right="0" w:hanging="0"/>
        <w:jc w:val="both"/>
        <w:rPr>
          <w:rFonts w:ascii="helvetica" w:hAnsi="helvetica"/>
          <w:sz w:val="20"/>
        </w:rPr>
      </w:pPr>
      <w:r>
        <w:rPr>
          <w:rFonts w:ascii="helvetica" w:hAnsi="helvetica"/>
          <w:sz w:val="20"/>
        </w:rPr>
        <w:t>These consolidated financial statements contemplate the realization of assets and the satisfaction of liabilities in the normal course of business. The Company is a development stage enterprise and has sustained significant losses since inception and expects to continue to incur losses.</w:t>
      </w:r>
    </w:p>
    <w:p>
      <w:pPr>
        <w:pStyle w:val="TextBody"/>
        <w:spacing w:before="0" w:after="0"/>
        <w:jc w:val="both"/>
        <w:rPr/>
      </w:pPr>
      <w:r>
        <w:rPr/>
      </w:r>
    </w:p>
    <w:p>
      <w:pPr>
        <w:pStyle w:val="TextBody"/>
        <w:spacing w:before="0" w:after="0"/>
        <w:ind w:left="0" w:right="0" w:hanging="0"/>
        <w:jc w:val="both"/>
        <w:rPr>
          <w:rFonts w:ascii="helvetica" w:hAnsi="helvetica"/>
          <w:b/>
          <w:sz w:val="20"/>
        </w:rPr>
      </w:pPr>
      <w:r>
        <w:rPr>
          <w:rFonts w:ascii="helvetica" w:hAnsi="helvetica"/>
          <w:b/>
          <w:sz w:val="20"/>
        </w:rPr>
        <w:t>Research and Development</w:t>
      </w:r>
    </w:p>
    <w:p>
      <w:pPr>
        <w:pStyle w:val="TextBody"/>
        <w:spacing w:before="0" w:after="0"/>
        <w:ind w:left="0" w:right="0" w:hanging="0"/>
        <w:rPr/>
      </w:pPr>
      <w:r>
        <w:rPr/>
        <w:t> </w:t>
      </w:r>
    </w:p>
    <w:p>
      <w:pPr>
        <w:pStyle w:val="TextBody"/>
        <w:spacing w:before="0" w:after="0"/>
        <w:ind w:left="0" w:right="0" w:hanging="0"/>
        <w:jc w:val="both"/>
        <w:rPr>
          <w:rFonts w:ascii="helvetica" w:hAnsi="helvetica"/>
          <w:sz w:val="20"/>
        </w:rPr>
      </w:pPr>
      <w:r>
        <w:rPr>
          <w:rFonts w:ascii="helvetica" w:hAnsi="helvetica"/>
          <w:sz w:val="20"/>
        </w:rPr>
        <w:t>The Company expenses all costs related to research and development as they are incurred.</w:t>
      </w:r>
    </w:p>
    <w:p>
      <w:pPr>
        <w:pStyle w:val="TextBody"/>
        <w:spacing w:before="0" w:after="0"/>
        <w:ind w:left="0" w:right="0" w:hanging="0"/>
        <w:rPr/>
      </w:pPr>
      <w:r>
        <w:rPr/>
        <w:t> </w:t>
      </w:r>
    </w:p>
    <w:p>
      <w:pPr>
        <w:pStyle w:val="TextBody"/>
        <w:spacing w:before="0" w:after="0"/>
        <w:ind w:left="0" w:right="0" w:hanging="0"/>
        <w:jc w:val="both"/>
        <w:rPr>
          <w:rFonts w:ascii="helvetica" w:hAnsi="helvetica"/>
          <w:b/>
          <w:sz w:val="20"/>
        </w:rPr>
      </w:pPr>
      <w:r>
        <w:rPr>
          <w:rFonts w:ascii="helvetica" w:hAnsi="helvetica"/>
          <w:b/>
          <w:sz w:val="20"/>
        </w:rPr>
        <w:t>Revenue Recognition and Deferred Revenue</w:t>
      </w:r>
    </w:p>
    <w:p>
      <w:pPr>
        <w:pStyle w:val="TextBody"/>
        <w:spacing w:before="0" w:after="0"/>
        <w:ind w:left="0" w:right="0" w:hanging="0"/>
        <w:rPr/>
      </w:pPr>
      <w:r>
        <w:rPr/>
        <w:t> </w:t>
      </w:r>
    </w:p>
    <w:p>
      <w:pPr>
        <w:pStyle w:val="TextBody"/>
        <w:spacing w:before="0" w:after="0"/>
        <w:ind w:left="0" w:right="0" w:hanging="0"/>
        <w:jc w:val="both"/>
        <w:rPr>
          <w:rFonts w:ascii="helvetica" w:hAnsi="helvetica"/>
          <w:sz w:val="20"/>
        </w:rPr>
      </w:pPr>
      <w:r>
        <w:rPr>
          <w:rFonts w:ascii="helvetica" w:hAnsi="helvetica"/>
          <w:sz w:val="20"/>
        </w:rPr>
        <w:t>The Company will recognize revenues in accordance with FASB guidance, which requires that four basic criteria must be met before revenue can be recognized: (1) persuasive evidence of an arrangement exists; (2) delivery has occurred; (3) the selling price is fixed and determinable; and (4) collectibility is reasonably assured. Determination of criteria (3) and (4) will be based on management’s judgments regarding the fixed nature of the selling prices of the products delivered and the collectibility of those amounts. Provisions for discounts and rebates to customers, estimated returns and allowances, and other adjustments will be provided for in the same period the related sales are recorded. The Company will defer any revenue for which the product has not been delivered or for which services have not been rendered or are subject to refund until such time that the Company and the customer jointly determine that the product has been delivered or services have been rendered or no refund will be required.</w:t>
      </w:r>
    </w:p>
    <w:p>
      <w:pPr>
        <w:pStyle w:val="TextBody"/>
        <w:spacing w:before="0" w:after="0"/>
        <w:ind w:left="0" w:right="0" w:hanging="0"/>
        <w:jc w:val="both"/>
        <w:rPr/>
      </w:pPr>
      <w:r>
        <w:rPr/>
        <w:t> </w:t>
      </w:r>
    </w:p>
    <w:p>
      <w:pPr>
        <w:pStyle w:val="TextBody"/>
        <w:spacing w:before="0" w:after="0"/>
        <w:ind w:left="0" w:right="0" w:hanging="0"/>
        <w:jc w:val="both"/>
        <w:rPr>
          <w:rFonts w:ascii="helvetica" w:hAnsi="helvetica"/>
          <w:sz w:val="20"/>
        </w:rPr>
      </w:pPr>
      <w:r>
        <w:rPr>
          <w:rFonts w:ascii="helvetica" w:hAnsi="helvetica"/>
          <w:sz w:val="20"/>
        </w:rPr>
        <w:t>For the six months ended June 30, 2012, the Company recorded $100,000 in revenues for non-refundable royalty advances, which were previously deferred.  The Company does not anticipate that it will generate any significant revenues until one or more of its drug candidates are approved by the FDA or until the Company is able to commercialize one or more of its cosmetic products. Also, effective sales and marketing support must be in place for either the drug candidates or the cosmetic products in order to generate any revenues. The FDA approval process is highly uncertain and the Company cannot estimate when it will generate revenues at this time from sales of its products.</w:t>
      </w:r>
    </w:p>
    <w:p>
      <w:pPr>
        <w:pStyle w:val="TextBody"/>
        <w:spacing w:before="0" w:after="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948" w:name="PGBRK77"/>
      <w:bookmarkStart w:id="949" w:name="PGBRK77"/>
      <w:bookmarkEnd w:id="94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950" w:name="FTR77"/>
      <w:bookmarkStart w:id="951" w:name="FTR77"/>
      <w:bookmarkEnd w:id="95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952" w:name="GLFTR76"/>
      <w:bookmarkEnd w:id="952"/>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helvetica" w:hAnsi="helvetica"/>
          <w:sz w:val="20"/>
        </w:rPr>
      </w:pPr>
      <w:bookmarkStart w:id="953" w:name="PN76"/>
      <w:bookmarkEnd w:id="953"/>
      <w:r>
        <w:rPr>
          <w:rFonts w:ascii="helvetica" w:hAnsi="helvetica"/>
          <w:sz w:val="20"/>
        </w:rPr>
        <w:t>F-6</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954" w:name="HDR76"/>
      <w:bookmarkStart w:id="955" w:name="HDR76"/>
      <w:bookmarkEnd w:id="95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956" w:name="GLHDR76"/>
      <w:bookmarkEnd w:id="956"/>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pPr>
      <w:r>
        <w:rPr/>
        <w:t> </w:t>
      </w:r>
    </w:p>
    <w:p>
      <w:pPr>
        <w:pStyle w:val="TextBody"/>
        <w:spacing w:before="0" w:after="0"/>
        <w:ind w:left="0" w:right="0" w:hanging="0"/>
        <w:jc w:val="both"/>
        <w:rPr>
          <w:rFonts w:ascii="helvetica" w:hAnsi="helvetica"/>
          <w:b/>
          <w:sz w:val="20"/>
        </w:rPr>
      </w:pPr>
      <w:r>
        <w:rPr>
          <w:rFonts w:ascii="helvetica" w:hAnsi="helvetica"/>
          <w:b/>
          <w:sz w:val="20"/>
        </w:rPr>
        <w:t>Income Taxes</w:t>
      </w:r>
    </w:p>
    <w:p>
      <w:pPr>
        <w:pStyle w:val="TextBody"/>
        <w:spacing w:before="0" w:after="0"/>
        <w:ind w:left="0" w:right="0" w:hanging="0"/>
        <w:rPr/>
      </w:pPr>
      <w:r>
        <w:rPr/>
        <w:t> </w:t>
      </w:r>
    </w:p>
    <w:p>
      <w:pPr>
        <w:pStyle w:val="TextBody"/>
        <w:spacing w:before="0" w:after="0"/>
        <w:ind w:left="0" w:right="0" w:hanging="0"/>
        <w:jc w:val="both"/>
        <w:rPr>
          <w:rFonts w:ascii="helvetica" w:hAnsi="helvetica"/>
          <w:sz w:val="20"/>
        </w:rPr>
      </w:pPr>
      <w:r>
        <w:rPr>
          <w:rFonts w:ascii="helvetica" w:hAnsi="helvetica"/>
          <w:sz w:val="20"/>
        </w:rPr>
        <w:t>Income tax expense is provided for the tax effects of transactions reported in the financial statements and consist of taxes currently due, plus deferred taxes.  Deferred taxes are recognized for differences between the basis of assets and liabilities for financial statement and income tax purposes.  The differences relate primarily to the effects of net operating loss carry forwards and differing basis, depreciation methods, and lives of depreciable assets. The deferred tax assets represent the future tax return consequences of those differences, which will be deductible when the assets are recovered.</w:t>
      </w:r>
    </w:p>
    <w:p>
      <w:pPr>
        <w:pStyle w:val="TextBody"/>
        <w:spacing w:before="0" w:after="0"/>
        <w:ind w:left="0" w:right="0" w:hanging="0"/>
        <w:jc w:val="both"/>
        <w:rPr/>
      </w:pPr>
      <w:r>
        <w:rPr/>
        <w:t> </w:t>
      </w:r>
    </w:p>
    <w:p>
      <w:pPr>
        <w:pStyle w:val="TextBody"/>
        <w:spacing w:before="0" w:after="0"/>
        <w:ind w:left="0" w:right="0" w:hanging="0"/>
        <w:jc w:val="both"/>
        <w:rPr>
          <w:rFonts w:ascii="helvetica" w:hAnsi="helvetica"/>
          <w:sz w:val="20"/>
        </w:rPr>
      </w:pPr>
      <w:r>
        <w:rPr>
          <w:rFonts w:ascii="helvetica" w:hAnsi="helvetica"/>
          <w:sz w:val="20"/>
        </w:rPr>
        <w:t>No income tax benefit (expense) was recognized for the six months ended June 30, 2012 as a result of tax losses in this period and because deferred tax benefits, derived from the Company’s prior net operating losses, were previously fully reserved.  At June 30, 2012, the Company had federal and California net operating loss carryforwards of approximately $13.6 million and $13.2 million, respectively.  The use of our net operating losses may be restricted in future years due to the limitations pursuant to IRC Section 382 on changes in ownership.</w:t>
      </w:r>
    </w:p>
    <w:p>
      <w:pPr>
        <w:pStyle w:val="TextBody"/>
        <w:spacing w:before="0" w:after="0"/>
        <w:ind w:left="0" w:right="0" w:hanging="0"/>
        <w:jc w:val="both"/>
        <w:rPr/>
      </w:pPr>
      <w:r>
        <w:rPr/>
        <w:t> </w:t>
      </w:r>
    </w:p>
    <w:p>
      <w:pPr>
        <w:pStyle w:val="TextBody"/>
        <w:spacing w:before="0" w:after="0"/>
        <w:ind w:left="0" w:right="0" w:hanging="0"/>
        <w:jc w:val="both"/>
        <w:rPr>
          <w:rFonts w:ascii="helvetica" w:hAnsi="helvetica"/>
          <w:sz w:val="20"/>
        </w:rPr>
      </w:pPr>
      <w:r>
        <w:rPr>
          <w:rFonts w:ascii="helvetica" w:hAnsi="helvetica"/>
          <w:sz w:val="20"/>
        </w:rPr>
        <w:t>The Company is subject to taxation in the United States and California. The Company’s tax years for 2000 and forward are subject to examination by the United States and state tax authorities due to the carry forward of unutilized net operating losses.</w:t>
      </w:r>
    </w:p>
    <w:p>
      <w:pPr>
        <w:pStyle w:val="TextBody"/>
        <w:spacing w:before="0" w:after="0"/>
        <w:jc w:val="both"/>
        <w:rPr/>
      </w:pPr>
      <w:r>
        <w:rPr/>
      </w:r>
    </w:p>
    <w:p>
      <w:pPr>
        <w:pStyle w:val="TextBody"/>
        <w:spacing w:before="0" w:after="0"/>
        <w:ind w:left="0" w:right="0" w:hanging="0"/>
        <w:jc w:val="both"/>
        <w:rPr>
          <w:rFonts w:ascii="helvetica" w:hAnsi="helvetica"/>
          <w:b/>
          <w:sz w:val="20"/>
        </w:rPr>
      </w:pPr>
      <w:r>
        <w:rPr>
          <w:rFonts w:ascii="helvetica" w:hAnsi="helvetica"/>
          <w:b/>
          <w:sz w:val="20"/>
        </w:rPr>
        <w:t>Cash and Cash Equivalents</w:t>
      </w:r>
    </w:p>
    <w:p>
      <w:pPr>
        <w:pStyle w:val="TextBody"/>
        <w:spacing w:before="0" w:after="0"/>
        <w:ind w:left="0" w:right="0" w:hanging="0"/>
        <w:rPr/>
      </w:pPr>
      <w:r>
        <w:rPr/>
        <w:t> </w:t>
      </w:r>
    </w:p>
    <w:p>
      <w:pPr>
        <w:pStyle w:val="TextBody"/>
        <w:spacing w:before="0" w:after="0"/>
        <w:ind w:left="0" w:right="0" w:hanging="0"/>
        <w:jc w:val="both"/>
        <w:rPr>
          <w:rFonts w:ascii="helvetica" w:hAnsi="helvetica"/>
          <w:sz w:val="20"/>
        </w:rPr>
      </w:pPr>
      <w:r>
        <w:rPr>
          <w:rFonts w:ascii="helvetica" w:hAnsi="helvetica"/>
          <w:sz w:val="20"/>
        </w:rPr>
        <w:t>Cash equivalents include short-term, highly liquid investments with maturities of three months or less at the time of acquisition.</w:t>
      </w:r>
    </w:p>
    <w:p>
      <w:pPr>
        <w:pStyle w:val="TextBody"/>
        <w:spacing w:before="0" w:after="0"/>
        <w:ind w:left="0" w:right="0" w:hanging="0"/>
        <w:rPr/>
      </w:pPr>
      <w:r>
        <w:rPr/>
        <w:t> </w:t>
      </w:r>
    </w:p>
    <w:p>
      <w:pPr>
        <w:pStyle w:val="TextBody"/>
        <w:spacing w:before="0" w:after="0"/>
        <w:ind w:left="0" w:right="0" w:hanging="0"/>
        <w:jc w:val="both"/>
        <w:rPr>
          <w:rFonts w:ascii="helvetica" w:hAnsi="helvetica"/>
          <w:b/>
          <w:sz w:val="20"/>
        </w:rPr>
      </w:pPr>
      <w:r>
        <w:rPr>
          <w:rFonts w:ascii="helvetica" w:hAnsi="helvetica"/>
          <w:b/>
          <w:sz w:val="20"/>
        </w:rPr>
        <w:t>Concentrations of Credit Risk</w:t>
      </w:r>
    </w:p>
    <w:p>
      <w:pPr>
        <w:pStyle w:val="TextBody"/>
        <w:spacing w:before="0" w:after="0"/>
        <w:ind w:left="0" w:right="0" w:hanging="0"/>
        <w:rPr/>
      </w:pPr>
      <w:r>
        <w:rPr/>
        <w:t> </w:t>
      </w:r>
    </w:p>
    <w:p>
      <w:pPr>
        <w:pStyle w:val="TextBody"/>
        <w:spacing w:before="0" w:after="0"/>
        <w:ind w:left="0" w:right="0" w:hanging="0"/>
        <w:jc w:val="both"/>
        <w:rPr>
          <w:rFonts w:ascii="helvetica" w:hAnsi="helvetica"/>
          <w:sz w:val="20"/>
        </w:rPr>
      </w:pPr>
      <w:r>
        <w:rPr>
          <w:rFonts w:ascii="helvetica" w:hAnsi="helvetica"/>
          <w:sz w:val="20"/>
        </w:rPr>
        <w:t>The Company places its cash with financial institutions deemed by management to be of high credit quality.  The Federal Deposit Insurance Corporation (“FDIC”) provides basic deposit coverage with limits to $250,000 per owner.  In addition to the basic insurance deposit coverage, the FDIC is providing temporary unlimited coverage for noninterest-bearing transaction accounts from December 31, 2010 to December 31, 2012.  At June 30, 2012, the Company had approximately $7.47 million in cash deposits in excess of FDIC limits.</w:t>
      </w:r>
    </w:p>
    <w:p>
      <w:pPr>
        <w:pStyle w:val="TextBody"/>
        <w:spacing w:before="0" w:after="0"/>
        <w:jc w:val="both"/>
        <w:rPr/>
      </w:pPr>
      <w:r>
        <w:rPr/>
      </w:r>
    </w:p>
    <w:p>
      <w:pPr>
        <w:pStyle w:val="TextBody"/>
        <w:spacing w:before="0" w:after="0"/>
        <w:ind w:left="0" w:right="0" w:hanging="0"/>
        <w:jc w:val="both"/>
        <w:rPr>
          <w:rFonts w:ascii="helvetica" w:hAnsi="helvetica"/>
          <w:b/>
          <w:sz w:val="20"/>
        </w:rPr>
      </w:pPr>
      <w:r>
        <w:rPr>
          <w:rFonts w:ascii="helvetica" w:hAnsi="helvetica"/>
          <w:b/>
          <w:sz w:val="20"/>
        </w:rPr>
        <w:t>Furniture and Equipment</w:t>
      </w:r>
    </w:p>
    <w:p>
      <w:pPr>
        <w:pStyle w:val="TextBody"/>
        <w:spacing w:before="0" w:after="0"/>
        <w:ind w:left="0" w:right="0" w:hanging="0"/>
        <w:jc w:val="both"/>
        <w:rPr/>
      </w:pPr>
      <w:r>
        <w:rPr/>
        <w:t> </w:t>
      </w:r>
    </w:p>
    <w:p>
      <w:pPr>
        <w:pStyle w:val="TextBody"/>
        <w:spacing w:before="0" w:after="0"/>
        <w:ind w:left="0" w:right="0" w:hanging="0"/>
        <w:jc w:val="both"/>
        <w:rPr>
          <w:rFonts w:ascii="helvetica" w:hAnsi="helvetica"/>
          <w:sz w:val="20"/>
        </w:rPr>
      </w:pPr>
      <w:r>
        <w:rPr>
          <w:rFonts w:ascii="helvetica" w:hAnsi="helvetica"/>
          <w:sz w:val="20"/>
        </w:rPr>
        <w:t>Furniture and equipment is stated at cost less accumulated depreciation.  Depreciation is calculated using the straight-line method over the estimated useful lives of three to five years.</w:t>
      </w:r>
    </w:p>
    <w:p>
      <w:pPr>
        <w:pStyle w:val="TextBody"/>
        <w:spacing w:before="0" w:after="0"/>
        <w:ind w:left="0" w:right="0" w:hanging="0"/>
        <w:jc w:val="both"/>
        <w:rPr/>
      </w:pPr>
      <w:r>
        <w:rPr/>
        <w:t> </w:t>
      </w:r>
    </w:p>
    <w:p>
      <w:pPr>
        <w:pStyle w:val="TextBody"/>
        <w:spacing w:before="0" w:after="0"/>
        <w:ind w:left="0" w:right="0" w:hanging="0"/>
        <w:jc w:val="left"/>
        <w:rPr>
          <w:rFonts w:ascii="helvetica" w:hAnsi="helvetica"/>
          <w:sz w:val="20"/>
        </w:rPr>
      </w:pPr>
      <w:r>
        <w:rPr>
          <w:rFonts w:ascii="helvetica" w:hAnsi="helvetica"/>
          <w:sz w:val="20"/>
        </w:rPr>
        <w:t>Furniture and equipment, net, as of June 30, 2012 and December 31, 2011 consisted of the following:</w:t>
      </w:r>
    </w:p>
    <w:p>
      <w:pPr>
        <w:pStyle w:val="TextBody"/>
        <w:spacing w:before="0" w:after="0"/>
        <w:ind w:left="0" w:right="0" w:hanging="0"/>
        <w:jc w:val="left"/>
        <w:rPr/>
      </w:pPr>
      <w:r>
        <w:rPr/>
        <w:t> </w:t>
      </w:r>
    </w:p>
    <w:tbl>
      <w:tblPr>
        <w:tblW w:w="5000" w:type="pct"/>
        <w:jc w:val="left"/>
        <w:tblInd w:w="0" w:type="dxa"/>
        <w:tblCellMar>
          <w:top w:w="0" w:type="dxa"/>
          <w:left w:w="0" w:type="dxa"/>
          <w:bottom w:w="0" w:type="dxa"/>
          <w:right w:w="0" w:type="dxa"/>
        </w:tblCellMar>
      </w:tblPr>
      <w:tblGrid>
        <w:gridCol w:w="6842"/>
        <w:gridCol w:w="126"/>
        <w:gridCol w:w="182"/>
        <w:gridCol w:w="1194"/>
        <w:gridCol w:w="143"/>
        <w:gridCol w:w="126"/>
        <w:gridCol w:w="500"/>
        <w:gridCol w:w="949"/>
        <w:gridCol w:w="143"/>
      </w:tblGrid>
      <w:tr>
        <w:trPr/>
        <w:tc>
          <w:tcPr>
            <w:tcW w:w="6842" w:type="dxa"/>
            <w:tcBorders/>
            <w:shd w:fill="auto" w:val="clear"/>
            <w:vAlign w:val="bottom"/>
          </w:tcPr>
          <w:p>
            <w:pPr>
              <w:pStyle w:val="TableContents"/>
              <w:spacing w:before="0" w:after="283"/>
              <w:rPr/>
            </w:pPr>
            <w:r>
              <w:rPr/>
              <w:t xml:space="preserve">  </w:t>
            </w:r>
          </w:p>
        </w:tc>
        <w:tc>
          <w:tcPr>
            <w:tcW w:w="126" w:type="dxa"/>
            <w:tcBorders/>
            <w:shd w:fill="auto" w:val="clear"/>
            <w:vAlign w:val="bottom"/>
          </w:tcPr>
          <w:p>
            <w:pPr>
              <w:pStyle w:val="TableContents"/>
              <w:spacing w:before="0" w:after="283"/>
              <w:rPr/>
            </w:pPr>
            <w:r>
              <w:rPr/>
              <w:t> </w:t>
            </w:r>
          </w:p>
        </w:tc>
        <w:tc>
          <w:tcPr>
            <w:tcW w:w="1376" w:type="dxa"/>
            <w:gridSpan w:val="2"/>
            <w:tcBorders/>
            <w:shd w:fill="auto" w:val="clear"/>
            <w:vAlign w:val="bottom"/>
          </w:tcPr>
          <w:p>
            <w:pPr>
              <w:pStyle w:val="TableContents"/>
              <w:spacing w:before="0" w:after="0"/>
              <w:ind w:left="0" w:right="0" w:hanging="0"/>
              <w:jc w:val="center"/>
              <w:rPr>
                <w:rFonts w:ascii="helvetica" w:hAnsi="helvetica"/>
                <w:b/>
                <w:sz w:val="16"/>
              </w:rPr>
            </w:pPr>
            <w:r>
              <w:rPr>
                <w:rFonts w:ascii="helvetica" w:hAnsi="helvetica"/>
                <w:b/>
                <w:sz w:val="16"/>
              </w:rPr>
              <w:t>June 30,</w:t>
            </w:r>
          </w:p>
        </w:tc>
        <w:tc>
          <w:tcPr>
            <w:tcW w:w="143" w:type="dxa"/>
            <w:tcBorders/>
            <w:shd w:fill="auto" w:val="clear"/>
            <w:vAlign w:val="bottom"/>
          </w:tcPr>
          <w:p>
            <w:pPr>
              <w:pStyle w:val="TableContents"/>
              <w:spacing w:before="0" w:after="283"/>
              <w:jc w:val="left"/>
              <w:rPr/>
            </w:pPr>
            <w:r>
              <w:rPr/>
              <w:t> </w:t>
            </w:r>
          </w:p>
        </w:tc>
        <w:tc>
          <w:tcPr>
            <w:tcW w:w="126" w:type="dxa"/>
            <w:tcBorders/>
            <w:shd w:fill="auto" w:val="clear"/>
            <w:vAlign w:val="bottom"/>
          </w:tcPr>
          <w:p>
            <w:pPr>
              <w:pStyle w:val="TableContents"/>
              <w:spacing w:before="0" w:after="283"/>
              <w:rPr/>
            </w:pPr>
            <w:r>
              <w:rPr/>
              <w:t> </w:t>
            </w:r>
          </w:p>
        </w:tc>
        <w:tc>
          <w:tcPr>
            <w:tcW w:w="1449" w:type="dxa"/>
            <w:gridSpan w:val="2"/>
            <w:tcBorders/>
            <w:shd w:fill="auto" w:val="clear"/>
            <w:vAlign w:val="bottom"/>
          </w:tcPr>
          <w:p>
            <w:pPr>
              <w:pStyle w:val="TableContents"/>
              <w:spacing w:before="0" w:after="0"/>
              <w:ind w:left="0" w:right="0" w:hanging="0"/>
              <w:jc w:val="center"/>
              <w:rPr>
                <w:rFonts w:ascii="helvetica" w:hAnsi="helvetica"/>
                <w:b/>
                <w:sz w:val="16"/>
              </w:rPr>
            </w:pPr>
            <w:r>
              <w:rPr>
                <w:rFonts w:ascii="helvetica" w:hAnsi="helvetica"/>
                <w:b/>
                <w:sz w:val="16"/>
              </w:rPr>
              <w:t>December 31,</w:t>
            </w:r>
          </w:p>
        </w:tc>
        <w:tc>
          <w:tcPr>
            <w:tcW w:w="143" w:type="dxa"/>
            <w:tcBorders/>
            <w:shd w:fill="auto" w:val="clear"/>
            <w:vAlign w:val="bottom"/>
          </w:tcPr>
          <w:p>
            <w:pPr>
              <w:pStyle w:val="TableContents"/>
              <w:spacing w:before="0" w:after="283"/>
              <w:jc w:val="left"/>
              <w:rPr/>
            </w:pPr>
            <w:r>
              <w:rPr/>
              <w:t> </w:t>
            </w:r>
          </w:p>
        </w:tc>
      </w:tr>
      <w:tr>
        <w:trPr/>
        <w:tc>
          <w:tcPr>
            <w:tcW w:w="6842" w:type="dxa"/>
            <w:tcBorders/>
            <w:shd w:fill="auto" w:val="clear"/>
            <w:vAlign w:val="bottom"/>
          </w:tcPr>
          <w:p>
            <w:pPr>
              <w:pStyle w:val="TableContents"/>
              <w:spacing w:before="0" w:after="283"/>
              <w:rPr/>
            </w:pPr>
            <w:r>
              <w:rPr/>
              <w:t xml:space="preserve">  </w:t>
            </w:r>
          </w:p>
        </w:tc>
        <w:tc>
          <w:tcPr>
            <w:tcW w:w="126" w:type="dxa"/>
            <w:tcBorders/>
            <w:shd w:fill="auto" w:val="clear"/>
            <w:vAlign w:val="bottom"/>
          </w:tcPr>
          <w:p>
            <w:pPr>
              <w:pStyle w:val="TableContents"/>
              <w:spacing w:before="0" w:after="283"/>
              <w:rPr/>
            </w:pPr>
            <w:r>
              <w:rPr/>
              <w:t> </w:t>
            </w:r>
          </w:p>
        </w:tc>
        <w:tc>
          <w:tcPr>
            <w:tcW w:w="1376"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helvetica" w:hAnsi="helvetica"/>
                <w:b/>
                <w:sz w:val="16"/>
              </w:rPr>
            </w:pPr>
            <w:r>
              <w:rPr>
                <w:rFonts w:ascii="helvetica" w:hAnsi="helvetica"/>
                <w:b/>
                <w:sz w:val="16"/>
              </w:rPr>
              <w:t>2012</w:t>
            </w:r>
          </w:p>
        </w:tc>
        <w:tc>
          <w:tcPr>
            <w:tcW w:w="143" w:type="dxa"/>
            <w:tcBorders/>
            <w:shd w:fill="auto" w:val="clear"/>
            <w:vAlign w:val="bottom"/>
          </w:tcPr>
          <w:p>
            <w:pPr>
              <w:pStyle w:val="TableContents"/>
              <w:spacing w:before="0" w:after="283"/>
              <w:jc w:val="left"/>
              <w:rPr/>
            </w:pPr>
            <w:r>
              <w:rPr/>
              <w:t> </w:t>
            </w:r>
          </w:p>
        </w:tc>
        <w:tc>
          <w:tcPr>
            <w:tcW w:w="126" w:type="dxa"/>
            <w:tcBorders/>
            <w:shd w:fill="auto" w:val="clear"/>
            <w:vAlign w:val="bottom"/>
          </w:tcPr>
          <w:p>
            <w:pPr>
              <w:pStyle w:val="TableContents"/>
              <w:spacing w:before="0" w:after="283"/>
              <w:rPr/>
            </w:pPr>
            <w:r>
              <w:rPr/>
              <w:t> </w:t>
            </w:r>
          </w:p>
        </w:tc>
        <w:tc>
          <w:tcPr>
            <w:tcW w:w="1449"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helvetica" w:hAnsi="helvetica"/>
                <w:b/>
                <w:sz w:val="16"/>
              </w:rPr>
            </w:pPr>
            <w:r>
              <w:rPr>
                <w:rFonts w:ascii="helvetica" w:hAnsi="helvetica"/>
                <w:b/>
                <w:sz w:val="16"/>
              </w:rPr>
              <w:t>2011</w:t>
            </w:r>
          </w:p>
        </w:tc>
        <w:tc>
          <w:tcPr>
            <w:tcW w:w="143" w:type="dxa"/>
            <w:tcBorders/>
            <w:shd w:fill="auto" w:val="clear"/>
            <w:vAlign w:val="bottom"/>
          </w:tcPr>
          <w:p>
            <w:pPr>
              <w:pStyle w:val="TableContents"/>
              <w:spacing w:before="0" w:after="283"/>
              <w:jc w:val="left"/>
              <w:rPr/>
            </w:pPr>
            <w:r>
              <w:rPr/>
              <w:t> </w:t>
            </w:r>
          </w:p>
        </w:tc>
      </w:tr>
      <w:tr>
        <w:trPr/>
        <w:tc>
          <w:tcPr>
            <w:tcW w:w="6842" w:type="dxa"/>
            <w:tcBorders/>
            <w:shd w:fill="auto" w:val="clear"/>
            <w:vAlign w:val="bottom"/>
          </w:tcPr>
          <w:p>
            <w:pPr>
              <w:pStyle w:val="TableContents"/>
              <w:spacing w:before="0" w:after="0"/>
              <w:ind w:left="0" w:right="0" w:hanging="0"/>
              <w:jc w:val="left"/>
              <w:rPr>
                <w:rFonts w:ascii="helvetica" w:hAnsi="helvetica"/>
                <w:sz w:val="20"/>
              </w:rPr>
            </w:pPr>
            <w:r>
              <w:rPr>
                <w:rFonts w:ascii="helvetica" w:hAnsi="helvetica"/>
                <w:sz w:val="20"/>
              </w:rPr>
              <w:t>Furniture and Equipment, net:</w:t>
            </w:r>
          </w:p>
        </w:tc>
        <w:tc>
          <w:tcPr>
            <w:tcW w:w="126" w:type="dxa"/>
            <w:tcBorders/>
            <w:shd w:fill="auto" w:val="clear"/>
            <w:vAlign w:val="bottom"/>
          </w:tcPr>
          <w:p>
            <w:pPr>
              <w:pStyle w:val="TableContents"/>
              <w:spacing w:before="0" w:after="283"/>
              <w:rPr/>
            </w:pPr>
            <w:r>
              <w:rPr/>
              <w:t> </w:t>
            </w:r>
          </w:p>
        </w:tc>
        <w:tc>
          <w:tcPr>
            <w:tcW w:w="1376" w:type="dxa"/>
            <w:gridSpan w:val="2"/>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spacing w:before="0" w:after="283"/>
              <w:jc w:val="left"/>
              <w:rPr/>
            </w:pPr>
            <w:r>
              <w:rPr/>
              <w:t> </w:t>
            </w:r>
          </w:p>
        </w:tc>
        <w:tc>
          <w:tcPr>
            <w:tcW w:w="126" w:type="dxa"/>
            <w:tcBorders/>
            <w:shd w:fill="auto" w:val="clear"/>
            <w:vAlign w:val="bottom"/>
          </w:tcPr>
          <w:p>
            <w:pPr>
              <w:pStyle w:val="TableContents"/>
              <w:spacing w:before="0" w:after="283"/>
              <w:rPr/>
            </w:pPr>
            <w:r>
              <w:rPr/>
              <w:t> </w:t>
            </w:r>
          </w:p>
        </w:tc>
        <w:tc>
          <w:tcPr>
            <w:tcW w:w="1449" w:type="dxa"/>
            <w:gridSpan w:val="2"/>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spacing w:before="0" w:after="283"/>
              <w:jc w:val="left"/>
              <w:rPr/>
            </w:pPr>
            <w:r>
              <w:rPr/>
              <w:t> </w:t>
            </w:r>
          </w:p>
        </w:tc>
      </w:tr>
      <w:tr>
        <w:trPr/>
        <w:tc>
          <w:tcPr>
            <w:tcW w:w="6842" w:type="dxa"/>
            <w:tcBorders/>
            <w:shd w:fill="CCEEFF" w:val="clear"/>
            <w:vAlign w:val="bottom"/>
          </w:tcPr>
          <w:p>
            <w:pPr>
              <w:pStyle w:val="TableContents"/>
              <w:spacing w:before="0" w:after="0"/>
              <w:ind w:left="0" w:right="0" w:hanging="0"/>
              <w:jc w:val="left"/>
              <w:rPr/>
            </w:pPr>
            <w:r>
              <w:rPr/>
              <w:t>   </w:t>
            </w:r>
            <w:r>
              <w:rPr>
                <w:rFonts w:ascii="helvetica" w:hAnsi="helvetica"/>
                <w:sz w:val="20"/>
              </w:rPr>
              <w:t>Computer Software and Hardware</w:t>
            </w:r>
          </w:p>
        </w:tc>
        <w:tc>
          <w:tcPr>
            <w:tcW w:w="126" w:type="dxa"/>
            <w:tcBorders/>
            <w:shd w:fill="CCEEFF" w:val="clear"/>
            <w:vAlign w:val="bottom"/>
          </w:tcPr>
          <w:p>
            <w:pPr>
              <w:pStyle w:val="TableContents"/>
              <w:spacing w:before="0" w:after="283"/>
              <w:rPr/>
            </w:pPr>
            <w:r>
              <w:rPr/>
              <w:t> </w:t>
            </w:r>
          </w:p>
        </w:tc>
        <w:tc>
          <w:tcPr>
            <w:tcW w:w="182" w:type="dxa"/>
            <w:tcBorders/>
            <w:shd w:fill="CCEEFF" w:val="clear"/>
            <w:vAlign w:val="bottom"/>
          </w:tcPr>
          <w:p>
            <w:pPr>
              <w:pStyle w:val="TableContents"/>
              <w:spacing w:before="0" w:after="283"/>
              <w:jc w:val="left"/>
              <w:rPr>
                <w:rFonts w:ascii="helvetica" w:hAnsi="helvetica"/>
                <w:sz w:val="20"/>
              </w:rPr>
            </w:pPr>
            <w:r>
              <w:rPr>
                <w:rFonts w:ascii="helvetica" w:hAnsi="helvetica"/>
                <w:sz w:val="20"/>
              </w:rPr>
              <w:t>$</w:t>
            </w:r>
          </w:p>
        </w:tc>
        <w:tc>
          <w:tcPr>
            <w:tcW w:w="1194"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6,341</w:t>
            </w:r>
          </w:p>
        </w:tc>
        <w:tc>
          <w:tcPr>
            <w:tcW w:w="143" w:type="dxa"/>
            <w:tcBorders/>
            <w:shd w:fill="CCEEFF" w:val="clear"/>
            <w:vAlign w:val="bottom"/>
          </w:tcPr>
          <w:p>
            <w:pPr>
              <w:pStyle w:val="TableContents"/>
              <w:spacing w:before="0" w:after="283"/>
              <w:jc w:val="left"/>
              <w:rPr/>
            </w:pPr>
            <w:r>
              <w:rPr/>
              <w:t> </w:t>
            </w:r>
          </w:p>
        </w:tc>
        <w:tc>
          <w:tcPr>
            <w:tcW w:w="126" w:type="dxa"/>
            <w:tcBorders/>
            <w:shd w:fill="CCEEFF" w:val="clear"/>
            <w:vAlign w:val="bottom"/>
          </w:tcPr>
          <w:p>
            <w:pPr>
              <w:pStyle w:val="TableContents"/>
              <w:spacing w:before="0" w:after="283"/>
              <w:rPr/>
            </w:pPr>
            <w:r>
              <w:rPr/>
              <w:t> </w:t>
            </w:r>
          </w:p>
        </w:tc>
        <w:tc>
          <w:tcPr>
            <w:tcW w:w="500" w:type="dxa"/>
            <w:tcBorders/>
            <w:shd w:fill="CCEEFF" w:val="clear"/>
            <w:vAlign w:val="bottom"/>
          </w:tcPr>
          <w:p>
            <w:pPr>
              <w:pStyle w:val="TableContents"/>
              <w:spacing w:before="0" w:after="283"/>
              <w:jc w:val="left"/>
              <w:rPr>
                <w:rFonts w:ascii="helvetica" w:hAnsi="helvetica"/>
                <w:sz w:val="20"/>
              </w:rPr>
            </w:pPr>
            <w:r>
              <w:rPr>
                <w:rFonts w:ascii="helvetica" w:hAnsi="helvetica"/>
                <w:sz w:val="20"/>
              </w:rPr>
              <w:t>$</w:t>
            </w:r>
          </w:p>
        </w:tc>
        <w:tc>
          <w:tcPr>
            <w:tcW w:w="949"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w:t>
            </w:r>
          </w:p>
        </w:tc>
        <w:tc>
          <w:tcPr>
            <w:tcW w:w="143" w:type="dxa"/>
            <w:tcBorders/>
            <w:shd w:fill="CCEEFF" w:val="clear"/>
            <w:vAlign w:val="bottom"/>
          </w:tcPr>
          <w:p>
            <w:pPr>
              <w:pStyle w:val="TableContents"/>
              <w:spacing w:before="0" w:after="283"/>
              <w:jc w:val="left"/>
              <w:rPr/>
            </w:pPr>
            <w:r>
              <w:rPr/>
              <w:t> </w:t>
            </w:r>
          </w:p>
        </w:tc>
      </w:tr>
      <w:tr>
        <w:trPr/>
        <w:tc>
          <w:tcPr>
            <w:tcW w:w="6842" w:type="dxa"/>
            <w:tcBorders/>
            <w:shd w:fill="FFFFFF" w:val="clear"/>
            <w:vAlign w:val="bottom"/>
          </w:tcPr>
          <w:p>
            <w:pPr>
              <w:pStyle w:val="TableContents"/>
              <w:spacing w:before="0" w:after="0"/>
              <w:ind w:left="0" w:right="0" w:firstLine="360"/>
              <w:jc w:val="left"/>
              <w:rPr>
                <w:rFonts w:ascii="helvetica" w:hAnsi="helvetica"/>
                <w:sz w:val="20"/>
              </w:rPr>
            </w:pPr>
            <w:r>
              <w:rPr>
                <w:rFonts w:ascii="helvetica" w:hAnsi="helvetica"/>
                <w:sz w:val="20"/>
              </w:rPr>
              <w:t>Furniture and Equipment</w:t>
            </w:r>
          </w:p>
        </w:tc>
        <w:tc>
          <w:tcPr>
            <w:tcW w:w="126" w:type="dxa"/>
            <w:tcBorders/>
            <w:shd w:fill="FFFFFF" w:val="clear"/>
            <w:vAlign w:val="bottom"/>
          </w:tcPr>
          <w:p>
            <w:pPr>
              <w:pStyle w:val="TableContents"/>
              <w:spacing w:before="0" w:after="283"/>
              <w:rPr/>
            </w:pPr>
            <w:r>
              <w:rPr/>
              <w:t> </w:t>
            </w:r>
          </w:p>
        </w:tc>
        <w:tc>
          <w:tcPr>
            <w:tcW w:w="182"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194" w:type="dxa"/>
            <w:tcBorders>
              <w:bottom w:val="single" w:sz="12" w:space="0" w:color="000000"/>
            </w:tcBorders>
            <w:shd w:fill="FFFF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8,967</w:t>
            </w:r>
          </w:p>
        </w:tc>
        <w:tc>
          <w:tcPr>
            <w:tcW w:w="143" w:type="dxa"/>
            <w:tcBorders/>
            <w:shd w:fill="FFFFFF" w:val="clear"/>
            <w:vAlign w:val="bottom"/>
          </w:tcPr>
          <w:p>
            <w:pPr>
              <w:pStyle w:val="TableContents"/>
              <w:spacing w:before="0" w:after="283"/>
              <w:jc w:val="left"/>
              <w:rPr/>
            </w:pPr>
            <w:r>
              <w:rPr/>
              <w:t> </w:t>
            </w:r>
          </w:p>
        </w:tc>
        <w:tc>
          <w:tcPr>
            <w:tcW w:w="126" w:type="dxa"/>
            <w:tcBorders/>
            <w:shd w:fill="FFFFFF" w:val="clear"/>
            <w:vAlign w:val="bottom"/>
          </w:tcPr>
          <w:p>
            <w:pPr>
              <w:pStyle w:val="TableContents"/>
              <w:spacing w:before="0" w:after="283"/>
              <w:rPr/>
            </w:pPr>
            <w:r>
              <w:rPr/>
              <w:t> </w:t>
            </w:r>
          </w:p>
        </w:tc>
        <w:tc>
          <w:tcPr>
            <w:tcW w:w="500"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949" w:type="dxa"/>
            <w:tcBorders>
              <w:bottom w:val="single" w:sz="12" w:space="0" w:color="000000"/>
            </w:tcBorders>
            <w:shd w:fill="FFFF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w:t>
            </w:r>
          </w:p>
        </w:tc>
        <w:tc>
          <w:tcPr>
            <w:tcW w:w="143" w:type="dxa"/>
            <w:tcBorders/>
            <w:shd w:fill="FFFFFF" w:val="clear"/>
            <w:vAlign w:val="bottom"/>
          </w:tcPr>
          <w:p>
            <w:pPr>
              <w:pStyle w:val="TableContents"/>
              <w:spacing w:before="0" w:after="283"/>
              <w:jc w:val="left"/>
              <w:rPr/>
            </w:pPr>
            <w:r>
              <w:rPr/>
              <w:t> </w:t>
            </w:r>
          </w:p>
        </w:tc>
      </w:tr>
      <w:tr>
        <w:trPr/>
        <w:tc>
          <w:tcPr>
            <w:tcW w:w="6842" w:type="dxa"/>
            <w:tcBorders/>
            <w:shd w:fill="CCEEFF" w:val="clear"/>
            <w:vAlign w:val="bottom"/>
          </w:tcPr>
          <w:p>
            <w:pPr>
              <w:pStyle w:val="TableContents"/>
              <w:spacing w:before="0" w:after="283"/>
              <w:jc w:val="right"/>
              <w:rPr/>
            </w:pPr>
            <w:r>
              <w:rPr/>
              <w:t> </w:t>
            </w:r>
          </w:p>
        </w:tc>
        <w:tc>
          <w:tcPr>
            <w:tcW w:w="126" w:type="dxa"/>
            <w:tcBorders/>
            <w:shd w:fill="CCEEFF" w:val="clear"/>
            <w:vAlign w:val="bottom"/>
          </w:tcPr>
          <w:p>
            <w:pPr>
              <w:pStyle w:val="TableContents"/>
              <w:spacing w:before="0" w:after="283"/>
              <w:rPr/>
            </w:pPr>
            <w:r>
              <w:rPr/>
              <w:t> </w:t>
            </w:r>
          </w:p>
        </w:tc>
        <w:tc>
          <w:tcPr>
            <w:tcW w:w="182" w:type="dxa"/>
            <w:tcBorders/>
            <w:shd w:fill="CCEEFF" w:val="clear"/>
            <w:vAlign w:val="bottom"/>
          </w:tcPr>
          <w:p>
            <w:pPr>
              <w:pStyle w:val="TableContents"/>
              <w:spacing w:before="0" w:after="283"/>
              <w:jc w:val="left"/>
              <w:rPr/>
            </w:pPr>
            <w:r>
              <w:rPr/>
              <w:t> </w:t>
            </w:r>
          </w:p>
        </w:tc>
        <w:tc>
          <w:tcPr>
            <w:tcW w:w="1194"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15,308</w:t>
            </w:r>
          </w:p>
        </w:tc>
        <w:tc>
          <w:tcPr>
            <w:tcW w:w="143" w:type="dxa"/>
            <w:tcBorders/>
            <w:shd w:fill="CCEEFF" w:val="clear"/>
            <w:vAlign w:val="bottom"/>
          </w:tcPr>
          <w:p>
            <w:pPr>
              <w:pStyle w:val="TableContents"/>
              <w:spacing w:before="0" w:after="283"/>
              <w:jc w:val="left"/>
              <w:rPr/>
            </w:pPr>
            <w:r>
              <w:rPr/>
              <w:t> </w:t>
            </w:r>
          </w:p>
        </w:tc>
        <w:tc>
          <w:tcPr>
            <w:tcW w:w="126" w:type="dxa"/>
            <w:tcBorders/>
            <w:shd w:fill="CCEEFF" w:val="clear"/>
            <w:vAlign w:val="bottom"/>
          </w:tcPr>
          <w:p>
            <w:pPr>
              <w:pStyle w:val="TableContents"/>
              <w:spacing w:before="0" w:after="283"/>
              <w:rPr/>
            </w:pPr>
            <w:r>
              <w:rPr/>
              <w:t> </w:t>
            </w:r>
          </w:p>
        </w:tc>
        <w:tc>
          <w:tcPr>
            <w:tcW w:w="500" w:type="dxa"/>
            <w:tcBorders/>
            <w:shd w:fill="CCEEFF" w:val="clear"/>
            <w:vAlign w:val="bottom"/>
          </w:tcPr>
          <w:p>
            <w:pPr>
              <w:pStyle w:val="TableContents"/>
              <w:spacing w:before="0" w:after="283"/>
              <w:jc w:val="left"/>
              <w:rPr/>
            </w:pPr>
            <w:r>
              <w:rPr/>
              <w:t> </w:t>
            </w:r>
          </w:p>
        </w:tc>
        <w:tc>
          <w:tcPr>
            <w:tcW w:w="949" w:type="dxa"/>
            <w:tcBorders/>
            <w:shd w:fill="CCEEFF" w:val="clear"/>
            <w:vAlign w:val="bottom"/>
          </w:tcPr>
          <w:p>
            <w:pPr>
              <w:pStyle w:val="TableContents"/>
              <w:spacing w:before="0" w:after="283"/>
              <w:jc w:val="right"/>
              <w:rPr/>
            </w:pPr>
            <w:r>
              <w:rPr/>
              <w:t> </w:t>
            </w:r>
          </w:p>
        </w:tc>
        <w:tc>
          <w:tcPr>
            <w:tcW w:w="143" w:type="dxa"/>
            <w:tcBorders/>
            <w:shd w:fill="CCEEFF" w:val="clear"/>
            <w:vAlign w:val="bottom"/>
          </w:tcPr>
          <w:p>
            <w:pPr>
              <w:pStyle w:val="TableContents"/>
              <w:spacing w:before="0" w:after="283"/>
              <w:jc w:val="left"/>
              <w:rPr/>
            </w:pPr>
            <w:r>
              <w:rPr/>
              <w:t> </w:t>
            </w:r>
          </w:p>
        </w:tc>
      </w:tr>
      <w:tr>
        <w:trPr/>
        <w:tc>
          <w:tcPr>
            <w:tcW w:w="6842" w:type="dxa"/>
            <w:tcBorders/>
            <w:shd w:fill="FFFFFF" w:val="clear"/>
            <w:vAlign w:val="bottom"/>
          </w:tcPr>
          <w:p>
            <w:pPr>
              <w:pStyle w:val="TableContents"/>
              <w:spacing w:before="0" w:after="0"/>
              <w:ind w:left="0" w:right="0" w:hanging="0"/>
              <w:jc w:val="left"/>
              <w:rPr/>
            </w:pPr>
            <w:r>
              <w:rPr/>
              <w:t>  </w:t>
            </w:r>
            <w:r>
              <w:rPr>
                <w:rFonts w:ascii="helvetica" w:hAnsi="helvetica"/>
                <w:sz w:val="20"/>
              </w:rPr>
              <w:t>Accumulated Depreciation</w:t>
            </w:r>
          </w:p>
        </w:tc>
        <w:tc>
          <w:tcPr>
            <w:tcW w:w="126" w:type="dxa"/>
            <w:tcBorders/>
            <w:shd w:fill="FFFFFF" w:val="clear"/>
            <w:vAlign w:val="bottom"/>
          </w:tcPr>
          <w:p>
            <w:pPr>
              <w:pStyle w:val="TableContents"/>
              <w:spacing w:before="0" w:after="283"/>
              <w:rPr/>
            </w:pPr>
            <w:r>
              <w:rPr/>
              <w:t> </w:t>
            </w:r>
          </w:p>
        </w:tc>
        <w:tc>
          <w:tcPr>
            <w:tcW w:w="182"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194" w:type="dxa"/>
            <w:tcBorders>
              <w:bottom w:val="single" w:sz="12" w:space="0" w:color="000000"/>
            </w:tcBorders>
            <w:shd w:fill="FFFF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(1,247</w:t>
            </w:r>
          </w:p>
        </w:tc>
        <w:tc>
          <w:tcPr>
            <w:tcW w:w="143" w:type="dxa"/>
            <w:tcBorders/>
            <w:shd w:fill="FFFFFF" w:val="clear"/>
            <w:vAlign w:val="bottom"/>
          </w:tcPr>
          <w:p>
            <w:pPr>
              <w:pStyle w:val="TableContents"/>
              <w:spacing w:before="0" w:after="283"/>
              <w:jc w:val="left"/>
              <w:rPr>
                <w:rFonts w:ascii="helvetica" w:hAnsi="helvetica"/>
                <w:sz w:val="20"/>
              </w:rPr>
            </w:pPr>
            <w:r>
              <w:rPr>
                <w:rFonts w:ascii="helvetica" w:hAnsi="helvetica"/>
                <w:sz w:val="20"/>
              </w:rPr>
              <w:t>)</w:t>
            </w:r>
          </w:p>
        </w:tc>
        <w:tc>
          <w:tcPr>
            <w:tcW w:w="126" w:type="dxa"/>
            <w:tcBorders/>
            <w:shd w:fill="FFFFFF" w:val="clear"/>
            <w:vAlign w:val="bottom"/>
          </w:tcPr>
          <w:p>
            <w:pPr>
              <w:pStyle w:val="TableContents"/>
              <w:spacing w:before="0" w:after="283"/>
              <w:rPr/>
            </w:pPr>
            <w:r>
              <w:rPr/>
              <w:t> </w:t>
            </w:r>
          </w:p>
        </w:tc>
        <w:tc>
          <w:tcPr>
            <w:tcW w:w="500"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949" w:type="dxa"/>
            <w:tcBorders>
              <w:bottom w:val="single" w:sz="12" w:space="0" w:color="000000"/>
            </w:tcBorders>
            <w:shd w:fill="FFFF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w:t>
            </w:r>
          </w:p>
        </w:tc>
        <w:tc>
          <w:tcPr>
            <w:tcW w:w="143" w:type="dxa"/>
            <w:tcBorders/>
            <w:shd w:fill="FFFFFF" w:val="clear"/>
            <w:vAlign w:val="bottom"/>
          </w:tcPr>
          <w:p>
            <w:pPr>
              <w:pStyle w:val="TableContents"/>
              <w:spacing w:before="0" w:after="283"/>
              <w:jc w:val="left"/>
              <w:rPr/>
            </w:pPr>
            <w:r>
              <w:rPr/>
              <w:t> </w:t>
            </w:r>
          </w:p>
        </w:tc>
      </w:tr>
      <w:tr>
        <w:trPr/>
        <w:tc>
          <w:tcPr>
            <w:tcW w:w="6842" w:type="dxa"/>
            <w:tcBorders/>
            <w:shd w:fill="CCEEFF" w:val="clear"/>
            <w:vAlign w:val="bottom"/>
          </w:tcPr>
          <w:p>
            <w:pPr>
              <w:pStyle w:val="TableContents"/>
              <w:spacing w:before="0" w:after="283"/>
              <w:jc w:val="right"/>
              <w:rPr/>
            </w:pPr>
            <w:r>
              <w:rPr/>
              <w:t> </w:t>
            </w:r>
          </w:p>
        </w:tc>
        <w:tc>
          <w:tcPr>
            <w:tcW w:w="126" w:type="dxa"/>
            <w:tcBorders/>
            <w:shd w:fill="CCEEFF" w:val="clear"/>
            <w:vAlign w:val="bottom"/>
          </w:tcPr>
          <w:p>
            <w:pPr>
              <w:pStyle w:val="TableContents"/>
              <w:spacing w:before="0" w:after="283"/>
              <w:rPr/>
            </w:pPr>
            <w:r>
              <w:rPr/>
              <w:t> </w:t>
            </w:r>
          </w:p>
        </w:tc>
        <w:tc>
          <w:tcPr>
            <w:tcW w:w="182" w:type="dxa"/>
            <w:tcBorders>
              <w:bottom w:val="double" w:sz="8" w:space="0" w:color="000000"/>
            </w:tcBorders>
            <w:shd w:fill="CCEEFF" w:val="clear"/>
            <w:tcMar>
              <w:bottom w:w="28" w:type="dxa"/>
            </w:tcMar>
            <w:vAlign w:val="bottom"/>
          </w:tcPr>
          <w:p>
            <w:pPr>
              <w:pStyle w:val="TableContents"/>
              <w:spacing w:before="0" w:after="283"/>
              <w:jc w:val="left"/>
              <w:rPr>
                <w:rFonts w:ascii="helvetica" w:hAnsi="helvetica"/>
                <w:sz w:val="20"/>
              </w:rPr>
            </w:pPr>
            <w:r>
              <w:rPr>
                <w:rFonts w:ascii="helvetica" w:hAnsi="helvetica"/>
                <w:sz w:val="20"/>
              </w:rPr>
              <w:t>$</w:t>
            </w:r>
          </w:p>
        </w:tc>
        <w:tc>
          <w:tcPr>
            <w:tcW w:w="1194" w:type="dxa"/>
            <w:tcBorders>
              <w:bottom w:val="double" w:sz="8" w:space="0" w:color="000000"/>
            </w:tcBorders>
            <w:shd w:fill="CCEE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14,061</w:t>
            </w:r>
          </w:p>
        </w:tc>
        <w:tc>
          <w:tcPr>
            <w:tcW w:w="143" w:type="dxa"/>
            <w:tcBorders/>
            <w:shd w:fill="CCEEFF" w:val="clear"/>
            <w:vAlign w:val="bottom"/>
          </w:tcPr>
          <w:p>
            <w:pPr>
              <w:pStyle w:val="TableContents"/>
              <w:spacing w:before="0" w:after="283"/>
              <w:jc w:val="left"/>
              <w:rPr/>
            </w:pPr>
            <w:r>
              <w:rPr/>
              <w:t> </w:t>
            </w:r>
          </w:p>
        </w:tc>
        <w:tc>
          <w:tcPr>
            <w:tcW w:w="126" w:type="dxa"/>
            <w:tcBorders/>
            <w:shd w:fill="CCEEFF" w:val="clear"/>
            <w:vAlign w:val="bottom"/>
          </w:tcPr>
          <w:p>
            <w:pPr>
              <w:pStyle w:val="TableContents"/>
              <w:spacing w:before="0" w:after="283"/>
              <w:rPr/>
            </w:pPr>
            <w:r>
              <w:rPr/>
              <w:t> </w:t>
            </w:r>
          </w:p>
        </w:tc>
        <w:tc>
          <w:tcPr>
            <w:tcW w:w="500" w:type="dxa"/>
            <w:tcBorders>
              <w:bottom w:val="double" w:sz="8" w:space="0" w:color="000000"/>
            </w:tcBorders>
            <w:shd w:fill="CCEEFF" w:val="clear"/>
            <w:tcMar>
              <w:bottom w:w="28" w:type="dxa"/>
            </w:tcMar>
            <w:vAlign w:val="bottom"/>
          </w:tcPr>
          <w:p>
            <w:pPr>
              <w:pStyle w:val="TableContents"/>
              <w:spacing w:before="0" w:after="283"/>
              <w:jc w:val="left"/>
              <w:rPr>
                <w:rFonts w:ascii="helvetica" w:hAnsi="helvetica"/>
                <w:sz w:val="20"/>
              </w:rPr>
            </w:pPr>
            <w:r>
              <w:rPr>
                <w:rFonts w:ascii="helvetica" w:hAnsi="helvetica"/>
                <w:sz w:val="20"/>
              </w:rPr>
              <w:t>$</w:t>
            </w:r>
          </w:p>
        </w:tc>
        <w:tc>
          <w:tcPr>
            <w:tcW w:w="949" w:type="dxa"/>
            <w:tcBorders>
              <w:bottom w:val="double" w:sz="8" w:space="0" w:color="000000"/>
            </w:tcBorders>
            <w:shd w:fill="CCEE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w:t>
            </w:r>
          </w:p>
        </w:tc>
        <w:tc>
          <w:tcPr>
            <w:tcW w:w="143" w:type="dxa"/>
            <w:tcBorders/>
            <w:shd w:fill="CCEEFF" w:val="clear"/>
            <w:vAlign w:val="bottom"/>
          </w:tcPr>
          <w:p>
            <w:pPr>
              <w:pStyle w:val="TableContents"/>
              <w:spacing w:before="0" w:after="283"/>
              <w:jc w:val="left"/>
              <w:rPr/>
            </w:pPr>
            <w:r>
              <w:rPr/>
              <w:t> </w:t>
            </w:r>
          </w:p>
        </w:tc>
      </w:tr>
    </w:tbl>
    <w:p>
      <w:pPr>
        <w:pStyle w:val="TextBody"/>
        <w:spacing w:before="0" w:after="0"/>
        <w:ind w:left="0" w:right="0" w:hanging="0"/>
        <w:jc w:val="both"/>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957" w:name="PGBRK78"/>
      <w:bookmarkStart w:id="958" w:name="PGBRK78"/>
      <w:bookmarkEnd w:id="95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959" w:name="FTR78"/>
      <w:bookmarkStart w:id="960" w:name="FTR78"/>
      <w:bookmarkEnd w:id="96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961" w:name="GLFTR77"/>
      <w:bookmarkEnd w:id="961"/>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helvetica" w:hAnsi="helvetica"/>
          <w:sz w:val="20"/>
        </w:rPr>
      </w:pPr>
      <w:bookmarkStart w:id="962" w:name="PN77"/>
      <w:bookmarkEnd w:id="962"/>
      <w:r>
        <w:rPr>
          <w:rFonts w:ascii="helvetica" w:hAnsi="helvetica"/>
          <w:sz w:val="20"/>
        </w:rPr>
        <w:t>F-7</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963" w:name="HDR77"/>
      <w:bookmarkStart w:id="964" w:name="HDR77"/>
      <w:bookmarkEnd w:id="96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965" w:name="GLHDR77"/>
      <w:bookmarkEnd w:id="965"/>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pPr>
      <w:r>
        <w:rPr/>
        <w:t> </w:t>
      </w:r>
    </w:p>
    <w:p>
      <w:pPr>
        <w:pStyle w:val="TextBody"/>
        <w:spacing w:before="0" w:after="0"/>
        <w:ind w:left="0" w:right="0" w:hanging="0"/>
        <w:jc w:val="both"/>
        <w:rPr>
          <w:rFonts w:ascii="helvetica" w:hAnsi="helvetica"/>
          <w:sz w:val="20"/>
        </w:rPr>
      </w:pPr>
      <w:r>
        <w:rPr>
          <w:rFonts w:ascii="helvetica" w:hAnsi="helvetica"/>
          <w:sz w:val="20"/>
        </w:rPr>
        <w:t>During the three and six months ended June 30, 2012, the Company recorded depreciation expenses of $843 and $1,247, respectively, and during the three and six months ended June 30, 2011, the Company recorded depreciation expenses of $74 and $338, respectively.</w:t>
      </w:r>
    </w:p>
    <w:p>
      <w:pPr>
        <w:pStyle w:val="TextBody"/>
        <w:spacing w:before="0" w:after="0"/>
        <w:ind w:left="0" w:right="0" w:hanging="0"/>
        <w:rPr/>
      </w:pPr>
      <w:r>
        <w:rPr/>
        <w:t> </w:t>
      </w:r>
    </w:p>
    <w:p>
      <w:pPr>
        <w:pStyle w:val="TextBody"/>
        <w:spacing w:before="0" w:after="0"/>
        <w:ind w:left="0" w:right="0" w:hanging="0"/>
        <w:jc w:val="both"/>
        <w:rPr>
          <w:rFonts w:ascii="helvetica" w:hAnsi="helvetica"/>
          <w:b/>
          <w:sz w:val="20"/>
        </w:rPr>
      </w:pPr>
      <w:r>
        <w:rPr>
          <w:rFonts w:ascii="helvetica" w:hAnsi="helvetica"/>
          <w:b/>
          <w:sz w:val="20"/>
        </w:rPr>
        <w:t>Deferred Offering Costs</w:t>
      </w:r>
    </w:p>
    <w:p>
      <w:pPr>
        <w:pStyle w:val="TextBody"/>
        <w:spacing w:before="0" w:after="0"/>
        <w:ind w:left="0" w:right="0" w:hanging="0"/>
        <w:rPr/>
      </w:pPr>
      <w:r>
        <w:rPr/>
        <w:t> </w:t>
      </w:r>
    </w:p>
    <w:p>
      <w:pPr>
        <w:pStyle w:val="TextBody"/>
        <w:spacing w:before="0" w:after="0"/>
        <w:ind w:left="0" w:right="0" w:hanging="0"/>
        <w:jc w:val="both"/>
        <w:rPr>
          <w:rFonts w:ascii="helvetica" w:hAnsi="helvetica"/>
          <w:sz w:val="20"/>
        </w:rPr>
      </w:pPr>
      <w:r>
        <w:rPr>
          <w:rFonts w:ascii="helvetica" w:hAnsi="helvetica"/>
          <w:sz w:val="20"/>
        </w:rPr>
        <w:t>On July 25, 2012, the Company filed with the Securities and Exchange Commission a registration statement in connection with a proposed offering of its securities.  At June 30, 2012, the Company had deferred offering costs of $117,732 for legal, accounting and other expenses directly related to the proposed offering.  Any cash proceeds to the Company arising from the proposed offering will be netted against these deferred offering costs and any future cost directly associated with the offering.  There is no obligation to consummate an offering and an offering may not occur.</w:t>
      </w:r>
    </w:p>
    <w:p>
      <w:pPr>
        <w:pStyle w:val="TextBody"/>
        <w:spacing w:before="0" w:after="0"/>
        <w:ind w:left="0" w:right="0" w:hanging="0"/>
        <w:rPr/>
      </w:pPr>
      <w:r>
        <w:rPr/>
        <w:t> </w:t>
      </w:r>
    </w:p>
    <w:p>
      <w:pPr>
        <w:pStyle w:val="TextBody"/>
        <w:spacing w:before="0" w:after="0"/>
        <w:ind w:left="0" w:right="0" w:hanging="0"/>
        <w:jc w:val="both"/>
        <w:rPr>
          <w:rFonts w:ascii="helvetica" w:hAnsi="helvetica"/>
          <w:b/>
          <w:sz w:val="20"/>
        </w:rPr>
      </w:pPr>
      <w:r>
        <w:rPr>
          <w:rFonts w:ascii="helvetica" w:hAnsi="helvetica"/>
          <w:b/>
          <w:sz w:val="20"/>
        </w:rPr>
        <w:t>Deferred Rent</w:t>
      </w:r>
    </w:p>
    <w:p>
      <w:pPr>
        <w:pStyle w:val="TextBody"/>
        <w:spacing w:before="0" w:after="0"/>
        <w:ind w:left="0" w:right="0" w:hanging="0"/>
        <w:rPr/>
      </w:pPr>
      <w:r>
        <w:rPr/>
        <w:t> </w:t>
      </w:r>
    </w:p>
    <w:p>
      <w:pPr>
        <w:pStyle w:val="TextBody"/>
        <w:spacing w:before="0" w:after="0"/>
        <w:ind w:left="0" w:right="0" w:hanging="0"/>
        <w:jc w:val="both"/>
        <w:rPr>
          <w:rFonts w:ascii="helvetica" w:hAnsi="helvetica"/>
          <w:sz w:val="20"/>
        </w:rPr>
      </w:pPr>
      <w:r>
        <w:rPr>
          <w:rFonts w:ascii="helvetica" w:hAnsi="helvetica"/>
          <w:sz w:val="20"/>
        </w:rPr>
        <w:t>The Company accounts for rent expense related to its operating leases by determining total minimum rent payments on the leases over their respective periods and recognizing the rent expense on a straight-line basis. The difference between the actual amount paid and the amount recorded as rent expense in each fiscal year is recorded as an adjustment to deferred rent. The deferred rent balance at June 30, 2012 was $991 and is included in accounts payable and accrued expenses in the accompanying unaudited condensed consolidated balance sheet.</w:t>
      </w:r>
    </w:p>
    <w:p>
      <w:pPr>
        <w:pStyle w:val="TextBody"/>
        <w:spacing w:before="0" w:after="0"/>
        <w:ind w:left="0" w:right="0" w:hanging="0"/>
        <w:rPr/>
      </w:pPr>
      <w:r>
        <w:rPr/>
        <w:t> </w:t>
      </w:r>
    </w:p>
    <w:p>
      <w:pPr>
        <w:pStyle w:val="TextBody"/>
        <w:spacing w:before="0" w:after="0"/>
        <w:ind w:left="0" w:right="0" w:hanging="0"/>
        <w:jc w:val="both"/>
        <w:rPr>
          <w:rFonts w:ascii="helvetica" w:hAnsi="helvetica"/>
          <w:b/>
          <w:sz w:val="20"/>
        </w:rPr>
      </w:pPr>
      <w:r>
        <w:rPr>
          <w:rFonts w:ascii="helvetica" w:hAnsi="helvetica"/>
          <w:b/>
          <w:sz w:val="20"/>
        </w:rPr>
        <w:t>Fair Value Measurements</w:t>
      </w:r>
    </w:p>
    <w:p>
      <w:pPr>
        <w:pStyle w:val="TextBody"/>
        <w:spacing w:before="0" w:after="0"/>
        <w:ind w:left="0" w:right="0" w:hanging="0"/>
        <w:rPr/>
      </w:pPr>
      <w:r>
        <w:rPr/>
        <w:t> </w:t>
      </w:r>
    </w:p>
    <w:p>
      <w:pPr>
        <w:pStyle w:val="TextBody"/>
        <w:spacing w:before="0" w:after="0"/>
        <w:ind w:left="0" w:right="0" w:hanging="0"/>
        <w:jc w:val="both"/>
        <w:rPr>
          <w:rFonts w:ascii="helvetica" w:hAnsi="helvetica"/>
          <w:sz w:val="20"/>
        </w:rPr>
      </w:pPr>
      <w:r>
        <w:rPr>
          <w:rFonts w:ascii="helvetica" w:hAnsi="helvetica"/>
          <w:sz w:val="20"/>
        </w:rPr>
        <w:t>Fair value measurements are determined based on the assumptions that market participants would use in pricing an asset or liability.  GAAP establishes a hierarchy for inputs used in measuring fair value that maximizes the use of observable inputs and minimizes the use of unobservable inputs by requiring that the most observable inputs be used when available. The established fair value hierarchy prioritizes the use of inputs used in valuation methodologies into the following three levels:</w:t>
      </w:r>
    </w:p>
    <w:tbl>
      <w:tblPr>
        <w:tblW w:w="5000" w:type="pct"/>
        <w:jc w:val="left"/>
        <w:tblInd w:w="0" w:type="dxa"/>
        <w:tblCellMar>
          <w:top w:w="0" w:type="dxa"/>
          <w:left w:w="0" w:type="dxa"/>
          <w:bottom w:w="0" w:type="dxa"/>
          <w:right w:w="0" w:type="dxa"/>
        </w:tblCellMar>
      </w:tblPr>
      <w:tblGrid>
        <w:gridCol w:w="391"/>
        <w:gridCol w:w="9814"/>
      </w:tblGrid>
      <w:tr>
        <w:trPr/>
        <w:tc>
          <w:tcPr>
            <w:tcW w:w="391" w:type="dxa"/>
            <w:tcBorders/>
            <w:shd w:fill="auto" w:val="clear"/>
          </w:tcPr>
          <w:p>
            <w:pPr>
              <w:pStyle w:val="TableContents"/>
              <w:spacing w:before="0" w:after="0"/>
              <w:ind w:left="0" w:right="0" w:hanging="0"/>
              <w:jc w:val="both"/>
              <w:rPr/>
            </w:pPr>
            <w:r>
              <w:rPr/>
              <w:t>●</w:t>
            </w:r>
          </w:p>
        </w:tc>
        <w:tc>
          <w:tcPr>
            <w:tcW w:w="9814" w:type="dxa"/>
            <w:tcBorders/>
            <w:shd w:fill="auto" w:val="clear"/>
          </w:tcPr>
          <w:p>
            <w:pPr>
              <w:pStyle w:val="TableContents"/>
              <w:spacing w:before="0" w:after="0"/>
              <w:ind w:left="0" w:right="0" w:hanging="0"/>
              <w:jc w:val="both"/>
              <w:rPr>
                <w:rFonts w:ascii="helvetica" w:hAnsi="helvetica"/>
                <w:sz w:val="20"/>
              </w:rPr>
            </w:pPr>
            <w:r>
              <w:rPr>
                <w:rFonts w:ascii="helvetica" w:hAnsi="helvetica"/>
                <w:sz w:val="20"/>
              </w:rPr>
              <w:t>Level 1: Quoted prices (unadjusted) for identical assets or liabilities in active markets. A quoted price in an active market provides the most reliable evidence of fair value and must be used to measure fair value whenever available.</w:t>
            </w:r>
          </w:p>
        </w:tc>
      </w:tr>
      <w:tr>
        <w:trPr/>
        <w:tc>
          <w:tcPr>
            <w:tcW w:w="391" w:type="dxa"/>
            <w:tcBorders/>
            <w:shd w:fill="auto" w:val="clear"/>
          </w:tcPr>
          <w:p>
            <w:pPr>
              <w:pStyle w:val="TableContents"/>
              <w:spacing w:before="0" w:after="0"/>
              <w:ind w:left="0" w:right="0" w:hanging="0"/>
              <w:jc w:val="both"/>
              <w:rPr/>
            </w:pPr>
            <w:r>
              <w:rPr/>
              <w:t>●</w:t>
            </w:r>
          </w:p>
        </w:tc>
        <w:tc>
          <w:tcPr>
            <w:tcW w:w="9814" w:type="dxa"/>
            <w:tcBorders/>
            <w:shd w:fill="auto" w:val="clear"/>
          </w:tcPr>
          <w:p>
            <w:pPr>
              <w:pStyle w:val="TableContents"/>
              <w:spacing w:before="0" w:after="0"/>
              <w:ind w:left="0" w:right="0" w:hanging="0"/>
              <w:jc w:val="both"/>
              <w:rPr>
                <w:rFonts w:ascii="helvetica" w:hAnsi="helvetica"/>
                <w:sz w:val="20"/>
              </w:rPr>
            </w:pPr>
            <w:r>
              <w:rPr>
                <w:rFonts w:ascii="helvetica" w:hAnsi="helvetica"/>
                <w:sz w:val="20"/>
              </w:rPr>
              <w:t>Level 2: Significant other observable inputs other than Level 1 prices such as quoted prices for similar assets or liabilities; quoted prices in markets that are not active; or other inputs that are observable or can be corroborated by observable market data.</w:t>
            </w:r>
          </w:p>
        </w:tc>
      </w:tr>
      <w:tr>
        <w:trPr/>
        <w:tc>
          <w:tcPr>
            <w:tcW w:w="391" w:type="dxa"/>
            <w:tcBorders/>
            <w:shd w:fill="auto" w:val="clear"/>
          </w:tcPr>
          <w:p>
            <w:pPr>
              <w:pStyle w:val="TableContents"/>
              <w:spacing w:before="0" w:after="0"/>
              <w:ind w:left="0" w:right="0" w:hanging="0"/>
              <w:jc w:val="both"/>
              <w:rPr/>
            </w:pPr>
            <w:r>
              <w:rPr/>
              <w:t>●</w:t>
            </w:r>
          </w:p>
        </w:tc>
        <w:tc>
          <w:tcPr>
            <w:tcW w:w="9814" w:type="dxa"/>
            <w:tcBorders/>
            <w:shd w:fill="auto" w:val="clear"/>
          </w:tcPr>
          <w:p>
            <w:pPr>
              <w:pStyle w:val="TableContents"/>
              <w:spacing w:before="0" w:after="0"/>
              <w:ind w:left="0" w:right="0" w:hanging="0"/>
              <w:jc w:val="both"/>
              <w:rPr>
                <w:rFonts w:ascii="helvetica" w:hAnsi="helvetica"/>
                <w:sz w:val="20"/>
              </w:rPr>
            </w:pPr>
            <w:r>
              <w:rPr>
                <w:rFonts w:ascii="helvetica" w:hAnsi="helvetica"/>
                <w:sz w:val="20"/>
              </w:rPr>
              <w:t>Level 3: Significant unobservable inputs that reflect a reporting entity’s own assumptions about the assumptions that market participants would use in pricing an asset or liability. For example, level 3 inputs would relate to forecasts of future earnings and cash flows used in a discounted future cash flows method.</w:t>
            </w:r>
          </w:p>
        </w:tc>
      </w:tr>
    </w:tbl>
    <w:p>
      <w:pPr>
        <w:pStyle w:val="TextBody"/>
        <w:spacing w:before="0" w:after="0"/>
        <w:ind w:left="0" w:right="0" w:hanging="0"/>
        <w:rPr/>
      </w:pPr>
      <w:r>
        <w:rPr/>
        <w:t> </w:t>
      </w:r>
    </w:p>
    <w:p>
      <w:pPr>
        <w:pStyle w:val="TextBody"/>
        <w:spacing w:before="0" w:after="0"/>
        <w:ind w:left="0" w:right="0" w:hanging="0"/>
        <w:jc w:val="both"/>
        <w:rPr>
          <w:rFonts w:ascii="helvetica" w:hAnsi="helvetica"/>
          <w:sz w:val="20"/>
        </w:rPr>
      </w:pPr>
      <w:r>
        <w:rPr>
          <w:rFonts w:ascii="helvetica" w:hAnsi="helvetica"/>
          <w:sz w:val="20"/>
        </w:rPr>
        <w:t>The fair values of the Company’s cash and cash equivalents, accounts payable, and accrued expenses approximate carrying values due to their short term maturities.</w:t>
      </w:r>
    </w:p>
    <w:p>
      <w:pPr>
        <w:pStyle w:val="TextBody"/>
        <w:spacing w:before="0" w:after="0"/>
        <w:ind w:left="0" w:right="0" w:hanging="0"/>
        <w:jc w:val="both"/>
        <w:rPr/>
      </w:pPr>
      <w:r>
        <w:rPr/>
        <w:t> </w:t>
      </w:r>
    </w:p>
    <w:p>
      <w:pPr>
        <w:pStyle w:val="TextBody"/>
        <w:spacing w:before="0" w:after="0"/>
        <w:ind w:left="0" w:right="0" w:hanging="0"/>
        <w:jc w:val="left"/>
        <w:rPr>
          <w:rFonts w:ascii="helvetica" w:hAnsi="helvetica"/>
          <w:b/>
          <w:sz w:val="20"/>
        </w:rPr>
      </w:pPr>
      <w:r>
        <w:rPr>
          <w:rFonts w:ascii="helvetica" w:hAnsi="helvetica"/>
          <w:b/>
          <w:sz w:val="20"/>
        </w:rPr>
        <w:t>Beneficial Conversion Features and Debt Discounts</w:t>
      </w:r>
    </w:p>
    <w:p>
      <w:pPr>
        <w:pStyle w:val="TextBody"/>
        <w:spacing w:before="0" w:after="0"/>
        <w:ind w:left="0" w:right="0" w:hanging="0"/>
        <w:jc w:val="both"/>
        <w:rPr/>
      </w:pPr>
      <w:r>
        <w:rPr/>
        <w:t> </w:t>
      </w:r>
    </w:p>
    <w:p>
      <w:pPr>
        <w:pStyle w:val="TextBody"/>
        <w:spacing w:before="0" w:after="0"/>
        <w:ind w:left="0" w:right="0" w:hanging="0"/>
        <w:jc w:val="both"/>
        <w:rPr>
          <w:rFonts w:ascii="helvetica" w:hAnsi="helvetica"/>
          <w:sz w:val="20"/>
        </w:rPr>
      </w:pPr>
      <w:r>
        <w:rPr>
          <w:rFonts w:ascii="helvetica" w:hAnsi="helvetica"/>
          <w:sz w:val="20"/>
        </w:rPr>
        <w:t>The convertible features of debt provide for a rate of conversion that is below market value. Such feature is normally characterized as a “beneficial conversion feature” (“BCF”). The relative fair values of the BCF were recorded as discounts from the face amount of the respective debt instrument. The Company amortized the discount using the effective interest method through maturity of such instruments.</w:t>
      </w:r>
    </w:p>
    <w:p>
      <w:pPr>
        <w:pStyle w:val="TextBody"/>
        <w:spacing w:before="0" w:after="0"/>
        <w:ind w:left="0" w:right="0" w:hanging="0"/>
        <w:rPr/>
      </w:pPr>
      <w:r>
        <w:rPr/>
        <w:t> </w:t>
      </w:r>
    </w:p>
    <w:p>
      <w:pPr>
        <w:pStyle w:val="TextBody"/>
        <w:spacing w:before="0" w:after="0"/>
        <w:ind w:left="0" w:right="0" w:hanging="0"/>
        <w:jc w:val="left"/>
        <w:rPr>
          <w:rFonts w:ascii="helvetica" w:hAnsi="helvetica"/>
          <w:b/>
          <w:sz w:val="20"/>
        </w:rPr>
      </w:pPr>
      <w:r>
        <w:rPr>
          <w:rFonts w:ascii="helvetica" w:hAnsi="helvetica"/>
          <w:b/>
          <w:sz w:val="20"/>
        </w:rPr>
        <w:t>Stock-Based Compensation</w:t>
      </w:r>
    </w:p>
    <w:p>
      <w:pPr>
        <w:pStyle w:val="TextBody"/>
        <w:spacing w:before="0" w:after="0"/>
        <w:ind w:left="0" w:right="0" w:hanging="0"/>
        <w:rPr/>
      </w:pPr>
      <w:r>
        <w:rPr/>
        <w:t> </w:t>
      </w:r>
    </w:p>
    <w:p>
      <w:pPr>
        <w:pStyle w:val="TextBody"/>
        <w:spacing w:before="0" w:after="0"/>
        <w:ind w:left="0" w:right="0" w:hanging="0"/>
        <w:jc w:val="both"/>
        <w:rPr>
          <w:rFonts w:ascii="helvetica" w:hAnsi="helvetica"/>
          <w:sz w:val="20"/>
        </w:rPr>
      </w:pPr>
      <w:r>
        <w:rPr>
          <w:rFonts w:ascii="helvetica" w:hAnsi="helvetica"/>
          <w:sz w:val="20"/>
        </w:rPr>
        <w:t>All share-based payments to employees, including grants of stock options to employees, directors and consultants and restricted stock grants, are recognized in the financial statements based upon their fair values.</w:t>
      </w:r>
    </w:p>
    <w:p>
      <w:pPr>
        <w:pStyle w:val="TextBody"/>
        <w:spacing w:before="0" w:after="0"/>
        <w:ind w:left="0" w:right="0" w:hanging="0"/>
        <w:rPr/>
      </w:pPr>
      <w:r>
        <w:rPr/>
        <w:t> </w:t>
      </w:r>
    </w:p>
    <w:p>
      <w:pPr>
        <w:pStyle w:val="TextBody"/>
        <w:spacing w:before="0" w:after="0"/>
        <w:ind w:left="0" w:right="0" w:hanging="0"/>
        <w:jc w:val="both"/>
        <w:rPr>
          <w:rFonts w:ascii="helvetica" w:hAnsi="helvetica"/>
          <w:sz w:val="20"/>
        </w:rPr>
      </w:pPr>
      <w:r>
        <w:rPr>
          <w:rFonts w:ascii="helvetica" w:hAnsi="helvetica"/>
          <w:sz w:val="20"/>
        </w:rPr>
        <w:t>The Company's accounting policy for equity instruments issued to consultants and vendors in exchange for goods and services follows FASB guidance.  As such, the value of the applicable stock-based compensation is periodically remeasured and income or expense is recognized during their vesting terms. The measurement date for the fair value of the equity instruments issued is determined at the earlier of (i) the date at which a commitment for performance by the consultant or vendor is reached or (ii) the date at which the consultant or vendor's performance is complete. In the case of equity instruments issued to consultants, the fair value of the equity instrument is primarily recognized over the term of the consulting agreement. In accordance with FASB guidance, an asset acquired in exchange for the issuance of fully vested, nonforfeitable equity instruments should not be presented or classified as an offset to equity on the grantor's balance sheet once the equity instrument is granted for accounting purposes. Accordingly, the Company records the fair value of nonforfeitable equity instruments issued for future consulting services as prepaid consulting fees in its consolidated balance sheets.</w:t>
      </w:r>
    </w:p>
    <w:p>
      <w:pPr>
        <w:pStyle w:val="TextBody"/>
        <w:spacing w:before="0" w:after="0"/>
        <w:ind w:left="0" w:right="0" w:hanging="0"/>
        <w:rPr/>
      </w:pPr>
      <w:r>
        <w:rPr/>
        <w:t> </w:t>
      </w:r>
    </w:p>
    <w:p>
      <w:pPr>
        <w:pStyle w:val="TextBody"/>
        <w:spacing w:before="0" w:after="0"/>
        <w:ind w:left="0" w:right="0" w:hanging="0"/>
        <w:jc w:val="both"/>
        <w:rPr>
          <w:rFonts w:ascii="helvetica" w:hAnsi="helvetica"/>
          <w:sz w:val="20"/>
        </w:rPr>
      </w:pPr>
      <w:r>
        <w:rPr>
          <w:rFonts w:ascii="helvetica" w:hAnsi="helvetica"/>
          <w:sz w:val="20"/>
        </w:rPr>
        <w:t>The Company recorded stock-based compensation related to equity instruments granted to employees, directors and consultants as follows:</w:t>
      </w:r>
    </w:p>
    <w:p>
      <w:pPr>
        <w:pStyle w:val="TextBody"/>
        <w:spacing w:before="0" w:after="0"/>
        <w:ind w:left="0" w:right="0" w:hanging="0"/>
        <w:jc w:val="both"/>
        <w:rPr/>
      </w:pPr>
      <w:r>
        <w:rPr/>
        <w:t> </w:t>
      </w:r>
    </w:p>
    <w:tbl>
      <w:tblPr>
        <w:tblW w:w="5000" w:type="pct"/>
        <w:jc w:val="left"/>
        <w:tblInd w:w="0" w:type="dxa"/>
        <w:tblCellMar>
          <w:top w:w="0" w:type="dxa"/>
          <w:left w:w="0" w:type="dxa"/>
          <w:bottom w:w="0" w:type="dxa"/>
          <w:right w:w="0" w:type="dxa"/>
        </w:tblCellMar>
      </w:tblPr>
      <w:tblGrid>
        <w:gridCol w:w="4892"/>
        <w:gridCol w:w="105"/>
        <w:gridCol w:w="125"/>
        <w:gridCol w:w="998"/>
        <w:gridCol w:w="105"/>
        <w:gridCol w:w="105"/>
        <w:gridCol w:w="125"/>
        <w:gridCol w:w="965"/>
        <w:gridCol w:w="111"/>
        <w:gridCol w:w="105"/>
        <w:gridCol w:w="125"/>
        <w:gridCol w:w="998"/>
        <w:gridCol w:w="105"/>
        <w:gridCol w:w="105"/>
        <w:gridCol w:w="125"/>
        <w:gridCol w:w="998"/>
        <w:gridCol w:w="113"/>
      </w:tblGrid>
      <w:tr>
        <w:trPr/>
        <w:tc>
          <w:tcPr>
            <w:tcW w:w="4892" w:type="dxa"/>
            <w:tcBorders/>
            <w:shd w:fill="auto" w:val="clear"/>
            <w:vAlign w:val="bottom"/>
          </w:tcPr>
          <w:p>
            <w:pPr>
              <w:pStyle w:val="TableContents"/>
              <w:spacing w:before="0" w:after="283"/>
              <w:rPr/>
            </w:pPr>
            <w:r>
              <w:rPr/>
              <w:t xml:space="preserve">  </w:t>
            </w:r>
          </w:p>
        </w:tc>
        <w:tc>
          <w:tcPr>
            <w:tcW w:w="105" w:type="dxa"/>
            <w:tcBorders/>
            <w:shd w:fill="auto" w:val="clear"/>
            <w:vAlign w:val="bottom"/>
          </w:tcPr>
          <w:p>
            <w:pPr>
              <w:pStyle w:val="TableContents"/>
              <w:spacing w:before="0" w:after="283"/>
              <w:rPr/>
            </w:pPr>
            <w:r>
              <w:rPr/>
              <w:t> </w:t>
            </w:r>
          </w:p>
        </w:tc>
        <w:tc>
          <w:tcPr>
            <w:tcW w:w="1123" w:type="dxa"/>
            <w:gridSpan w:val="2"/>
            <w:tcBorders/>
            <w:shd w:fill="auto" w:val="clear"/>
            <w:vAlign w:val="bottom"/>
          </w:tcPr>
          <w:p>
            <w:pPr>
              <w:pStyle w:val="TableContents"/>
              <w:spacing w:before="0" w:after="0"/>
              <w:ind w:left="0" w:right="0" w:hanging="0"/>
              <w:jc w:val="center"/>
              <w:rPr>
                <w:rFonts w:ascii="helvetica" w:hAnsi="helvetica"/>
                <w:b/>
                <w:sz w:val="16"/>
              </w:rPr>
            </w:pPr>
            <w:r>
              <w:rPr>
                <w:rFonts w:ascii="helvetica" w:hAnsi="helvetica"/>
                <w:b/>
                <w:sz w:val="16"/>
              </w:rPr>
              <w:t>For The Three</w:t>
            </w:r>
          </w:p>
        </w:tc>
        <w:tc>
          <w:tcPr>
            <w:tcW w:w="105" w:type="dxa"/>
            <w:tcBorders/>
            <w:shd w:fill="auto" w:val="clear"/>
            <w:vAlign w:val="bottom"/>
          </w:tcPr>
          <w:p>
            <w:pPr>
              <w:pStyle w:val="TableContents"/>
              <w:spacing w:before="0" w:after="283"/>
              <w:jc w:val="left"/>
              <w:rPr/>
            </w:pPr>
            <w:r>
              <w:rPr/>
              <w:t> </w:t>
            </w:r>
          </w:p>
        </w:tc>
        <w:tc>
          <w:tcPr>
            <w:tcW w:w="105" w:type="dxa"/>
            <w:tcBorders/>
            <w:shd w:fill="auto" w:val="clear"/>
            <w:vAlign w:val="bottom"/>
          </w:tcPr>
          <w:p>
            <w:pPr>
              <w:pStyle w:val="TableContents"/>
              <w:spacing w:before="0" w:after="283"/>
              <w:rPr/>
            </w:pPr>
            <w:r>
              <w:rPr/>
              <w:t> </w:t>
            </w:r>
          </w:p>
        </w:tc>
        <w:tc>
          <w:tcPr>
            <w:tcW w:w="1090" w:type="dxa"/>
            <w:gridSpan w:val="2"/>
            <w:tcBorders/>
            <w:shd w:fill="auto" w:val="clear"/>
            <w:vAlign w:val="bottom"/>
          </w:tcPr>
          <w:p>
            <w:pPr>
              <w:pStyle w:val="TableContents"/>
              <w:spacing w:before="0" w:after="0"/>
              <w:ind w:left="0" w:right="0" w:hanging="0"/>
              <w:jc w:val="center"/>
              <w:rPr>
                <w:rFonts w:ascii="helvetica" w:hAnsi="helvetica"/>
                <w:b/>
                <w:sz w:val="16"/>
              </w:rPr>
            </w:pPr>
            <w:r>
              <w:rPr>
                <w:rFonts w:ascii="helvetica" w:hAnsi="helvetica"/>
                <w:b/>
                <w:sz w:val="16"/>
              </w:rPr>
              <w:t>For The Three</w:t>
            </w:r>
          </w:p>
        </w:tc>
        <w:tc>
          <w:tcPr>
            <w:tcW w:w="111" w:type="dxa"/>
            <w:tcBorders/>
            <w:shd w:fill="auto" w:val="clear"/>
            <w:vAlign w:val="bottom"/>
          </w:tcPr>
          <w:p>
            <w:pPr>
              <w:pStyle w:val="TableContents"/>
              <w:spacing w:before="0" w:after="283"/>
              <w:jc w:val="left"/>
              <w:rPr/>
            </w:pPr>
            <w:r>
              <w:rPr/>
              <w:t> </w:t>
            </w:r>
          </w:p>
        </w:tc>
        <w:tc>
          <w:tcPr>
            <w:tcW w:w="105" w:type="dxa"/>
            <w:tcBorders/>
            <w:shd w:fill="auto" w:val="clear"/>
            <w:vAlign w:val="bottom"/>
          </w:tcPr>
          <w:p>
            <w:pPr>
              <w:pStyle w:val="TableContents"/>
              <w:spacing w:before="0" w:after="283"/>
              <w:rPr/>
            </w:pPr>
            <w:r>
              <w:rPr/>
              <w:t> </w:t>
            </w:r>
          </w:p>
        </w:tc>
        <w:tc>
          <w:tcPr>
            <w:tcW w:w="1123" w:type="dxa"/>
            <w:gridSpan w:val="2"/>
            <w:tcBorders/>
            <w:shd w:fill="auto" w:val="clear"/>
            <w:vAlign w:val="bottom"/>
          </w:tcPr>
          <w:p>
            <w:pPr>
              <w:pStyle w:val="TableContents"/>
              <w:spacing w:before="0" w:after="0"/>
              <w:ind w:left="0" w:right="0" w:hanging="0"/>
              <w:jc w:val="center"/>
              <w:rPr>
                <w:rFonts w:ascii="helvetica" w:hAnsi="helvetica"/>
                <w:b/>
                <w:sz w:val="16"/>
              </w:rPr>
            </w:pPr>
            <w:r>
              <w:rPr>
                <w:rFonts w:ascii="helvetica" w:hAnsi="helvetica"/>
                <w:b/>
                <w:sz w:val="16"/>
              </w:rPr>
              <w:t>For The Six</w:t>
            </w:r>
          </w:p>
        </w:tc>
        <w:tc>
          <w:tcPr>
            <w:tcW w:w="105" w:type="dxa"/>
            <w:tcBorders/>
            <w:shd w:fill="auto" w:val="clear"/>
            <w:vAlign w:val="bottom"/>
          </w:tcPr>
          <w:p>
            <w:pPr>
              <w:pStyle w:val="TableContents"/>
              <w:spacing w:before="0" w:after="283"/>
              <w:jc w:val="left"/>
              <w:rPr/>
            </w:pPr>
            <w:r>
              <w:rPr/>
              <w:t> </w:t>
            </w:r>
          </w:p>
        </w:tc>
        <w:tc>
          <w:tcPr>
            <w:tcW w:w="105" w:type="dxa"/>
            <w:tcBorders/>
            <w:shd w:fill="auto" w:val="clear"/>
            <w:vAlign w:val="bottom"/>
          </w:tcPr>
          <w:p>
            <w:pPr>
              <w:pStyle w:val="TableContents"/>
              <w:spacing w:before="0" w:after="283"/>
              <w:rPr/>
            </w:pPr>
            <w:r>
              <w:rPr/>
              <w:t> </w:t>
            </w:r>
          </w:p>
        </w:tc>
        <w:tc>
          <w:tcPr>
            <w:tcW w:w="1123" w:type="dxa"/>
            <w:gridSpan w:val="2"/>
            <w:tcBorders/>
            <w:shd w:fill="auto" w:val="clear"/>
            <w:vAlign w:val="bottom"/>
          </w:tcPr>
          <w:p>
            <w:pPr>
              <w:pStyle w:val="TableContents"/>
              <w:spacing w:before="0" w:after="0"/>
              <w:ind w:left="0" w:right="0" w:hanging="0"/>
              <w:jc w:val="center"/>
              <w:rPr>
                <w:rFonts w:ascii="helvetica" w:hAnsi="helvetica"/>
                <w:b/>
                <w:sz w:val="16"/>
              </w:rPr>
            </w:pPr>
            <w:r>
              <w:rPr>
                <w:rFonts w:ascii="helvetica" w:hAnsi="helvetica"/>
                <w:b/>
                <w:sz w:val="16"/>
              </w:rPr>
              <w:t>For The Six</w:t>
            </w:r>
          </w:p>
        </w:tc>
        <w:tc>
          <w:tcPr>
            <w:tcW w:w="113" w:type="dxa"/>
            <w:tcBorders/>
            <w:shd w:fill="auto" w:val="clear"/>
            <w:vAlign w:val="bottom"/>
          </w:tcPr>
          <w:p>
            <w:pPr>
              <w:pStyle w:val="TableContents"/>
              <w:spacing w:before="0" w:after="283"/>
              <w:jc w:val="left"/>
              <w:rPr/>
            </w:pPr>
            <w:r>
              <w:rPr/>
              <w:t> </w:t>
            </w:r>
          </w:p>
        </w:tc>
      </w:tr>
      <w:tr>
        <w:trPr/>
        <w:tc>
          <w:tcPr>
            <w:tcW w:w="4892" w:type="dxa"/>
            <w:tcBorders/>
            <w:shd w:fill="auto" w:val="clear"/>
            <w:vAlign w:val="bottom"/>
          </w:tcPr>
          <w:p>
            <w:pPr>
              <w:pStyle w:val="TableContents"/>
              <w:spacing w:before="0" w:after="283"/>
              <w:rPr/>
            </w:pPr>
            <w:r>
              <w:rPr/>
              <w:t xml:space="preserve">  </w:t>
            </w:r>
          </w:p>
        </w:tc>
        <w:tc>
          <w:tcPr>
            <w:tcW w:w="105" w:type="dxa"/>
            <w:tcBorders/>
            <w:shd w:fill="auto" w:val="clear"/>
            <w:vAlign w:val="bottom"/>
          </w:tcPr>
          <w:p>
            <w:pPr>
              <w:pStyle w:val="TableContents"/>
              <w:spacing w:before="0" w:after="283"/>
              <w:rPr/>
            </w:pPr>
            <w:r>
              <w:rPr/>
              <w:t> </w:t>
            </w:r>
          </w:p>
        </w:tc>
        <w:tc>
          <w:tcPr>
            <w:tcW w:w="1123" w:type="dxa"/>
            <w:gridSpan w:val="2"/>
            <w:tcBorders/>
            <w:shd w:fill="auto" w:val="clear"/>
            <w:vAlign w:val="bottom"/>
          </w:tcPr>
          <w:p>
            <w:pPr>
              <w:pStyle w:val="TableContents"/>
              <w:spacing w:before="0" w:after="0"/>
              <w:ind w:left="0" w:right="0" w:hanging="0"/>
              <w:jc w:val="center"/>
              <w:rPr>
                <w:rFonts w:ascii="helvetica" w:hAnsi="helvetica"/>
                <w:b/>
                <w:sz w:val="16"/>
              </w:rPr>
            </w:pPr>
            <w:r>
              <w:rPr>
                <w:rFonts w:ascii="helvetica" w:hAnsi="helvetica"/>
                <w:b/>
                <w:sz w:val="16"/>
              </w:rPr>
              <w:t>Months Ended</w:t>
            </w:r>
          </w:p>
        </w:tc>
        <w:tc>
          <w:tcPr>
            <w:tcW w:w="105" w:type="dxa"/>
            <w:tcBorders/>
            <w:shd w:fill="auto" w:val="clear"/>
            <w:vAlign w:val="bottom"/>
          </w:tcPr>
          <w:p>
            <w:pPr>
              <w:pStyle w:val="TableContents"/>
              <w:spacing w:before="0" w:after="283"/>
              <w:jc w:val="left"/>
              <w:rPr/>
            </w:pPr>
            <w:r>
              <w:rPr/>
              <w:t> </w:t>
            </w:r>
          </w:p>
        </w:tc>
        <w:tc>
          <w:tcPr>
            <w:tcW w:w="105" w:type="dxa"/>
            <w:tcBorders/>
            <w:shd w:fill="auto" w:val="clear"/>
            <w:vAlign w:val="bottom"/>
          </w:tcPr>
          <w:p>
            <w:pPr>
              <w:pStyle w:val="TableContents"/>
              <w:spacing w:before="0" w:after="283"/>
              <w:rPr/>
            </w:pPr>
            <w:r>
              <w:rPr/>
              <w:t> </w:t>
            </w:r>
          </w:p>
        </w:tc>
        <w:tc>
          <w:tcPr>
            <w:tcW w:w="1090" w:type="dxa"/>
            <w:gridSpan w:val="2"/>
            <w:tcBorders/>
            <w:shd w:fill="auto" w:val="clear"/>
            <w:vAlign w:val="bottom"/>
          </w:tcPr>
          <w:p>
            <w:pPr>
              <w:pStyle w:val="TableContents"/>
              <w:spacing w:before="0" w:after="0"/>
              <w:ind w:left="0" w:right="0" w:hanging="0"/>
              <w:jc w:val="center"/>
              <w:rPr>
                <w:rFonts w:ascii="helvetica" w:hAnsi="helvetica"/>
                <w:b/>
                <w:sz w:val="16"/>
              </w:rPr>
            </w:pPr>
            <w:r>
              <w:rPr>
                <w:rFonts w:ascii="helvetica" w:hAnsi="helvetica"/>
                <w:b/>
                <w:sz w:val="16"/>
              </w:rPr>
              <w:t>Months Ended</w:t>
            </w:r>
          </w:p>
        </w:tc>
        <w:tc>
          <w:tcPr>
            <w:tcW w:w="111" w:type="dxa"/>
            <w:tcBorders/>
            <w:shd w:fill="auto" w:val="clear"/>
            <w:vAlign w:val="bottom"/>
          </w:tcPr>
          <w:p>
            <w:pPr>
              <w:pStyle w:val="TableContents"/>
              <w:spacing w:before="0" w:after="283"/>
              <w:jc w:val="left"/>
              <w:rPr/>
            </w:pPr>
            <w:r>
              <w:rPr/>
              <w:t> </w:t>
            </w:r>
          </w:p>
        </w:tc>
        <w:tc>
          <w:tcPr>
            <w:tcW w:w="105" w:type="dxa"/>
            <w:tcBorders/>
            <w:shd w:fill="auto" w:val="clear"/>
            <w:vAlign w:val="bottom"/>
          </w:tcPr>
          <w:p>
            <w:pPr>
              <w:pStyle w:val="TableContents"/>
              <w:spacing w:before="0" w:after="283"/>
              <w:rPr/>
            </w:pPr>
            <w:r>
              <w:rPr/>
              <w:t> </w:t>
            </w:r>
          </w:p>
        </w:tc>
        <w:tc>
          <w:tcPr>
            <w:tcW w:w="1123" w:type="dxa"/>
            <w:gridSpan w:val="2"/>
            <w:tcBorders/>
            <w:shd w:fill="auto" w:val="clear"/>
            <w:vAlign w:val="bottom"/>
          </w:tcPr>
          <w:p>
            <w:pPr>
              <w:pStyle w:val="TableContents"/>
              <w:spacing w:before="0" w:after="0"/>
              <w:ind w:left="0" w:right="0" w:hanging="0"/>
              <w:jc w:val="center"/>
              <w:rPr>
                <w:rFonts w:ascii="helvetica" w:hAnsi="helvetica"/>
                <w:b/>
                <w:sz w:val="16"/>
              </w:rPr>
            </w:pPr>
            <w:r>
              <w:rPr>
                <w:rFonts w:ascii="helvetica" w:hAnsi="helvetica"/>
                <w:b/>
                <w:sz w:val="16"/>
              </w:rPr>
              <w:t>Months Ended</w:t>
            </w:r>
          </w:p>
        </w:tc>
        <w:tc>
          <w:tcPr>
            <w:tcW w:w="105" w:type="dxa"/>
            <w:tcBorders/>
            <w:shd w:fill="auto" w:val="clear"/>
            <w:vAlign w:val="bottom"/>
          </w:tcPr>
          <w:p>
            <w:pPr>
              <w:pStyle w:val="TableContents"/>
              <w:spacing w:before="0" w:after="283"/>
              <w:jc w:val="left"/>
              <w:rPr/>
            </w:pPr>
            <w:r>
              <w:rPr/>
              <w:t> </w:t>
            </w:r>
          </w:p>
        </w:tc>
        <w:tc>
          <w:tcPr>
            <w:tcW w:w="105" w:type="dxa"/>
            <w:tcBorders/>
            <w:shd w:fill="auto" w:val="clear"/>
            <w:vAlign w:val="bottom"/>
          </w:tcPr>
          <w:p>
            <w:pPr>
              <w:pStyle w:val="TableContents"/>
              <w:spacing w:before="0" w:after="283"/>
              <w:rPr/>
            </w:pPr>
            <w:r>
              <w:rPr/>
              <w:t> </w:t>
            </w:r>
          </w:p>
        </w:tc>
        <w:tc>
          <w:tcPr>
            <w:tcW w:w="1123" w:type="dxa"/>
            <w:gridSpan w:val="2"/>
            <w:tcBorders/>
            <w:shd w:fill="auto" w:val="clear"/>
            <w:vAlign w:val="bottom"/>
          </w:tcPr>
          <w:p>
            <w:pPr>
              <w:pStyle w:val="TableContents"/>
              <w:spacing w:before="0" w:after="0"/>
              <w:ind w:left="0" w:right="0" w:hanging="0"/>
              <w:jc w:val="center"/>
              <w:rPr>
                <w:rFonts w:ascii="helvetica" w:hAnsi="helvetica"/>
                <w:b/>
                <w:sz w:val="16"/>
              </w:rPr>
            </w:pPr>
            <w:r>
              <w:rPr>
                <w:rFonts w:ascii="helvetica" w:hAnsi="helvetica"/>
                <w:b/>
                <w:sz w:val="16"/>
              </w:rPr>
              <w:t>Months Ended</w:t>
            </w:r>
          </w:p>
        </w:tc>
        <w:tc>
          <w:tcPr>
            <w:tcW w:w="113" w:type="dxa"/>
            <w:tcBorders/>
            <w:shd w:fill="auto" w:val="clear"/>
            <w:vAlign w:val="bottom"/>
          </w:tcPr>
          <w:p>
            <w:pPr>
              <w:pStyle w:val="TableContents"/>
              <w:spacing w:before="0" w:after="283"/>
              <w:jc w:val="left"/>
              <w:rPr/>
            </w:pPr>
            <w:r>
              <w:rPr/>
              <w:t> </w:t>
            </w:r>
          </w:p>
        </w:tc>
      </w:tr>
      <w:tr>
        <w:trPr/>
        <w:tc>
          <w:tcPr>
            <w:tcW w:w="4892" w:type="dxa"/>
            <w:tcBorders/>
            <w:shd w:fill="auto" w:val="clear"/>
            <w:vAlign w:val="bottom"/>
          </w:tcPr>
          <w:p>
            <w:pPr>
              <w:pStyle w:val="TableContents"/>
              <w:spacing w:before="0" w:after="283"/>
              <w:rPr/>
            </w:pPr>
            <w:r>
              <w:rPr/>
              <w:t xml:space="preserve">  </w:t>
            </w:r>
          </w:p>
        </w:tc>
        <w:tc>
          <w:tcPr>
            <w:tcW w:w="105" w:type="dxa"/>
            <w:tcBorders/>
            <w:shd w:fill="auto" w:val="clear"/>
            <w:vAlign w:val="bottom"/>
          </w:tcPr>
          <w:p>
            <w:pPr>
              <w:pStyle w:val="TableContents"/>
              <w:spacing w:before="0" w:after="283"/>
              <w:rPr/>
            </w:pPr>
            <w:r>
              <w:rPr/>
              <w:t> </w:t>
            </w:r>
          </w:p>
        </w:tc>
        <w:tc>
          <w:tcPr>
            <w:tcW w:w="1123"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helvetica" w:hAnsi="helvetica"/>
                <w:b/>
                <w:sz w:val="16"/>
              </w:rPr>
            </w:pPr>
            <w:r>
              <w:rPr>
                <w:rFonts w:ascii="helvetica" w:hAnsi="helvetica"/>
                <w:b/>
                <w:sz w:val="16"/>
              </w:rPr>
              <w:t>June 30, 2012</w:t>
            </w:r>
          </w:p>
        </w:tc>
        <w:tc>
          <w:tcPr>
            <w:tcW w:w="105" w:type="dxa"/>
            <w:tcBorders/>
            <w:shd w:fill="auto" w:val="clear"/>
            <w:vAlign w:val="bottom"/>
          </w:tcPr>
          <w:p>
            <w:pPr>
              <w:pStyle w:val="TableContents"/>
              <w:spacing w:before="0" w:after="283"/>
              <w:jc w:val="left"/>
              <w:rPr/>
            </w:pPr>
            <w:r>
              <w:rPr/>
              <w:t> </w:t>
            </w:r>
          </w:p>
        </w:tc>
        <w:tc>
          <w:tcPr>
            <w:tcW w:w="105" w:type="dxa"/>
            <w:tcBorders/>
            <w:shd w:fill="auto" w:val="clear"/>
            <w:vAlign w:val="bottom"/>
          </w:tcPr>
          <w:p>
            <w:pPr>
              <w:pStyle w:val="TableContents"/>
              <w:spacing w:before="0" w:after="283"/>
              <w:rPr/>
            </w:pPr>
            <w:r>
              <w:rPr/>
              <w:t> </w:t>
            </w:r>
          </w:p>
        </w:tc>
        <w:tc>
          <w:tcPr>
            <w:tcW w:w="1090"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helvetica" w:hAnsi="helvetica"/>
                <w:b/>
                <w:sz w:val="16"/>
              </w:rPr>
            </w:pPr>
            <w:r>
              <w:rPr>
                <w:rFonts w:ascii="helvetica" w:hAnsi="helvetica"/>
                <w:b/>
                <w:sz w:val="16"/>
              </w:rPr>
              <w:t>June 30, 2011</w:t>
            </w:r>
          </w:p>
        </w:tc>
        <w:tc>
          <w:tcPr>
            <w:tcW w:w="111" w:type="dxa"/>
            <w:tcBorders/>
            <w:shd w:fill="auto" w:val="clear"/>
            <w:vAlign w:val="bottom"/>
          </w:tcPr>
          <w:p>
            <w:pPr>
              <w:pStyle w:val="TableContents"/>
              <w:spacing w:before="0" w:after="283"/>
              <w:jc w:val="left"/>
              <w:rPr/>
            </w:pPr>
            <w:r>
              <w:rPr/>
              <w:t> </w:t>
            </w:r>
          </w:p>
        </w:tc>
        <w:tc>
          <w:tcPr>
            <w:tcW w:w="105" w:type="dxa"/>
            <w:tcBorders/>
            <w:shd w:fill="auto" w:val="clear"/>
            <w:vAlign w:val="bottom"/>
          </w:tcPr>
          <w:p>
            <w:pPr>
              <w:pStyle w:val="TableContents"/>
              <w:spacing w:before="0" w:after="283"/>
              <w:rPr/>
            </w:pPr>
            <w:r>
              <w:rPr/>
              <w:t> </w:t>
            </w:r>
          </w:p>
        </w:tc>
        <w:tc>
          <w:tcPr>
            <w:tcW w:w="1123"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helvetica" w:hAnsi="helvetica"/>
                <w:b/>
                <w:sz w:val="16"/>
              </w:rPr>
            </w:pPr>
            <w:r>
              <w:rPr>
                <w:rFonts w:ascii="helvetica" w:hAnsi="helvetica"/>
                <w:b/>
                <w:sz w:val="16"/>
              </w:rPr>
              <w:t>June 30, 2012</w:t>
            </w:r>
          </w:p>
        </w:tc>
        <w:tc>
          <w:tcPr>
            <w:tcW w:w="105" w:type="dxa"/>
            <w:tcBorders/>
            <w:shd w:fill="auto" w:val="clear"/>
            <w:vAlign w:val="bottom"/>
          </w:tcPr>
          <w:p>
            <w:pPr>
              <w:pStyle w:val="TableContents"/>
              <w:spacing w:before="0" w:after="283"/>
              <w:jc w:val="left"/>
              <w:rPr/>
            </w:pPr>
            <w:r>
              <w:rPr/>
              <w:t> </w:t>
            </w:r>
          </w:p>
        </w:tc>
        <w:tc>
          <w:tcPr>
            <w:tcW w:w="105" w:type="dxa"/>
            <w:tcBorders/>
            <w:shd w:fill="auto" w:val="clear"/>
            <w:vAlign w:val="bottom"/>
          </w:tcPr>
          <w:p>
            <w:pPr>
              <w:pStyle w:val="TableContents"/>
              <w:spacing w:before="0" w:after="283"/>
              <w:rPr/>
            </w:pPr>
            <w:r>
              <w:rPr/>
              <w:t> </w:t>
            </w:r>
          </w:p>
        </w:tc>
        <w:tc>
          <w:tcPr>
            <w:tcW w:w="1123"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helvetica" w:hAnsi="helvetica"/>
                <w:b/>
                <w:sz w:val="16"/>
              </w:rPr>
            </w:pPr>
            <w:r>
              <w:rPr>
                <w:rFonts w:ascii="helvetica" w:hAnsi="helvetica"/>
                <w:b/>
                <w:sz w:val="16"/>
              </w:rPr>
              <w:t>June 30, 2011</w:t>
            </w:r>
          </w:p>
        </w:tc>
        <w:tc>
          <w:tcPr>
            <w:tcW w:w="113" w:type="dxa"/>
            <w:tcBorders/>
            <w:shd w:fill="auto" w:val="clear"/>
            <w:vAlign w:val="bottom"/>
          </w:tcPr>
          <w:p>
            <w:pPr>
              <w:pStyle w:val="TableContents"/>
              <w:spacing w:before="0" w:after="283"/>
              <w:jc w:val="left"/>
              <w:rPr/>
            </w:pPr>
            <w:r>
              <w:rPr/>
              <w:t> </w:t>
            </w:r>
          </w:p>
        </w:tc>
      </w:tr>
      <w:tr>
        <w:trPr/>
        <w:tc>
          <w:tcPr>
            <w:tcW w:w="4892" w:type="dxa"/>
            <w:tcBorders/>
            <w:shd w:fill="CCEEFF" w:val="clear"/>
            <w:vAlign w:val="bottom"/>
          </w:tcPr>
          <w:p>
            <w:pPr>
              <w:pStyle w:val="TableContents"/>
              <w:spacing w:before="0" w:after="0"/>
              <w:ind w:left="0" w:right="0" w:hanging="0"/>
              <w:jc w:val="left"/>
              <w:rPr>
                <w:rFonts w:ascii="helvetica" w:hAnsi="helvetica"/>
                <w:sz w:val="20"/>
              </w:rPr>
            </w:pPr>
            <w:r>
              <w:rPr>
                <w:rFonts w:ascii="helvetica" w:hAnsi="helvetica"/>
                <w:sz w:val="20"/>
              </w:rPr>
              <w:t>Employees - selling, general and administrative</w:t>
            </w:r>
          </w:p>
        </w:tc>
        <w:tc>
          <w:tcPr>
            <w:tcW w:w="10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rFonts w:ascii="helvetica" w:hAnsi="helvetica"/>
                <w:sz w:val="20"/>
              </w:rPr>
            </w:pPr>
            <w:r>
              <w:rPr>
                <w:rFonts w:ascii="helvetica" w:hAnsi="helvetica"/>
                <w:sz w:val="20"/>
              </w:rPr>
              <w:t>$</w:t>
            </w:r>
          </w:p>
        </w:tc>
        <w:tc>
          <w:tcPr>
            <w:tcW w:w="998"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115,634</w:t>
            </w:r>
          </w:p>
        </w:tc>
        <w:tc>
          <w:tcPr>
            <w:tcW w:w="105" w:type="dxa"/>
            <w:tcBorders/>
            <w:shd w:fill="CCEEFF" w:val="clear"/>
            <w:vAlign w:val="bottom"/>
          </w:tcPr>
          <w:p>
            <w:pPr>
              <w:pStyle w:val="TableContents"/>
              <w:spacing w:before="0" w:after="283"/>
              <w:jc w:val="left"/>
              <w:rPr/>
            </w:pPr>
            <w:r>
              <w:rPr/>
              <w:t> </w:t>
            </w:r>
          </w:p>
        </w:tc>
        <w:tc>
          <w:tcPr>
            <w:tcW w:w="10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rFonts w:ascii="helvetica" w:hAnsi="helvetica"/>
                <w:sz w:val="20"/>
              </w:rPr>
            </w:pPr>
            <w:r>
              <w:rPr>
                <w:rFonts w:ascii="helvetica" w:hAnsi="helvetica"/>
                <w:sz w:val="20"/>
              </w:rPr>
              <w:t>$</w:t>
            </w:r>
          </w:p>
        </w:tc>
        <w:tc>
          <w:tcPr>
            <w:tcW w:w="965"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27,059</w:t>
            </w:r>
          </w:p>
        </w:tc>
        <w:tc>
          <w:tcPr>
            <w:tcW w:w="111" w:type="dxa"/>
            <w:tcBorders/>
            <w:shd w:fill="CCEEFF" w:val="clear"/>
            <w:vAlign w:val="bottom"/>
          </w:tcPr>
          <w:p>
            <w:pPr>
              <w:pStyle w:val="TableContents"/>
              <w:spacing w:before="0" w:after="283"/>
              <w:jc w:val="left"/>
              <w:rPr/>
            </w:pPr>
            <w:r>
              <w:rPr/>
              <w:t> </w:t>
            </w:r>
          </w:p>
        </w:tc>
        <w:tc>
          <w:tcPr>
            <w:tcW w:w="10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rFonts w:ascii="helvetica" w:hAnsi="helvetica"/>
                <w:sz w:val="20"/>
              </w:rPr>
            </w:pPr>
            <w:r>
              <w:rPr>
                <w:rFonts w:ascii="helvetica" w:hAnsi="helvetica"/>
                <w:sz w:val="20"/>
              </w:rPr>
              <w:t>$</w:t>
            </w:r>
          </w:p>
        </w:tc>
        <w:tc>
          <w:tcPr>
            <w:tcW w:w="998"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118,224</w:t>
            </w:r>
          </w:p>
        </w:tc>
        <w:tc>
          <w:tcPr>
            <w:tcW w:w="105" w:type="dxa"/>
            <w:tcBorders/>
            <w:shd w:fill="CCEEFF" w:val="clear"/>
            <w:vAlign w:val="bottom"/>
          </w:tcPr>
          <w:p>
            <w:pPr>
              <w:pStyle w:val="TableContents"/>
              <w:spacing w:before="0" w:after="283"/>
              <w:jc w:val="left"/>
              <w:rPr/>
            </w:pPr>
            <w:r>
              <w:rPr/>
              <w:t> </w:t>
            </w:r>
          </w:p>
        </w:tc>
        <w:tc>
          <w:tcPr>
            <w:tcW w:w="10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rFonts w:ascii="helvetica" w:hAnsi="helvetica"/>
                <w:sz w:val="20"/>
              </w:rPr>
            </w:pPr>
            <w:r>
              <w:rPr>
                <w:rFonts w:ascii="helvetica" w:hAnsi="helvetica"/>
                <w:sz w:val="20"/>
              </w:rPr>
              <w:t>$</w:t>
            </w:r>
          </w:p>
        </w:tc>
        <w:tc>
          <w:tcPr>
            <w:tcW w:w="998"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71,918</w:t>
            </w:r>
          </w:p>
        </w:tc>
        <w:tc>
          <w:tcPr>
            <w:tcW w:w="113" w:type="dxa"/>
            <w:tcBorders/>
            <w:shd w:fill="CCEEFF" w:val="clear"/>
            <w:vAlign w:val="bottom"/>
          </w:tcPr>
          <w:p>
            <w:pPr>
              <w:pStyle w:val="TableContents"/>
              <w:spacing w:before="0" w:after="283"/>
              <w:jc w:val="left"/>
              <w:rPr/>
            </w:pPr>
            <w:r>
              <w:rPr/>
              <w:t> </w:t>
            </w:r>
          </w:p>
        </w:tc>
      </w:tr>
      <w:tr>
        <w:trPr/>
        <w:tc>
          <w:tcPr>
            <w:tcW w:w="4892" w:type="dxa"/>
            <w:tcBorders/>
            <w:shd w:fill="FFFFFF" w:val="clear"/>
            <w:vAlign w:val="bottom"/>
          </w:tcPr>
          <w:p>
            <w:pPr>
              <w:pStyle w:val="TableContents"/>
              <w:spacing w:before="0" w:after="0"/>
              <w:ind w:left="0" w:right="0" w:hanging="0"/>
              <w:jc w:val="left"/>
              <w:rPr>
                <w:rFonts w:ascii="helvetica" w:hAnsi="helvetica"/>
                <w:sz w:val="20"/>
              </w:rPr>
            </w:pPr>
            <w:r>
              <w:rPr>
                <w:rFonts w:ascii="helvetica" w:hAnsi="helvetica"/>
                <w:sz w:val="20"/>
              </w:rPr>
              <w:t>Employees - research and development</w:t>
            </w:r>
          </w:p>
        </w:tc>
        <w:tc>
          <w:tcPr>
            <w:tcW w:w="105"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998"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40,866</w:t>
            </w:r>
          </w:p>
        </w:tc>
        <w:tc>
          <w:tcPr>
            <w:tcW w:w="105" w:type="dxa"/>
            <w:tcBorders/>
            <w:shd w:fill="FFFFFF" w:val="clear"/>
            <w:vAlign w:val="bottom"/>
          </w:tcPr>
          <w:p>
            <w:pPr>
              <w:pStyle w:val="TableContents"/>
              <w:spacing w:before="0" w:after="283"/>
              <w:jc w:val="left"/>
              <w:rPr/>
            </w:pPr>
            <w:r>
              <w:rPr/>
              <w:t> </w:t>
            </w:r>
          </w:p>
        </w:tc>
        <w:tc>
          <w:tcPr>
            <w:tcW w:w="105"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965"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19,388</w:t>
            </w:r>
          </w:p>
        </w:tc>
        <w:tc>
          <w:tcPr>
            <w:tcW w:w="111" w:type="dxa"/>
            <w:tcBorders/>
            <w:shd w:fill="FFFFFF" w:val="clear"/>
            <w:vAlign w:val="bottom"/>
          </w:tcPr>
          <w:p>
            <w:pPr>
              <w:pStyle w:val="TableContents"/>
              <w:spacing w:before="0" w:after="283"/>
              <w:jc w:val="left"/>
              <w:rPr/>
            </w:pPr>
            <w:r>
              <w:rPr/>
              <w:t> </w:t>
            </w:r>
          </w:p>
        </w:tc>
        <w:tc>
          <w:tcPr>
            <w:tcW w:w="105"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998"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82,412</w:t>
            </w:r>
          </w:p>
        </w:tc>
        <w:tc>
          <w:tcPr>
            <w:tcW w:w="105" w:type="dxa"/>
            <w:tcBorders/>
            <w:shd w:fill="FFFFFF" w:val="clear"/>
            <w:vAlign w:val="bottom"/>
          </w:tcPr>
          <w:p>
            <w:pPr>
              <w:pStyle w:val="TableContents"/>
              <w:spacing w:before="0" w:after="283"/>
              <w:jc w:val="left"/>
              <w:rPr/>
            </w:pPr>
            <w:r>
              <w:rPr/>
              <w:t> </w:t>
            </w:r>
          </w:p>
        </w:tc>
        <w:tc>
          <w:tcPr>
            <w:tcW w:w="105"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998"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37,754</w:t>
            </w:r>
          </w:p>
        </w:tc>
        <w:tc>
          <w:tcPr>
            <w:tcW w:w="113" w:type="dxa"/>
            <w:tcBorders/>
            <w:shd w:fill="FFFFFF" w:val="clear"/>
            <w:vAlign w:val="bottom"/>
          </w:tcPr>
          <w:p>
            <w:pPr>
              <w:pStyle w:val="TableContents"/>
              <w:spacing w:before="0" w:after="283"/>
              <w:jc w:val="left"/>
              <w:rPr/>
            </w:pPr>
            <w:r>
              <w:rPr/>
              <w:t> </w:t>
            </w:r>
          </w:p>
        </w:tc>
      </w:tr>
      <w:tr>
        <w:trPr/>
        <w:tc>
          <w:tcPr>
            <w:tcW w:w="4892" w:type="dxa"/>
            <w:tcBorders/>
            <w:shd w:fill="CCEEFF" w:val="clear"/>
            <w:vAlign w:val="bottom"/>
          </w:tcPr>
          <w:p>
            <w:pPr>
              <w:pStyle w:val="TableContents"/>
              <w:spacing w:before="0" w:after="0"/>
              <w:ind w:left="0" w:right="0" w:hanging="0"/>
              <w:jc w:val="left"/>
              <w:rPr>
                <w:rFonts w:ascii="helvetica" w:hAnsi="helvetica"/>
                <w:sz w:val="20"/>
              </w:rPr>
            </w:pPr>
            <w:r>
              <w:rPr>
                <w:rFonts w:ascii="helvetica" w:hAnsi="helvetica"/>
                <w:sz w:val="20"/>
              </w:rPr>
              <w:t>Directors - selling, general and administrative</w:t>
            </w:r>
          </w:p>
        </w:tc>
        <w:tc>
          <w:tcPr>
            <w:tcW w:w="10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998"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493,047</w:t>
            </w:r>
          </w:p>
        </w:tc>
        <w:tc>
          <w:tcPr>
            <w:tcW w:w="105" w:type="dxa"/>
            <w:tcBorders/>
            <w:shd w:fill="CCEEFF" w:val="clear"/>
            <w:vAlign w:val="bottom"/>
          </w:tcPr>
          <w:p>
            <w:pPr>
              <w:pStyle w:val="TableContents"/>
              <w:spacing w:before="0" w:after="283"/>
              <w:jc w:val="left"/>
              <w:rPr/>
            </w:pPr>
            <w:r>
              <w:rPr/>
              <w:t> </w:t>
            </w:r>
          </w:p>
        </w:tc>
        <w:tc>
          <w:tcPr>
            <w:tcW w:w="10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965"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(404</w:t>
            </w:r>
          </w:p>
        </w:tc>
        <w:tc>
          <w:tcPr>
            <w:tcW w:w="111" w:type="dxa"/>
            <w:tcBorders/>
            <w:shd w:fill="CCEEFF" w:val="clear"/>
            <w:vAlign w:val="bottom"/>
          </w:tcPr>
          <w:p>
            <w:pPr>
              <w:pStyle w:val="TableContents"/>
              <w:spacing w:before="0" w:after="283"/>
              <w:jc w:val="left"/>
              <w:rPr>
                <w:rFonts w:ascii="helvetica" w:hAnsi="helvetica"/>
                <w:sz w:val="20"/>
              </w:rPr>
            </w:pPr>
            <w:r>
              <w:rPr>
                <w:rFonts w:ascii="helvetica" w:hAnsi="helvetica"/>
                <w:sz w:val="20"/>
              </w:rPr>
              <w:t>)</w:t>
            </w:r>
          </w:p>
        </w:tc>
        <w:tc>
          <w:tcPr>
            <w:tcW w:w="10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998"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567,415</w:t>
            </w:r>
          </w:p>
        </w:tc>
        <w:tc>
          <w:tcPr>
            <w:tcW w:w="105" w:type="dxa"/>
            <w:tcBorders/>
            <w:shd w:fill="CCEEFF" w:val="clear"/>
            <w:vAlign w:val="bottom"/>
          </w:tcPr>
          <w:p>
            <w:pPr>
              <w:pStyle w:val="TableContents"/>
              <w:spacing w:before="0" w:after="283"/>
              <w:jc w:val="left"/>
              <w:rPr/>
            </w:pPr>
            <w:r>
              <w:rPr/>
              <w:t> </w:t>
            </w:r>
          </w:p>
        </w:tc>
        <w:tc>
          <w:tcPr>
            <w:tcW w:w="10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998"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2,692</w:t>
            </w:r>
          </w:p>
        </w:tc>
        <w:tc>
          <w:tcPr>
            <w:tcW w:w="113" w:type="dxa"/>
            <w:tcBorders/>
            <w:shd w:fill="CCEEFF" w:val="clear"/>
            <w:vAlign w:val="bottom"/>
          </w:tcPr>
          <w:p>
            <w:pPr>
              <w:pStyle w:val="TableContents"/>
              <w:spacing w:before="0" w:after="283"/>
              <w:jc w:val="left"/>
              <w:rPr/>
            </w:pPr>
            <w:r>
              <w:rPr/>
              <w:t> </w:t>
            </w:r>
          </w:p>
        </w:tc>
      </w:tr>
      <w:tr>
        <w:trPr/>
        <w:tc>
          <w:tcPr>
            <w:tcW w:w="4892" w:type="dxa"/>
            <w:tcBorders/>
            <w:shd w:fill="FFFFFF" w:val="clear"/>
            <w:vAlign w:val="bottom"/>
          </w:tcPr>
          <w:p>
            <w:pPr>
              <w:pStyle w:val="TableContents"/>
              <w:spacing w:before="0" w:after="0"/>
              <w:ind w:left="0" w:right="0" w:hanging="0"/>
              <w:jc w:val="left"/>
              <w:rPr>
                <w:rFonts w:ascii="helvetica" w:hAnsi="helvetica"/>
                <w:sz w:val="20"/>
              </w:rPr>
            </w:pPr>
            <w:r>
              <w:rPr>
                <w:rFonts w:ascii="helvetica" w:hAnsi="helvetica"/>
                <w:sz w:val="20"/>
              </w:rPr>
              <w:t>Consultants - selling, general and administrative</w:t>
            </w:r>
          </w:p>
        </w:tc>
        <w:tc>
          <w:tcPr>
            <w:tcW w:w="105" w:type="dxa"/>
            <w:tcBorders/>
            <w:shd w:fill="FFFFFF" w:val="clear"/>
            <w:vAlign w:val="bottom"/>
          </w:tcPr>
          <w:p>
            <w:pPr>
              <w:pStyle w:val="TableContents"/>
              <w:spacing w:before="0" w:after="283"/>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998" w:type="dxa"/>
            <w:tcBorders>
              <w:bottom w:val="single" w:sz="12" w:space="0" w:color="000000"/>
            </w:tcBorders>
            <w:shd w:fill="FFFF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79,987</w:t>
            </w:r>
          </w:p>
        </w:tc>
        <w:tc>
          <w:tcPr>
            <w:tcW w:w="105" w:type="dxa"/>
            <w:tcBorders/>
            <w:shd w:fill="FFFFFF" w:val="clear"/>
            <w:vAlign w:val="bottom"/>
          </w:tcPr>
          <w:p>
            <w:pPr>
              <w:pStyle w:val="TableContents"/>
              <w:spacing w:before="0" w:after="283"/>
              <w:jc w:val="left"/>
              <w:rPr/>
            </w:pPr>
            <w:r>
              <w:rPr/>
              <w:t> </w:t>
            </w:r>
          </w:p>
        </w:tc>
        <w:tc>
          <w:tcPr>
            <w:tcW w:w="105" w:type="dxa"/>
            <w:tcBorders/>
            <w:shd w:fill="FFFFFF" w:val="clear"/>
            <w:vAlign w:val="bottom"/>
          </w:tcPr>
          <w:p>
            <w:pPr>
              <w:pStyle w:val="TableContents"/>
              <w:spacing w:before="0" w:after="283"/>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965" w:type="dxa"/>
            <w:tcBorders>
              <w:bottom w:val="single" w:sz="12" w:space="0" w:color="000000"/>
            </w:tcBorders>
            <w:shd w:fill="FFFF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w:t>
            </w:r>
          </w:p>
        </w:tc>
        <w:tc>
          <w:tcPr>
            <w:tcW w:w="111" w:type="dxa"/>
            <w:tcBorders/>
            <w:shd w:fill="FFFFFF" w:val="clear"/>
            <w:vAlign w:val="bottom"/>
          </w:tcPr>
          <w:p>
            <w:pPr>
              <w:pStyle w:val="TableContents"/>
              <w:spacing w:before="0" w:after="283"/>
              <w:jc w:val="left"/>
              <w:rPr/>
            </w:pPr>
            <w:r>
              <w:rPr/>
              <w:t> </w:t>
            </w:r>
          </w:p>
        </w:tc>
        <w:tc>
          <w:tcPr>
            <w:tcW w:w="105" w:type="dxa"/>
            <w:tcBorders/>
            <w:shd w:fill="FFFFFF" w:val="clear"/>
            <w:vAlign w:val="bottom"/>
          </w:tcPr>
          <w:p>
            <w:pPr>
              <w:pStyle w:val="TableContents"/>
              <w:spacing w:before="0" w:after="283"/>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998" w:type="dxa"/>
            <w:tcBorders>
              <w:bottom w:val="single" w:sz="12" w:space="0" w:color="000000"/>
            </w:tcBorders>
            <w:shd w:fill="FFFF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79,987</w:t>
            </w:r>
          </w:p>
        </w:tc>
        <w:tc>
          <w:tcPr>
            <w:tcW w:w="105" w:type="dxa"/>
            <w:tcBorders/>
            <w:shd w:fill="FFFFFF" w:val="clear"/>
            <w:vAlign w:val="bottom"/>
          </w:tcPr>
          <w:p>
            <w:pPr>
              <w:pStyle w:val="TableContents"/>
              <w:spacing w:before="0" w:after="283"/>
              <w:jc w:val="left"/>
              <w:rPr/>
            </w:pPr>
            <w:r>
              <w:rPr/>
              <w:t> </w:t>
            </w:r>
          </w:p>
        </w:tc>
        <w:tc>
          <w:tcPr>
            <w:tcW w:w="105" w:type="dxa"/>
            <w:tcBorders/>
            <w:shd w:fill="FFFFFF" w:val="clear"/>
            <w:vAlign w:val="bottom"/>
          </w:tcPr>
          <w:p>
            <w:pPr>
              <w:pStyle w:val="TableContents"/>
              <w:spacing w:before="0" w:after="283"/>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998" w:type="dxa"/>
            <w:tcBorders>
              <w:bottom w:val="single" w:sz="12" w:space="0" w:color="000000"/>
            </w:tcBorders>
            <w:shd w:fill="FFFF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w:t>
            </w:r>
          </w:p>
        </w:tc>
        <w:tc>
          <w:tcPr>
            <w:tcW w:w="113" w:type="dxa"/>
            <w:tcBorders/>
            <w:shd w:fill="FFFFFF" w:val="clear"/>
            <w:vAlign w:val="bottom"/>
          </w:tcPr>
          <w:p>
            <w:pPr>
              <w:pStyle w:val="TableContents"/>
              <w:spacing w:before="0" w:after="283"/>
              <w:jc w:val="left"/>
              <w:rPr/>
            </w:pPr>
            <w:r>
              <w:rPr/>
              <w:t> </w:t>
            </w:r>
          </w:p>
        </w:tc>
      </w:tr>
      <w:tr>
        <w:trPr/>
        <w:tc>
          <w:tcPr>
            <w:tcW w:w="4892" w:type="dxa"/>
            <w:tcBorders/>
            <w:shd w:fill="CCEEFF" w:val="clear"/>
            <w:vAlign w:val="bottom"/>
          </w:tcPr>
          <w:p>
            <w:pPr>
              <w:pStyle w:val="TableContents"/>
              <w:spacing w:before="0" w:after="0"/>
              <w:ind w:left="0" w:right="0" w:hanging="0"/>
              <w:jc w:val="right"/>
              <w:rPr>
                <w:rFonts w:ascii="helvetica" w:hAnsi="helvetica"/>
                <w:sz w:val="20"/>
              </w:rPr>
            </w:pPr>
            <w:r>
              <w:rPr>
                <w:rFonts w:ascii="helvetica" w:hAnsi="helvetica"/>
                <w:sz w:val="20"/>
              </w:rPr>
              <w:t>Total</w:t>
            </w:r>
          </w:p>
        </w:tc>
        <w:tc>
          <w:tcPr>
            <w:tcW w:w="105" w:type="dxa"/>
            <w:tcBorders/>
            <w:shd w:fill="CCEEFF" w:val="clear"/>
            <w:vAlign w:val="bottom"/>
          </w:tcPr>
          <w:p>
            <w:pPr>
              <w:pStyle w:val="TableContents"/>
              <w:spacing w:before="0" w:after="283"/>
              <w:rPr/>
            </w:pPr>
            <w:r>
              <w:rPr/>
              <w:t> </w:t>
            </w:r>
          </w:p>
        </w:tc>
        <w:tc>
          <w:tcPr>
            <w:tcW w:w="125" w:type="dxa"/>
            <w:tcBorders>
              <w:bottom w:val="double" w:sz="8" w:space="0" w:color="000000"/>
            </w:tcBorders>
            <w:shd w:fill="CCEEFF" w:val="clear"/>
            <w:tcMar>
              <w:bottom w:w="28" w:type="dxa"/>
            </w:tcMar>
            <w:vAlign w:val="bottom"/>
          </w:tcPr>
          <w:p>
            <w:pPr>
              <w:pStyle w:val="TableContents"/>
              <w:spacing w:before="0" w:after="283"/>
              <w:jc w:val="left"/>
              <w:rPr>
                <w:rFonts w:ascii="helvetica" w:hAnsi="helvetica"/>
                <w:sz w:val="20"/>
              </w:rPr>
            </w:pPr>
            <w:r>
              <w:rPr>
                <w:rFonts w:ascii="helvetica" w:hAnsi="helvetica"/>
                <w:sz w:val="20"/>
              </w:rPr>
              <w:t>$</w:t>
            </w:r>
          </w:p>
        </w:tc>
        <w:tc>
          <w:tcPr>
            <w:tcW w:w="998" w:type="dxa"/>
            <w:tcBorders>
              <w:bottom w:val="double" w:sz="8" w:space="0" w:color="000000"/>
            </w:tcBorders>
            <w:shd w:fill="CCEE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729,534</w:t>
            </w:r>
          </w:p>
        </w:tc>
        <w:tc>
          <w:tcPr>
            <w:tcW w:w="105" w:type="dxa"/>
            <w:tcBorders/>
            <w:shd w:fill="CCEEFF" w:val="clear"/>
            <w:vAlign w:val="bottom"/>
          </w:tcPr>
          <w:p>
            <w:pPr>
              <w:pStyle w:val="TableContents"/>
              <w:spacing w:before="0" w:after="283"/>
              <w:jc w:val="left"/>
              <w:rPr/>
            </w:pPr>
            <w:r>
              <w:rPr/>
              <w:t> </w:t>
            </w:r>
          </w:p>
        </w:tc>
        <w:tc>
          <w:tcPr>
            <w:tcW w:w="105" w:type="dxa"/>
            <w:tcBorders/>
            <w:shd w:fill="CCEEFF" w:val="clear"/>
            <w:vAlign w:val="bottom"/>
          </w:tcPr>
          <w:p>
            <w:pPr>
              <w:pStyle w:val="TableContents"/>
              <w:spacing w:before="0" w:after="283"/>
              <w:rPr/>
            </w:pPr>
            <w:r>
              <w:rPr/>
              <w:t> </w:t>
            </w:r>
          </w:p>
        </w:tc>
        <w:tc>
          <w:tcPr>
            <w:tcW w:w="125" w:type="dxa"/>
            <w:tcBorders>
              <w:bottom w:val="double" w:sz="8" w:space="0" w:color="000000"/>
            </w:tcBorders>
            <w:shd w:fill="CCEEFF" w:val="clear"/>
            <w:tcMar>
              <w:bottom w:w="28" w:type="dxa"/>
            </w:tcMar>
            <w:vAlign w:val="bottom"/>
          </w:tcPr>
          <w:p>
            <w:pPr>
              <w:pStyle w:val="TableContents"/>
              <w:spacing w:before="0" w:after="283"/>
              <w:jc w:val="left"/>
              <w:rPr>
                <w:rFonts w:ascii="helvetica" w:hAnsi="helvetica"/>
                <w:sz w:val="20"/>
              </w:rPr>
            </w:pPr>
            <w:r>
              <w:rPr>
                <w:rFonts w:ascii="helvetica" w:hAnsi="helvetica"/>
                <w:sz w:val="20"/>
              </w:rPr>
              <w:t>$</w:t>
            </w:r>
          </w:p>
        </w:tc>
        <w:tc>
          <w:tcPr>
            <w:tcW w:w="965" w:type="dxa"/>
            <w:tcBorders>
              <w:bottom w:val="double" w:sz="8" w:space="0" w:color="000000"/>
            </w:tcBorders>
            <w:shd w:fill="CCEE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46,043</w:t>
            </w:r>
          </w:p>
        </w:tc>
        <w:tc>
          <w:tcPr>
            <w:tcW w:w="111" w:type="dxa"/>
            <w:tcBorders/>
            <w:shd w:fill="CCEEFF" w:val="clear"/>
            <w:vAlign w:val="bottom"/>
          </w:tcPr>
          <w:p>
            <w:pPr>
              <w:pStyle w:val="TableContents"/>
              <w:spacing w:before="0" w:after="283"/>
              <w:jc w:val="left"/>
              <w:rPr/>
            </w:pPr>
            <w:r>
              <w:rPr/>
              <w:t> </w:t>
            </w:r>
          </w:p>
        </w:tc>
        <w:tc>
          <w:tcPr>
            <w:tcW w:w="105" w:type="dxa"/>
            <w:tcBorders/>
            <w:shd w:fill="CCEEFF" w:val="clear"/>
            <w:vAlign w:val="bottom"/>
          </w:tcPr>
          <w:p>
            <w:pPr>
              <w:pStyle w:val="TableContents"/>
              <w:spacing w:before="0" w:after="283"/>
              <w:rPr/>
            </w:pPr>
            <w:r>
              <w:rPr/>
              <w:t> </w:t>
            </w:r>
          </w:p>
        </w:tc>
        <w:tc>
          <w:tcPr>
            <w:tcW w:w="125" w:type="dxa"/>
            <w:tcBorders>
              <w:bottom w:val="double" w:sz="8" w:space="0" w:color="000000"/>
            </w:tcBorders>
            <w:shd w:fill="CCEEFF" w:val="clear"/>
            <w:tcMar>
              <w:bottom w:w="28" w:type="dxa"/>
            </w:tcMar>
            <w:vAlign w:val="bottom"/>
          </w:tcPr>
          <w:p>
            <w:pPr>
              <w:pStyle w:val="TableContents"/>
              <w:spacing w:before="0" w:after="283"/>
              <w:jc w:val="left"/>
              <w:rPr>
                <w:rFonts w:ascii="helvetica" w:hAnsi="helvetica"/>
                <w:sz w:val="20"/>
              </w:rPr>
            </w:pPr>
            <w:r>
              <w:rPr>
                <w:rFonts w:ascii="helvetica" w:hAnsi="helvetica"/>
                <w:sz w:val="20"/>
              </w:rPr>
              <w:t>$</w:t>
            </w:r>
          </w:p>
        </w:tc>
        <w:tc>
          <w:tcPr>
            <w:tcW w:w="998" w:type="dxa"/>
            <w:tcBorders>
              <w:bottom w:val="double" w:sz="8" w:space="0" w:color="000000"/>
            </w:tcBorders>
            <w:shd w:fill="CCEE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848,038</w:t>
            </w:r>
          </w:p>
        </w:tc>
        <w:tc>
          <w:tcPr>
            <w:tcW w:w="105" w:type="dxa"/>
            <w:tcBorders/>
            <w:shd w:fill="CCEEFF" w:val="clear"/>
            <w:vAlign w:val="bottom"/>
          </w:tcPr>
          <w:p>
            <w:pPr>
              <w:pStyle w:val="TableContents"/>
              <w:spacing w:before="0" w:after="283"/>
              <w:jc w:val="left"/>
              <w:rPr/>
            </w:pPr>
            <w:r>
              <w:rPr/>
              <w:t> </w:t>
            </w:r>
          </w:p>
        </w:tc>
        <w:tc>
          <w:tcPr>
            <w:tcW w:w="105" w:type="dxa"/>
            <w:tcBorders/>
            <w:shd w:fill="CCEEFF" w:val="clear"/>
            <w:vAlign w:val="bottom"/>
          </w:tcPr>
          <w:p>
            <w:pPr>
              <w:pStyle w:val="TableContents"/>
              <w:spacing w:before="0" w:after="283"/>
              <w:rPr/>
            </w:pPr>
            <w:r>
              <w:rPr/>
              <w:t> </w:t>
            </w:r>
          </w:p>
        </w:tc>
        <w:tc>
          <w:tcPr>
            <w:tcW w:w="125" w:type="dxa"/>
            <w:tcBorders>
              <w:bottom w:val="double" w:sz="8" w:space="0" w:color="000000"/>
            </w:tcBorders>
            <w:shd w:fill="CCEEFF" w:val="clear"/>
            <w:tcMar>
              <w:bottom w:w="28" w:type="dxa"/>
            </w:tcMar>
            <w:vAlign w:val="bottom"/>
          </w:tcPr>
          <w:p>
            <w:pPr>
              <w:pStyle w:val="TableContents"/>
              <w:spacing w:before="0" w:after="283"/>
              <w:jc w:val="left"/>
              <w:rPr>
                <w:rFonts w:ascii="helvetica" w:hAnsi="helvetica"/>
                <w:sz w:val="20"/>
              </w:rPr>
            </w:pPr>
            <w:r>
              <w:rPr>
                <w:rFonts w:ascii="helvetica" w:hAnsi="helvetica"/>
                <w:sz w:val="20"/>
              </w:rPr>
              <w:t>$</w:t>
            </w:r>
          </w:p>
        </w:tc>
        <w:tc>
          <w:tcPr>
            <w:tcW w:w="998" w:type="dxa"/>
            <w:tcBorders>
              <w:bottom w:val="double" w:sz="8" w:space="0" w:color="000000"/>
            </w:tcBorders>
            <w:shd w:fill="CCEE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112,364</w:t>
            </w:r>
          </w:p>
        </w:tc>
        <w:tc>
          <w:tcPr>
            <w:tcW w:w="113" w:type="dxa"/>
            <w:tcBorders/>
            <w:shd w:fill="CCEEFF" w:val="clear"/>
            <w:vAlign w:val="bottom"/>
          </w:tcPr>
          <w:p>
            <w:pPr>
              <w:pStyle w:val="TableContents"/>
              <w:spacing w:before="0" w:after="283"/>
              <w:jc w:val="left"/>
              <w:rPr/>
            </w:pPr>
            <w:r>
              <w:rPr/>
              <w:t> </w:t>
            </w:r>
          </w:p>
        </w:tc>
      </w:tr>
    </w:tbl>
    <w:p>
      <w:pPr>
        <w:pStyle w:val="TextBody"/>
        <w:spacing w:before="0" w:after="0"/>
        <w:ind w:left="0" w:right="0" w:hanging="0"/>
        <w:rPr/>
      </w:pPr>
      <w:r>
        <w:rPr/>
        <w:t> </w:t>
      </w:r>
    </w:p>
    <w:p>
      <w:pPr>
        <w:pStyle w:val="TextBody"/>
        <w:spacing w:before="0" w:after="0"/>
        <w:ind w:left="0" w:right="0" w:hanging="0"/>
        <w:jc w:val="left"/>
        <w:rPr>
          <w:rFonts w:ascii="helvetica" w:hAnsi="helvetica"/>
          <w:b/>
          <w:sz w:val="20"/>
        </w:rPr>
      </w:pPr>
      <w:r>
        <w:rPr>
          <w:rFonts w:ascii="helvetica" w:hAnsi="helvetica"/>
          <w:b/>
          <w:sz w:val="20"/>
        </w:rPr>
        <w:t>Basic and Diluted Loss per Common Share</w:t>
      </w:r>
    </w:p>
    <w:p>
      <w:pPr>
        <w:pStyle w:val="TextBody"/>
        <w:spacing w:before="0" w:after="0"/>
        <w:ind w:left="0" w:right="0" w:hanging="0"/>
        <w:jc w:val="both"/>
        <w:rPr/>
      </w:pPr>
      <w:r>
        <w:rPr/>
        <w:t> </w:t>
      </w:r>
    </w:p>
    <w:p>
      <w:pPr>
        <w:pStyle w:val="TextBody"/>
        <w:spacing w:before="0" w:after="0"/>
        <w:ind w:left="0" w:right="0" w:hanging="0"/>
        <w:jc w:val="both"/>
        <w:rPr>
          <w:rFonts w:ascii="helvetica" w:hAnsi="helvetica"/>
          <w:sz w:val="20"/>
        </w:rPr>
      </w:pPr>
      <w:r>
        <w:rPr>
          <w:rFonts w:ascii="helvetica" w:hAnsi="helvetica"/>
          <w:sz w:val="20"/>
        </w:rPr>
        <w:t>Basic net loss per common share is computed by dividing net loss attributable to common stockholders for the period by the weighted average number of common shares outstanding during the period.  Diluted net loss per share is computed by dividing the net loss attributable to common stockholders for the period by the weighted average number of common and common equivalent shares, such as stock options and warrants outstanding during the period.</w:t>
      </w:r>
    </w:p>
    <w:p>
      <w:pPr>
        <w:pStyle w:val="TextBody"/>
        <w:spacing w:before="0" w:after="0"/>
        <w:ind w:left="0" w:right="0" w:hanging="0"/>
        <w:rPr/>
      </w:pPr>
      <w:r>
        <w:rPr/>
        <w:t> </w:t>
      </w:r>
    </w:p>
    <w:p>
      <w:pPr>
        <w:pStyle w:val="TextBody"/>
        <w:spacing w:before="0" w:after="0"/>
        <w:ind w:left="0" w:right="0" w:hanging="0"/>
        <w:jc w:val="both"/>
        <w:rPr>
          <w:rFonts w:ascii="helvetica" w:hAnsi="helvetica"/>
          <w:sz w:val="20"/>
        </w:rPr>
      </w:pPr>
      <w:r>
        <w:rPr>
          <w:rFonts w:ascii="helvetica" w:hAnsi="helvetica"/>
          <w:sz w:val="20"/>
        </w:rPr>
        <w:t>Basic and diluted net loss applicable to common stock per share is computed using the weighted average number of common shares outstanding during the period. Common stock equivalents (prior to application of the treasury stock or, “if converted” method) from convertible notes, preferred stock, stock options and warrants were 7,384,933 and 437,233 at June 30, 2012 and 2011, respectively, and are excluded from the calculation of diluted net loss per share for all periods presented because the effect is anti-dilutive.</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966" w:name="PGBRK79"/>
      <w:bookmarkStart w:id="967" w:name="PGBRK79"/>
      <w:bookmarkEnd w:id="96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968" w:name="FTR79"/>
      <w:bookmarkStart w:id="969" w:name="FTR79"/>
      <w:bookmarkEnd w:id="96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970" w:name="GLFTR78"/>
      <w:bookmarkEnd w:id="970"/>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helvetica" w:hAnsi="helvetica"/>
          <w:sz w:val="20"/>
        </w:rPr>
      </w:pPr>
      <w:bookmarkStart w:id="971" w:name="PN78"/>
      <w:bookmarkEnd w:id="971"/>
      <w:r>
        <w:rPr>
          <w:rFonts w:ascii="helvetica" w:hAnsi="helvetica"/>
          <w:sz w:val="20"/>
        </w:rPr>
        <w:t>F-8</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972" w:name="HDR78"/>
      <w:bookmarkStart w:id="973" w:name="HDR78"/>
      <w:bookmarkEnd w:id="97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974" w:name="GLHDR78"/>
      <w:bookmarkEnd w:id="974"/>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pPr>
      <w:r>
        <w:rPr/>
        <w:t> </w:t>
      </w:r>
    </w:p>
    <w:p>
      <w:pPr>
        <w:pStyle w:val="TextBody"/>
        <w:spacing w:before="0" w:after="0"/>
        <w:ind w:left="0" w:right="0" w:hanging="0"/>
        <w:jc w:val="both"/>
        <w:rPr>
          <w:rFonts w:ascii="helvetica" w:hAnsi="helvetica"/>
          <w:b/>
          <w:sz w:val="20"/>
        </w:rPr>
      </w:pPr>
      <w:r>
        <w:rPr>
          <w:rFonts w:ascii="helvetica" w:hAnsi="helvetica"/>
          <w:b/>
          <w:sz w:val="20"/>
        </w:rPr>
        <w:t>Use of Estimates</w:t>
      </w:r>
    </w:p>
    <w:p>
      <w:pPr>
        <w:pStyle w:val="TextBody"/>
        <w:spacing w:before="0" w:after="0"/>
        <w:ind w:left="0" w:right="0" w:hanging="0"/>
        <w:rPr/>
      </w:pPr>
      <w:r>
        <w:rPr/>
        <w:t> </w:t>
      </w:r>
    </w:p>
    <w:p>
      <w:pPr>
        <w:pStyle w:val="TextBody"/>
        <w:spacing w:before="0" w:after="0"/>
        <w:ind w:left="0" w:right="0" w:hanging="0"/>
        <w:jc w:val="both"/>
        <w:rPr>
          <w:rFonts w:ascii="helvetica" w:hAnsi="helvetica"/>
          <w:sz w:val="20"/>
        </w:rPr>
      </w:pPr>
      <w:r>
        <w:rPr>
          <w:rFonts w:ascii="helvetica" w:hAnsi="helvetica"/>
          <w:sz w:val="20"/>
        </w:rPr>
        <w:t>The preparation of financial statements in conformity with GAAP requires management to make estimates and judgments that affect the reported amounts of assets, liabilities and disclosure of contingent assets and liabilities at the date of the financial statements and reported amounts of revenues and expenses during the reporting periods. Significant estimates made by management are, among others, the valuation of contributed services, stock options, deferred taxes and stock-based compensation issued to employees and non-employees. Actual results could differ from those estimates.</w:t>
      </w:r>
    </w:p>
    <w:p>
      <w:pPr>
        <w:pStyle w:val="TextBody"/>
        <w:spacing w:before="0" w:after="0"/>
        <w:jc w:val="both"/>
        <w:rPr/>
      </w:pPr>
      <w:r>
        <w:rPr/>
      </w:r>
    </w:p>
    <w:p>
      <w:pPr>
        <w:pStyle w:val="TextBody"/>
        <w:spacing w:before="0" w:after="0"/>
        <w:ind w:left="0" w:right="0" w:hanging="0"/>
        <w:jc w:val="left"/>
        <w:rPr>
          <w:rFonts w:ascii="helvetica" w:hAnsi="helvetica"/>
          <w:b/>
          <w:sz w:val="20"/>
        </w:rPr>
      </w:pPr>
      <w:r>
        <w:rPr>
          <w:rFonts w:ascii="helvetica" w:hAnsi="helvetica"/>
          <w:b/>
          <w:sz w:val="20"/>
        </w:rPr>
        <w:t>Unaudited Pro Forma Stockholders’ Equity</w:t>
      </w:r>
    </w:p>
    <w:p>
      <w:pPr>
        <w:pStyle w:val="TextBody"/>
        <w:spacing w:before="0" w:after="0"/>
        <w:ind w:left="0" w:right="0" w:hanging="0"/>
        <w:rPr/>
      </w:pPr>
      <w:r>
        <w:rPr/>
        <w:t> </w:t>
      </w:r>
    </w:p>
    <w:p>
      <w:pPr>
        <w:pStyle w:val="TextBody"/>
        <w:spacing w:before="0" w:after="0"/>
        <w:ind w:left="0" w:right="0" w:hanging="0"/>
        <w:jc w:val="left"/>
        <w:rPr>
          <w:rFonts w:ascii="helvetica" w:hAnsi="helvetica"/>
          <w:b w:val="false"/>
          <w:sz w:val="20"/>
        </w:rPr>
      </w:pPr>
      <w:r>
        <w:rPr>
          <w:rFonts w:ascii="helvetica" w:hAnsi="helvetica"/>
          <w:b w:val="false"/>
          <w:sz w:val="20"/>
        </w:rPr>
        <w:t>The Company has filed a registration statement on Form S-1 with the U.S. Securities and Exchange Commission in connection with a proposed public offering of its securities. If the offering contemplated by this registration statement is consummated, and the Company raises sufficient equity to meet the listing requirements of the NASDAQ Capital Market, the Company will effect a 1-for-5 reverse stock split of its common stock after the effectiveness of the registration statement and prior to the closing of the offering. The unaudited pro forma consolidated balance sheet as of June 30, 2012 gives effect to the assumed reverse stock split.</w:t>
      </w:r>
    </w:p>
    <w:p>
      <w:pPr>
        <w:pStyle w:val="TextBody"/>
        <w:spacing w:before="0" w:after="0"/>
        <w:ind w:left="0" w:right="0" w:hanging="0"/>
        <w:rPr/>
      </w:pPr>
      <w:r>
        <w:rPr/>
        <w:t> </w:t>
      </w:r>
    </w:p>
    <w:p>
      <w:pPr>
        <w:pStyle w:val="TextBody"/>
        <w:spacing w:before="0" w:after="0"/>
        <w:ind w:left="0" w:right="0" w:hanging="0"/>
        <w:jc w:val="left"/>
        <w:rPr>
          <w:rFonts w:ascii="helvetica" w:hAnsi="helvetica"/>
          <w:b w:val="false"/>
          <w:sz w:val="20"/>
        </w:rPr>
      </w:pPr>
      <w:r>
        <w:rPr>
          <w:rFonts w:ascii="helvetica" w:hAnsi="helvetica"/>
          <w:b w:val="false"/>
          <w:sz w:val="20"/>
        </w:rPr>
        <w:t>Since the 1-for-5 reverse stock split is to be effected after the effectiveness of the registration statement, the historical share information included in the accompanying consolidated financial statements and notes hereto do not assume the reverse stock split, and accordingly, have not been adjusted.</w:t>
      </w:r>
    </w:p>
    <w:p>
      <w:pPr>
        <w:pStyle w:val="TextBody"/>
        <w:spacing w:before="0" w:after="0"/>
        <w:rPr/>
      </w:pPr>
      <w:r>
        <w:rPr/>
        <w:t> </w:t>
      </w:r>
    </w:p>
    <w:p>
      <w:pPr>
        <w:pStyle w:val="TextBody"/>
        <w:spacing w:before="0" w:after="0"/>
        <w:rPr>
          <w:rFonts w:ascii="helvetica" w:hAnsi="helvetica"/>
          <w:b/>
          <w:sz w:val="20"/>
        </w:rPr>
      </w:pPr>
      <w:r>
        <w:rPr>
          <w:rFonts w:ascii="helvetica" w:hAnsi="helvetica"/>
          <w:b/>
          <w:sz w:val="20"/>
        </w:rPr>
        <w:t>NOTE 2.  GOING CONCERN</w:t>
      </w:r>
    </w:p>
    <w:p>
      <w:pPr>
        <w:pStyle w:val="TextBody"/>
        <w:spacing w:before="0" w:after="0"/>
        <w:ind w:left="0" w:right="0" w:hanging="0"/>
        <w:rPr/>
      </w:pPr>
      <w:r>
        <w:rPr/>
        <w:t> </w:t>
      </w:r>
    </w:p>
    <w:p>
      <w:pPr>
        <w:pStyle w:val="TextBody"/>
        <w:spacing w:before="0" w:after="0"/>
        <w:ind w:left="0" w:right="0" w:hanging="0"/>
        <w:jc w:val="both"/>
        <w:rPr>
          <w:rFonts w:ascii="helvetica" w:hAnsi="helvetica"/>
          <w:sz w:val="20"/>
        </w:rPr>
      </w:pPr>
      <w:r>
        <w:rPr>
          <w:rFonts w:ascii="helvetica" w:hAnsi="helvetica"/>
          <w:sz w:val="20"/>
        </w:rPr>
        <w:t>The accompanying unaudited condensed consolidated financial statements have been prepared on a going-concern basis, which contemplates the realization of assets and the satisfaction of liabilities in the normal course of business. The Company has incurred recurring operating losses, had negative operating cash flows and has not recognized any significant revenues since July 24, 1998 (inception). In addition, the Company has a deficit accumulated during the development stage of approximately $21.4 million at June 30, 2012. These factors raise substantial doubt about the Company’s ability to continue as a going concern.</w:t>
      </w:r>
    </w:p>
    <w:p>
      <w:pPr>
        <w:pStyle w:val="TextBody"/>
        <w:spacing w:before="0" w:after="0"/>
        <w:ind w:left="0" w:right="0" w:hanging="0"/>
        <w:jc w:val="both"/>
        <w:rPr>
          <w:rFonts w:ascii="Helvetica" w:hAnsi="Helvetica"/>
          <w:sz w:val="20"/>
        </w:rPr>
      </w:pPr>
      <w:r>
        <w:rPr>
          <w:rFonts w:ascii="Helvetica" w:hAnsi="Helvetica"/>
          <w:sz w:val="20"/>
        </w:rPr>
        <w:br/>
      </w:r>
      <w:r>
        <w:rPr>
          <w:rFonts w:ascii="helvetica" w:hAnsi="helvetica"/>
          <w:sz w:val="20"/>
        </w:rPr>
        <w:t>The Company’s continuation as a going concern is dependent on its ability to obtain additional financing to fund operations, implement its business model, and ultimately, to attain profitable operations.  In order to execute the second Phase 3 clinical trial and other supportive safety studies for Impracor (formerly referred to as Ketotransdel), which are required by the U.S. Food and Drug Administration (“FDA”) to obtain final regulatory approval for Impracor, the Company will need to secure additional funds through various means, including equity and debt financing, funding from a corporate partnership or licensing arrangement or any similar financing.</w:t>
      </w:r>
    </w:p>
    <w:p>
      <w:pPr>
        <w:pStyle w:val="TextBody"/>
        <w:spacing w:before="0" w:after="0"/>
        <w:ind w:left="0" w:right="0" w:hanging="0"/>
        <w:jc w:val="both"/>
        <w:rPr/>
      </w:pPr>
      <w:r>
        <w:rPr/>
        <w:t> </w:t>
      </w:r>
    </w:p>
    <w:p>
      <w:pPr>
        <w:pStyle w:val="TextBody"/>
        <w:spacing w:before="0" w:after="0"/>
        <w:ind w:left="0" w:right="0" w:hanging="0"/>
        <w:jc w:val="both"/>
        <w:rPr>
          <w:rFonts w:ascii="helvetica" w:hAnsi="helvetica"/>
          <w:sz w:val="20"/>
        </w:rPr>
      </w:pPr>
      <w:r>
        <w:rPr>
          <w:rFonts w:ascii="helvetica" w:hAnsi="helvetica"/>
          <w:sz w:val="20"/>
        </w:rPr>
        <w:t>On April 25, 2012, the Company closed a private placement with several accredited investors, whereby the Company issued an aggregate of 10,058,455 shares of common stock and warrants to purchase an aggregate of 2,514,642 shares of common stock, for proceeds, net of offering costs, to the Company of approximately $7.93 million.  The Company expects to use proceeds from this offering to fund its operations and begin additional clinical studies.  However, to fully execute on the Company’s business plan, management believes the Company will need to raise additional funds of not less than $7 million.  There can be no assurance that the Company will be able to obtain additional debt or equity financing, if and when needed, on terms acceptable to the Company. Any additional equity or debt financing may involve substantial dilution to the Company’s stockholders, restrictive covenants or high interest costs. The Company’s long term liquidity also depends upon its ability to generate revenues from the sale of its products and achieve profitability. The failure to raise needed funds on sufficiently favorable terms or to achieve these goals could have a material adverse effect on the execution of the Company’s business plan, operating results and financial condition. The Company intends to raise additional financing to fund its operations through various means, including equity or debt financing, funding from a corporate partnership or licensing arrangement or any similar financing. The Company has filed a registration statement in connection with a proposed public offering of its common stock, however, there is no assurance that sufficient financing from that offering, or other financings, will be available or, if available, on terms that would be acceptable to the Company.</w:t>
      </w:r>
    </w:p>
    <w:p>
      <w:pPr>
        <w:pStyle w:val="TextBody"/>
        <w:spacing w:before="0" w:after="0"/>
        <w:ind w:left="0" w:right="0" w:hanging="0"/>
        <w:jc w:val="both"/>
        <w:rPr/>
      </w:pPr>
      <w:r>
        <w:rPr/>
        <w:t> </w:t>
      </w:r>
    </w:p>
    <w:p>
      <w:pPr>
        <w:pStyle w:val="TextBody"/>
        <w:spacing w:before="0" w:after="0"/>
        <w:ind w:left="0" w:right="0" w:hanging="0"/>
        <w:jc w:val="both"/>
        <w:rPr>
          <w:rFonts w:ascii="helvetica" w:hAnsi="helvetica"/>
          <w:sz w:val="20"/>
        </w:rPr>
      </w:pPr>
      <w:r>
        <w:rPr>
          <w:rFonts w:ascii="helvetica" w:hAnsi="helvetica"/>
          <w:sz w:val="20"/>
        </w:rPr>
        <w:t>The unaudited condensed consolidated financial statements do not include any adjustments relating to the recoverability and classification of recorded asset amounts or the amounts and classification of liabilities that might be necessary should the Company be unable to continue as a going concern.</w:t>
      </w:r>
    </w:p>
    <w:p>
      <w:pPr>
        <w:pStyle w:val="TextBody"/>
        <w:spacing w:before="0" w:after="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975" w:name="PGBRK80"/>
      <w:bookmarkStart w:id="976" w:name="PGBRK80"/>
      <w:bookmarkEnd w:id="97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977" w:name="FTR80"/>
      <w:bookmarkStart w:id="978" w:name="FTR80"/>
      <w:bookmarkEnd w:id="97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979" w:name="GLFTR79"/>
      <w:bookmarkEnd w:id="979"/>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helvetica" w:hAnsi="helvetica"/>
          <w:sz w:val="20"/>
        </w:rPr>
      </w:pPr>
      <w:bookmarkStart w:id="980" w:name="PN79"/>
      <w:bookmarkEnd w:id="980"/>
      <w:r>
        <w:rPr>
          <w:rFonts w:ascii="helvetica" w:hAnsi="helvetica"/>
          <w:sz w:val="20"/>
        </w:rPr>
        <w:t>F-9</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981" w:name="HDR79"/>
      <w:bookmarkStart w:id="982" w:name="HDR79"/>
      <w:bookmarkEnd w:id="98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983" w:name="GLHDR79"/>
      <w:bookmarkEnd w:id="983"/>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pPr>
      <w:r>
        <w:rPr/>
        <w:t> </w:t>
      </w:r>
    </w:p>
    <w:p>
      <w:pPr>
        <w:pStyle w:val="TextBody"/>
        <w:spacing w:before="0" w:after="0"/>
        <w:ind w:left="0" w:right="0" w:hanging="0"/>
        <w:rPr>
          <w:rFonts w:ascii="helvetica" w:hAnsi="helvetica"/>
          <w:b/>
          <w:sz w:val="20"/>
        </w:rPr>
      </w:pPr>
      <w:r>
        <w:rPr>
          <w:rFonts w:ascii="helvetica" w:hAnsi="helvetica"/>
          <w:b/>
          <w:sz w:val="20"/>
        </w:rPr>
        <w:t>NOTE 3.  BANKRUPTCY PETITION AND ASSET PURCHASE AGREEMENT</w:t>
      </w:r>
    </w:p>
    <w:p>
      <w:pPr>
        <w:pStyle w:val="TextBody"/>
        <w:spacing w:before="0" w:after="0"/>
        <w:ind w:left="0" w:right="0" w:hanging="0"/>
        <w:rPr/>
      </w:pPr>
      <w:r>
        <w:rPr/>
        <w:t> </w:t>
      </w:r>
    </w:p>
    <w:p>
      <w:pPr>
        <w:pStyle w:val="TextBody"/>
        <w:spacing w:before="0" w:after="0"/>
        <w:ind w:left="0" w:right="0" w:hanging="0"/>
        <w:jc w:val="both"/>
        <w:rPr>
          <w:rFonts w:ascii="helvetica" w:hAnsi="helvetica"/>
          <w:sz w:val="20"/>
        </w:rPr>
      </w:pPr>
      <w:r>
        <w:rPr>
          <w:rFonts w:ascii="helvetica" w:hAnsi="helvetica"/>
          <w:sz w:val="20"/>
        </w:rPr>
        <w:t>On June 26, 2011, the Company filed a voluntary petition for reorganization relief under Chapter 11 of the United States Bankruptcy Code in the United States Bankruptcy Court for the Southern District of California (the “Bankruptcy Court”), Case No. 11-10497-11 (the “Chapter 11 Case”).  In connection with the Chapter 11 Case, the Company, as seller, and Cardium Healthcare, Inc., a wholly-owned subsidiary of Cardium Therapeutics, Inc., as purchaser (“Cardium”), entered into an Asset Purchase Agreement dated June 23, 2011 (the “Asset Purchase Agreement”) pursuant to which the Company agreed to sell substantially all of its assets  pursuant to Sections 105, 363 and 365 of the Bankruptcy Code, subject to court approval and the satisfaction of certain conditions set forth in the Asset Purchase Agreement.</w:t>
      </w:r>
    </w:p>
    <w:p>
      <w:pPr>
        <w:pStyle w:val="TextBody"/>
        <w:spacing w:before="0" w:after="0"/>
        <w:ind w:left="0" w:right="0" w:hanging="0"/>
        <w:jc w:val="both"/>
        <w:rPr/>
      </w:pPr>
      <w:r>
        <w:rPr/>
        <w:t> </w:t>
      </w:r>
    </w:p>
    <w:p>
      <w:pPr>
        <w:pStyle w:val="TextBody"/>
        <w:spacing w:before="0" w:after="0"/>
        <w:ind w:left="0" w:right="0" w:hanging="0"/>
        <w:jc w:val="both"/>
        <w:rPr>
          <w:rFonts w:ascii="helvetica" w:hAnsi="helvetica"/>
          <w:sz w:val="20"/>
        </w:rPr>
      </w:pPr>
      <w:r>
        <w:rPr>
          <w:rFonts w:ascii="helvetica" w:hAnsi="helvetica"/>
          <w:sz w:val="20"/>
        </w:rPr>
        <w:t>Consummation of the sale to Cardium was subject to a number of conditions, including, among others, the approval by the Bankruptcy Court of the transactions contemplated by the Asset Purchase Agreement and compliance with certain specified deadlines for actions in connection with the Bankruptcy Case. The Asset Purchase Agreement was terminable by the parties under a number of circumstances, including failure to obtain certain Bankruptcy Court orders by agreed dates.</w:t>
      </w:r>
    </w:p>
    <w:p>
      <w:pPr>
        <w:pStyle w:val="TextBody"/>
        <w:spacing w:before="0" w:after="0"/>
        <w:ind w:left="0" w:right="0" w:hanging="0"/>
        <w:jc w:val="both"/>
        <w:rPr/>
      </w:pPr>
      <w:r>
        <w:rPr/>
        <w:t> </w:t>
      </w:r>
    </w:p>
    <w:p>
      <w:pPr>
        <w:pStyle w:val="TextBody"/>
        <w:spacing w:before="0" w:after="0"/>
        <w:ind w:left="0" w:right="0" w:hanging="0"/>
        <w:jc w:val="both"/>
        <w:rPr>
          <w:rFonts w:ascii="helvetica" w:hAnsi="helvetica"/>
          <w:sz w:val="20"/>
        </w:rPr>
      </w:pPr>
      <w:r>
        <w:rPr>
          <w:rFonts w:ascii="helvetica" w:hAnsi="helvetica"/>
          <w:sz w:val="20"/>
        </w:rPr>
        <w:t>On July 26, 2011, the Bankruptcy Court denied the Company’s motion to sell its assets pursuant to the Asset Purchase Agreement. On October 7, 2011, the Company terminated the Asset Purchase Agreement pursuant to its terms.   On November 21, 2011, in connection with certain transactions with DermaStar International, LLC (“DermaStar”) described in Notes 4 and 5 below, the Company requested that the Bankruptcy Court dismiss the Chapter 11 Case and retain jurisdiction to decide matters related to claims brought in the Bankruptcy Case by the Purchaser.  On December 8, 2011, the Bankruptcy Court entered an order dismissing the Chapter 11 Case.  In connection with the dismissal of the Chapter 11 Case, the Bankruptcy Court, among other things, declined to retain jurisdiction over claim objection proceedings and found moot the Company’s objection to certain claims to receive a break-up fee pursuant to the Asset Purchase Agreement of Cardium Therapeutics, Inc. and Cardium Healthcare, Inc., a wholly owned subsidiary of Cardium. The dismissal of the Chapter 11 Case was based upon the provisions of both 11 U.S.C. Sections 305 (a) and 1112(b).</w:t>
      </w:r>
    </w:p>
    <w:p>
      <w:pPr>
        <w:pStyle w:val="TextBody"/>
        <w:spacing w:before="0" w:after="0"/>
        <w:ind w:left="0" w:right="0" w:hanging="0"/>
        <w:jc w:val="both"/>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984" w:name="PGBRK81"/>
      <w:bookmarkStart w:id="985" w:name="PGBRK81"/>
      <w:bookmarkEnd w:id="98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986" w:name="FTR81"/>
      <w:bookmarkStart w:id="987" w:name="FTR81"/>
      <w:bookmarkEnd w:id="98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988" w:name="GLFTR80"/>
      <w:bookmarkEnd w:id="988"/>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helvetica" w:hAnsi="helvetica"/>
          <w:sz w:val="20"/>
        </w:rPr>
      </w:pPr>
      <w:bookmarkStart w:id="989" w:name="PN80"/>
      <w:bookmarkEnd w:id="989"/>
      <w:r>
        <w:rPr>
          <w:rFonts w:ascii="helvetica" w:hAnsi="helvetica"/>
          <w:sz w:val="20"/>
        </w:rPr>
        <w:t>F-10</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990" w:name="HDR80"/>
      <w:bookmarkStart w:id="991" w:name="HDR80"/>
      <w:bookmarkEnd w:id="99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992" w:name="GLHDR80"/>
      <w:bookmarkEnd w:id="992"/>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t> </w:t>
      </w:r>
    </w:p>
    <w:p>
      <w:pPr>
        <w:pStyle w:val="TextBody"/>
        <w:spacing w:before="0" w:after="0"/>
        <w:ind w:left="0" w:right="0" w:hanging="0"/>
        <w:jc w:val="left"/>
        <w:rPr>
          <w:rFonts w:ascii="helvetica" w:hAnsi="helvetica"/>
          <w:b/>
          <w:sz w:val="20"/>
        </w:rPr>
      </w:pPr>
      <w:r>
        <w:rPr>
          <w:rFonts w:ascii="helvetica" w:hAnsi="helvetica"/>
          <w:b/>
          <w:sz w:val="20"/>
        </w:rPr>
        <w:t>NOTE 4.  NOTES PAYABLE – RELATED PARTY</w:t>
      </w:r>
    </w:p>
    <w:p>
      <w:pPr>
        <w:pStyle w:val="TextBody"/>
        <w:spacing w:before="0" w:after="0"/>
        <w:ind w:left="0" w:right="0" w:hanging="0"/>
        <w:rPr/>
      </w:pPr>
      <w:r>
        <w:rPr/>
        <w:t> </w:t>
      </w:r>
    </w:p>
    <w:p>
      <w:pPr>
        <w:pStyle w:val="TextBody"/>
        <w:spacing w:before="0" w:after="0"/>
        <w:ind w:left="0" w:right="0" w:hanging="0"/>
        <w:jc w:val="both"/>
        <w:rPr>
          <w:rFonts w:ascii="helvetica" w:hAnsi="helvetica"/>
          <w:b w:val="false"/>
          <w:sz w:val="20"/>
        </w:rPr>
      </w:pPr>
      <w:r>
        <w:rPr>
          <w:rFonts w:ascii="helvetica" w:hAnsi="helvetica"/>
          <w:b w:val="false"/>
          <w:sz w:val="20"/>
        </w:rPr>
        <w:t>DermaStar is a former control person of the Company and had the ability to direct or cause direction of management and policies of the Company through its ownership of the Company’s capital stock.  Also, Dr. Robert Kammer, a director and the Chairman of the Board of the Company, and Mark L. Baum, Esq., Chief Executive Officer and a director of the Company, were managing members and partial owners of DermaStar.  Subsequent to June 30, 2012, the Company was informed by DermaStar that it had dissolved and distributed all of its shares of the Company’s capital stock held by it to its members.  As a result of that dissolution and distribution, DermaStar is no longer a control person of the Company.</w:t>
      </w:r>
    </w:p>
    <w:p>
      <w:pPr>
        <w:pStyle w:val="TextBody"/>
        <w:spacing w:before="0" w:after="0"/>
        <w:ind w:left="0" w:right="0" w:hanging="0"/>
        <w:jc w:val="both"/>
        <w:rPr/>
      </w:pPr>
      <w:r>
        <w:rPr/>
        <w:t> </w:t>
      </w:r>
    </w:p>
    <w:p>
      <w:pPr>
        <w:pStyle w:val="TextBody"/>
        <w:spacing w:before="0" w:after="0"/>
        <w:ind w:left="0" w:right="0" w:hanging="0"/>
        <w:jc w:val="both"/>
        <w:rPr>
          <w:rFonts w:ascii="helvetica" w:hAnsi="helvetica"/>
          <w:b/>
          <w:sz w:val="20"/>
        </w:rPr>
      </w:pPr>
      <w:r>
        <w:rPr>
          <w:rFonts w:ascii="helvetica" w:hAnsi="helvetica"/>
          <w:b/>
          <w:sz w:val="20"/>
        </w:rPr>
        <w:t>Convertible Note – April 2010</w:t>
      </w:r>
    </w:p>
    <w:p>
      <w:pPr>
        <w:pStyle w:val="TextBody"/>
        <w:spacing w:before="0" w:after="0"/>
        <w:ind w:left="0" w:right="0" w:hanging="0"/>
        <w:jc w:val="both"/>
        <w:rPr/>
      </w:pPr>
      <w:r>
        <w:rPr/>
        <w:t> </w:t>
      </w:r>
    </w:p>
    <w:p>
      <w:pPr>
        <w:pStyle w:val="TextBody"/>
        <w:spacing w:before="0" w:after="0"/>
        <w:ind w:left="0" w:right="0" w:hanging="0"/>
        <w:jc w:val="both"/>
        <w:rPr>
          <w:rFonts w:ascii="helvetica" w:hAnsi="helvetica"/>
          <w:sz w:val="20"/>
        </w:rPr>
      </w:pPr>
      <w:r>
        <w:rPr>
          <w:rFonts w:ascii="helvetica" w:hAnsi="helvetica"/>
          <w:sz w:val="20"/>
        </w:rPr>
        <w:t>On April 5, 2010, the Company issued a Senior Convertible Promissory Note (the “Note”) to an existing investor through a private placement. The Note included an annual interest rate of 7.5% and (unless converted or prepaid, as noted below) all principal and interest was due and payable on its maturity date of April 5, 2012 (“Maturity Date”). At any time prior to the Maturity Date, the investor had the right to convert all or a portion of the outstanding principal and accrued interest at a conversion ratio of one share of the Company’s common stock for each $1 (the fair market value of the Company’s common stock on April 5, 2010) owed. Also, at any time prior to the Maturity Date, the Company had the option to prepay the outstanding principal and accrued interest. The Company received gross proceeds from the issuance of the Note in the aggregate amount of $1,000,000. There were no discounts or commissions paid in connection with this private placement. Accrued interest on the Note was $0 and $130,479 at June 30, 2012 and December 31, 2011, respectively, and interest expense on the Note for the three and six months ended June 30, 2012 was $0 and $12,123, respectively, and for the three and six months ended June 30, 2011 was $18,698 and $37,191, respectively.  Following the Company’s bankruptcy petition filed June 26, 2011, as well as the change in ownership control following the issuance of Series A Convertible Preferred Stock, the entire unpaid principal sum of this Note, together with its accrued and unpaid interest became immediately due and payable.</w:t>
      </w:r>
    </w:p>
    <w:p>
      <w:pPr>
        <w:pStyle w:val="TextBody"/>
        <w:spacing w:before="0" w:after="0"/>
        <w:ind w:left="0" w:right="0" w:hanging="0"/>
        <w:jc w:val="both"/>
        <w:rPr/>
      </w:pPr>
      <w:r>
        <w:rPr/>
        <w:t> </w:t>
      </w:r>
    </w:p>
    <w:p>
      <w:pPr>
        <w:pStyle w:val="TextBody"/>
        <w:spacing w:before="0" w:after="0"/>
        <w:ind w:left="0" w:right="0" w:hanging="0"/>
        <w:jc w:val="both"/>
        <w:rPr>
          <w:rFonts w:ascii="helvetica" w:hAnsi="helvetica"/>
          <w:sz w:val="20"/>
        </w:rPr>
      </w:pPr>
      <w:r>
        <w:rPr>
          <w:rFonts w:ascii="helvetica" w:hAnsi="helvetica"/>
          <w:sz w:val="20"/>
        </w:rPr>
        <w:t>On January 25, 2012, the Board of Directors of the Company approved, and the Company entered into, separate waiver and settlement agreements with the two parties holding the Note. DermaStar, a related party, had previously acquired 80% of the Note in a private transaction with Alexej Ladonnikov, the original purchaser of the Note. Mr. Ladonnikov then became the holder of 20% of the Note.</w:t>
      </w:r>
    </w:p>
    <w:p>
      <w:pPr>
        <w:pStyle w:val="TextBody"/>
        <w:spacing w:before="0" w:after="0"/>
        <w:ind w:left="0" w:right="0" w:hanging="0"/>
        <w:jc w:val="both"/>
        <w:rPr/>
      </w:pPr>
      <w:r>
        <w:rPr/>
        <w:t> </w:t>
      </w:r>
    </w:p>
    <w:p>
      <w:pPr>
        <w:pStyle w:val="TextBody"/>
        <w:spacing w:before="0" w:after="0"/>
        <w:ind w:left="0" w:right="0" w:hanging="0"/>
        <w:jc w:val="both"/>
        <w:rPr>
          <w:rFonts w:ascii="helvetica" w:hAnsi="helvetica"/>
          <w:sz w:val="20"/>
        </w:rPr>
      </w:pPr>
      <w:r>
        <w:rPr>
          <w:rFonts w:ascii="helvetica" w:hAnsi="helvetica"/>
          <w:sz w:val="20"/>
        </w:rPr>
        <w:t>In connection with each of the waiver and settlement agreements, the holders of the Note each agreed to forever waive their rights to (i) accelerate the entire unpaid principal sum of the Note and all accrued interest pursuant to Section 1 of the Note related to the Company’s Bankruptcy petition filed June 26, 2011, (ii) Section 7 of the Senior Convertible Note Purchase Agreement dated April 5, 2010, regarding the designation and creation of the Series A Convertible Preferred Stock and (iii) certain conversion rights pursuant to Section 3 of the Note related to the change of control that resulted from the sale of the Series A Convertible Preferred Stock.</w:t>
      </w:r>
    </w:p>
    <w:p>
      <w:pPr>
        <w:pStyle w:val="TextBody"/>
        <w:spacing w:before="0" w:after="0"/>
        <w:ind w:left="0" w:right="0" w:hanging="0"/>
        <w:jc w:val="both"/>
        <w:rPr/>
      </w:pPr>
      <w:r>
        <w:rPr/>
        <w:t> </w:t>
      </w:r>
    </w:p>
    <w:p>
      <w:pPr>
        <w:pStyle w:val="TextBody"/>
        <w:spacing w:before="0" w:after="0"/>
        <w:ind w:left="0" w:right="0" w:hanging="0"/>
        <w:jc w:val="both"/>
        <w:rPr>
          <w:rFonts w:ascii="helvetica" w:hAnsi="helvetica"/>
          <w:sz w:val="20"/>
        </w:rPr>
      </w:pPr>
      <w:r>
        <w:rPr>
          <w:rFonts w:ascii="helvetica" w:hAnsi="helvetica"/>
          <w:sz w:val="20"/>
        </w:rPr>
        <w:t>Pursuant to the terms of the waiver and settlement agreement by and between the Company and DermaStar (the “DermaStar Waiver Agreement”), DermaStar and the Company agreed to the mandatory conversion of the eighty percent (80%) of the principal and accrued and unpaid interest of the Note held by DermaStar, at such time as (and not until) the Company has a sufficient number of authorized common shares to effect such a conversion, into common stock of the Company at a conversion price of $0.13336 (“DermaStar Conversion Price”). Additionally, DermaStar agreed to a mandatory conversion of an additional $56,087 current accounts payable of the Company (“AP Conversion”) held by DermaStar, at such time as (and not until) the Company had a sufficient number of authorized common shares for such conversion. The AP Conversion was made at the DermaStar Conversion Price.</w:t>
      </w:r>
    </w:p>
    <w:p>
      <w:pPr>
        <w:pStyle w:val="TextBody"/>
        <w:spacing w:before="0" w:after="0"/>
        <w:ind w:left="0" w:right="0" w:hanging="0"/>
        <w:jc w:val="both"/>
        <w:rPr/>
      </w:pPr>
      <w:r>
        <w:rPr/>
        <w:t> </w:t>
      </w:r>
    </w:p>
    <w:p>
      <w:pPr>
        <w:pStyle w:val="TextBody"/>
        <w:spacing w:before="0" w:after="0"/>
        <w:ind w:left="0" w:right="0" w:hanging="0"/>
        <w:jc w:val="both"/>
        <w:rPr>
          <w:rFonts w:ascii="helvetica" w:hAnsi="helvetica"/>
          <w:sz w:val="20"/>
        </w:rPr>
      </w:pPr>
      <w:r>
        <w:rPr>
          <w:rFonts w:ascii="helvetica" w:hAnsi="helvetica"/>
          <w:sz w:val="20"/>
        </w:rPr>
        <w:t>On February 28, 2012, the Company issued 7,274,812 common shares to DermaStar as payment in full for its 80% ownership of the Note ($800,000), its related accrued interest ($114,082) and $56,087 in the Company’s accounts payable.  The Company has determined this to be a substantial modification to the debt instruments and has applied debt extinguishment accounting to record a loss on extinguishment of debt of $856,087 for the six months ended June 30, 2012.</w:t>
      </w:r>
    </w:p>
    <w:p>
      <w:pPr>
        <w:pStyle w:val="TextBody"/>
        <w:spacing w:before="0" w:after="0"/>
        <w:ind w:left="0" w:right="0" w:hanging="0"/>
        <w:jc w:val="both"/>
        <w:rPr/>
      </w:pPr>
      <w:r>
        <w:rPr/>
        <w:t> </w:t>
      </w:r>
    </w:p>
    <w:p>
      <w:pPr>
        <w:pStyle w:val="TextBody"/>
        <w:spacing w:before="0" w:after="0"/>
        <w:ind w:left="0" w:right="0" w:hanging="0"/>
        <w:jc w:val="both"/>
        <w:rPr>
          <w:rFonts w:ascii="helvetica" w:hAnsi="helvetica"/>
          <w:sz w:val="20"/>
        </w:rPr>
      </w:pPr>
      <w:r>
        <w:rPr>
          <w:rFonts w:ascii="helvetica" w:hAnsi="helvetica"/>
          <w:sz w:val="20"/>
        </w:rPr>
        <w:t>Pursuant to the terms of the waiver and settlement agreement by and between the Company and Mr. Ladonnikov (the “Ladonnikov Waiver Agreement”), Mr. Ladonnikov and the Company agreed to the mandatory conversion of the twenty percent (20%) of the principal and accrued and unpaid interest of the Note held by Mr. Ladonnikov, at such time as (and not until) the Company had a sufficient number of authorized common shares to effect such a conversion, into common stock of the Company at a conversion price of $0.12. Additionally, Mr. Ladonnikov agreed to make a one-time payment to the Company, at such time as the Note is converted into Company common stock, of $50,000.</w:t>
      </w:r>
    </w:p>
    <w:p>
      <w:pPr>
        <w:pStyle w:val="TextBody"/>
        <w:spacing w:before="0" w:after="0"/>
        <w:ind w:left="0" w:right="0" w:hanging="0"/>
        <w:jc w:val="both"/>
        <w:rPr/>
      </w:pPr>
      <w:r>
        <w:rPr/>
        <w:t> </w:t>
      </w:r>
    </w:p>
    <w:p>
      <w:pPr>
        <w:pStyle w:val="TextBody"/>
        <w:spacing w:before="0" w:after="0"/>
        <w:ind w:left="0" w:right="0" w:hanging="0"/>
        <w:jc w:val="both"/>
        <w:rPr>
          <w:rFonts w:ascii="helvetica" w:hAnsi="helvetica"/>
          <w:sz w:val="20"/>
        </w:rPr>
      </w:pPr>
      <w:r>
        <w:rPr>
          <w:rFonts w:ascii="helvetica" w:hAnsi="helvetica"/>
          <w:sz w:val="20"/>
        </w:rPr>
        <w:t>On February 28, 2012, the Company received payment from Mr. Ladonnikov of $50,000 and issued 1,904,338 common shares to Mr. Ladonnikov as payment in full for his 20% ownership of the Note ($200,000) and its related accrued interest ($28,521).  The Company has determined this to be a substantial modification to the debt instrument and has applied debt extinguishment accounting to record a loss on extinguishment of debt of $150,000 ($200,000 Note principal balance less $50,000 cash payment received) for the six months ended June 30, 2012.</w:t>
      </w:r>
    </w:p>
    <w:p>
      <w:pPr>
        <w:pStyle w:val="TextBody"/>
        <w:spacing w:before="0" w:after="0"/>
        <w:ind w:left="0" w:right="0" w:hanging="0"/>
        <w:jc w:val="both"/>
        <w:rPr/>
      </w:pPr>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r>
      <w:bookmarkStart w:id="993" w:name="PGBRK82"/>
      <w:bookmarkStart w:id="994" w:name="PGBRK82"/>
      <w:bookmarkEnd w:id="99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995" w:name="FTR82"/>
      <w:bookmarkStart w:id="996" w:name="FTR82"/>
      <w:bookmarkEnd w:id="99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997" w:name="GLFTR81"/>
      <w:bookmarkEnd w:id="997"/>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helvetica" w:hAnsi="helvetica"/>
          <w:sz w:val="20"/>
        </w:rPr>
      </w:pPr>
      <w:bookmarkStart w:id="998" w:name="PN81"/>
      <w:bookmarkEnd w:id="998"/>
      <w:r>
        <w:rPr>
          <w:rFonts w:ascii="helvetica" w:hAnsi="helvetica"/>
          <w:sz w:val="20"/>
        </w:rPr>
        <w:t>F-11</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999" w:name="HDR81"/>
      <w:bookmarkStart w:id="1000" w:name="HDR81"/>
      <w:bookmarkEnd w:id="100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1001" w:name="GLHDR81"/>
      <w:bookmarkEnd w:id="1001"/>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t> </w:t>
      </w:r>
    </w:p>
    <w:p>
      <w:pPr>
        <w:pStyle w:val="TextBody"/>
        <w:spacing w:before="0" w:after="0"/>
        <w:ind w:left="0" w:right="0" w:hanging="0"/>
        <w:jc w:val="both"/>
        <w:rPr>
          <w:rFonts w:ascii="helvetica" w:hAnsi="helvetica"/>
          <w:b/>
          <w:sz w:val="20"/>
        </w:rPr>
      </w:pPr>
      <w:r>
        <w:rPr>
          <w:rFonts w:ascii="helvetica" w:hAnsi="helvetica"/>
          <w:b/>
          <w:sz w:val="20"/>
        </w:rPr>
        <w:t>Secured Line of Credit – Related Party</w:t>
      </w:r>
    </w:p>
    <w:p>
      <w:pPr>
        <w:pStyle w:val="TextBody"/>
        <w:spacing w:before="0" w:after="0"/>
        <w:ind w:left="0" w:right="0" w:hanging="0"/>
        <w:rPr/>
      </w:pPr>
      <w:r>
        <w:rPr/>
        <w:t> </w:t>
      </w:r>
    </w:p>
    <w:p>
      <w:pPr>
        <w:pStyle w:val="TextBody"/>
        <w:spacing w:before="0" w:after="0"/>
        <w:ind w:left="0" w:right="0" w:hanging="0"/>
        <w:jc w:val="both"/>
        <w:rPr>
          <w:rFonts w:ascii="helvetica" w:hAnsi="helvetica"/>
          <w:sz w:val="20"/>
        </w:rPr>
      </w:pPr>
      <w:r>
        <w:rPr>
          <w:rFonts w:ascii="helvetica" w:hAnsi="helvetica"/>
          <w:sz w:val="20"/>
        </w:rPr>
        <w:t>On November 21, 2011, the Company entered into a Secured Line of Credit Letter Agreement (the “Line of Credit Agreement”) with DermaStar.  The Line of Credit Agreement became effective on December 10, 2011, in connection with the dismissal of the Chapter 11 Case by the Bankruptcy Court.  The line of credit was secured by a blanket security interest in all of the Company’s assets, including its intellectual property.  The Line of Credit Agreement provided for advances to the Company of up to an aggregate of $750,000 (each an “Advance” and collectively the “Loan”), subject to the satisfaction by the Company of certain conditions in connection with the initial Advance and each subsequent Advance.  Each Advance was made pursuant to a promissory note in favor of DermaStar.  The Company had received advances totaling $750,000 and $300,000 up to April 25, 2012 (the date of the conversion thereof) and as of December 31, 2011, respectively.  The promissory notes accrued interest at 10% annually and had a maturity of one year after the effective dates of the applicable Advance.  There was no accrued interest on the promissory notes at June 30, 2012 and interest expense for the three and six months ended June 30, 2012 was $3,575 and $12,534, respectively.</w:t>
      </w:r>
    </w:p>
    <w:p>
      <w:pPr>
        <w:pStyle w:val="TextBody"/>
        <w:spacing w:before="0" w:after="0"/>
        <w:ind w:left="0" w:right="0" w:hanging="0"/>
        <w:jc w:val="both"/>
        <w:rPr/>
      </w:pPr>
      <w:r>
        <w:rPr/>
        <w:t> </w:t>
      </w:r>
    </w:p>
    <w:p>
      <w:pPr>
        <w:pStyle w:val="TextBody"/>
        <w:spacing w:before="0" w:after="0"/>
        <w:ind w:left="0" w:right="0" w:hanging="0"/>
        <w:jc w:val="both"/>
        <w:rPr>
          <w:rFonts w:ascii="helvetica" w:hAnsi="helvetica"/>
          <w:sz w:val="20"/>
        </w:rPr>
      </w:pPr>
      <w:r>
        <w:rPr>
          <w:rFonts w:ascii="helvetica" w:hAnsi="helvetica"/>
          <w:sz w:val="20"/>
        </w:rPr>
        <w:t>As of April 20, 2012, the aggregate principal balance owing under the Line of Credit was $750,000.  Effective April 20, 2012, the Company and DermaStar entered into a Promissory Note Conversion Agreement (the “Conversion Agreement”) wherein the parties agreed that the entire outstanding principal balance of the promissory notes issued in favor of DermaStar pursuant to the Line of Credit Agreement and all related accrued interest, totaling $762,534, would be converted into Units (as defined in Note 5) at a rate of $0.79 per Unit.  Pursuant to the Conversion Agreement, on April 25, 2012 and upon conversion of the outstanding principal balance and unpaid interest under the Line of Credit Agreement, DermaStar was issued a total of 965,233 shares of the Company’s common stock and a related warrant to purchase up to an additional 241,308 shares of the Company’s common stock.  The warrant has an exercise price of $1.185 per share and a three year term.  The Line of Credit Agreement has been terminated.</w:t>
      </w:r>
    </w:p>
    <w:p>
      <w:pPr>
        <w:pStyle w:val="TextBody"/>
        <w:spacing w:before="0" w:after="0"/>
        <w:ind w:left="0" w:right="0" w:hanging="0"/>
        <w:jc w:val="both"/>
        <w:rPr/>
      </w:pPr>
      <w:r>
        <w:rPr/>
        <w:t> </w:t>
      </w:r>
    </w:p>
    <w:p>
      <w:pPr>
        <w:pStyle w:val="TextBody"/>
        <w:spacing w:before="0" w:after="0"/>
        <w:ind w:left="0" w:right="0" w:hanging="0"/>
        <w:jc w:val="both"/>
        <w:rPr>
          <w:rFonts w:ascii="helvetica" w:hAnsi="helvetica"/>
          <w:sz w:val="20"/>
        </w:rPr>
      </w:pPr>
      <w:r>
        <w:rPr>
          <w:rFonts w:ascii="helvetica" w:hAnsi="helvetica"/>
          <w:sz w:val="20"/>
        </w:rPr>
        <w:t>The addition of a conversion feature to the Line of Credit Agreement resulted in terms that were substantially different from the terms of the original agreement, and therefore, the conversion resulted in an extinguishment of debt.  The relative fair value of the warrant issued to DermaStar was determined to be $137,383 using the Black-Scholes-Merton valuation model.  The variables used in this pricing model included: (1) discount rate of 0.4% (2) expected warrant life of 3 years, (3) expected volatility of 350% and (4) zero expected dividends.  In addition, the value of the effective BCF resulting from the Conversion Agreement was determined to be $51,940.  The value of the debt discount was recorded as additional paid-in capital and as the Line of Credit is immediately convertible, the debt discount of $189,323 was immediately expensed as a loss on extinguishment of debt.</w:t>
      </w:r>
    </w:p>
    <w:p>
      <w:pPr>
        <w:pStyle w:val="TextBody"/>
        <w:spacing w:before="0" w:after="0"/>
        <w:ind w:left="0" w:right="0" w:hanging="0"/>
        <w:jc w:val="both"/>
        <w:rPr/>
      </w:pPr>
      <w:r>
        <w:rPr/>
        <w:t> </w:t>
      </w:r>
    </w:p>
    <w:p>
      <w:pPr>
        <w:pStyle w:val="TextBody"/>
        <w:spacing w:before="0" w:after="0"/>
        <w:ind w:left="0" w:right="0" w:hanging="0"/>
        <w:jc w:val="left"/>
        <w:rPr/>
      </w:pPr>
      <w:r>
        <w:rPr/>
        <w:t> </w:t>
      </w:r>
    </w:p>
    <w:p>
      <w:pPr>
        <w:pStyle w:val="TextBody"/>
        <w:spacing w:before="0" w:after="0"/>
        <w:ind w:left="0" w:right="0" w:hanging="0"/>
        <w:jc w:val="left"/>
        <w:rPr/>
      </w:pPr>
      <w:r>
        <w:rPr/>
        <w:t> </w:t>
      </w:r>
    </w:p>
    <w:tbl>
      <w:tblPr>
        <w:tblW w:w="5000" w:type="pct"/>
        <w:jc w:val="left"/>
        <w:tblInd w:w="0" w:type="dxa"/>
        <w:tblCellMar>
          <w:top w:w="0" w:type="dxa"/>
          <w:left w:w="0" w:type="dxa"/>
          <w:bottom w:w="0" w:type="dxa"/>
          <w:right w:w="0" w:type="dxa"/>
        </w:tblCellMar>
      </w:tblPr>
      <w:tblGrid>
        <w:gridCol w:w="7033"/>
        <w:gridCol w:w="123"/>
        <w:gridCol w:w="251"/>
        <w:gridCol w:w="855"/>
        <w:gridCol w:w="123"/>
        <w:gridCol w:w="123"/>
        <w:gridCol w:w="167"/>
        <w:gridCol w:w="1378"/>
        <w:gridCol w:w="152"/>
      </w:tblGrid>
      <w:tr>
        <w:trPr/>
        <w:tc>
          <w:tcPr>
            <w:tcW w:w="7033" w:type="dxa"/>
            <w:tcBorders/>
            <w:shd w:fill="auto" w:val="clear"/>
            <w:vAlign w:val="bottom"/>
          </w:tcPr>
          <w:p>
            <w:pPr>
              <w:pStyle w:val="TableContents"/>
              <w:spacing w:before="0" w:after="283"/>
              <w:rPr/>
            </w:pPr>
            <w:r>
              <w:rPr/>
              <w:t xml:space="preserve">  </w:t>
            </w:r>
          </w:p>
        </w:tc>
        <w:tc>
          <w:tcPr>
            <w:tcW w:w="123" w:type="dxa"/>
            <w:tcBorders/>
            <w:shd w:fill="auto" w:val="clear"/>
            <w:vAlign w:val="bottom"/>
          </w:tcPr>
          <w:p>
            <w:pPr>
              <w:pStyle w:val="TableContents"/>
              <w:spacing w:before="0" w:after="283"/>
              <w:rPr/>
            </w:pPr>
            <w:r>
              <w:rPr/>
              <w:t> </w:t>
            </w:r>
          </w:p>
        </w:tc>
        <w:tc>
          <w:tcPr>
            <w:tcW w:w="1106" w:type="dxa"/>
            <w:gridSpan w:val="2"/>
            <w:tcBorders/>
            <w:shd w:fill="auto" w:val="clear"/>
            <w:vAlign w:val="bottom"/>
          </w:tcPr>
          <w:p>
            <w:pPr>
              <w:pStyle w:val="TableContents"/>
              <w:spacing w:before="0" w:after="0"/>
              <w:ind w:left="0" w:right="0" w:hanging="0"/>
              <w:jc w:val="center"/>
              <w:rPr>
                <w:rFonts w:ascii="helvetica" w:hAnsi="helvetica"/>
                <w:b/>
                <w:sz w:val="16"/>
              </w:rPr>
            </w:pPr>
            <w:r>
              <w:rPr>
                <w:rFonts w:ascii="helvetica" w:hAnsi="helvetica"/>
                <w:b/>
                <w:sz w:val="16"/>
              </w:rPr>
              <w:t>June 30,</w:t>
            </w:r>
          </w:p>
        </w:tc>
        <w:tc>
          <w:tcPr>
            <w:tcW w:w="123" w:type="dxa"/>
            <w:tcBorders/>
            <w:shd w:fill="auto" w:val="clear"/>
            <w:vAlign w:val="bottom"/>
          </w:tcPr>
          <w:p>
            <w:pPr>
              <w:pStyle w:val="TableContents"/>
              <w:spacing w:before="0" w:after="283"/>
              <w:jc w:val="left"/>
              <w:rPr/>
            </w:pPr>
            <w:r>
              <w:rPr/>
              <w:t> </w:t>
            </w:r>
          </w:p>
        </w:tc>
        <w:tc>
          <w:tcPr>
            <w:tcW w:w="123" w:type="dxa"/>
            <w:tcBorders/>
            <w:shd w:fill="auto" w:val="clear"/>
            <w:vAlign w:val="bottom"/>
          </w:tcPr>
          <w:p>
            <w:pPr>
              <w:pStyle w:val="TableContents"/>
              <w:spacing w:before="0" w:after="283"/>
              <w:rPr/>
            </w:pPr>
            <w:r>
              <w:rPr/>
              <w:t> </w:t>
            </w:r>
          </w:p>
        </w:tc>
        <w:tc>
          <w:tcPr>
            <w:tcW w:w="1545" w:type="dxa"/>
            <w:gridSpan w:val="2"/>
            <w:tcBorders/>
            <w:shd w:fill="auto" w:val="clear"/>
            <w:vAlign w:val="bottom"/>
          </w:tcPr>
          <w:p>
            <w:pPr>
              <w:pStyle w:val="TableContents"/>
              <w:spacing w:before="0" w:after="0"/>
              <w:ind w:left="0" w:right="0" w:hanging="0"/>
              <w:jc w:val="center"/>
              <w:rPr>
                <w:rFonts w:ascii="helvetica" w:hAnsi="helvetica"/>
                <w:b/>
                <w:sz w:val="16"/>
              </w:rPr>
            </w:pPr>
            <w:r>
              <w:rPr>
                <w:rFonts w:ascii="helvetica" w:hAnsi="helvetica"/>
                <w:b/>
                <w:sz w:val="16"/>
              </w:rPr>
              <w:t>December 31,</w:t>
            </w:r>
          </w:p>
        </w:tc>
        <w:tc>
          <w:tcPr>
            <w:tcW w:w="152" w:type="dxa"/>
            <w:tcBorders/>
            <w:shd w:fill="auto" w:val="clear"/>
            <w:vAlign w:val="bottom"/>
          </w:tcPr>
          <w:p>
            <w:pPr>
              <w:pStyle w:val="TableContents"/>
              <w:spacing w:before="0" w:after="283"/>
              <w:jc w:val="left"/>
              <w:rPr/>
            </w:pPr>
            <w:r>
              <w:rPr/>
              <w:t> </w:t>
            </w:r>
          </w:p>
        </w:tc>
      </w:tr>
      <w:tr>
        <w:trPr/>
        <w:tc>
          <w:tcPr>
            <w:tcW w:w="7033" w:type="dxa"/>
            <w:tcBorders/>
            <w:shd w:fill="auto" w:val="clear"/>
            <w:vAlign w:val="bottom"/>
          </w:tcPr>
          <w:p>
            <w:pPr>
              <w:pStyle w:val="TableContents"/>
              <w:spacing w:before="0" w:after="283"/>
              <w:rPr/>
            </w:pPr>
            <w:r>
              <w:rPr/>
              <w:t xml:space="preserve">  </w:t>
            </w:r>
          </w:p>
        </w:tc>
        <w:tc>
          <w:tcPr>
            <w:tcW w:w="123" w:type="dxa"/>
            <w:tcBorders/>
            <w:shd w:fill="auto" w:val="clear"/>
            <w:vAlign w:val="bottom"/>
          </w:tcPr>
          <w:p>
            <w:pPr>
              <w:pStyle w:val="TableContents"/>
              <w:spacing w:before="0" w:after="283"/>
              <w:rPr/>
            </w:pPr>
            <w:r>
              <w:rPr/>
              <w:t> </w:t>
            </w:r>
          </w:p>
        </w:tc>
        <w:tc>
          <w:tcPr>
            <w:tcW w:w="1106"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helvetica" w:hAnsi="helvetica"/>
                <w:b/>
                <w:sz w:val="16"/>
              </w:rPr>
            </w:pPr>
            <w:r>
              <w:rPr>
                <w:rFonts w:ascii="helvetica" w:hAnsi="helvetica"/>
                <w:b/>
                <w:sz w:val="16"/>
              </w:rPr>
              <w:t>2012</w:t>
            </w:r>
          </w:p>
        </w:tc>
        <w:tc>
          <w:tcPr>
            <w:tcW w:w="123" w:type="dxa"/>
            <w:tcBorders/>
            <w:shd w:fill="auto" w:val="clear"/>
            <w:vAlign w:val="bottom"/>
          </w:tcPr>
          <w:p>
            <w:pPr>
              <w:pStyle w:val="TableContents"/>
              <w:spacing w:before="0" w:after="283"/>
              <w:jc w:val="left"/>
              <w:rPr/>
            </w:pPr>
            <w:r>
              <w:rPr/>
              <w:t> </w:t>
            </w:r>
          </w:p>
        </w:tc>
        <w:tc>
          <w:tcPr>
            <w:tcW w:w="123" w:type="dxa"/>
            <w:tcBorders/>
            <w:shd w:fill="auto" w:val="clear"/>
            <w:vAlign w:val="bottom"/>
          </w:tcPr>
          <w:p>
            <w:pPr>
              <w:pStyle w:val="TableContents"/>
              <w:spacing w:before="0" w:after="283"/>
              <w:rPr/>
            </w:pPr>
            <w:r>
              <w:rPr/>
              <w:t> </w:t>
            </w:r>
          </w:p>
        </w:tc>
        <w:tc>
          <w:tcPr>
            <w:tcW w:w="1545"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helvetica" w:hAnsi="helvetica"/>
                <w:b/>
                <w:sz w:val="16"/>
              </w:rPr>
            </w:pPr>
            <w:r>
              <w:rPr>
                <w:rFonts w:ascii="helvetica" w:hAnsi="helvetica"/>
                <w:b/>
                <w:sz w:val="16"/>
              </w:rPr>
              <w:t>2011</w:t>
            </w:r>
          </w:p>
        </w:tc>
        <w:tc>
          <w:tcPr>
            <w:tcW w:w="152" w:type="dxa"/>
            <w:tcBorders/>
            <w:shd w:fill="auto" w:val="clear"/>
            <w:vAlign w:val="bottom"/>
          </w:tcPr>
          <w:p>
            <w:pPr>
              <w:pStyle w:val="TableContents"/>
              <w:spacing w:before="0" w:after="283"/>
              <w:jc w:val="left"/>
              <w:rPr/>
            </w:pPr>
            <w:r>
              <w:rPr/>
              <w:t> </w:t>
            </w:r>
          </w:p>
        </w:tc>
      </w:tr>
      <w:tr>
        <w:trPr/>
        <w:tc>
          <w:tcPr>
            <w:tcW w:w="7033" w:type="dxa"/>
            <w:tcBorders/>
            <w:shd w:fill="CCEEFF" w:val="clear"/>
            <w:vAlign w:val="bottom"/>
          </w:tcPr>
          <w:p>
            <w:pPr>
              <w:pStyle w:val="TableContents"/>
              <w:spacing w:before="0" w:after="0"/>
              <w:ind w:left="0" w:right="0" w:hanging="0"/>
              <w:jc w:val="left"/>
              <w:rPr>
                <w:rFonts w:ascii="helvetica" w:hAnsi="helvetica"/>
                <w:sz w:val="20"/>
              </w:rPr>
            </w:pPr>
            <w:r>
              <w:rPr>
                <w:rFonts w:ascii="helvetica" w:hAnsi="helvetica"/>
                <w:sz w:val="20"/>
              </w:rPr>
              <w:t>10% convertible notes</w:t>
            </w:r>
          </w:p>
        </w:tc>
        <w:tc>
          <w:tcPr>
            <w:tcW w:w="123" w:type="dxa"/>
            <w:tcBorders/>
            <w:shd w:fill="CCEEFF" w:val="clear"/>
            <w:vAlign w:val="bottom"/>
          </w:tcPr>
          <w:p>
            <w:pPr>
              <w:pStyle w:val="TableContents"/>
              <w:spacing w:before="0" w:after="283"/>
              <w:rPr/>
            </w:pPr>
            <w:r>
              <w:rPr/>
              <w:t> </w:t>
            </w:r>
          </w:p>
        </w:tc>
        <w:tc>
          <w:tcPr>
            <w:tcW w:w="251" w:type="dxa"/>
            <w:tcBorders/>
            <w:shd w:fill="CCEEFF" w:val="clear"/>
            <w:vAlign w:val="bottom"/>
          </w:tcPr>
          <w:p>
            <w:pPr>
              <w:pStyle w:val="TableContents"/>
              <w:spacing w:before="0" w:after="283"/>
              <w:jc w:val="left"/>
              <w:rPr>
                <w:rFonts w:ascii="helvetica" w:hAnsi="helvetica"/>
                <w:sz w:val="20"/>
              </w:rPr>
            </w:pPr>
            <w:r>
              <w:rPr>
                <w:rFonts w:ascii="helvetica" w:hAnsi="helvetica"/>
                <w:sz w:val="20"/>
              </w:rPr>
              <w:t>$</w:t>
            </w:r>
          </w:p>
        </w:tc>
        <w:tc>
          <w:tcPr>
            <w:tcW w:w="855"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w:t>
            </w:r>
          </w:p>
        </w:tc>
        <w:tc>
          <w:tcPr>
            <w:tcW w:w="123" w:type="dxa"/>
            <w:tcBorders/>
            <w:shd w:fill="CCEEFF" w:val="clear"/>
            <w:vAlign w:val="bottom"/>
          </w:tcPr>
          <w:p>
            <w:pPr>
              <w:pStyle w:val="TableContents"/>
              <w:spacing w:before="0" w:after="283"/>
              <w:jc w:val="left"/>
              <w:rPr/>
            </w:pPr>
            <w:r>
              <w:rPr/>
              <w:t> </w:t>
            </w:r>
          </w:p>
        </w:tc>
        <w:tc>
          <w:tcPr>
            <w:tcW w:w="123" w:type="dxa"/>
            <w:tcBorders/>
            <w:shd w:fill="CCEEFF" w:val="clear"/>
            <w:vAlign w:val="bottom"/>
          </w:tcPr>
          <w:p>
            <w:pPr>
              <w:pStyle w:val="TableContents"/>
              <w:spacing w:before="0" w:after="283"/>
              <w:rPr/>
            </w:pPr>
            <w:r>
              <w:rPr/>
              <w:t> </w:t>
            </w:r>
          </w:p>
        </w:tc>
        <w:tc>
          <w:tcPr>
            <w:tcW w:w="167" w:type="dxa"/>
            <w:tcBorders/>
            <w:shd w:fill="CCEEFF" w:val="clear"/>
            <w:vAlign w:val="bottom"/>
          </w:tcPr>
          <w:p>
            <w:pPr>
              <w:pStyle w:val="TableContents"/>
              <w:spacing w:before="0" w:after="283"/>
              <w:jc w:val="left"/>
              <w:rPr>
                <w:rFonts w:ascii="helvetica" w:hAnsi="helvetica"/>
                <w:sz w:val="20"/>
              </w:rPr>
            </w:pPr>
            <w:r>
              <w:rPr>
                <w:rFonts w:ascii="helvetica" w:hAnsi="helvetica"/>
                <w:sz w:val="20"/>
              </w:rPr>
              <w:t>$</w:t>
            </w:r>
          </w:p>
        </w:tc>
        <w:tc>
          <w:tcPr>
            <w:tcW w:w="1378"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300,000</w:t>
            </w:r>
          </w:p>
        </w:tc>
        <w:tc>
          <w:tcPr>
            <w:tcW w:w="152" w:type="dxa"/>
            <w:tcBorders/>
            <w:shd w:fill="CCEEFF" w:val="clear"/>
            <w:vAlign w:val="bottom"/>
          </w:tcPr>
          <w:p>
            <w:pPr>
              <w:pStyle w:val="TableContents"/>
              <w:spacing w:before="0" w:after="283"/>
              <w:jc w:val="left"/>
              <w:rPr/>
            </w:pPr>
            <w:r>
              <w:rPr/>
              <w:t> </w:t>
            </w:r>
          </w:p>
        </w:tc>
      </w:tr>
      <w:tr>
        <w:trPr/>
        <w:tc>
          <w:tcPr>
            <w:tcW w:w="7033" w:type="dxa"/>
            <w:tcBorders/>
            <w:shd w:fill="FFFFFF" w:val="clear"/>
            <w:vAlign w:val="bottom"/>
          </w:tcPr>
          <w:p>
            <w:pPr>
              <w:pStyle w:val="TableContents"/>
              <w:spacing w:before="0" w:after="0"/>
              <w:ind w:left="0" w:right="0" w:hanging="0"/>
              <w:jc w:val="left"/>
              <w:rPr>
                <w:rFonts w:ascii="helvetica" w:hAnsi="helvetica"/>
                <w:sz w:val="20"/>
              </w:rPr>
            </w:pPr>
            <w:r>
              <w:rPr>
                <w:rFonts w:ascii="helvetica" w:hAnsi="helvetica"/>
                <w:sz w:val="20"/>
              </w:rPr>
              <w:t>7.5% convertible note</w:t>
            </w:r>
          </w:p>
        </w:tc>
        <w:tc>
          <w:tcPr>
            <w:tcW w:w="123" w:type="dxa"/>
            <w:tcBorders/>
            <w:shd w:fill="FFFFFF" w:val="clear"/>
            <w:vAlign w:val="bottom"/>
          </w:tcPr>
          <w:p>
            <w:pPr>
              <w:pStyle w:val="TableContents"/>
              <w:spacing w:before="0" w:after="283"/>
              <w:rPr/>
            </w:pPr>
            <w:r>
              <w:rPr/>
              <w:t> </w:t>
            </w:r>
          </w:p>
        </w:tc>
        <w:tc>
          <w:tcPr>
            <w:tcW w:w="251"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855" w:type="dxa"/>
            <w:tcBorders>
              <w:bottom w:val="single" w:sz="12" w:space="0" w:color="000000"/>
            </w:tcBorders>
            <w:shd w:fill="FFFF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w:t>
            </w:r>
          </w:p>
        </w:tc>
        <w:tc>
          <w:tcPr>
            <w:tcW w:w="123" w:type="dxa"/>
            <w:tcBorders/>
            <w:shd w:fill="FFFFFF" w:val="clear"/>
            <w:vAlign w:val="bottom"/>
          </w:tcPr>
          <w:p>
            <w:pPr>
              <w:pStyle w:val="TableContents"/>
              <w:spacing w:before="0" w:after="283"/>
              <w:jc w:val="left"/>
              <w:rPr/>
            </w:pPr>
            <w:r>
              <w:rPr/>
              <w:t> </w:t>
            </w:r>
          </w:p>
        </w:tc>
        <w:tc>
          <w:tcPr>
            <w:tcW w:w="123" w:type="dxa"/>
            <w:tcBorders/>
            <w:shd w:fill="FFFFFF" w:val="clear"/>
            <w:vAlign w:val="bottom"/>
          </w:tcPr>
          <w:p>
            <w:pPr>
              <w:pStyle w:val="TableContents"/>
              <w:spacing w:before="0" w:after="283"/>
              <w:rPr/>
            </w:pPr>
            <w:r>
              <w:rPr/>
              <w:t> </w:t>
            </w:r>
          </w:p>
        </w:tc>
        <w:tc>
          <w:tcPr>
            <w:tcW w:w="167"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378" w:type="dxa"/>
            <w:tcBorders>
              <w:bottom w:val="single" w:sz="12" w:space="0" w:color="000000"/>
            </w:tcBorders>
            <w:shd w:fill="FFFF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1,000,000</w:t>
            </w:r>
          </w:p>
        </w:tc>
        <w:tc>
          <w:tcPr>
            <w:tcW w:w="152" w:type="dxa"/>
            <w:tcBorders/>
            <w:shd w:fill="FFFFFF" w:val="clear"/>
            <w:vAlign w:val="bottom"/>
          </w:tcPr>
          <w:p>
            <w:pPr>
              <w:pStyle w:val="TableContents"/>
              <w:spacing w:before="0" w:after="283"/>
              <w:jc w:val="left"/>
              <w:rPr/>
            </w:pPr>
            <w:r>
              <w:rPr/>
              <w:t> </w:t>
            </w:r>
          </w:p>
        </w:tc>
      </w:tr>
      <w:tr>
        <w:trPr/>
        <w:tc>
          <w:tcPr>
            <w:tcW w:w="7033" w:type="dxa"/>
            <w:tcBorders/>
            <w:shd w:fill="CCEEFF" w:val="clear"/>
            <w:vAlign w:val="bottom"/>
          </w:tcPr>
          <w:p>
            <w:pPr>
              <w:pStyle w:val="TableContents"/>
              <w:spacing w:before="0" w:after="0"/>
              <w:ind w:left="0" w:right="0" w:hanging="0"/>
              <w:jc w:val="left"/>
              <w:rPr>
                <w:rFonts w:ascii="helvetica" w:hAnsi="helvetica"/>
                <w:b/>
                <w:sz w:val="20"/>
              </w:rPr>
            </w:pPr>
            <w:r>
              <w:rPr>
                <w:rFonts w:ascii="helvetica" w:hAnsi="helvetica"/>
                <w:b/>
                <w:sz w:val="20"/>
              </w:rPr>
              <w:t>Total convertible notes payable</w:t>
            </w:r>
          </w:p>
        </w:tc>
        <w:tc>
          <w:tcPr>
            <w:tcW w:w="123" w:type="dxa"/>
            <w:tcBorders/>
            <w:shd w:fill="CCEEFF" w:val="clear"/>
            <w:vAlign w:val="bottom"/>
          </w:tcPr>
          <w:p>
            <w:pPr>
              <w:pStyle w:val="TableContents"/>
              <w:spacing w:before="0" w:after="283"/>
              <w:rPr/>
            </w:pPr>
            <w:r>
              <w:rPr/>
              <w:t> </w:t>
            </w:r>
          </w:p>
        </w:tc>
        <w:tc>
          <w:tcPr>
            <w:tcW w:w="251" w:type="dxa"/>
            <w:tcBorders/>
            <w:shd w:fill="CCEEFF" w:val="clear"/>
            <w:vAlign w:val="bottom"/>
          </w:tcPr>
          <w:p>
            <w:pPr>
              <w:pStyle w:val="TableContents"/>
              <w:spacing w:before="0" w:after="283"/>
              <w:jc w:val="left"/>
              <w:rPr>
                <w:rFonts w:ascii="helvetica" w:hAnsi="helvetica"/>
                <w:b/>
                <w:sz w:val="20"/>
              </w:rPr>
            </w:pPr>
            <w:r>
              <w:rPr>
                <w:rFonts w:ascii="helvetica" w:hAnsi="helvetica"/>
                <w:b/>
                <w:sz w:val="20"/>
              </w:rPr>
              <w:t>$</w:t>
            </w:r>
          </w:p>
        </w:tc>
        <w:tc>
          <w:tcPr>
            <w:tcW w:w="855" w:type="dxa"/>
            <w:tcBorders/>
            <w:shd w:fill="CCEEFF" w:val="clear"/>
            <w:vAlign w:val="bottom"/>
          </w:tcPr>
          <w:p>
            <w:pPr>
              <w:pStyle w:val="TableContents"/>
              <w:spacing w:before="0" w:after="283"/>
              <w:jc w:val="right"/>
              <w:rPr>
                <w:rFonts w:ascii="helvetica" w:hAnsi="helvetica"/>
                <w:b/>
                <w:sz w:val="20"/>
              </w:rPr>
            </w:pPr>
            <w:r>
              <w:rPr>
                <w:rFonts w:ascii="helvetica" w:hAnsi="helvetica"/>
                <w:b/>
                <w:sz w:val="20"/>
              </w:rPr>
              <w:t>-</w:t>
            </w:r>
          </w:p>
        </w:tc>
        <w:tc>
          <w:tcPr>
            <w:tcW w:w="123" w:type="dxa"/>
            <w:tcBorders/>
            <w:shd w:fill="CCEEFF" w:val="clear"/>
            <w:vAlign w:val="bottom"/>
          </w:tcPr>
          <w:p>
            <w:pPr>
              <w:pStyle w:val="TableContents"/>
              <w:spacing w:before="0" w:after="283"/>
              <w:jc w:val="left"/>
              <w:rPr/>
            </w:pPr>
            <w:r>
              <w:rPr/>
              <w:t> </w:t>
            </w:r>
          </w:p>
        </w:tc>
        <w:tc>
          <w:tcPr>
            <w:tcW w:w="123" w:type="dxa"/>
            <w:tcBorders/>
            <w:shd w:fill="CCEEFF" w:val="clear"/>
            <w:vAlign w:val="bottom"/>
          </w:tcPr>
          <w:p>
            <w:pPr>
              <w:pStyle w:val="TableContents"/>
              <w:spacing w:before="0" w:after="283"/>
              <w:rPr/>
            </w:pPr>
            <w:r>
              <w:rPr/>
              <w:t> </w:t>
            </w:r>
          </w:p>
        </w:tc>
        <w:tc>
          <w:tcPr>
            <w:tcW w:w="167" w:type="dxa"/>
            <w:tcBorders/>
            <w:shd w:fill="CCEEFF" w:val="clear"/>
            <w:vAlign w:val="bottom"/>
          </w:tcPr>
          <w:p>
            <w:pPr>
              <w:pStyle w:val="TableContents"/>
              <w:spacing w:before="0" w:after="283"/>
              <w:jc w:val="left"/>
              <w:rPr>
                <w:rFonts w:ascii="helvetica" w:hAnsi="helvetica"/>
                <w:b/>
                <w:sz w:val="20"/>
              </w:rPr>
            </w:pPr>
            <w:r>
              <w:rPr>
                <w:rFonts w:ascii="helvetica" w:hAnsi="helvetica"/>
                <w:b/>
                <w:sz w:val="20"/>
              </w:rPr>
              <w:t>$</w:t>
            </w:r>
          </w:p>
        </w:tc>
        <w:tc>
          <w:tcPr>
            <w:tcW w:w="1378" w:type="dxa"/>
            <w:tcBorders/>
            <w:shd w:fill="CCEEFF" w:val="clear"/>
            <w:vAlign w:val="bottom"/>
          </w:tcPr>
          <w:p>
            <w:pPr>
              <w:pStyle w:val="TableContents"/>
              <w:spacing w:before="0" w:after="283"/>
              <w:jc w:val="right"/>
              <w:rPr>
                <w:rFonts w:ascii="helvetica" w:hAnsi="helvetica"/>
                <w:b/>
                <w:sz w:val="20"/>
              </w:rPr>
            </w:pPr>
            <w:r>
              <w:rPr>
                <w:rFonts w:ascii="helvetica" w:hAnsi="helvetica"/>
                <w:b/>
                <w:sz w:val="20"/>
              </w:rPr>
              <w:t>1,300,000</w:t>
            </w:r>
          </w:p>
        </w:tc>
        <w:tc>
          <w:tcPr>
            <w:tcW w:w="152" w:type="dxa"/>
            <w:tcBorders/>
            <w:shd w:fill="CCEEFF" w:val="clear"/>
            <w:vAlign w:val="bottom"/>
          </w:tcPr>
          <w:p>
            <w:pPr>
              <w:pStyle w:val="TableContents"/>
              <w:spacing w:before="0" w:after="283"/>
              <w:jc w:val="left"/>
              <w:rPr/>
            </w:pPr>
            <w:r>
              <w:rPr/>
              <w:t> </w:t>
            </w:r>
          </w:p>
        </w:tc>
      </w:tr>
      <w:tr>
        <w:trPr/>
        <w:tc>
          <w:tcPr>
            <w:tcW w:w="7033" w:type="dxa"/>
            <w:tcBorders/>
            <w:shd w:fill="FFFFFF" w:val="clear"/>
            <w:vAlign w:val="bottom"/>
          </w:tcPr>
          <w:p>
            <w:pPr>
              <w:pStyle w:val="TableContents"/>
              <w:spacing w:before="0" w:after="0"/>
              <w:ind w:left="0" w:right="0" w:hanging="0"/>
              <w:jc w:val="left"/>
              <w:rPr>
                <w:rFonts w:ascii="helvetica" w:hAnsi="helvetica"/>
                <w:sz w:val="20"/>
              </w:rPr>
            </w:pPr>
            <w:r>
              <w:rPr>
                <w:rFonts w:ascii="helvetica" w:hAnsi="helvetica"/>
                <w:sz w:val="20"/>
              </w:rPr>
              <w:t>Less: Current portion</w:t>
            </w:r>
          </w:p>
        </w:tc>
        <w:tc>
          <w:tcPr>
            <w:tcW w:w="123" w:type="dxa"/>
            <w:tcBorders/>
            <w:shd w:fill="FFFFFF" w:val="clear"/>
            <w:vAlign w:val="bottom"/>
          </w:tcPr>
          <w:p>
            <w:pPr>
              <w:pStyle w:val="TableContents"/>
              <w:spacing w:before="0" w:after="283"/>
              <w:rPr/>
            </w:pPr>
            <w:r>
              <w:rPr/>
              <w:t> </w:t>
            </w:r>
          </w:p>
        </w:tc>
        <w:tc>
          <w:tcPr>
            <w:tcW w:w="251"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855" w:type="dxa"/>
            <w:tcBorders>
              <w:bottom w:val="single" w:sz="12" w:space="0" w:color="000000"/>
            </w:tcBorders>
            <w:shd w:fill="FFFF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w:t>
            </w:r>
          </w:p>
        </w:tc>
        <w:tc>
          <w:tcPr>
            <w:tcW w:w="123" w:type="dxa"/>
            <w:tcBorders/>
            <w:shd w:fill="FFFFFF" w:val="clear"/>
            <w:vAlign w:val="bottom"/>
          </w:tcPr>
          <w:p>
            <w:pPr>
              <w:pStyle w:val="TableContents"/>
              <w:spacing w:before="0" w:after="283"/>
              <w:jc w:val="left"/>
              <w:rPr/>
            </w:pPr>
            <w:r>
              <w:rPr/>
              <w:t> </w:t>
            </w:r>
          </w:p>
        </w:tc>
        <w:tc>
          <w:tcPr>
            <w:tcW w:w="123" w:type="dxa"/>
            <w:tcBorders/>
            <w:shd w:fill="FFFFFF" w:val="clear"/>
            <w:vAlign w:val="bottom"/>
          </w:tcPr>
          <w:p>
            <w:pPr>
              <w:pStyle w:val="TableContents"/>
              <w:spacing w:before="0" w:after="283"/>
              <w:rPr/>
            </w:pPr>
            <w:r>
              <w:rPr/>
              <w:t> </w:t>
            </w:r>
          </w:p>
        </w:tc>
        <w:tc>
          <w:tcPr>
            <w:tcW w:w="167"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378" w:type="dxa"/>
            <w:tcBorders>
              <w:bottom w:val="single" w:sz="12" w:space="0" w:color="000000"/>
            </w:tcBorders>
            <w:shd w:fill="FFFF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(1,300,000</w:t>
            </w:r>
          </w:p>
        </w:tc>
        <w:tc>
          <w:tcPr>
            <w:tcW w:w="152" w:type="dxa"/>
            <w:tcBorders/>
            <w:shd w:fill="FFFFFF" w:val="clear"/>
            <w:vAlign w:val="bottom"/>
          </w:tcPr>
          <w:p>
            <w:pPr>
              <w:pStyle w:val="TableContents"/>
              <w:spacing w:before="0" w:after="283"/>
              <w:jc w:val="left"/>
              <w:rPr>
                <w:rFonts w:ascii="helvetica" w:hAnsi="helvetica"/>
                <w:sz w:val="20"/>
              </w:rPr>
            </w:pPr>
            <w:r>
              <w:rPr>
                <w:rFonts w:ascii="helvetica" w:hAnsi="helvetica"/>
                <w:sz w:val="20"/>
              </w:rPr>
              <w:t>)</w:t>
            </w:r>
          </w:p>
        </w:tc>
      </w:tr>
      <w:tr>
        <w:trPr/>
        <w:tc>
          <w:tcPr>
            <w:tcW w:w="7033" w:type="dxa"/>
            <w:tcBorders/>
            <w:shd w:fill="CCEEFF" w:val="clear"/>
            <w:vAlign w:val="bottom"/>
          </w:tcPr>
          <w:p>
            <w:pPr>
              <w:pStyle w:val="TableContents"/>
              <w:spacing w:before="0" w:after="0"/>
              <w:ind w:left="0" w:right="0" w:hanging="0"/>
              <w:jc w:val="left"/>
              <w:rPr>
                <w:rFonts w:ascii="helvetica" w:hAnsi="helvetica"/>
                <w:b/>
                <w:sz w:val="20"/>
              </w:rPr>
            </w:pPr>
            <w:r>
              <w:rPr>
                <w:rFonts w:ascii="helvetica" w:hAnsi="helvetica"/>
                <w:b/>
                <w:sz w:val="20"/>
              </w:rPr>
              <w:t>Long-term portion</w:t>
            </w:r>
          </w:p>
        </w:tc>
        <w:tc>
          <w:tcPr>
            <w:tcW w:w="123" w:type="dxa"/>
            <w:tcBorders/>
            <w:shd w:fill="CCEEFF" w:val="clear"/>
            <w:vAlign w:val="bottom"/>
          </w:tcPr>
          <w:p>
            <w:pPr>
              <w:pStyle w:val="TableContents"/>
              <w:spacing w:before="0" w:after="283"/>
              <w:rPr/>
            </w:pPr>
            <w:r>
              <w:rPr/>
              <w:t> </w:t>
            </w:r>
          </w:p>
        </w:tc>
        <w:tc>
          <w:tcPr>
            <w:tcW w:w="251" w:type="dxa"/>
            <w:tcBorders>
              <w:bottom w:val="double" w:sz="8" w:space="0" w:color="000000"/>
            </w:tcBorders>
            <w:shd w:fill="CCEEFF" w:val="clear"/>
            <w:tcMar>
              <w:bottom w:w="28" w:type="dxa"/>
            </w:tcMar>
            <w:vAlign w:val="bottom"/>
          </w:tcPr>
          <w:p>
            <w:pPr>
              <w:pStyle w:val="TableContents"/>
              <w:spacing w:before="0" w:after="283"/>
              <w:jc w:val="left"/>
              <w:rPr>
                <w:rFonts w:ascii="helvetica" w:hAnsi="helvetica"/>
                <w:b/>
                <w:sz w:val="20"/>
              </w:rPr>
            </w:pPr>
            <w:r>
              <w:rPr>
                <w:rFonts w:ascii="helvetica" w:hAnsi="helvetica"/>
                <w:b/>
                <w:sz w:val="20"/>
              </w:rPr>
              <w:t>$</w:t>
            </w:r>
          </w:p>
        </w:tc>
        <w:tc>
          <w:tcPr>
            <w:tcW w:w="855" w:type="dxa"/>
            <w:tcBorders>
              <w:bottom w:val="double" w:sz="8" w:space="0" w:color="000000"/>
            </w:tcBorders>
            <w:shd w:fill="CCEEFF" w:val="clear"/>
            <w:tcMar>
              <w:bottom w:w="28" w:type="dxa"/>
            </w:tcMar>
            <w:vAlign w:val="bottom"/>
          </w:tcPr>
          <w:p>
            <w:pPr>
              <w:pStyle w:val="TableContents"/>
              <w:spacing w:before="0" w:after="283"/>
              <w:jc w:val="right"/>
              <w:rPr>
                <w:rFonts w:ascii="helvetica" w:hAnsi="helvetica"/>
                <w:b/>
                <w:sz w:val="20"/>
              </w:rPr>
            </w:pPr>
            <w:r>
              <w:rPr>
                <w:rFonts w:ascii="helvetica" w:hAnsi="helvetica"/>
                <w:b/>
                <w:sz w:val="20"/>
              </w:rPr>
              <w:t>-</w:t>
            </w:r>
          </w:p>
        </w:tc>
        <w:tc>
          <w:tcPr>
            <w:tcW w:w="123" w:type="dxa"/>
            <w:tcBorders/>
            <w:shd w:fill="CCEEFF" w:val="clear"/>
            <w:vAlign w:val="bottom"/>
          </w:tcPr>
          <w:p>
            <w:pPr>
              <w:pStyle w:val="TableContents"/>
              <w:spacing w:before="0" w:after="283"/>
              <w:jc w:val="left"/>
              <w:rPr/>
            </w:pPr>
            <w:r>
              <w:rPr/>
              <w:t> </w:t>
            </w:r>
          </w:p>
        </w:tc>
        <w:tc>
          <w:tcPr>
            <w:tcW w:w="123" w:type="dxa"/>
            <w:tcBorders/>
            <w:shd w:fill="CCEEFF" w:val="clear"/>
            <w:vAlign w:val="bottom"/>
          </w:tcPr>
          <w:p>
            <w:pPr>
              <w:pStyle w:val="TableContents"/>
              <w:spacing w:before="0" w:after="283"/>
              <w:rPr/>
            </w:pPr>
            <w:r>
              <w:rPr/>
              <w:t> </w:t>
            </w:r>
          </w:p>
        </w:tc>
        <w:tc>
          <w:tcPr>
            <w:tcW w:w="167" w:type="dxa"/>
            <w:tcBorders>
              <w:bottom w:val="double" w:sz="8" w:space="0" w:color="000000"/>
            </w:tcBorders>
            <w:shd w:fill="CCEEFF" w:val="clear"/>
            <w:tcMar>
              <w:bottom w:w="28" w:type="dxa"/>
            </w:tcMar>
            <w:vAlign w:val="bottom"/>
          </w:tcPr>
          <w:p>
            <w:pPr>
              <w:pStyle w:val="TableContents"/>
              <w:spacing w:before="0" w:after="283"/>
              <w:jc w:val="left"/>
              <w:rPr>
                <w:rFonts w:ascii="helvetica" w:hAnsi="helvetica"/>
                <w:b/>
                <w:sz w:val="20"/>
              </w:rPr>
            </w:pPr>
            <w:r>
              <w:rPr>
                <w:rFonts w:ascii="helvetica" w:hAnsi="helvetica"/>
                <w:b/>
                <w:sz w:val="20"/>
              </w:rPr>
              <w:t>$</w:t>
            </w:r>
          </w:p>
        </w:tc>
        <w:tc>
          <w:tcPr>
            <w:tcW w:w="1378" w:type="dxa"/>
            <w:tcBorders>
              <w:bottom w:val="double" w:sz="8" w:space="0" w:color="000000"/>
            </w:tcBorders>
            <w:shd w:fill="CCEEFF" w:val="clear"/>
            <w:tcMar>
              <w:bottom w:w="28" w:type="dxa"/>
            </w:tcMar>
            <w:vAlign w:val="bottom"/>
          </w:tcPr>
          <w:p>
            <w:pPr>
              <w:pStyle w:val="TableContents"/>
              <w:spacing w:before="0" w:after="283"/>
              <w:jc w:val="right"/>
              <w:rPr>
                <w:rFonts w:ascii="helvetica" w:hAnsi="helvetica"/>
                <w:b/>
                <w:sz w:val="20"/>
              </w:rPr>
            </w:pPr>
            <w:r>
              <w:rPr>
                <w:rFonts w:ascii="helvetica" w:hAnsi="helvetica"/>
                <w:b/>
                <w:sz w:val="20"/>
              </w:rPr>
              <w:t>-</w:t>
            </w:r>
          </w:p>
        </w:tc>
        <w:tc>
          <w:tcPr>
            <w:tcW w:w="152" w:type="dxa"/>
            <w:tcBorders/>
            <w:shd w:fill="CCEEFF" w:val="clear"/>
            <w:vAlign w:val="bottom"/>
          </w:tcPr>
          <w:p>
            <w:pPr>
              <w:pStyle w:val="TableContents"/>
              <w:spacing w:before="0" w:after="283"/>
              <w:jc w:val="left"/>
              <w:rPr/>
            </w:pPr>
            <w:r>
              <w:rPr/>
              <w:t> </w:t>
            </w:r>
          </w:p>
        </w:tc>
      </w:tr>
    </w:tbl>
    <w:p>
      <w:pPr>
        <w:pStyle w:val="TextBody"/>
        <w:spacing w:before="0" w:after="0"/>
        <w:ind w:left="0" w:right="0" w:hanging="0"/>
        <w:rPr/>
      </w:pPr>
      <w:r>
        <w:rPr/>
        <w:br/>
      </w:r>
      <w:r>
        <w:rPr>
          <w:rFonts w:ascii="helvetica" w:hAnsi="helvetica"/>
          <w:b/>
          <w:sz w:val="20"/>
        </w:rPr>
        <w:t>NOTE 5.  STOCKHOLDERS’ EQUITY</w:t>
      </w:r>
    </w:p>
    <w:p>
      <w:pPr>
        <w:pStyle w:val="TextBody"/>
        <w:spacing w:before="0" w:after="0"/>
        <w:ind w:left="0" w:right="0" w:hanging="0"/>
        <w:rPr/>
      </w:pPr>
      <w:r>
        <w:rPr/>
        <w:t> </w:t>
      </w:r>
    </w:p>
    <w:p>
      <w:pPr>
        <w:pStyle w:val="TextBody"/>
        <w:spacing w:before="0" w:after="0"/>
        <w:ind w:left="0" w:right="0" w:hanging="0"/>
        <w:jc w:val="both"/>
        <w:rPr>
          <w:rFonts w:ascii="helvetica" w:hAnsi="helvetica"/>
          <w:b/>
          <w:sz w:val="20"/>
        </w:rPr>
      </w:pPr>
      <w:r>
        <w:rPr>
          <w:rFonts w:ascii="helvetica" w:hAnsi="helvetica"/>
          <w:b/>
          <w:sz w:val="20"/>
        </w:rPr>
        <w:t>Common Stock</w:t>
      </w:r>
    </w:p>
    <w:p>
      <w:pPr>
        <w:pStyle w:val="TextBody"/>
        <w:spacing w:before="0" w:after="0"/>
        <w:ind w:left="0" w:right="0" w:hanging="0"/>
        <w:jc w:val="both"/>
        <w:rPr/>
      </w:pPr>
      <w:r>
        <w:rPr/>
        <w:t> </w:t>
      </w:r>
    </w:p>
    <w:p>
      <w:pPr>
        <w:pStyle w:val="TextBody"/>
        <w:spacing w:before="0" w:after="0"/>
        <w:ind w:left="0" w:right="0" w:hanging="0"/>
        <w:jc w:val="both"/>
        <w:rPr>
          <w:rFonts w:ascii="helvetica" w:hAnsi="helvetica"/>
          <w:sz w:val="20"/>
        </w:rPr>
      </w:pPr>
      <w:r>
        <w:rPr>
          <w:rFonts w:ascii="helvetica" w:hAnsi="helvetica"/>
          <w:sz w:val="20"/>
        </w:rPr>
        <w:t>On February 28, 2012, the Company increased the number of authorized shares of capital stock to 400,000,000, and the number of authorized shares of common stock to 395,000,000 and effected a one-for-eight reverse stock split. All per share amounts and calculations in this report reflect that one-for-eight reverse stock split.</w:t>
      </w:r>
    </w:p>
    <w:p>
      <w:pPr>
        <w:pStyle w:val="TextBody"/>
        <w:spacing w:before="0" w:after="0"/>
        <w:ind w:left="0" w:right="0" w:hanging="0"/>
        <w:jc w:val="both"/>
        <w:rPr/>
      </w:pPr>
      <w:r>
        <w:rPr/>
        <w:t> </w:t>
      </w:r>
    </w:p>
    <w:p>
      <w:pPr>
        <w:pStyle w:val="TextBody"/>
        <w:spacing w:before="0" w:after="0"/>
        <w:ind w:left="0" w:right="0" w:hanging="0"/>
        <w:jc w:val="both"/>
        <w:rPr>
          <w:rFonts w:ascii="helvetica" w:hAnsi="helvetica"/>
          <w:sz w:val="20"/>
        </w:rPr>
      </w:pPr>
      <w:r>
        <w:rPr>
          <w:rFonts w:ascii="helvetica" w:hAnsi="helvetica"/>
          <w:sz w:val="20"/>
        </w:rPr>
        <w:t>On February 28, 2012, the Company issued 1,904,338 common shares to Alexej Ladonnikov as payment in full for his 20% ownership of the Note ($200,000) and its related accrued interest ($28,521).</w:t>
      </w:r>
    </w:p>
    <w:p>
      <w:pPr>
        <w:pStyle w:val="TextBody"/>
        <w:spacing w:before="0" w:after="0"/>
        <w:ind w:left="0" w:right="0" w:hanging="0"/>
        <w:jc w:val="both"/>
        <w:rPr/>
      </w:pPr>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r>
      <w:bookmarkStart w:id="1002" w:name="PGBRK83"/>
      <w:bookmarkStart w:id="1003" w:name="PGBRK83"/>
      <w:bookmarkEnd w:id="100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004" w:name="FTR83"/>
      <w:bookmarkStart w:id="1005" w:name="FTR83"/>
      <w:bookmarkEnd w:id="100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1006" w:name="GLFTR82"/>
      <w:bookmarkEnd w:id="1006"/>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helvetica" w:hAnsi="helvetica"/>
          <w:sz w:val="20"/>
        </w:rPr>
      </w:pPr>
      <w:bookmarkStart w:id="1007" w:name="PN82"/>
      <w:bookmarkEnd w:id="1007"/>
      <w:r>
        <w:rPr>
          <w:rFonts w:ascii="helvetica" w:hAnsi="helvetica"/>
          <w:sz w:val="20"/>
        </w:rPr>
        <w:t>F-12</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008" w:name="HDR82"/>
      <w:bookmarkStart w:id="1009" w:name="HDR82"/>
      <w:bookmarkEnd w:id="100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1010" w:name="GLHDR82"/>
      <w:bookmarkEnd w:id="1010"/>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pPr>
      <w:r>
        <w:rPr/>
        <w:t> </w:t>
      </w:r>
    </w:p>
    <w:p>
      <w:pPr>
        <w:pStyle w:val="TextBody"/>
        <w:spacing w:before="0" w:after="0"/>
        <w:ind w:left="0" w:right="0" w:hanging="0"/>
        <w:jc w:val="both"/>
        <w:rPr>
          <w:rFonts w:ascii="helvetica" w:hAnsi="helvetica"/>
          <w:sz w:val="20"/>
        </w:rPr>
      </w:pPr>
      <w:r>
        <w:rPr>
          <w:rFonts w:ascii="helvetica" w:hAnsi="helvetica"/>
          <w:sz w:val="20"/>
        </w:rPr>
        <w:t>On February 28, 2012, the Company issued 7,274,812 common shares to DermaStar as payment in full for its 80% ownership of the Note ($800,000), its related accrued interest ($114,082) and $56,087 in the Company’s accounts payable.</w:t>
      </w:r>
    </w:p>
    <w:p>
      <w:pPr>
        <w:pStyle w:val="TextBody"/>
        <w:spacing w:before="0" w:after="0"/>
        <w:ind w:left="0" w:right="0" w:hanging="0"/>
        <w:jc w:val="both"/>
        <w:rPr/>
      </w:pPr>
      <w:r>
        <w:rPr/>
        <w:t> </w:t>
      </w:r>
    </w:p>
    <w:p>
      <w:pPr>
        <w:pStyle w:val="TextBody"/>
        <w:spacing w:before="0" w:after="0"/>
        <w:ind w:left="0" w:right="0" w:hanging="0"/>
        <w:jc w:val="both"/>
        <w:rPr>
          <w:rFonts w:ascii="helvetica" w:hAnsi="helvetica"/>
          <w:sz w:val="20"/>
        </w:rPr>
      </w:pPr>
      <w:r>
        <w:rPr>
          <w:rFonts w:ascii="helvetica" w:hAnsi="helvetica"/>
          <w:sz w:val="20"/>
        </w:rPr>
        <w:t>On April 20, 2012, the Company entered into a Securities Purchase Agreement (the “Securities Purchase Agreement”) with certain accredited investors (the “Investors”) relating to the sale and issuance of 10,058,455 units (each, a “Unit”) consisting of one share of the Company’s common stock and a warrant to purchase up to one-fourth of a share of the Company’s common stock at an exercise price of $1.185 per share, at a price per Unit of $0.79 (the “April Private Placement”).  The April Private Placement closed on April 25, 2012.  In connection with the April Private Placement, the Company issued 10,058,455 shares of common stock and warrants to purchase an aggregate of 2,514,642 shares of common stock, for proceeds, net of offering costs, to the Company of approximately $7.93 million.</w:t>
      </w:r>
    </w:p>
    <w:p>
      <w:pPr>
        <w:pStyle w:val="TextBody"/>
        <w:spacing w:before="0" w:after="0"/>
        <w:ind w:left="0" w:right="0" w:hanging="0"/>
        <w:jc w:val="both"/>
        <w:rPr/>
      </w:pPr>
      <w:r>
        <w:rPr/>
        <w:t> </w:t>
      </w:r>
    </w:p>
    <w:p>
      <w:pPr>
        <w:pStyle w:val="TextBody"/>
        <w:spacing w:before="0" w:after="0"/>
        <w:ind w:left="0" w:right="0" w:hanging="0"/>
        <w:jc w:val="both"/>
        <w:rPr>
          <w:rFonts w:ascii="helvetica" w:hAnsi="helvetica"/>
          <w:sz w:val="20"/>
        </w:rPr>
      </w:pPr>
      <w:r>
        <w:rPr>
          <w:rFonts w:ascii="helvetica" w:hAnsi="helvetica"/>
          <w:sz w:val="20"/>
        </w:rPr>
        <w:t>On April 25, 2012, the Company converted debt totaling $762,534 (including accrued interest of $12,534) owed to DermaStar, a related party, into 965,233 shares of the Company’s common stock and a related warrant to purchase 241,308 shares of the Company’s common stock at an exercise price of $1.185 per share (see Note 4).</w:t>
      </w:r>
    </w:p>
    <w:p>
      <w:pPr>
        <w:pStyle w:val="TextBody"/>
        <w:spacing w:before="0" w:after="0"/>
        <w:jc w:val="both"/>
        <w:rPr/>
      </w:pPr>
      <w:r>
        <w:rPr/>
      </w:r>
    </w:p>
    <w:p>
      <w:pPr>
        <w:pStyle w:val="TextBody"/>
        <w:spacing w:before="0" w:after="0"/>
        <w:ind w:left="0" w:right="0" w:hanging="0"/>
        <w:jc w:val="both"/>
        <w:rPr>
          <w:rFonts w:ascii="helvetica" w:hAnsi="helvetica"/>
          <w:b/>
          <w:sz w:val="20"/>
        </w:rPr>
      </w:pPr>
      <w:r>
        <w:rPr>
          <w:rFonts w:ascii="helvetica" w:hAnsi="helvetica"/>
          <w:b/>
          <w:sz w:val="20"/>
        </w:rPr>
        <w:t>Preferred Stock</w:t>
      </w:r>
    </w:p>
    <w:p>
      <w:pPr>
        <w:pStyle w:val="TextBody"/>
        <w:spacing w:before="0" w:after="0"/>
        <w:ind w:left="0" w:right="0" w:hanging="0"/>
        <w:jc w:val="both"/>
        <w:rPr/>
      </w:pPr>
      <w:r>
        <w:rPr/>
        <w:t> </w:t>
      </w:r>
    </w:p>
    <w:p>
      <w:pPr>
        <w:pStyle w:val="TextBody"/>
        <w:spacing w:before="0" w:after="0"/>
        <w:ind w:left="0" w:right="0" w:hanging="0"/>
        <w:jc w:val="both"/>
        <w:rPr>
          <w:rFonts w:ascii="helvetica" w:hAnsi="helvetica"/>
          <w:sz w:val="20"/>
        </w:rPr>
      </w:pPr>
      <w:r>
        <w:rPr>
          <w:rFonts w:ascii="helvetica" w:hAnsi="helvetica"/>
          <w:sz w:val="20"/>
        </w:rPr>
        <w:t>At June 30, 2012, the Company had 5,000,000 shares of preferred stock, $0.001 par value, authorized and no shares of preferred stock issued and outstanding.</w:t>
      </w:r>
    </w:p>
    <w:p>
      <w:pPr>
        <w:pStyle w:val="TextBody"/>
        <w:spacing w:before="0" w:after="0"/>
        <w:jc w:val="both"/>
        <w:rPr/>
      </w:pPr>
      <w:r>
        <w:rPr/>
      </w:r>
    </w:p>
    <w:p>
      <w:pPr>
        <w:pStyle w:val="TextBody"/>
        <w:spacing w:before="0" w:after="0"/>
        <w:ind w:left="0" w:right="0" w:hanging="0"/>
        <w:jc w:val="both"/>
        <w:rPr/>
      </w:pPr>
      <w:bookmarkStart w:id="1011" w:name="TAB214"/>
      <w:bookmarkEnd w:id="1011"/>
      <w:r>
        <w:rPr>
          <w:spacing w:val="180"/>
        </w:rPr>
        <w:t> </w:t>
      </w:r>
      <w:r>
        <w:rPr>
          <w:rFonts w:ascii="helvetica" w:hAnsi="helvetica"/>
          <w:b/>
          <w:sz w:val="20"/>
        </w:rPr>
        <w:t>Series A Preferred Stock</w:t>
      </w:r>
    </w:p>
    <w:p>
      <w:pPr>
        <w:pStyle w:val="TextBody"/>
        <w:spacing w:before="0" w:after="0"/>
        <w:ind w:left="0" w:right="0" w:hanging="0"/>
        <w:jc w:val="both"/>
        <w:rPr/>
      </w:pPr>
      <w:r>
        <w:rPr/>
        <w:t> </w:t>
      </w:r>
    </w:p>
    <w:p>
      <w:pPr>
        <w:pStyle w:val="TextBody"/>
        <w:spacing w:before="0" w:after="0"/>
        <w:ind w:left="0" w:right="0" w:hanging="0"/>
        <w:jc w:val="both"/>
        <w:rPr>
          <w:rFonts w:ascii="helvetica" w:hAnsi="helvetica"/>
          <w:b w:val="false"/>
          <w:sz w:val="20"/>
        </w:rPr>
      </w:pPr>
      <w:r>
        <w:rPr>
          <w:rFonts w:ascii="helvetica" w:hAnsi="helvetica"/>
          <w:b w:val="false"/>
          <w:sz w:val="20"/>
        </w:rPr>
        <w:t>On December 12, 2011, the Company issued 10 shares of Series A Preferred Stock to DermaStar, a related party, in a private placement.  The Series A Preferred Stock has the rights and preferences identified in the Certificate of Designation to our Amended and Restated Certificate of Incorporation filed with the Delaware Secretary of State on December 9, 2011.  Among other things, the Certificate of Designation (i) authorizes 10 shares of the Company’s preferred stock to be designated as “Series A Convertible Preferred Stock”; (ii) grants the holders of the Series A Preferred Stock the right to convert into our common stock at a conversion price of approximately $0.013336, as adjusted; (iii) grants a liquidation preference of $10,000 per share of Series A Preferred Stock; (iv) provides that the holders of Series A Preferred Stock shall vote with the holders of our common stock on an “as converted basis”; and (v) provides that the affirmative vote of a majority of the outstanding shares of the Series A Preferred Stock is required to approve certain corporate matters including, among other things, changes to the rights of the holders of the Series A Preferred Stock, amendments to our Amended and Restated Certificate of Incorporation or Bylaws, issuance of priority or parity securities, issuance of debt securities, entry into certain fundamental transactions and increase or decrease in the size of our Board of Directors.</w:t>
      </w:r>
    </w:p>
    <w:p>
      <w:pPr>
        <w:pStyle w:val="TextBody"/>
        <w:spacing w:before="0" w:after="0"/>
        <w:ind w:left="0" w:right="0" w:hanging="0"/>
        <w:jc w:val="both"/>
        <w:rPr/>
      </w:pPr>
      <w:r>
        <w:rPr/>
        <w:t> </w:t>
      </w:r>
    </w:p>
    <w:p>
      <w:pPr>
        <w:pStyle w:val="TextBody"/>
        <w:spacing w:before="0" w:after="0"/>
        <w:ind w:left="0" w:right="0" w:hanging="0"/>
        <w:jc w:val="both"/>
        <w:rPr>
          <w:rFonts w:ascii="helvetica" w:hAnsi="helvetica"/>
          <w:b w:val="false"/>
          <w:sz w:val="20"/>
        </w:rPr>
      </w:pPr>
      <w:r>
        <w:rPr>
          <w:rFonts w:ascii="helvetica" w:hAnsi="helvetica"/>
          <w:b w:val="false"/>
          <w:sz w:val="20"/>
        </w:rPr>
        <w:t>On June 29, 2012, DermaStar converted the 10 shares of Series A Preferred Stock held by it into 7,498,500 shares of the Company’s common stock.   In connection with the conversion, the Company paid to DermaStar $200,000 as partial consideration for the conversion pursuant to a conversion agreement.  Immediately following the conversion of the Series A Preferred Stock, all 10 shares were retired to our treasury and cancelled.  The Company recognized the $200,000 payment as additional consideration transferred in the transaction in excess of the fair value of the consideration issuable in accordance with the original conversion terms.  As a result, the cash payment to DermaStar was recorded as a deemed preferred stock dividend.  Accordingly, the Company recorded a deemed preferred stock dividend at the date of conversion, June 29, 2012, totaling $200,000, which represents an increase to reported net loss in arriving at net loss attributable to common stockholders.</w:t>
      </w:r>
    </w:p>
    <w:p>
      <w:pPr>
        <w:pStyle w:val="TextBody"/>
        <w:spacing w:before="0" w:after="0"/>
        <w:ind w:left="0" w:right="0" w:hanging="0"/>
        <w:jc w:val="both"/>
        <w:rPr/>
      </w:pPr>
      <w:r>
        <w:rPr/>
        <w:t> </w:t>
      </w:r>
    </w:p>
    <w:p>
      <w:pPr>
        <w:pStyle w:val="TextBody"/>
        <w:spacing w:before="0" w:after="0"/>
        <w:ind w:left="0" w:right="0" w:hanging="0"/>
        <w:jc w:val="both"/>
        <w:rPr>
          <w:rFonts w:ascii="helvetica" w:hAnsi="helvetica"/>
          <w:b/>
          <w:sz w:val="20"/>
        </w:rPr>
      </w:pPr>
      <w:r>
        <w:rPr>
          <w:rFonts w:ascii="helvetica" w:hAnsi="helvetica"/>
          <w:b/>
          <w:sz w:val="20"/>
        </w:rPr>
        <w:t>NOTE 6.  STOCK OPTION PLAN</w:t>
      </w:r>
    </w:p>
    <w:p>
      <w:pPr>
        <w:pStyle w:val="TextBody"/>
        <w:spacing w:before="0" w:after="0"/>
        <w:ind w:left="0" w:right="0" w:hanging="0"/>
        <w:jc w:val="both"/>
        <w:rPr/>
      </w:pPr>
      <w:r>
        <w:rPr/>
        <w:t> </w:t>
      </w:r>
    </w:p>
    <w:p>
      <w:pPr>
        <w:pStyle w:val="TextBody"/>
        <w:spacing w:before="0" w:after="0"/>
        <w:ind w:left="0" w:right="0" w:hanging="0"/>
        <w:jc w:val="both"/>
        <w:rPr>
          <w:rFonts w:ascii="helvetica" w:hAnsi="helvetica"/>
          <w:sz w:val="20"/>
        </w:rPr>
      </w:pPr>
      <w:r>
        <w:rPr>
          <w:rFonts w:ascii="helvetica" w:hAnsi="helvetica"/>
          <w:sz w:val="20"/>
        </w:rPr>
        <w:t>On September 17, 2007, the Company’s Board of Directors and stockholders adopted the 2007 Incentive Stock and Awards Plan (as amended on November 5, 2008, January 25, 2012, and July 18, 2012, the “Plan”), which, as of June 30, 2012, provided for the issuance of a maximum of an aggregate of 3,750,000 shares of the Company’s common stock.  The purpose of the Plan is to provide an incentive to attract and retain directors, officers, consultants, advisors and employees whose services are considered valuable, to encourage a sense of proprietorship and to stimulate an active interest of such persons in the Company’s development and financial success. Under the Plan, the Company is authorized to issue incentive stock options intended to qualify under Section 422 of the Internal Revenue Code, non-qualified stock options and restricted stock. The Plan will be administered by the Company’s Board of Directors until such time as such authority has been delegated to a committee of the Board of Directors.  On January 25, 2012, our stockholders approved an amendment to the Plan to increase the number of shares available for issuance under the Plan from 375,000 to 3,750,000 and to modify the definition of “fair market value” under the Plan, among other things.  The approval became effective on February 26, 2012.  Effective on July 18, 2012, our board of directors and stockholders holding a majority of our outstanding voting power approved a further amendment to the Plan to increase the number of shares available for issuance under the Plan from 3,750,000 to 12,000,000 and to increase the per person limit on the maximum number of shares of the Company’s common stock that may be granted to an individual under the Plan in a calendar year.  Stockholder approval of the amendment will become effective when the Company has complied with certain notice requirements under the Securities Exchange Act of 1934 (the “Exchange Act”).</w:t>
      </w:r>
    </w:p>
    <w:p>
      <w:pPr>
        <w:pStyle w:val="TextBody"/>
        <w:spacing w:before="0" w:after="0"/>
        <w:ind w:left="0" w:right="0" w:hanging="0"/>
        <w:jc w:val="both"/>
        <w:rPr/>
      </w:pPr>
      <w:r>
        <w:rPr/>
        <w:t> </w:t>
      </w:r>
    </w:p>
    <w:p>
      <w:pPr>
        <w:pStyle w:val="TextBody"/>
        <w:spacing w:before="0" w:after="0"/>
        <w:ind w:left="0" w:right="0" w:hanging="0"/>
        <w:jc w:val="left"/>
        <w:rPr>
          <w:rFonts w:ascii="helvetica" w:hAnsi="helvetica"/>
          <w:sz w:val="20"/>
        </w:rPr>
      </w:pPr>
      <w:r>
        <w:rPr>
          <w:rFonts w:ascii="helvetica" w:hAnsi="helvetica"/>
          <w:sz w:val="20"/>
        </w:rPr>
        <w:t>A summary of the Plan activity for the six months ended June 30, 2012 is as follows:</w:t>
      </w:r>
    </w:p>
    <w:p>
      <w:pPr>
        <w:pStyle w:val="TextBody"/>
        <w:spacing w:before="0" w:after="0"/>
        <w:ind w:left="0" w:right="0" w:hanging="0"/>
        <w:jc w:val="left"/>
        <w:rPr/>
      </w:pPr>
      <w:r>
        <w:rPr/>
        <w:t> </w:t>
      </w:r>
    </w:p>
    <w:tbl>
      <w:tblPr>
        <w:tblW w:w="5000" w:type="pct"/>
        <w:jc w:val="left"/>
        <w:tblInd w:w="0" w:type="dxa"/>
        <w:tblCellMar>
          <w:top w:w="0" w:type="dxa"/>
          <w:left w:w="0" w:type="dxa"/>
          <w:bottom w:w="0" w:type="dxa"/>
          <w:right w:w="0" w:type="dxa"/>
        </w:tblCellMar>
      </w:tblPr>
      <w:tblGrid>
        <w:gridCol w:w="4321"/>
        <w:gridCol w:w="107"/>
        <w:gridCol w:w="107"/>
        <w:gridCol w:w="1180"/>
        <w:gridCol w:w="120"/>
        <w:gridCol w:w="107"/>
        <w:gridCol w:w="186"/>
        <w:gridCol w:w="998"/>
        <w:gridCol w:w="107"/>
        <w:gridCol w:w="107"/>
        <w:gridCol w:w="148"/>
        <w:gridCol w:w="1149"/>
        <w:gridCol w:w="107"/>
        <w:gridCol w:w="107"/>
        <w:gridCol w:w="160"/>
        <w:gridCol w:w="1071"/>
        <w:gridCol w:w="123"/>
      </w:tblGrid>
      <w:tr>
        <w:trPr/>
        <w:tc>
          <w:tcPr>
            <w:tcW w:w="4321" w:type="dxa"/>
            <w:tcBorders/>
            <w:shd w:fill="auto" w:val="clear"/>
            <w:vAlign w:val="bottom"/>
          </w:tcPr>
          <w:p>
            <w:pPr>
              <w:pStyle w:val="TableContents"/>
              <w:spacing w:before="0" w:after="283"/>
              <w:rPr/>
            </w:pPr>
            <w:r>
              <w:rPr/>
              <w:t xml:space="preserve">  </w:t>
            </w:r>
          </w:p>
        </w:tc>
        <w:tc>
          <w:tcPr>
            <w:tcW w:w="107" w:type="dxa"/>
            <w:tcBorders/>
            <w:shd w:fill="auto" w:val="clear"/>
            <w:vAlign w:val="bottom"/>
          </w:tcPr>
          <w:p>
            <w:pPr>
              <w:pStyle w:val="TableContents"/>
              <w:spacing w:before="0" w:after="283"/>
              <w:rPr/>
            </w:pPr>
            <w:r>
              <w:rPr/>
              <w:t> </w:t>
            </w:r>
          </w:p>
        </w:tc>
        <w:tc>
          <w:tcPr>
            <w:tcW w:w="1287"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helvetica" w:hAnsi="helvetica"/>
                <w:b/>
                <w:sz w:val="16"/>
              </w:rPr>
            </w:pPr>
            <w:r>
              <w:rPr>
                <w:rFonts w:ascii="helvetica" w:hAnsi="helvetica"/>
                <w:b/>
                <w:sz w:val="16"/>
              </w:rPr>
              <w:t>Number of shares</w:t>
            </w:r>
          </w:p>
        </w:tc>
        <w:tc>
          <w:tcPr>
            <w:tcW w:w="120" w:type="dxa"/>
            <w:tcBorders/>
            <w:shd w:fill="auto" w:val="clear"/>
            <w:vAlign w:val="bottom"/>
          </w:tcPr>
          <w:p>
            <w:pPr>
              <w:pStyle w:val="TableContents"/>
              <w:spacing w:before="0" w:after="283"/>
              <w:jc w:val="left"/>
              <w:rPr/>
            </w:pPr>
            <w:r>
              <w:rPr/>
              <w:t> </w:t>
            </w:r>
          </w:p>
        </w:tc>
        <w:tc>
          <w:tcPr>
            <w:tcW w:w="107" w:type="dxa"/>
            <w:tcBorders/>
            <w:shd w:fill="auto" w:val="clear"/>
            <w:vAlign w:val="bottom"/>
          </w:tcPr>
          <w:p>
            <w:pPr>
              <w:pStyle w:val="TableContents"/>
              <w:spacing w:before="0" w:after="283"/>
              <w:rPr/>
            </w:pPr>
            <w:r>
              <w:rPr/>
              <w:t> </w:t>
            </w:r>
          </w:p>
        </w:tc>
        <w:tc>
          <w:tcPr>
            <w:tcW w:w="1184"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helvetica" w:hAnsi="helvetica"/>
                <w:b/>
                <w:sz w:val="16"/>
              </w:rPr>
            </w:pPr>
            <w:r>
              <w:rPr>
                <w:rFonts w:ascii="helvetica" w:hAnsi="helvetica"/>
                <w:b/>
                <w:sz w:val="16"/>
              </w:rPr>
              <w:t>Weighted Avg. Exercise Price</w:t>
            </w:r>
          </w:p>
        </w:tc>
        <w:tc>
          <w:tcPr>
            <w:tcW w:w="107" w:type="dxa"/>
            <w:tcBorders/>
            <w:shd w:fill="auto" w:val="clear"/>
            <w:vAlign w:val="bottom"/>
          </w:tcPr>
          <w:p>
            <w:pPr>
              <w:pStyle w:val="TableContents"/>
              <w:spacing w:before="0" w:after="283"/>
              <w:jc w:val="left"/>
              <w:rPr/>
            </w:pPr>
            <w:r>
              <w:rPr/>
              <w:t> </w:t>
            </w:r>
          </w:p>
        </w:tc>
        <w:tc>
          <w:tcPr>
            <w:tcW w:w="107" w:type="dxa"/>
            <w:tcBorders/>
            <w:shd w:fill="auto" w:val="clear"/>
            <w:vAlign w:val="bottom"/>
          </w:tcPr>
          <w:p>
            <w:pPr>
              <w:pStyle w:val="TableContents"/>
              <w:spacing w:before="0" w:after="283"/>
              <w:rPr/>
            </w:pPr>
            <w:r>
              <w:rPr/>
              <w:t> </w:t>
            </w:r>
          </w:p>
        </w:tc>
        <w:tc>
          <w:tcPr>
            <w:tcW w:w="1297"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helvetica" w:hAnsi="helvetica"/>
                <w:b/>
                <w:sz w:val="16"/>
              </w:rPr>
            </w:pPr>
            <w:r>
              <w:rPr>
                <w:rFonts w:ascii="helvetica" w:hAnsi="helvetica"/>
                <w:b/>
                <w:sz w:val="16"/>
              </w:rPr>
              <w:t>Weighted Avg. Remaining</w:t>
              <w:br/>
              <w:t>Contractual Life</w:t>
            </w:r>
          </w:p>
        </w:tc>
        <w:tc>
          <w:tcPr>
            <w:tcW w:w="107" w:type="dxa"/>
            <w:tcBorders/>
            <w:shd w:fill="auto" w:val="clear"/>
            <w:vAlign w:val="bottom"/>
          </w:tcPr>
          <w:p>
            <w:pPr>
              <w:pStyle w:val="TableContents"/>
              <w:spacing w:before="0" w:after="283"/>
              <w:jc w:val="left"/>
              <w:rPr/>
            </w:pPr>
            <w:r>
              <w:rPr/>
              <w:t> </w:t>
            </w:r>
          </w:p>
        </w:tc>
        <w:tc>
          <w:tcPr>
            <w:tcW w:w="107" w:type="dxa"/>
            <w:tcBorders/>
            <w:shd w:fill="auto" w:val="clear"/>
            <w:vAlign w:val="bottom"/>
          </w:tcPr>
          <w:p>
            <w:pPr>
              <w:pStyle w:val="TableContents"/>
              <w:spacing w:before="0" w:after="283"/>
              <w:rPr/>
            </w:pPr>
            <w:r>
              <w:rPr/>
              <w:t> </w:t>
            </w:r>
          </w:p>
        </w:tc>
        <w:tc>
          <w:tcPr>
            <w:tcW w:w="1231"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helvetica" w:hAnsi="helvetica"/>
                <w:b/>
                <w:sz w:val="16"/>
              </w:rPr>
            </w:pPr>
            <w:r>
              <w:rPr>
                <w:rFonts w:ascii="helvetica" w:hAnsi="helvetica"/>
                <w:b/>
                <w:sz w:val="16"/>
              </w:rPr>
              <w:t>Aggregate</w:t>
              <w:br/>
              <w:t>Intrinsic Value</w:t>
            </w:r>
          </w:p>
        </w:tc>
        <w:tc>
          <w:tcPr>
            <w:tcW w:w="123" w:type="dxa"/>
            <w:tcBorders/>
            <w:shd w:fill="auto" w:val="clear"/>
            <w:vAlign w:val="bottom"/>
          </w:tcPr>
          <w:p>
            <w:pPr>
              <w:pStyle w:val="TableContents"/>
              <w:spacing w:before="0" w:after="283"/>
              <w:jc w:val="left"/>
              <w:rPr/>
            </w:pPr>
            <w:r>
              <w:rPr/>
              <w:t> </w:t>
            </w:r>
          </w:p>
        </w:tc>
      </w:tr>
      <w:tr>
        <w:trPr/>
        <w:tc>
          <w:tcPr>
            <w:tcW w:w="4321" w:type="dxa"/>
            <w:tcBorders/>
            <w:shd w:fill="CCEEFF" w:val="clear"/>
            <w:vAlign w:val="bottom"/>
          </w:tcPr>
          <w:p>
            <w:pPr>
              <w:pStyle w:val="TableContents"/>
              <w:spacing w:before="0" w:after="0"/>
              <w:ind w:left="0" w:right="0" w:hanging="0"/>
              <w:jc w:val="left"/>
              <w:rPr>
                <w:rFonts w:ascii="helvetica" w:hAnsi="helvetica"/>
                <w:sz w:val="20"/>
              </w:rPr>
            </w:pPr>
            <w:r>
              <w:rPr>
                <w:rFonts w:ascii="helvetica" w:hAnsi="helvetica"/>
                <w:sz w:val="20"/>
              </w:rPr>
              <w:t>Outstanding - January 1, 2012</w:t>
            </w:r>
          </w:p>
        </w:tc>
        <w:tc>
          <w:tcPr>
            <w:tcW w:w="107" w:type="dxa"/>
            <w:tcBorders/>
            <w:shd w:fill="CCEEFF" w:val="clear"/>
            <w:vAlign w:val="bottom"/>
          </w:tcPr>
          <w:p>
            <w:pPr>
              <w:pStyle w:val="TableContents"/>
              <w:spacing w:before="0" w:after="283"/>
              <w:rPr/>
            </w:pPr>
            <w:r>
              <w:rPr/>
              <w:t> </w:t>
            </w:r>
          </w:p>
        </w:tc>
        <w:tc>
          <w:tcPr>
            <w:tcW w:w="107" w:type="dxa"/>
            <w:tcBorders/>
            <w:shd w:fill="CCEEFF" w:val="clear"/>
            <w:vAlign w:val="bottom"/>
          </w:tcPr>
          <w:p>
            <w:pPr>
              <w:pStyle w:val="TableContents"/>
              <w:spacing w:before="0" w:after="283"/>
              <w:jc w:val="left"/>
              <w:rPr/>
            </w:pPr>
            <w:r>
              <w:rPr/>
              <w:t> </w:t>
            </w:r>
          </w:p>
        </w:tc>
        <w:tc>
          <w:tcPr>
            <w:tcW w:w="1180"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150,152</w:t>
            </w:r>
          </w:p>
        </w:tc>
        <w:tc>
          <w:tcPr>
            <w:tcW w:w="120" w:type="dxa"/>
            <w:tcBorders/>
            <w:shd w:fill="CCEEFF" w:val="clear"/>
            <w:vAlign w:val="bottom"/>
          </w:tcPr>
          <w:p>
            <w:pPr>
              <w:pStyle w:val="TableContents"/>
              <w:spacing w:before="0" w:after="283"/>
              <w:jc w:val="left"/>
              <w:rPr/>
            </w:pPr>
            <w:r>
              <w:rPr/>
              <w:t> </w:t>
            </w:r>
          </w:p>
        </w:tc>
        <w:tc>
          <w:tcPr>
            <w:tcW w:w="107" w:type="dxa"/>
            <w:tcBorders/>
            <w:shd w:fill="CCEEFF" w:val="clear"/>
            <w:vAlign w:val="bottom"/>
          </w:tcPr>
          <w:p>
            <w:pPr>
              <w:pStyle w:val="TableContents"/>
              <w:spacing w:before="0" w:after="283"/>
              <w:rPr/>
            </w:pPr>
            <w:r>
              <w:rPr/>
              <w:t> </w:t>
            </w:r>
          </w:p>
        </w:tc>
        <w:tc>
          <w:tcPr>
            <w:tcW w:w="186" w:type="dxa"/>
            <w:tcBorders/>
            <w:shd w:fill="CCEEFF" w:val="clear"/>
            <w:vAlign w:val="bottom"/>
          </w:tcPr>
          <w:p>
            <w:pPr>
              <w:pStyle w:val="TableContents"/>
              <w:spacing w:before="0" w:after="283"/>
              <w:jc w:val="left"/>
              <w:rPr>
                <w:rFonts w:ascii="helvetica" w:hAnsi="helvetica"/>
                <w:sz w:val="20"/>
              </w:rPr>
            </w:pPr>
            <w:r>
              <w:rPr>
                <w:rFonts w:ascii="helvetica" w:hAnsi="helvetica"/>
                <w:sz w:val="20"/>
              </w:rPr>
              <w:t>$</w:t>
            </w:r>
          </w:p>
        </w:tc>
        <w:tc>
          <w:tcPr>
            <w:tcW w:w="998"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9.68</w:t>
            </w:r>
          </w:p>
        </w:tc>
        <w:tc>
          <w:tcPr>
            <w:tcW w:w="107" w:type="dxa"/>
            <w:tcBorders/>
            <w:shd w:fill="CCEEFF" w:val="clear"/>
            <w:vAlign w:val="bottom"/>
          </w:tcPr>
          <w:p>
            <w:pPr>
              <w:pStyle w:val="TableContents"/>
              <w:spacing w:before="0" w:after="283"/>
              <w:jc w:val="left"/>
              <w:rPr/>
            </w:pPr>
            <w:r>
              <w:rPr/>
              <w:t> </w:t>
            </w:r>
          </w:p>
        </w:tc>
        <w:tc>
          <w:tcPr>
            <w:tcW w:w="107" w:type="dxa"/>
            <w:tcBorders/>
            <w:shd w:fill="CCEEFF" w:val="clear"/>
            <w:vAlign w:val="bottom"/>
          </w:tcPr>
          <w:p>
            <w:pPr>
              <w:pStyle w:val="TableContents"/>
              <w:spacing w:before="0" w:after="283"/>
              <w:rPr/>
            </w:pPr>
            <w:r>
              <w:rPr/>
              <w:t> </w:t>
            </w:r>
          </w:p>
        </w:tc>
        <w:tc>
          <w:tcPr>
            <w:tcW w:w="1297" w:type="dxa"/>
            <w:gridSpan w:val="2"/>
            <w:tcBorders/>
            <w:shd w:fill="CCEEFF" w:val="clear"/>
            <w:vAlign w:val="bottom"/>
          </w:tcPr>
          <w:p>
            <w:pPr>
              <w:pStyle w:val="TableContents"/>
              <w:spacing w:before="0" w:after="283"/>
              <w:rPr/>
            </w:pPr>
            <w:r>
              <w:rPr/>
              <w:t> </w:t>
            </w:r>
          </w:p>
        </w:tc>
        <w:tc>
          <w:tcPr>
            <w:tcW w:w="107" w:type="dxa"/>
            <w:tcBorders/>
            <w:shd w:fill="CCEEFF" w:val="clear"/>
            <w:vAlign w:val="bottom"/>
          </w:tcPr>
          <w:p>
            <w:pPr>
              <w:pStyle w:val="TableContents"/>
              <w:spacing w:before="0" w:after="283"/>
              <w:jc w:val="left"/>
              <w:rPr/>
            </w:pPr>
            <w:r>
              <w:rPr/>
              <w:t> </w:t>
            </w:r>
          </w:p>
        </w:tc>
        <w:tc>
          <w:tcPr>
            <w:tcW w:w="107" w:type="dxa"/>
            <w:tcBorders/>
            <w:shd w:fill="CCEEFF" w:val="clear"/>
            <w:vAlign w:val="bottom"/>
          </w:tcPr>
          <w:p>
            <w:pPr>
              <w:pStyle w:val="TableContents"/>
              <w:spacing w:before="0" w:after="283"/>
              <w:rPr/>
            </w:pPr>
            <w:r>
              <w:rPr/>
              <w:t> </w:t>
            </w:r>
          </w:p>
        </w:tc>
        <w:tc>
          <w:tcPr>
            <w:tcW w:w="1231" w:type="dxa"/>
            <w:gridSpan w:val="2"/>
            <w:tcBorders/>
            <w:shd w:fill="CCEEFF" w:val="clear"/>
            <w:vAlign w:val="bottom"/>
          </w:tcPr>
          <w:p>
            <w:pPr>
              <w:pStyle w:val="TableContents"/>
              <w:spacing w:before="0" w:after="283"/>
              <w:rPr/>
            </w:pPr>
            <w:r>
              <w:rPr/>
              <w:t> </w:t>
            </w:r>
          </w:p>
        </w:tc>
        <w:tc>
          <w:tcPr>
            <w:tcW w:w="123" w:type="dxa"/>
            <w:tcBorders/>
            <w:shd w:fill="CCEEFF" w:val="clear"/>
            <w:vAlign w:val="bottom"/>
          </w:tcPr>
          <w:p>
            <w:pPr>
              <w:pStyle w:val="TableContents"/>
              <w:spacing w:before="0" w:after="283"/>
              <w:jc w:val="left"/>
              <w:rPr/>
            </w:pPr>
            <w:r>
              <w:rPr/>
              <w:t> </w:t>
            </w:r>
          </w:p>
        </w:tc>
      </w:tr>
      <w:tr>
        <w:trPr/>
        <w:tc>
          <w:tcPr>
            <w:tcW w:w="4321" w:type="dxa"/>
            <w:tcBorders/>
            <w:shd w:fill="FFFFFF" w:val="clear"/>
            <w:vAlign w:val="bottom"/>
          </w:tcPr>
          <w:p>
            <w:pPr>
              <w:pStyle w:val="TableContents"/>
              <w:spacing w:before="0" w:after="0"/>
              <w:ind w:left="0" w:right="0" w:hanging="0"/>
              <w:jc w:val="left"/>
              <w:rPr>
                <w:rFonts w:ascii="helvetica" w:hAnsi="helvetica"/>
                <w:sz w:val="20"/>
              </w:rPr>
            </w:pPr>
            <w:r>
              <w:rPr>
                <w:rFonts w:ascii="helvetica" w:hAnsi="helvetica"/>
                <w:sz w:val="20"/>
              </w:rPr>
              <w:t>Granted</w:t>
            </w:r>
          </w:p>
        </w:tc>
        <w:tc>
          <w:tcPr>
            <w:tcW w:w="107" w:type="dxa"/>
            <w:tcBorders/>
            <w:shd w:fill="FFFFFF" w:val="clear"/>
            <w:vAlign w:val="bottom"/>
          </w:tcPr>
          <w:p>
            <w:pPr>
              <w:pStyle w:val="TableContents"/>
              <w:spacing w:before="0" w:after="283"/>
              <w:rPr/>
            </w:pPr>
            <w:r>
              <w:rPr/>
              <w:t> </w:t>
            </w:r>
          </w:p>
        </w:tc>
        <w:tc>
          <w:tcPr>
            <w:tcW w:w="107" w:type="dxa"/>
            <w:tcBorders/>
            <w:shd w:fill="FFFFFF" w:val="clear"/>
            <w:vAlign w:val="bottom"/>
          </w:tcPr>
          <w:p>
            <w:pPr>
              <w:pStyle w:val="TableContents"/>
              <w:spacing w:before="0" w:after="283"/>
              <w:jc w:val="left"/>
              <w:rPr/>
            </w:pPr>
            <w:r>
              <w:rPr/>
              <w:t> </w:t>
            </w:r>
          </w:p>
        </w:tc>
        <w:tc>
          <w:tcPr>
            <w:tcW w:w="1180"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4,975,000</w:t>
            </w:r>
          </w:p>
        </w:tc>
        <w:tc>
          <w:tcPr>
            <w:tcW w:w="120" w:type="dxa"/>
            <w:tcBorders/>
            <w:shd w:fill="FFFFFF" w:val="clear"/>
            <w:vAlign w:val="bottom"/>
          </w:tcPr>
          <w:p>
            <w:pPr>
              <w:pStyle w:val="TableContents"/>
              <w:spacing w:before="0" w:after="283"/>
              <w:jc w:val="left"/>
              <w:rPr/>
            </w:pPr>
            <w:r>
              <w:rPr/>
              <w:t> </w:t>
            </w:r>
          </w:p>
        </w:tc>
        <w:tc>
          <w:tcPr>
            <w:tcW w:w="107" w:type="dxa"/>
            <w:tcBorders/>
            <w:shd w:fill="FFFFFF" w:val="clear"/>
            <w:vAlign w:val="bottom"/>
          </w:tcPr>
          <w:p>
            <w:pPr>
              <w:pStyle w:val="TableContents"/>
              <w:spacing w:before="0" w:after="283"/>
              <w:rPr/>
            </w:pPr>
            <w:r>
              <w:rPr/>
              <w:t> </w:t>
            </w:r>
          </w:p>
        </w:tc>
        <w:tc>
          <w:tcPr>
            <w:tcW w:w="186" w:type="dxa"/>
            <w:tcBorders/>
            <w:shd w:fill="FFFFFF" w:val="clear"/>
            <w:vAlign w:val="bottom"/>
          </w:tcPr>
          <w:p>
            <w:pPr>
              <w:pStyle w:val="TableContents"/>
              <w:spacing w:before="0" w:after="283"/>
              <w:jc w:val="left"/>
              <w:rPr/>
            </w:pPr>
            <w:r>
              <w:rPr/>
              <w:t> </w:t>
            </w:r>
          </w:p>
        </w:tc>
        <w:tc>
          <w:tcPr>
            <w:tcW w:w="998"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0.73</w:t>
            </w:r>
          </w:p>
        </w:tc>
        <w:tc>
          <w:tcPr>
            <w:tcW w:w="107" w:type="dxa"/>
            <w:tcBorders/>
            <w:shd w:fill="FFFFFF" w:val="clear"/>
            <w:vAlign w:val="bottom"/>
          </w:tcPr>
          <w:p>
            <w:pPr>
              <w:pStyle w:val="TableContents"/>
              <w:spacing w:before="0" w:after="283"/>
              <w:jc w:val="left"/>
              <w:rPr/>
            </w:pPr>
            <w:r>
              <w:rPr/>
              <w:t> </w:t>
            </w:r>
          </w:p>
        </w:tc>
        <w:tc>
          <w:tcPr>
            <w:tcW w:w="107" w:type="dxa"/>
            <w:tcBorders/>
            <w:shd w:fill="FFFFFF" w:val="clear"/>
            <w:vAlign w:val="bottom"/>
          </w:tcPr>
          <w:p>
            <w:pPr>
              <w:pStyle w:val="TableContents"/>
              <w:spacing w:before="0" w:after="283"/>
              <w:rPr/>
            </w:pPr>
            <w:r>
              <w:rPr/>
              <w:t> </w:t>
            </w:r>
          </w:p>
        </w:tc>
        <w:tc>
          <w:tcPr>
            <w:tcW w:w="1297" w:type="dxa"/>
            <w:gridSpan w:val="2"/>
            <w:tcBorders/>
            <w:shd w:fill="FFFFFF" w:val="clear"/>
            <w:vAlign w:val="bottom"/>
          </w:tcPr>
          <w:p>
            <w:pPr>
              <w:pStyle w:val="TableContents"/>
              <w:spacing w:before="0" w:after="283"/>
              <w:rPr/>
            </w:pPr>
            <w:r>
              <w:rPr/>
              <w:t> </w:t>
            </w:r>
          </w:p>
        </w:tc>
        <w:tc>
          <w:tcPr>
            <w:tcW w:w="107" w:type="dxa"/>
            <w:tcBorders/>
            <w:shd w:fill="FFFFFF" w:val="clear"/>
            <w:vAlign w:val="bottom"/>
          </w:tcPr>
          <w:p>
            <w:pPr>
              <w:pStyle w:val="TableContents"/>
              <w:spacing w:before="0" w:after="283"/>
              <w:jc w:val="left"/>
              <w:rPr/>
            </w:pPr>
            <w:r>
              <w:rPr/>
              <w:t> </w:t>
            </w:r>
          </w:p>
        </w:tc>
        <w:tc>
          <w:tcPr>
            <w:tcW w:w="107" w:type="dxa"/>
            <w:tcBorders/>
            <w:shd w:fill="FFFFFF" w:val="clear"/>
            <w:vAlign w:val="bottom"/>
          </w:tcPr>
          <w:p>
            <w:pPr>
              <w:pStyle w:val="TableContents"/>
              <w:spacing w:before="0" w:after="283"/>
              <w:rPr/>
            </w:pPr>
            <w:r>
              <w:rPr/>
              <w:t> </w:t>
            </w:r>
          </w:p>
        </w:tc>
        <w:tc>
          <w:tcPr>
            <w:tcW w:w="1231" w:type="dxa"/>
            <w:gridSpan w:val="2"/>
            <w:tcBorders/>
            <w:shd w:fill="FFFFFF" w:val="clear"/>
            <w:vAlign w:val="bottom"/>
          </w:tcPr>
          <w:p>
            <w:pPr>
              <w:pStyle w:val="TableContents"/>
              <w:spacing w:before="0" w:after="283"/>
              <w:rPr/>
            </w:pPr>
            <w:r>
              <w:rPr/>
              <w:t> </w:t>
            </w:r>
          </w:p>
        </w:tc>
        <w:tc>
          <w:tcPr>
            <w:tcW w:w="123" w:type="dxa"/>
            <w:tcBorders/>
            <w:shd w:fill="FFFFFF" w:val="clear"/>
            <w:vAlign w:val="bottom"/>
          </w:tcPr>
          <w:p>
            <w:pPr>
              <w:pStyle w:val="TableContents"/>
              <w:spacing w:before="0" w:after="283"/>
              <w:jc w:val="left"/>
              <w:rPr/>
            </w:pPr>
            <w:r>
              <w:rPr/>
              <w:t> </w:t>
            </w:r>
          </w:p>
        </w:tc>
      </w:tr>
      <w:tr>
        <w:trPr/>
        <w:tc>
          <w:tcPr>
            <w:tcW w:w="4321" w:type="dxa"/>
            <w:tcBorders/>
            <w:shd w:fill="CCEEFF" w:val="clear"/>
            <w:vAlign w:val="bottom"/>
          </w:tcPr>
          <w:p>
            <w:pPr>
              <w:pStyle w:val="TableContents"/>
              <w:spacing w:before="0" w:after="0"/>
              <w:ind w:left="0" w:right="0" w:hanging="0"/>
              <w:jc w:val="left"/>
              <w:rPr>
                <w:rFonts w:ascii="helvetica" w:hAnsi="helvetica"/>
                <w:sz w:val="20"/>
              </w:rPr>
            </w:pPr>
            <w:r>
              <w:rPr>
                <w:rFonts w:ascii="helvetica" w:hAnsi="helvetica"/>
                <w:sz w:val="20"/>
              </w:rPr>
              <w:t>Exercised</w:t>
            </w:r>
          </w:p>
        </w:tc>
        <w:tc>
          <w:tcPr>
            <w:tcW w:w="107" w:type="dxa"/>
            <w:tcBorders/>
            <w:shd w:fill="CCEEFF" w:val="clear"/>
            <w:vAlign w:val="bottom"/>
          </w:tcPr>
          <w:p>
            <w:pPr>
              <w:pStyle w:val="TableContents"/>
              <w:spacing w:before="0" w:after="283"/>
              <w:rPr/>
            </w:pPr>
            <w:r>
              <w:rPr/>
              <w:t> </w:t>
            </w:r>
          </w:p>
        </w:tc>
        <w:tc>
          <w:tcPr>
            <w:tcW w:w="107" w:type="dxa"/>
            <w:tcBorders/>
            <w:shd w:fill="CCEEFF" w:val="clear"/>
            <w:vAlign w:val="bottom"/>
          </w:tcPr>
          <w:p>
            <w:pPr>
              <w:pStyle w:val="TableContents"/>
              <w:spacing w:before="0" w:after="283"/>
              <w:jc w:val="left"/>
              <w:rPr/>
            </w:pPr>
            <w:r>
              <w:rPr/>
              <w:t> </w:t>
            </w:r>
          </w:p>
        </w:tc>
        <w:tc>
          <w:tcPr>
            <w:tcW w:w="1180"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w:t>
            </w:r>
          </w:p>
        </w:tc>
        <w:tc>
          <w:tcPr>
            <w:tcW w:w="120" w:type="dxa"/>
            <w:tcBorders/>
            <w:shd w:fill="CCEEFF" w:val="clear"/>
            <w:vAlign w:val="bottom"/>
          </w:tcPr>
          <w:p>
            <w:pPr>
              <w:pStyle w:val="TableContents"/>
              <w:spacing w:before="0" w:after="283"/>
              <w:jc w:val="left"/>
              <w:rPr/>
            </w:pPr>
            <w:r>
              <w:rPr/>
              <w:t> </w:t>
            </w:r>
          </w:p>
        </w:tc>
        <w:tc>
          <w:tcPr>
            <w:tcW w:w="107" w:type="dxa"/>
            <w:tcBorders/>
            <w:shd w:fill="CCEEFF" w:val="clear"/>
            <w:vAlign w:val="bottom"/>
          </w:tcPr>
          <w:p>
            <w:pPr>
              <w:pStyle w:val="TableContents"/>
              <w:spacing w:before="0" w:after="283"/>
              <w:rPr/>
            </w:pPr>
            <w:r>
              <w:rPr/>
              <w:t> </w:t>
            </w:r>
          </w:p>
        </w:tc>
        <w:tc>
          <w:tcPr>
            <w:tcW w:w="186" w:type="dxa"/>
            <w:tcBorders/>
            <w:shd w:fill="CCEEFF" w:val="clear"/>
            <w:vAlign w:val="bottom"/>
          </w:tcPr>
          <w:p>
            <w:pPr>
              <w:pStyle w:val="TableContents"/>
              <w:spacing w:before="0" w:after="283"/>
              <w:jc w:val="left"/>
              <w:rPr/>
            </w:pPr>
            <w:r>
              <w:rPr/>
              <w:t> </w:t>
            </w:r>
          </w:p>
        </w:tc>
        <w:tc>
          <w:tcPr>
            <w:tcW w:w="998" w:type="dxa"/>
            <w:tcBorders/>
            <w:shd w:fill="CCEEFF" w:val="clear"/>
            <w:vAlign w:val="bottom"/>
          </w:tcPr>
          <w:p>
            <w:pPr>
              <w:pStyle w:val="TableContents"/>
              <w:spacing w:before="0" w:after="283"/>
              <w:jc w:val="right"/>
              <w:rPr/>
            </w:pPr>
            <w:r>
              <w:rPr/>
              <w:t> </w:t>
            </w:r>
          </w:p>
        </w:tc>
        <w:tc>
          <w:tcPr>
            <w:tcW w:w="107" w:type="dxa"/>
            <w:tcBorders/>
            <w:shd w:fill="CCEEFF" w:val="clear"/>
            <w:vAlign w:val="bottom"/>
          </w:tcPr>
          <w:p>
            <w:pPr>
              <w:pStyle w:val="TableContents"/>
              <w:spacing w:before="0" w:after="283"/>
              <w:jc w:val="left"/>
              <w:rPr/>
            </w:pPr>
            <w:r>
              <w:rPr/>
              <w:t> </w:t>
            </w:r>
          </w:p>
        </w:tc>
        <w:tc>
          <w:tcPr>
            <w:tcW w:w="107" w:type="dxa"/>
            <w:tcBorders/>
            <w:shd w:fill="CCEEFF" w:val="clear"/>
            <w:vAlign w:val="bottom"/>
          </w:tcPr>
          <w:p>
            <w:pPr>
              <w:pStyle w:val="TableContents"/>
              <w:spacing w:before="0" w:after="283"/>
              <w:rPr/>
            </w:pPr>
            <w:r>
              <w:rPr/>
              <w:t> </w:t>
            </w:r>
          </w:p>
        </w:tc>
        <w:tc>
          <w:tcPr>
            <w:tcW w:w="1297" w:type="dxa"/>
            <w:gridSpan w:val="2"/>
            <w:tcBorders/>
            <w:shd w:fill="CCEEFF" w:val="clear"/>
            <w:vAlign w:val="bottom"/>
          </w:tcPr>
          <w:p>
            <w:pPr>
              <w:pStyle w:val="TableContents"/>
              <w:spacing w:before="0" w:after="283"/>
              <w:rPr/>
            </w:pPr>
            <w:r>
              <w:rPr/>
              <w:t> </w:t>
            </w:r>
          </w:p>
        </w:tc>
        <w:tc>
          <w:tcPr>
            <w:tcW w:w="107" w:type="dxa"/>
            <w:tcBorders/>
            <w:shd w:fill="CCEEFF" w:val="clear"/>
            <w:vAlign w:val="bottom"/>
          </w:tcPr>
          <w:p>
            <w:pPr>
              <w:pStyle w:val="TableContents"/>
              <w:spacing w:before="0" w:after="283"/>
              <w:jc w:val="left"/>
              <w:rPr/>
            </w:pPr>
            <w:r>
              <w:rPr/>
              <w:t> </w:t>
            </w:r>
          </w:p>
        </w:tc>
        <w:tc>
          <w:tcPr>
            <w:tcW w:w="107" w:type="dxa"/>
            <w:tcBorders/>
            <w:shd w:fill="CCEEFF" w:val="clear"/>
            <w:vAlign w:val="bottom"/>
          </w:tcPr>
          <w:p>
            <w:pPr>
              <w:pStyle w:val="TableContents"/>
              <w:spacing w:before="0" w:after="283"/>
              <w:rPr/>
            </w:pPr>
            <w:r>
              <w:rPr/>
              <w:t> </w:t>
            </w:r>
          </w:p>
        </w:tc>
        <w:tc>
          <w:tcPr>
            <w:tcW w:w="1231" w:type="dxa"/>
            <w:gridSpan w:val="2"/>
            <w:tcBorders/>
            <w:shd w:fill="CCEEFF" w:val="clear"/>
            <w:vAlign w:val="bottom"/>
          </w:tcPr>
          <w:p>
            <w:pPr>
              <w:pStyle w:val="TableContents"/>
              <w:spacing w:before="0" w:after="283"/>
              <w:rPr/>
            </w:pPr>
            <w:r>
              <w:rPr/>
              <w:t> </w:t>
            </w:r>
          </w:p>
        </w:tc>
        <w:tc>
          <w:tcPr>
            <w:tcW w:w="123" w:type="dxa"/>
            <w:tcBorders/>
            <w:shd w:fill="CCEEFF" w:val="clear"/>
            <w:vAlign w:val="bottom"/>
          </w:tcPr>
          <w:p>
            <w:pPr>
              <w:pStyle w:val="TableContents"/>
              <w:spacing w:before="0" w:after="283"/>
              <w:jc w:val="left"/>
              <w:rPr/>
            </w:pPr>
            <w:r>
              <w:rPr/>
              <w:t> </w:t>
            </w:r>
          </w:p>
        </w:tc>
      </w:tr>
      <w:tr>
        <w:trPr/>
        <w:tc>
          <w:tcPr>
            <w:tcW w:w="4321" w:type="dxa"/>
            <w:tcBorders/>
            <w:shd w:fill="FFFFFF" w:val="clear"/>
            <w:vAlign w:val="bottom"/>
          </w:tcPr>
          <w:p>
            <w:pPr>
              <w:pStyle w:val="TableContents"/>
              <w:spacing w:before="0" w:after="0"/>
              <w:ind w:left="0" w:right="0" w:hanging="0"/>
              <w:jc w:val="left"/>
              <w:rPr>
                <w:rFonts w:ascii="helvetica" w:hAnsi="helvetica"/>
                <w:sz w:val="20"/>
              </w:rPr>
            </w:pPr>
            <w:r>
              <w:rPr>
                <w:rFonts w:ascii="helvetica" w:hAnsi="helvetica"/>
                <w:sz w:val="20"/>
              </w:rPr>
              <w:t>Cancelled/Forfeited</w:t>
            </w:r>
          </w:p>
        </w:tc>
        <w:tc>
          <w:tcPr>
            <w:tcW w:w="107" w:type="dxa"/>
            <w:tcBorders/>
            <w:shd w:fill="FFFFFF" w:val="clear"/>
            <w:vAlign w:val="bottom"/>
          </w:tcPr>
          <w:p>
            <w:pPr>
              <w:pStyle w:val="TableContents"/>
              <w:spacing w:before="0" w:after="283"/>
              <w:rPr/>
            </w:pPr>
            <w:r>
              <w:rPr/>
              <w:t> </w:t>
            </w:r>
          </w:p>
        </w:tc>
        <w:tc>
          <w:tcPr>
            <w:tcW w:w="107"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180" w:type="dxa"/>
            <w:tcBorders>
              <w:bottom w:val="single" w:sz="12" w:space="0" w:color="000000"/>
            </w:tcBorders>
            <w:shd w:fill="FFFF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(625,000</w:t>
            </w:r>
          </w:p>
        </w:tc>
        <w:tc>
          <w:tcPr>
            <w:tcW w:w="120" w:type="dxa"/>
            <w:tcBorders/>
            <w:shd w:fill="FFFFFF" w:val="clear"/>
            <w:vAlign w:val="bottom"/>
          </w:tcPr>
          <w:p>
            <w:pPr>
              <w:pStyle w:val="TableContents"/>
              <w:spacing w:before="0" w:after="283"/>
              <w:jc w:val="left"/>
              <w:rPr>
                <w:rFonts w:ascii="helvetica" w:hAnsi="helvetica"/>
                <w:sz w:val="20"/>
              </w:rPr>
            </w:pPr>
            <w:r>
              <w:rPr>
                <w:rFonts w:ascii="helvetica" w:hAnsi="helvetica"/>
                <w:sz w:val="20"/>
              </w:rPr>
              <w:t>)</w:t>
            </w:r>
          </w:p>
        </w:tc>
        <w:tc>
          <w:tcPr>
            <w:tcW w:w="107" w:type="dxa"/>
            <w:tcBorders/>
            <w:shd w:fill="FFFFFF" w:val="clear"/>
            <w:vAlign w:val="bottom"/>
          </w:tcPr>
          <w:p>
            <w:pPr>
              <w:pStyle w:val="TableContents"/>
              <w:spacing w:before="0" w:after="283"/>
              <w:rPr/>
            </w:pPr>
            <w:r>
              <w:rPr/>
              <w:t> </w:t>
            </w:r>
          </w:p>
        </w:tc>
        <w:tc>
          <w:tcPr>
            <w:tcW w:w="186"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998" w:type="dxa"/>
            <w:tcBorders>
              <w:bottom w:val="single" w:sz="12" w:space="0" w:color="000000"/>
            </w:tcBorders>
            <w:shd w:fill="FFFF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0.64</w:t>
            </w:r>
          </w:p>
        </w:tc>
        <w:tc>
          <w:tcPr>
            <w:tcW w:w="107" w:type="dxa"/>
            <w:tcBorders/>
            <w:shd w:fill="FFFFFF" w:val="clear"/>
            <w:vAlign w:val="bottom"/>
          </w:tcPr>
          <w:p>
            <w:pPr>
              <w:pStyle w:val="TableContents"/>
              <w:spacing w:before="0" w:after="283"/>
              <w:jc w:val="left"/>
              <w:rPr/>
            </w:pPr>
            <w:r>
              <w:rPr/>
              <w:t> </w:t>
            </w:r>
          </w:p>
        </w:tc>
        <w:tc>
          <w:tcPr>
            <w:tcW w:w="107" w:type="dxa"/>
            <w:tcBorders/>
            <w:shd w:fill="FFFFFF" w:val="clear"/>
            <w:vAlign w:val="bottom"/>
          </w:tcPr>
          <w:p>
            <w:pPr>
              <w:pStyle w:val="TableContents"/>
              <w:spacing w:before="0" w:after="283"/>
              <w:rPr/>
            </w:pPr>
            <w:r>
              <w:rPr/>
              <w:t> </w:t>
            </w:r>
          </w:p>
        </w:tc>
        <w:tc>
          <w:tcPr>
            <w:tcW w:w="1297" w:type="dxa"/>
            <w:gridSpan w:val="2"/>
            <w:tcBorders>
              <w:bottom w:val="single" w:sz="12" w:space="0" w:color="000000"/>
            </w:tcBorders>
            <w:shd w:fill="FFFFFF" w:val="clear"/>
            <w:tcMar>
              <w:bottom w:w="28" w:type="dxa"/>
            </w:tcMar>
            <w:vAlign w:val="bottom"/>
          </w:tcPr>
          <w:p>
            <w:pPr>
              <w:pStyle w:val="TableContents"/>
              <w:spacing w:before="0" w:after="283"/>
              <w:rPr/>
            </w:pPr>
            <w:r>
              <w:rPr/>
              <w:t> </w:t>
            </w:r>
          </w:p>
        </w:tc>
        <w:tc>
          <w:tcPr>
            <w:tcW w:w="107" w:type="dxa"/>
            <w:tcBorders/>
            <w:shd w:fill="FFFFFF" w:val="clear"/>
            <w:vAlign w:val="bottom"/>
          </w:tcPr>
          <w:p>
            <w:pPr>
              <w:pStyle w:val="TableContents"/>
              <w:spacing w:before="0" w:after="283"/>
              <w:jc w:val="left"/>
              <w:rPr/>
            </w:pPr>
            <w:r>
              <w:rPr/>
              <w:t> </w:t>
            </w:r>
          </w:p>
        </w:tc>
        <w:tc>
          <w:tcPr>
            <w:tcW w:w="107" w:type="dxa"/>
            <w:tcBorders/>
            <w:shd w:fill="FFFFFF" w:val="clear"/>
            <w:vAlign w:val="bottom"/>
          </w:tcPr>
          <w:p>
            <w:pPr>
              <w:pStyle w:val="TableContents"/>
              <w:spacing w:before="0" w:after="283"/>
              <w:rPr/>
            </w:pPr>
            <w:r>
              <w:rPr/>
              <w:t> </w:t>
            </w:r>
          </w:p>
        </w:tc>
        <w:tc>
          <w:tcPr>
            <w:tcW w:w="1231" w:type="dxa"/>
            <w:gridSpan w:val="2"/>
            <w:tcBorders>
              <w:bottom w:val="single" w:sz="12" w:space="0" w:color="000000"/>
            </w:tcBorders>
            <w:shd w:fill="FFFFFF" w:val="clear"/>
            <w:tcMar>
              <w:bottom w:w="28" w:type="dxa"/>
            </w:tcMar>
            <w:vAlign w:val="bottom"/>
          </w:tcPr>
          <w:p>
            <w:pPr>
              <w:pStyle w:val="TableContents"/>
              <w:spacing w:before="0" w:after="283"/>
              <w:rPr/>
            </w:pPr>
            <w:r>
              <w:rPr/>
              <w:t> </w:t>
            </w:r>
          </w:p>
        </w:tc>
        <w:tc>
          <w:tcPr>
            <w:tcW w:w="123" w:type="dxa"/>
            <w:tcBorders/>
            <w:shd w:fill="FFFFFF" w:val="clear"/>
            <w:vAlign w:val="bottom"/>
          </w:tcPr>
          <w:p>
            <w:pPr>
              <w:pStyle w:val="TableContents"/>
              <w:spacing w:before="0" w:after="283"/>
              <w:jc w:val="left"/>
              <w:rPr/>
            </w:pPr>
            <w:r>
              <w:rPr/>
              <w:t> </w:t>
            </w:r>
          </w:p>
        </w:tc>
      </w:tr>
      <w:tr>
        <w:trPr/>
        <w:tc>
          <w:tcPr>
            <w:tcW w:w="4321" w:type="dxa"/>
            <w:tcBorders/>
            <w:shd w:fill="CCEEFF" w:val="clear"/>
            <w:vAlign w:val="bottom"/>
          </w:tcPr>
          <w:p>
            <w:pPr>
              <w:pStyle w:val="TableContents"/>
              <w:spacing w:before="0" w:after="0"/>
              <w:ind w:left="0" w:right="0" w:hanging="0"/>
              <w:jc w:val="left"/>
              <w:rPr>
                <w:rFonts w:ascii="helvetica" w:hAnsi="helvetica"/>
                <w:sz w:val="20"/>
              </w:rPr>
            </w:pPr>
            <w:r>
              <w:rPr>
                <w:rFonts w:ascii="helvetica" w:hAnsi="helvetica"/>
                <w:sz w:val="20"/>
              </w:rPr>
              <w:t>Outstanding - June 30, 2012</w:t>
            </w:r>
          </w:p>
        </w:tc>
        <w:tc>
          <w:tcPr>
            <w:tcW w:w="107" w:type="dxa"/>
            <w:tcBorders/>
            <w:shd w:fill="CCEEFF" w:val="clear"/>
            <w:vAlign w:val="bottom"/>
          </w:tcPr>
          <w:p>
            <w:pPr>
              <w:pStyle w:val="TableContents"/>
              <w:spacing w:before="0" w:after="283"/>
              <w:rPr/>
            </w:pPr>
            <w:r>
              <w:rPr/>
              <w:t> </w:t>
            </w:r>
          </w:p>
        </w:tc>
        <w:tc>
          <w:tcPr>
            <w:tcW w:w="107" w:type="dxa"/>
            <w:tcBorders>
              <w:bottom w:val="double" w:sz="8" w:space="0" w:color="000000"/>
            </w:tcBorders>
            <w:shd w:fill="CCEEFF" w:val="clear"/>
            <w:tcMar>
              <w:bottom w:w="28" w:type="dxa"/>
            </w:tcMar>
            <w:vAlign w:val="bottom"/>
          </w:tcPr>
          <w:p>
            <w:pPr>
              <w:pStyle w:val="TableContents"/>
              <w:spacing w:before="0" w:after="283"/>
              <w:jc w:val="left"/>
              <w:rPr/>
            </w:pPr>
            <w:r>
              <w:rPr/>
              <w:t> </w:t>
            </w:r>
          </w:p>
        </w:tc>
        <w:tc>
          <w:tcPr>
            <w:tcW w:w="1180" w:type="dxa"/>
            <w:tcBorders>
              <w:bottom w:val="double" w:sz="8" w:space="0" w:color="000000"/>
            </w:tcBorders>
            <w:shd w:fill="CCEE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4,500,152</w:t>
            </w:r>
          </w:p>
        </w:tc>
        <w:tc>
          <w:tcPr>
            <w:tcW w:w="120" w:type="dxa"/>
            <w:tcBorders/>
            <w:shd w:fill="CCEEFF" w:val="clear"/>
            <w:vAlign w:val="bottom"/>
          </w:tcPr>
          <w:p>
            <w:pPr>
              <w:pStyle w:val="TableContents"/>
              <w:spacing w:before="0" w:after="283"/>
              <w:jc w:val="left"/>
              <w:rPr/>
            </w:pPr>
            <w:r>
              <w:rPr/>
              <w:t> </w:t>
            </w:r>
          </w:p>
        </w:tc>
        <w:tc>
          <w:tcPr>
            <w:tcW w:w="107" w:type="dxa"/>
            <w:tcBorders/>
            <w:shd w:fill="CCEEFF" w:val="clear"/>
            <w:vAlign w:val="bottom"/>
          </w:tcPr>
          <w:p>
            <w:pPr>
              <w:pStyle w:val="TableContents"/>
              <w:spacing w:before="0" w:after="283"/>
              <w:rPr/>
            </w:pPr>
            <w:r>
              <w:rPr/>
              <w:t> </w:t>
            </w:r>
          </w:p>
        </w:tc>
        <w:tc>
          <w:tcPr>
            <w:tcW w:w="186" w:type="dxa"/>
            <w:tcBorders>
              <w:bottom w:val="double" w:sz="8" w:space="0" w:color="000000"/>
            </w:tcBorders>
            <w:shd w:fill="CCEEFF" w:val="clear"/>
            <w:tcMar>
              <w:bottom w:w="28" w:type="dxa"/>
            </w:tcMar>
            <w:vAlign w:val="bottom"/>
          </w:tcPr>
          <w:p>
            <w:pPr>
              <w:pStyle w:val="TableContents"/>
              <w:spacing w:before="0" w:after="283"/>
              <w:jc w:val="left"/>
              <w:rPr>
                <w:rFonts w:ascii="helvetica" w:hAnsi="helvetica"/>
                <w:sz w:val="20"/>
              </w:rPr>
            </w:pPr>
            <w:r>
              <w:rPr>
                <w:rFonts w:ascii="helvetica" w:hAnsi="helvetica"/>
                <w:sz w:val="20"/>
              </w:rPr>
              <w:t>$</w:t>
            </w:r>
          </w:p>
        </w:tc>
        <w:tc>
          <w:tcPr>
            <w:tcW w:w="998" w:type="dxa"/>
            <w:tcBorders>
              <w:bottom w:val="double" w:sz="8" w:space="0" w:color="000000"/>
            </w:tcBorders>
            <w:shd w:fill="CCEE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1.03</w:t>
            </w:r>
          </w:p>
        </w:tc>
        <w:tc>
          <w:tcPr>
            <w:tcW w:w="107" w:type="dxa"/>
            <w:tcBorders/>
            <w:shd w:fill="CCEEFF" w:val="clear"/>
            <w:vAlign w:val="bottom"/>
          </w:tcPr>
          <w:p>
            <w:pPr>
              <w:pStyle w:val="TableContents"/>
              <w:spacing w:before="0" w:after="283"/>
              <w:jc w:val="left"/>
              <w:rPr/>
            </w:pPr>
            <w:r>
              <w:rPr/>
              <w:t> </w:t>
            </w:r>
          </w:p>
        </w:tc>
        <w:tc>
          <w:tcPr>
            <w:tcW w:w="107" w:type="dxa"/>
            <w:tcBorders/>
            <w:shd w:fill="CCEEFF" w:val="clear"/>
            <w:vAlign w:val="bottom"/>
          </w:tcPr>
          <w:p>
            <w:pPr>
              <w:pStyle w:val="TableContents"/>
              <w:spacing w:before="0" w:after="283"/>
              <w:rPr/>
            </w:pPr>
            <w:r>
              <w:rPr/>
              <w:t> </w:t>
            </w:r>
          </w:p>
        </w:tc>
        <w:tc>
          <w:tcPr>
            <w:tcW w:w="148" w:type="dxa"/>
            <w:tcBorders>
              <w:bottom w:val="double" w:sz="8" w:space="0" w:color="000000"/>
            </w:tcBorders>
            <w:shd w:fill="CCEEFF" w:val="clear"/>
            <w:tcMar>
              <w:bottom w:w="28" w:type="dxa"/>
            </w:tcMar>
            <w:vAlign w:val="bottom"/>
          </w:tcPr>
          <w:p>
            <w:pPr>
              <w:pStyle w:val="TableContents"/>
              <w:spacing w:before="0" w:after="283"/>
              <w:jc w:val="left"/>
              <w:rPr/>
            </w:pPr>
            <w:r>
              <w:rPr/>
              <w:t> </w:t>
            </w:r>
          </w:p>
        </w:tc>
        <w:tc>
          <w:tcPr>
            <w:tcW w:w="1149" w:type="dxa"/>
            <w:tcBorders>
              <w:bottom w:val="double" w:sz="8" w:space="0" w:color="000000"/>
            </w:tcBorders>
            <w:shd w:fill="CCEE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5.26</w:t>
            </w:r>
          </w:p>
        </w:tc>
        <w:tc>
          <w:tcPr>
            <w:tcW w:w="107" w:type="dxa"/>
            <w:tcBorders/>
            <w:shd w:fill="CCEEFF" w:val="clear"/>
            <w:vAlign w:val="bottom"/>
          </w:tcPr>
          <w:p>
            <w:pPr>
              <w:pStyle w:val="TableContents"/>
              <w:spacing w:before="0" w:after="283"/>
              <w:jc w:val="left"/>
              <w:rPr/>
            </w:pPr>
            <w:r>
              <w:rPr/>
              <w:t> </w:t>
            </w:r>
          </w:p>
        </w:tc>
        <w:tc>
          <w:tcPr>
            <w:tcW w:w="107" w:type="dxa"/>
            <w:tcBorders/>
            <w:shd w:fill="CCEEFF" w:val="clear"/>
            <w:vAlign w:val="bottom"/>
          </w:tcPr>
          <w:p>
            <w:pPr>
              <w:pStyle w:val="TableContents"/>
              <w:spacing w:before="0" w:after="283"/>
              <w:rPr/>
            </w:pPr>
            <w:r>
              <w:rPr/>
              <w:t> </w:t>
            </w:r>
          </w:p>
        </w:tc>
        <w:tc>
          <w:tcPr>
            <w:tcW w:w="160" w:type="dxa"/>
            <w:tcBorders>
              <w:bottom w:val="double" w:sz="8" w:space="0" w:color="000000"/>
            </w:tcBorders>
            <w:shd w:fill="CCEEFF" w:val="clear"/>
            <w:tcMar>
              <w:bottom w:w="28" w:type="dxa"/>
            </w:tcMar>
            <w:vAlign w:val="bottom"/>
          </w:tcPr>
          <w:p>
            <w:pPr>
              <w:pStyle w:val="TableContents"/>
              <w:spacing w:before="0" w:after="283"/>
              <w:jc w:val="left"/>
              <w:rPr>
                <w:rFonts w:ascii="helvetica" w:hAnsi="helvetica"/>
                <w:sz w:val="20"/>
              </w:rPr>
            </w:pPr>
            <w:r>
              <w:rPr>
                <w:rFonts w:ascii="helvetica" w:hAnsi="helvetica"/>
                <w:sz w:val="20"/>
              </w:rPr>
              <w:t>$</w:t>
            </w:r>
          </w:p>
        </w:tc>
        <w:tc>
          <w:tcPr>
            <w:tcW w:w="1071" w:type="dxa"/>
            <w:tcBorders>
              <w:bottom w:val="double" w:sz="8" w:space="0" w:color="000000"/>
            </w:tcBorders>
            <w:shd w:fill="CCEE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75,000</w:t>
            </w:r>
          </w:p>
        </w:tc>
        <w:tc>
          <w:tcPr>
            <w:tcW w:w="123" w:type="dxa"/>
            <w:tcBorders/>
            <w:shd w:fill="CCEEFF" w:val="clear"/>
            <w:vAlign w:val="bottom"/>
          </w:tcPr>
          <w:p>
            <w:pPr>
              <w:pStyle w:val="TableContents"/>
              <w:spacing w:before="0" w:after="283"/>
              <w:jc w:val="left"/>
              <w:rPr/>
            </w:pPr>
            <w:r>
              <w:rPr/>
              <w:t> </w:t>
            </w:r>
          </w:p>
        </w:tc>
      </w:tr>
      <w:tr>
        <w:trPr/>
        <w:tc>
          <w:tcPr>
            <w:tcW w:w="4321" w:type="dxa"/>
            <w:tcBorders/>
            <w:shd w:fill="FFFFFF" w:val="clear"/>
            <w:vAlign w:val="bottom"/>
          </w:tcPr>
          <w:p>
            <w:pPr>
              <w:pStyle w:val="TableContents"/>
              <w:spacing w:before="0" w:after="0"/>
              <w:ind w:left="0" w:right="0" w:hanging="0"/>
              <w:jc w:val="left"/>
              <w:rPr>
                <w:rFonts w:ascii="helvetica" w:hAnsi="helvetica"/>
                <w:sz w:val="20"/>
              </w:rPr>
            </w:pPr>
            <w:r>
              <w:rPr>
                <w:rFonts w:ascii="helvetica" w:hAnsi="helvetica"/>
                <w:sz w:val="20"/>
              </w:rPr>
              <w:t>Exercisable - June 30, 2012</w:t>
            </w:r>
          </w:p>
        </w:tc>
        <w:tc>
          <w:tcPr>
            <w:tcW w:w="107" w:type="dxa"/>
            <w:tcBorders/>
            <w:shd w:fill="FFFFFF" w:val="clear"/>
            <w:vAlign w:val="bottom"/>
          </w:tcPr>
          <w:p>
            <w:pPr>
              <w:pStyle w:val="TableContents"/>
              <w:spacing w:before="0" w:after="283"/>
              <w:rPr/>
            </w:pPr>
            <w:r>
              <w:rPr/>
              <w:t> </w:t>
            </w:r>
          </w:p>
        </w:tc>
        <w:tc>
          <w:tcPr>
            <w:tcW w:w="107" w:type="dxa"/>
            <w:tcBorders>
              <w:bottom w:val="double" w:sz="8" w:space="0" w:color="000000"/>
            </w:tcBorders>
            <w:shd w:fill="FFFFFF" w:val="clear"/>
            <w:tcMar>
              <w:bottom w:w="28" w:type="dxa"/>
            </w:tcMar>
            <w:vAlign w:val="bottom"/>
          </w:tcPr>
          <w:p>
            <w:pPr>
              <w:pStyle w:val="TableContents"/>
              <w:spacing w:before="0" w:after="283"/>
              <w:jc w:val="left"/>
              <w:rPr/>
            </w:pPr>
            <w:r>
              <w:rPr/>
              <w:t> </w:t>
            </w:r>
          </w:p>
        </w:tc>
        <w:tc>
          <w:tcPr>
            <w:tcW w:w="1180" w:type="dxa"/>
            <w:tcBorders>
              <w:bottom w:val="double" w:sz="8" w:space="0" w:color="000000"/>
            </w:tcBorders>
            <w:shd w:fill="FFFF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1,053,402</w:t>
            </w:r>
          </w:p>
        </w:tc>
        <w:tc>
          <w:tcPr>
            <w:tcW w:w="120" w:type="dxa"/>
            <w:tcBorders/>
            <w:shd w:fill="FFFFFF" w:val="clear"/>
            <w:vAlign w:val="bottom"/>
          </w:tcPr>
          <w:p>
            <w:pPr>
              <w:pStyle w:val="TableContents"/>
              <w:spacing w:before="0" w:after="283"/>
              <w:jc w:val="left"/>
              <w:rPr/>
            </w:pPr>
            <w:r>
              <w:rPr/>
              <w:t> </w:t>
            </w:r>
          </w:p>
        </w:tc>
        <w:tc>
          <w:tcPr>
            <w:tcW w:w="107" w:type="dxa"/>
            <w:tcBorders/>
            <w:shd w:fill="FFFFFF" w:val="clear"/>
            <w:vAlign w:val="bottom"/>
          </w:tcPr>
          <w:p>
            <w:pPr>
              <w:pStyle w:val="TableContents"/>
              <w:spacing w:before="0" w:after="283"/>
              <w:rPr/>
            </w:pPr>
            <w:r>
              <w:rPr/>
              <w:t> </w:t>
            </w:r>
          </w:p>
        </w:tc>
        <w:tc>
          <w:tcPr>
            <w:tcW w:w="186" w:type="dxa"/>
            <w:tcBorders>
              <w:bottom w:val="double" w:sz="8" w:space="0" w:color="000000"/>
            </w:tcBorders>
            <w:shd w:fill="FFFFFF" w:val="clear"/>
            <w:tcMar>
              <w:bottom w:w="28" w:type="dxa"/>
            </w:tcMar>
            <w:vAlign w:val="bottom"/>
          </w:tcPr>
          <w:p>
            <w:pPr>
              <w:pStyle w:val="TableContents"/>
              <w:spacing w:before="0" w:after="283"/>
              <w:jc w:val="left"/>
              <w:rPr>
                <w:rFonts w:ascii="helvetica" w:hAnsi="helvetica"/>
                <w:sz w:val="20"/>
              </w:rPr>
            </w:pPr>
            <w:r>
              <w:rPr>
                <w:rFonts w:ascii="helvetica" w:hAnsi="helvetica"/>
                <w:sz w:val="20"/>
              </w:rPr>
              <w:t>$</w:t>
            </w:r>
          </w:p>
        </w:tc>
        <w:tc>
          <w:tcPr>
            <w:tcW w:w="998" w:type="dxa"/>
            <w:tcBorders>
              <w:bottom w:val="double" w:sz="8" w:space="0" w:color="000000"/>
            </w:tcBorders>
            <w:shd w:fill="FFFF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1.97</w:t>
            </w:r>
          </w:p>
        </w:tc>
        <w:tc>
          <w:tcPr>
            <w:tcW w:w="107" w:type="dxa"/>
            <w:tcBorders/>
            <w:shd w:fill="FFFFFF" w:val="clear"/>
            <w:vAlign w:val="bottom"/>
          </w:tcPr>
          <w:p>
            <w:pPr>
              <w:pStyle w:val="TableContents"/>
              <w:spacing w:before="0" w:after="283"/>
              <w:jc w:val="left"/>
              <w:rPr/>
            </w:pPr>
            <w:r>
              <w:rPr/>
              <w:t> </w:t>
            </w:r>
          </w:p>
        </w:tc>
        <w:tc>
          <w:tcPr>
            <w:tcW w:w="107" w:type="dxa"/>
            <w:tcBorders/>
            <w:shd w:fill="FFFFFF" w:val="clear"/>
            <w:vAlign w:val="bottom"/>
          </w:tcPr>
          <w:p>
            <w:pPr>
              <w:pStyle w:val="TableContents"/>
              <w:spacing w:before="0" w:after="283"/>
              <w:rPr/>
            </w:pPr>
            <w:r>
              <w:rPr/>
              <w:t> </w:t>
            </w:r>
          </w:p>
        </w:tc>
        <w:tc>
          <w:tcPr>
            <w:tcW w:w="148" w:type="dxa"/>
            <w:tcBorders>
              <w:bottom w:val="double" w:sz="8" w:space="0" w:color="000000"/>
            </w:tcBorders>
            <w:shd w:fill="FFFFFF" w:val="clear"/>
            <w:tcMar>
              <w:bottom w:w="28" w:type="dxa"/>
            </w:tcMar>
            <w:vAlign w:val="bottom"/>
          </w:tcPr>
          <w:p>
            <w:pPr>
              <w:pStyle w:val="TableContents"/>
              <w:spacing w:before="0" w:after="283"/>
              <w:jc w:val="left"/>
              <w:rPr/>
            </w:pPr>
            <w:r>
              <w:rPr/>
              <w:t> </w:t>
            </w:r>
          </w:p>
        </w:tc>
        <w:tc>
          <w:tcPr>
            <w:tcW w:w="1149" w:type="dxa"/>
            <w:tcBorders>
              <w:bottom w:val="double" w:sz="8" w:space="0" w:color="000000"/>
            </w:tcBorders>
            <w:shd w:fill="FFFF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5.78</w:t>
            </w:r>
          </w:p>
        </w:tc>
        <w:tc>
          <w:tcPr>
            <w:tcW w:w="107" w:type="dxa"/>
            <w:tcBorders/>
            <w:shd w:fill="FFFFFF" w:val="clear"/>
            <w:vAlign w:val="bottom"/>
          </w:tcPr>
          <w:p>
            <w:pPr>
              <w:pStyle w:val="TableContents"/>
              <w:spacing w:before="0" w:after="283"/>
              <w:jc w:val="left"/>
              <w:rPr/>
            </w:pPr>
            <w:r>
              <w:rPr/>
              <w:t> </w:t>
            </w:r>
          </w:p>
        </w:tc>
        <w:tc>
          <w:tcPr>
            <w:tcW w:w="107" w:type="dxa"/>
            <w:tcBorders/>
            <w:shd w:fill="FFFFFF" w:val="clear"/>
            <w:vAlign w:val="bottom"/>
          </w:tcPr>
          <w:p>
            <w:pPr>
              <w:pStyle w:val="TableContents"/>
              <w:spacing w:before="0" w:after="283"/>
              <w:rPr/>
            </w:pPr>
            <w:r>
              <w:rPr/>
              <w:t> </w:t>
            </w:r>
          </w:p>
        </w:tc>
        <w:tc>
          <w:tcPr>
            <w:tcW w:w="160" w:type="dxa"/>
            <w:tcBorders>
              <w:bottom w:val="double" w:sz="8" w:space="0" w:color="000000"/>
            </w:tcBorders>
            <w:shd w:fill="FFFFFF" w:val="clear"/>
            <w:tcMar>
              <w:bottom w:w="28" w:type="dxa"/>
            </w:tcMar>
            <w:vAlign w:val="bottom"/>
          </w:tcPr>
          <w:p>
            <w:pPr>
              <w:pStyle w:val="TableContents"/>
              <w:spacing w:before="0" w:after="283"/>
              <w:jc w:val="left"/>
              <w:rPr>
                <w:rFonts w:ascii="helvetica" w:hAnsi="helvetica"/>
                <w:sz w:val="20"/>
              </w:rPr>
            </w:pPr>
            <w:r>
              <w:rPr>
                <w:rFonts w:ascii="helvetica" w:hAnsi="helvetica"/>
                <w:sz w:val="20"/>
              </w:rPr>
              <w:t>$</w:t>
            </w:r>
          </w:p>
        </w:tc>
        <w:tc>
          <w:tcPr>
            <w:tcW w:w="1071" w:type="dxa"/>
            <w:tcBorders>
              <w:bottom w:val="double" w:sz="8" w:space="0" w:color="000000"/>
            </w:tcBorders>
            <w:shd w:fill="FFFF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15,885</w:t>
            </w:r>
          </w:p>
        </w:tc>
        <w:tc>
          <w:tcPr>
            <w:tcW w:w="123" w:type="dxa"/>
            <w:tcBorders/>
            <w:shd w:fill="FFFFFF" w:val="clear"/>
            <w:vAlign w:val="bottom"/>
          </w:tcPr>
          <w:p>
            <w:pPr>
              <w:pStyle w:val="TableContents"/>
              <w:spacing w:before="0" w:after="283"/>
              <w:jc w:val="left"/>
              <w:rPr/>
            </w:pPr>
            <w:r>
              <w:rPr/>
              <w:t> </w:t>
            </w:r>
          </w:p>
        </w:tc>
      </w:tr>
      <w:tr>
        <w:trPr/>
        <w:tc>
          <w:tcPr>
            <w:tcW w:w="4321" w:type="dxa"/>
            <w:tcBorders/>
            <w:shd w:fill="CCEEFF" w:val="clear"/>
            <w:vAlign w:val="bottom"/>
          </w:tcPr>
          <w:p>
            <w:pPr>
              <w:pStyle w:val="TableContents"/>
              <w:spacing w:before="0" w:after="0"/>
              <w:ind w:left="0" w:right="0" w:hanging="0"/>
              <w:jc w:val="left"/>
              <w:rPr>
                <w:rFonts w:ascii="helvetica" w:hAnsi="helvetica"/>
                <w:sz w:val="20"/>
              </w:rPr>
            </w:pPr>
            <w:r>
              <w:rPr>
                <w:rFonts w:ascii="helvetica" w:hAnsi="helvetica"/>
                <w:sz w:val="20"/>
              </w:rPr>
              <w:t>Vested and expected to vest - June 30, 2012</w:t>
            </w:r>
          </w:p>
        </w:tc>
        <w:tc>
          <w:tcPr>
            <w:tcW w:w="107" w:type="dxa"/>
            <w:tcBorders/>
            <w:shd w:fill="CCEEFF" w:val="clear"/>
            <w:vAlign w:val="bottom"/>
          </w:tcPr>
          <w:p>
            <w:pPr>
              <w:pStyle w:val="TableContents"/>
              <w:spacing w:before="0" w:after="283"/>
              <w:rPr/>
            </w:pPr>
            <w:r>
              <w:rPr/>
              <w:t> </w:t>
            </w:r>
          </w:p>
        </w:tc>
        <w:tc>
          <w:tcPr>
            <w:tcW w:w="107" w:type="dxa"/>
            <w:tcBorders>
              <w:bottom w:val="double" w:sz="8" w:space="0" w:color="000000"/>
            </w:tcBorders>
            <w:shd w:fill="CCEEFF" w:val="clear"/>
            <w:tcMar>
              <w:bottom w:w="28" w:type="dxa"/>
            </w:tcMar>
            <w:vAlign w:val="bottom"/>
          </w:tcPr>
          <w:p>
            <w:pPr>
              <w:pStyle w:val="TableContents"/>
              <w:spacing w:before="0" w:after="283"/>
              <w:jc w:val="left"/>
              <w:rPr/>
            </w:pPr>
            <w:r>
              <w:rPr/>
              <w:t> </w:t>
            </w:r>
          </w:p>
        </w:tc>
        <w:tc>
          <w:tcPr>
            <w:tcW w:w="1180" w:type="dxa"/>
            <w:tcBorders>
              <w:bottom w:val="double" w:sz="8" w:space="0" w:color="000000"/>
            </w:tcBorders>
            <w:shd w:fill="CCEE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4,155,477</w:t>
            </w:r>
          </w:p>
        </w:tc>
        <w:tc>
          <w:tcPr>
            <w:tcW w:w="120" w:type="dxa"/>
            <w:tcBorders/>
            <w:shd w:fill="CCEEFF" w:val="clear"/>
            <w:vAlign w:val="bottom"/>
          </w:tcPr>
          <w:p>
            <w:pPr>
              <w:pStyle w:val="TableContents"/>
              <w:spacing w:before="0" w:after="283"/>
              <w:jc w:val="left"/>
              <w:rPr/>
            </w:pPr>
            <w:r>
              <w:rPr/>
              <w:t> </w:t>
            </w:r>
          </w:p>
        </w:tc>
        <w:tc>
          <w:tcPr>
            <w:tcW w:w="107" w:type="dxa"/>
            <w:tcBorders/>
            <w:shd w:fill="CCEEFF" w:val="clear"/>
            <w:vAlign w:val="bottom"/>
          </w:tcPr>
          <w:p>
            <w:pPr>
              <w:pStyle w:val="TableContents"/>
              <w:spacing w:before="0" w:after="283"/>
              <w:rPr/>
            </w:pPr>
            <w:r>
              <w:rPr/>
              <w:t> </w:t>
            </w:r>
          </w:p>
        </w:tc>
        <w:tc>
          <w:tcPr>
            <w:tcW w:w="186" w:type="dxa"/>
            <w:tcBorders>
              <w:bottom w:val="double" w:sz="8" w:space="0" w:color="000000"/>
            </w:tcBorders>
            <w:shd w:fill="CCEEFF" w:val="clear"/>
            <w:tcMar>
              <w:bottom w:w="28" w:type="dxa"/>
            </w:tcMar>
            <w:vAlign w:val="bottom"/>
          </w:tcPr>
          <w:p>
            <w:pPr>
              <w:pStyle w:val="TableContents"/>
              <w:spacing w:before="0" w:after="283"/>
              <w:jc w:val="left"/>
              <w:rPr>
                <w:rFonts w:ascii="helvetica" w:hAnsi="helvetica"/>
                <w:sz w:val="20"/>
              </w:rPr>
            </w:pPr>
            <w:r>
              <w:rPr>
                <w:rFonts w:ascii="helvetica" w:hAnsi="helvetica"/>
                <w:sz w:val="20"/>
              </w:rPr>
              <w:t>$</w:t>
            </w:r>
          </w:p>
        </w:tc>
        <w:tc>
          <w:tcPr>
            <w:tcW w:w="998" w:type="dxa"/>
            <w:tcBorders>
              <w:bottom w:val="double" w:sz="8" w:space="0" w:color="000000"/>
            </w:tcBorders>
            <w:shd w:fill="CCEE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1.06</w:t>
            </w:r>
          </w:p>
        </w:tc>
        <w:tc>
          <w:tcPr>
            <w:tcW w:w="107" w:type="dxa"/>
            <w:tcBorders/>
            <w:shd w:fill="CCEEFF" w:val="clear"/>
            <w:vAlign w:val="bottom"/>
          </w:tcPr>
          <w:p>
            <w:pPr>
              <w:pStyle w:val="TableContents"/>
              <w:spacing w:before="0" w:after="283"/>
              <w:jc w:val="left"/>
              <w:rPr/>
            </w:pPr>
            <w:r>
              <w:rPr/>
              <w:t> </w:t>
            </w:r>
          </w:p>
        </w:tc>
        <w:tc>
          <w:tcPr>
            <w:tcW w:w="107" w:type="dxa"/>
            <w:tcBorders/>
            <w:shd w:fill="CCEEFF" w:val="clear"/>
            <w:vAlign w:val="bottom"/>
          </w:tcPr>
          <w:p>
            <w:pPr>
              <w:pStyle w:val="TableContents"/>
              <w:spacing w:before="0" w:after="283"/>
              <w:rPr/>
            </w:pPr>
            <w:r>
              <w:rPr/>
              <w:t> </w:t>
            </w:r>
          </w:p>
        </w:tc>
        <w:tc>
          <w:tcPr>
            <w:tcW w:w="148" w:type="dxa"/>
            <w:tcBorders>
              <w:bottom w:val="double" w:sz="8" w:space="0" w:color="000000"/>
            </w:tcBorders>
            <w:shd w:fill="CCEEFF" w:val="clear"/>
            <w:tcMar>
              <w:bottom w:w="28" w:type="dxa"/>
            </w:tcMar>
            <w:vAlign w:val="bottom"/>
          </w:tcPr>
          <w:p>
            <w:pPr>
              <w:pStyle w:val="TableContents"/>
              <w:spacing w:before="0" w:after="283"/>
              <w:jc w:val="left"/>
              <w:rPr/>
            </w:pPr>
            <w:r>
              <w:rPr/>
              <w:t> </w:t>
            </w:r>
          </w:p>
        </w:tc>
        <w:tc>
          <w:tcPr>
            <w:tcW w:w="1149" w:type="dxa"/>
            <w:tcBorders>
              <w:bottom w:val="double" w:sz="8" w:space="0" w:color="000000"/>
            </w:tcBorders>
            <w:shd w:fill="CCEE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5.27</w:t>
            </w:r>
          </w:p>
        </w:tc>
        <w:tc>
          <w:tcPr>
            <w:tcW w:w="107" w:type="dxa"/>
            <w:tcBorders/>
            <w:shd w:fill="CCEEFF" w:val="clear"/>
            <w:vAlign w:val="bottom"/>
          </w:tcPr>
          <w:p>
            <w:pPr>
              <w:pStyle w:val="TableContents"/>
              <w:spacing w:before="0" w:after="283"/>
              <w:jc w:val="left"/>
              <w:rPr/>
            </w:pPr>
            <w:r>
              <w:rPr/>
              <w:t> </w:t>
            </w:r>
          </w:p>
        </w:tc>
        <w:tc>
          <w:tcPr>
            <w:tcW w:w="107" w:type="dxa"/>
            <w:tcBorders/>
            <w:shd w:fill="CCEEFF" w:val="clear"/>
            <w:vAlign w:val="bottom"/>
          </w:tcPr>
          <w:p>
            <w:pPr>
              <w:pStyle w:val="TableContents"/>
              <w:spacing w:before="0" w:after="283"/>
              <w:rPr/>
            </w:pPr>
            <w:r>
              <w:rPr/>
              <w:t> </w:t>
            </w:r>
          </w:p>
        </w:tc>
        <w:tc>
          <w:tcPr>
            <w:tcW w:w="160" w:type="dxa"/>
            <w:tcBorders>
              <w:bottom w:val="double" w:sz="8" w:space="0" w:color="000000"/>
            </w:tcBorders>
            <w:shd w:fill="CCEEFF" w:val="clear"/>
            <w:tcMar>
              <w:bottom w:w="28" w:type="dxa"/>
            </w:tcMar>
            <w:vAlign w:val="bottom"/>
          </w:tcPr>
          <w:p>
            <w:pPr>
              <w:pStyle w:val="TableContents"/>
              <w:spacing w:before="0" w:after="283"/>
              <w:jc w:val="left"/>
              <w:rPr>
                <w:rFonts w:ascii="helvetica" w:hAnsi="helvetica"/>
                <w:sz w:val="20"/>
              </w:rPr>
            </w:pPr>
            <w:r>
              <w:rPr>
                <w:rFonts w:ascii="helvetica" w:hAnsi="helvetica"/>
                <w:sz w:val="20"/>
              </w:rPr>
              <w:t>$</w:t>
            </w:r>
          </w:p>
        </w:tc>
        <w:tc>
          <w:tcPr>
            <w:tcW w:w="1071" w:type="dxa"/>
            <w:tcBorders>
              <w:bottom w:val="double" w:sz="8" w:space="0" w:color="000000"/>
            </w:tcBorders>
            <w:shd w:fill="CCEE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70,625</w:t>
            </w:r>
          </w:p>
        </w:tc>
        <w:tc>
          <w:tcPr>
            <w:tcW w:w="123" w:type="dxa"/>
            <w:tcBorders/>
            <w:shd w:fill="CCEEFF" w:val="clear"/>
            <w:vAlign w:val="bottom"/>
          </w:tcPr>
          <w:p>
            <w:pPr>
              <w:pStyle w:val="TableContents"/>
              <w:spacing w:before="0" w:after="283"/>
              <w:jc w:val="left"/>
              <w:rPr/>
            </w:pPr>
            <w:r>
              <w:rPr/>
              <w:t> </w:t>
            </w:r>
          </w:p>
        </w:tc>
      </w:tr>
    </w:tbl>
    <w:p>
      <w:pPr>
        <w:pStyle w:val="TextBody"/>
        <w:spacing w:before="0" w:after="0"/>
        <w:ind w:left="0" w:right="0" w:hanging="0"/>
        <w:rPr/>
      </w:pPr>
      <w:r>
        <w:rPr/>
        <w:t> </w:t>
      </w:r>
    </w:p>
    <w:p>
      <w:pPr>
        <w:pStyle w:val="TextBody"/>
        <w:spacing w:before="0" w:after="0"/>
        <w:ind w:left="0" w:right="0" w:hanging="0"/>
        <w:jc w:val="both"/>
        <w:rPr>
          <w:rFonts w:ascii="helvetica" w:hAnsi="helvetica"/>
          <w:sz w:val="20"/>
        </w:rPr>
      </w:pPr>
      <w:r>
        <w:rPr>
          <w:rFonts w:ascii="helvetica" w:hAnsi="helvetica"/>
          <w:sz w:val="20"/>
        </w:rPr>
        <w:t>The aggregate intrinsic value in the table above represents the total pre-tax amount of the proceeds, net of exercise price, which would have been received by option holders if all option holders had exercised and immediately sold all options with an exercise price lower than the market price on June 29, 2012, based on the closing price of the Company’s common stock of $0.60 on that date.</w:t>
      </w:r>
    </w:p>
    <w:p>
      <w:pPr>
        <w:pStyle w:val="TextBody"/>
        <w:spacing w:before="0" w:after="0"/>
        <w:ind w:left="0" w:right="0" w:hanging="0"/>
        <w:jc w:val="both"/>
        <w:rPr/>
      </w:pPr>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r>
      <w:bookmarkStart w:id="1012" w:name="PGBRK84"/>
      <w:bookmarkStart w:id="1013" w:name="PGBRK84"/>
      <w:bookmarkEnd w:id="101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014" w:name="FTR84"/>
      <w:bookmarkStart w:id="1015" w:name="FTR84"/>
      <w:bookmarkEnd w:id="101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1016" w:name="GLFTR83"/>
      <w:bookmarkEnd w:id="1016"/>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helvetica" w:hAnsi="helvetica"/>
          <w:sz w:val="20"/>
        </w:rPr>
      </w:pPr>
      <w:bookmarkStart w:id="1017" w:name="PN83"/>
      <w:bookmarkEnd w:id="1017"/>
      <w:r>
        <w:rPr>
          <w:rFonts w:ascii="helvetica" w:hAnsi="helvetica"/>
          <w:sz w:val="20"/>
        </w:rPr>
        <w:t>F-13</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018" w:name="HDR83"/>
      <w:bookmarkStart w:id="1019" w:name="HDR83"/>
      <w:bookmarkEnd w:id="101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1020" w:name="GLHDR83"/>
      <w:bookmarkEnd w:id="1020"/>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pPr>
      <w:r>
        <w:rPr/>
        <w:t> </w:t>
      </w:r>
    </w:p>
    <w:p>
      <w:pPr>
        <w:pStyle w:val="TextBody"/>
        <w:spacing w:before="0" w:after="0"/>
        <w:ind w:left="0" w:right="0" w:hanging="0"/>
        <w:rPr>
          <w:rFonts w:ascii="helvetica" w:hAnsi="helvetica"/>
          <w:sz w:val="20"/>
        </w:rPr>
      </w:pPr>
      <w:r>
        <w:rPr>
          <w:rFonts w:ascii="helvetica" w:hAnsi="helvetica"/>
          <w:sz w:val="20"/>
        </w:rPr>
        <w:t>On January 25, 2012, the Board approved the grant to Dr. Balbir Brar, the Company’s President, of an option to purchase 1,125,000 shares of common stock under the Plan pursuant to the Company’s form of Incentive Stock Option Agreement, which option was granted on January 25, 2012. The exercise price of the option is $0.736 and the option vests as follows: 1/36th of the unvested shares will vest on each of the 36 monthly periods following the date of the grant provided Dr. Brar continues to be employed by the Company as of the applicable vesting date.</w:t>
      </w:r>
    </w:p>
    <w:p>
      <w:pPr>
        <w:pStyle w:val="TextBody"/>
        <w:spacing w:before="0" w:after="0"/>
        <w:ind w:left="0" w:right="0" w:hanging="0"/>
        <w:rPr/>
      </w:pPr>
      <w:r>
        <w:rPr/>
        <w:t> </w:t>
      </w:r>
    </w:p>
    <w:p>
      <w:pPr>
        <w:pStyle w:val="TextBody"/>
        <w:spacing w:before="0" w:after="0"/>
        <w:ind w:left="0" w:right="0" w:hanging="0"/>
        <w:jc w:val="both"/>
        <w:rPr>
          <w:rFonts w:ascii="helvetica" w:hAnsi="helvetica"/>
          <w:sz w:val="20"/>
        </w:rPr>
      </w:pPr>
      <w:r>
        <w:rPr>
          <w:rFonts w:ascii="helvetica" w:hAnsi="helvetica"/>
          <w:sz w:val="20"/>
        </w:rPr>
        <w:t>On January 25, 2012, in connection with a senior advisory agreement, the Board approved the grant to Dr. Paul Finnegan, a director, an option to purchase up to 625,000 shares of common stock under the Plan pursuant to the Company’s form of Nonqualified Stock Option Agreement, which option was granted on January 25, 2012. The exercise price of the option is $0.64. The option was originally scheduled to vest as follows: 250,000 shares on January 6, 2013, 250,000 shares on January 6, 2014 and 125,000 on January 6, 2015. On May 9, 2012, the Company entered into a termination agreement to terminate its senior advisory agreement with Dr. Finnegan, and, in connection therewith, entered into an amendment to Dr. Finnegan’s option agreement.  The amendment to the option agreement modifies the vesting schedule of the option to provide that 40% of the shares covered by the grant will vest on September 30, 2012, 40% will vest on March 31, 2013 and 20% will vest on September 30, 2013, provided that Dr. Finnegan is serving as a director, employee or consultant at the time of such vesting.  In connection with the termination of the senior advisory agreement, the option agreement was also modified to provide for the issuance of the option as compensation for Dr. Finnegan’s services as a director rather than a consultant.  This option is accounted for as an employee stock option agreement, the final valuation of the option was determined at the date of modification and the remaining expense of the option agreement will be recognized ratably over the remaining vesting periods in accordance with the modified terms.</w:t>
      </w:r>
    </w:p>
    <w:p>
      <w:pPr>
        <w:pStyle w:val="TextBody"/>
        <w:spacing w:before="0" w:after="0"/>
        <w:ind w:left="0" w:right="0" w:hanging="0"/>
        <w:rPr/>
      </w:pPr>
      <w:r>
        <w:rPr/>
        <w:t> </w:t>
      </w:r>
    </w:p>
    <w:p>
      <w:pPr>
        <w:pStyle w:val="TextBody"/>
        <w:spacing w:before="0" w:after="0"/>
        <w:ind w:left="0" w:right="0" w:hanging="0"/>
        <w:jc w:val="both"/>
        <w:rPr>
          <w:rFonts w:ascii="helvetica" w:hAnsi="helvetica"/>
          <w:sz w:val="20"/>
        </w:rPr>
      </w:pPr>
      <w:r>
        <w:rPr>
          <w:rFonts w:ascii="helvetica" w:hAnsi="helvetica"/>
          <w:sz w:val="20"/>
        </w:rPr>
        <w:t>On January 25, 2012, the Board approved a one-time stock option grant to Mr. Mark Baum, the Company’s current Chief Executive Officer and a director, to purchase up to 625,000 shares of the Company’s common stock under the Plan pursuant to the Company’s form of Nonqualified Stock Option Agreement, which option was granted on January 25, 2012. The options was issued to Mr. Baum for his uncompensated services as Chairman of the Board and significant ongoing services related, but not limited to, the Company’s emergence from Chapter 11 bankruptcy protection, negotiation with creditors, pursuit of additional financing opportunities and hiring of executive officers.  The option vests in twelve equal monthly periods, commencing on January 25, 2012 and ending on January 25, 2013 and has an exercise price of $0.48.</w:t>
      </w:r>
    </w:p>
    <w:p>
      <w:pPr>
        <w:pStyle w:val="TextBody"/>
        <w:spacing w:before="0" w:after="0"/>
        <w:ind w:left="0" w:right="0" w:hanging="0"/>
        <w:rPr/>
      </w:pPr>
      <w:r>
        <w:rPr/>
        <w:t> </w:t>
      </w:r>
    </w:p>
    <w:p>
      <w:pPr>
        <w:pStyle w:val="TextBody"/>
        <w:spacing w:before="0" w:after="0"/>
        <w:ind w:left="0" w:right="0" w:hanging="0"/>
        <w:jc w:val="both"/>
        <w:rPr>
          <w:rFonts w:ascii="helvetica" w:hAnsi="helvetica"/>
          <w:sz w:val="20"/>
        </w:rPr>
      </w:pPr>
      <w:r>
        <w:rPr>
          <w:rFonts w:ascii="helvetica" w:hAnsi="helvetica"/>
          <w:sz w:val="20"/>
        </w:rPr>
        <w:t>On January 25, 2012 the Board approved the grant to Andrew R. Boll, the Company’s Vice-President of Accounting and Public Reporting, of an option to purchase up to 75,000 shares of common stock under the Plan pursuant to the Company’s form of Incentive Stock Option Agreement, which option was granted on February 1, 2012. The exercise price of the option is $0.736 and the option vests as follows: 1/36th of the unvested shares will vest on each of the 36 monthly periods following the date of the grant provided Mr. Boll continues to be employed by the Company as of the applicable vesting date.</w:t>
      </w:r>
    </w:p>
    <w:p>
      <w:pPr>
        <w:pStyle w:val="TextBody"/>
        <w:spacing w:before="0" w:after="0"/>
        <w:ind w:left="0" w:right="0" w:hanging="0"/>
        <w:jc w:val="both"/>
        <w:rPr/>
      </w:pPr>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r>
      <w:bookmarkStart w:id="1021" w:name="PGBRK85"/>
      <w:bookmarkStart w:id="1022" w:name="PGBRK85"/>
      <w:bookmarkEnd w:id="102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023" w:name="FTR85"/>
      <w:bookmarkStart w:id="1024" w:name="FTR85"/>
      <w:bookmarkEnd w:id="102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1025" w:name="GLFTR84"/>
      <w:bookmarkEnd w:id="1025"/>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helvetica" w:hAnsi="helvetica"/>
          <w:sz w:val="20"/>
        </w:rPr>
      </w:pPr>
      <w:bookmarkStart w:id="1026" w:name="PN84"/>
      <w:bookmarkEnd w:id="1026"/>
      <w:r>
        <w:rPr>
          <w:rFonts w:ascii="helvetica" w:hAnsi="helvetica"/>
          <w:sz w:val="20"/>
        </w:rPr>
        <w:t>F-14</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027" w:name="HDR84"/>
      <w:bookmarkStart w:id="1028" w:name="HDR84"/>
      <w:bookmarkEnd w:id="102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1029" w:name="GLHDR84"/>
      <w:bookmarkEnd w:id="1029"/>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t> </w:t>
      </w:r>
    </w:p>
    <w:p>
      <w:pPr>
        <w:pStyle w:val="TextBody"/>
        <w:spacing w:before="0" w:after="0"/>
        <w:ind w:left="0" w:right="0" w:hanging="0"/>
        <w:jc w:val="both"/>
        <w:rPr>
          <w:rFonts w:ascii="helvetica" w:hAnsi="helvetica"/>
          <w:sz w:val="20"/>
        </w:rPr>
      </w:pPr>
      <w:r>
        <w:rPr>
          <w:rFonts w:ascii="helvetica" w:hAnsi="helvetica"/>
          <w:sz w:val="20"/>
        </w:rPr>
        <w:t>On January 25, 2012 the Board approved the grant to Dr. Joachim Schupp, the Company’s Chief Medical Officer, of an option to purchase up to 375,000 shares of common stock under the Plan pursuant to the Company’s form of Incentive Stock Option Agreement, which option was granted on February 15, 2012. The exercise price of the option is $0.72 and the option vests as follows: 1/36th of the unvested shares will vest on each of the 36 monthly periods following the date of the grant provided Dr. Schupp continues to be employed by the Company as of the applicable vesting date.</w:t>
      </w:r>
    </w:p>
    <w:p>
      <w:pPr>
        <w:pStyle w:val="TextBody"/>
        <w:spacing w:before="0" w:after="0"/>
        <w:ind w:left="0" w:right="0" w:hanging="0"/>
        <w:jc w:val="both"/>
        <w:rPr/>
      </w:pPr>
      <w:r>
        <w:rPr/>
        <w:t> </w:t>
      </w:r>
    </w:p>
    <w:p>
      <w:pPr>
        <w:pStyle w:val="TextBody"/>
        <w:spacing w:before="0" w:after="0"/>
        <w:ind w:left="0" w:right="0" w:hanging="0"/>
        <w:jc w:val="both"/>
        <w:rPr>
          <w:rFonts w:ascii="helvetica" w:hAnsi="helvetica"/>
          <w:sz w:val="20"/>
        </w:rPr>
      </w:pPr>
      <w:r>
        <w:rPr>
          <w:rFonts w:ascii="helvetica" w:hAnsi="helvetica"/>
          <w:sz w:val="20"/>
        </w:rPr>
        <w:t>On April 1, 2012, the Board of Directors approved the issuance of options to purchase 125,000 shares of the Company’s common stock to each of the Company’s directors, including the Company’s employee and non-employee directors, under the Plan pursuant to the Company’s form of Nonqualified Stock Option Agreement.  Each of the options has an exercise price of $0.90 per share.  The options have a term of five years and vest quarterly over a one year period, such that the option to purchase 31,250 shares vests on each of June 30, 2012, September 30, 2012, December 31, 2012 and March 31, 2013.</w:t>
      </w:r>
    </w:p>
    <w:p>
      <w:pPr>
        <w:pStyle w:val="TextBody"/>
        <w:spacing w:before="0" w:after="0"/>
        <w:ind w:left="0" w:right="0" w:hanging="0"/>
        <w:jc w:val="both"/>
        <w:rPr/>
      </w:pPr>
      <w:r>
        <w:rPr/>
        <w:t> </w:t>
      </w:r>
    </w:p>
    <w:p>
      <w:pPr>
        <w:pStyle w:val="TextBody"/>
        <w:spacing w:before="0" w:after="0"/>
        <w:ind w:left="0" w:right="0" w:hanging="0"/>
        <w:jc w:val="both"/>
        <w:rPr>
          <w:rFonts w:ascii="helvetica" w:hAnsi="helvetica"/>
          <w:sz w:val="20"/>
        </w:rPr>
      </w:pPr>
      <w:r>
        <w:rPr>
          <w:rFonts w:ascii="helvetica" w:hAnsi="helvetica"/>
          <w:sz w:val="20"/>
        </w:rPr>
        <w:t>On April 1, 2012, in recognition and consideration for his services as a director to the Company during 2010 and 2011, the Board approved the issuance to Dr. Jeff Abrams of an additional option to purchase 300,000 shares of the Company’s common stock with an exercise price of $0.90 per share under the Plan pursuant to the Company’s form of Nonqualified Stock Option Agreement.  The option has a ten year term and vests monthly over a one year period.</w:t>
      </w:r>
    </w:p>
    <w:p>
      <w:pPr>
        <w:pStyle w:val="TextBody"/>
        <w:spacing w:before="0" w:after="0"/>
        <w:ind w:left="0" w:right="0" w:hanging="0"/>
        <w:jc w:val="both"/>
        <w:rPr/>
      </w:pPr>
      <w:r>
        <w:rPr/>
        <w:t> </w:t>
      </w:r>
    </w:p>
    <w:p>
      <w:pPr>
        <w:pStyle w:val="TextBody"/>
        <w:spacing w:before="0" w:after="0"/>
        <w:ind w:left="0" w:right="0" w:hanging="0"/>
        <w:jc w:val="both"/>
        <w:rPr>
          <w:rFonts w:ascii="helvetica" w:hAnsi="helvetica"/>
          <w:sz w:val="20"/>
        </w:rPr>
      </w:pPr>
      <w:r>
        <w:rPr>
          <w:rFonts w:ascii="helvetica" w:hAnsi="helvetica"/>
          <w:sz w:val="20"/>
        </w:rPr>
        <w:t>On April 1, 2012, the Company granted to Mr. Baum an option to purchase up to 300,000 shares of the Company’s common stock at an exercise price of $0.90 per share under the Plan pursuant to the Company’s form of Nonqualified Stock Option Agreement.  The option terminates on March 31, 2017 and vests over a two year period, with 75,000 options vesting immediately upon issuance and an additional 9,375 options vesting monthly for the next twenty four months thereafter.</w:t>
      </w:r>
    </w:p>
    <w:p>
      <w:pPr>
        <w:pStyle w:val="TextBody"/>
        <w:spacing w:before="0" w:after="0"/>
        <w:ind w:left="0" w:right="0" w:hanging="0"/>
        <w:jc w:val="both"/>
        <w:rPr/>
      </w:pPr>
      <w:r>
        <w:rPr/>
        <w:t> </w:t>
      </w:r>
    </w:p>
    <w:p>
      <w:pPr>
        <w:pStyle w:val="TextBody"/>
        <w:spacing w:before="0" w:after="0"/>
        <w:ind w:left="0" w:right="0" w:hanging="0"/>
        <w:jc w:val="left"/>
        <w:rPr>
          <w:rFonts w:ascii="helvetica" w:hAnsi="helvetica"/>
          <w:sz w:val="20"/>
        </w:rPr>
      </w:pPr>
      <w:r>
        <w:rPr>
          <w:rFonts w:ascii="helvetica" w:hAnsi="helvetica"/>
          <w:sz w:val="20"/>
        </w:rPr>
        <w:t>The table below illustrates the fair value per share determined by the Black-Scholes-Merton option pricing model with the following assumptions used for the grants issued to employees and directors during the six months ended June 30, 2012:</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8611"/>
        <w:gridCol w:w="123"/>
        <w:gridCol w:w="163"/>
        <w:gridCol w:w="1085"/>
        <w:gridCol w:w="223"/>
      </w:tblGrid>
      <w:tr>
        <w:trPr/>
        <w:tc>
          <w:tcPr>
            <w:tcW w:w="8611" w:type="dxa"/>
            <w:tcBorders/>
            <w:shd w:fill="auto" w:val="clear"/>
            <w:vAlign w:val="bottom"/>
          </w:tcPr>
          <w:p>
            <w:pPr>
              <w:pStyle w:val="TableContents"/>
              <w:spacing w:before="0" w:after="283"/>
              <w:rPr/>
            </w:pPr>
            <w:r>
              <w:rPr/>
              <w:t xml:space="preserve">  </w:t>
            </w:r>
          </w:p>
        </w:tc>
        <w:tc>
          <w:tcPr>
            <w:tcW w:w="123" w:type="dxa"/>
            <w:tcBorders/>
            <w:shd w:fill="auto" w:val="clear"/>
            <w:vAlign w:val="bottom"/>
          </w:tcPr>
          <w:p>
            <w:pPr>
              <w:pStyle w:val="TableContents"/>
              <w:spacing w:before="0" w:after="283"/>
              <w:rPr/>
            </w:pPr>
            <w:r>
              <w:rPr/>
              <w:t> </w:t>
            </w:r>
          </w:p>
        </w:tc>
        <w:tc>
          <w:tcPr>
            <w:tcW w:w="1248"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helvetica" w:hAnsi="helvetica"/>
                <w:b/>
                <w:sz w:val="16"/>
              </w:rPr>
            </w:pPr>
            <w:r>
              <w:rPr>
                <w:rFonts w:ascii="helvetica" w:hAnsi="helvetica"/>
                <w:b/>
                <w:sz w:val="16"/>
              </w:rPr>
              <w:t>Six Months Ended June 30, 2012</w:t>
            </w:r>
          </w:p>
        </w:tc>
        <w:tc>
          <w:tcPr>
            <w:tcW w:w="223" w:type="dxa"/>
            <w:tcBorders/>
            <w:shd w:fill="auto" w:val="clear"/>
            <w:vAlign w:val="bottom"/>
          </w:tcPr>
          <w:p>
            <w:pPr>
              <w:pStyle w:val="TableContents"/>
              <w:spacing w:before="0" w:after="283"/>
              <w:jc w:val="left"/>
              <w:rPr/>
            </w:pPr>
            <w:r>
              <w:rPr/>
              <w:t> </w:t>
            </w:r>
          </w:p>
        </w:tc>
      </w:tr>
      <w:tr>
        <w:trPr/>
        <w:tc>
          <w:tcPr>
            <w:tcW w:w="8611" w:type="dxa"/>
            <w:tcBorders/>
            <w:shd w:fill="CCEEFF" w:val="clear"/>
            <w:vAlign w:val="bottom"/>
          </w:tcPr>
          <w:p>
            <w:pPr>
              <w:pStyle w:val="TableContents"/>
              <w:spacing w:before="0" w:after="0"/>
              <w:ind w:left="0" w:right="0" w:hanging="0"/>
              <w:jc w:val="left"/>
              <w:rPr>
                <w:rFonts w:ascii="helvetica" w:hAnsi="helvetica"/>
                <w:sz w:val="20"/>
              </w:rPr>
            </w:pPr>
            <w:r>
              <w:rPr>
                <w:rFonts w:ascii="helvetica" w:hAnsi="helvetica"/>
                <w:sz w:val="20"/>
              </w:rPr>
              <w:t>Weighted-average fair value of options granted</w:t>
            </w:r>
          </w:p>
        </w:tc>
        <w:tc>
          <w:tcPr>
            <w:tcW w:w="123" w:type="dxa"/>
            <w:tcBorders/>
            <w:shd w:fill="CCEEFF" w:val="clear"/>
            <w:vAlign w:val="bottom"/>
          </w:tcPr>
          <w:p>
            <w:pPr>
              <w:pStyle w:val="TableContents"/>
              <w:spacing w:before="0" w:after="283"/>
              <w:rPr/>
            </w:pPr>
            <w:r>
              <w:rPr/>
              <w:t> </w:t>
            </w:r>
          </w:p>
        </w:tc>
        <w:tc>
          <w:tcPr>
            <w:tcW w:w="163" w:type="dxa"/>
            <w:tcBorders/>
            <w:shd w:fill="CCEEFF" w:val="clear"/>
            <w:vAlign w:val="bottom"/>
          </w:tcPr>
          <w:p>
            <w:pPr>
              <w:pStyle w:val="TableContents"/>
              <w:spacing w:before="0" w:after="283"/>
              <w:jc w:val="left"/>
              <w:rPr>
                <w:rFonts w:ascii="helvetica" w:hAnsi="helvetica"/>
                <w:sz w:val="20"/>
              </w:rPr>
            </w:pPr>
            <w:r>
              <w:rPr>
                <w:rFonts w:ascii="helvetica" w:hAnsi="helvetica"/>
                <w:sz w:val="20"/>
              </w:rPr>
              <w:t>$</w:t>
            </w:r>
          </w:p>
        </w:tc>
        <w:tc>
          <w:tcPr>
            <w:tcW w:w="1085"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0.64</w:t>
            </w:r>
          </w:p>
        </w:tc>
        <w:tc>
          <w:tcPr>
            <w:tcW w:w="223" w:type="dxa"/>
            <w:tcBorders/>
            <w:shd w:fill="CCEEFF" w:val="clear"/>
            <w:vAlign w:val="bottom"/>
          </w:tcPr>
          <w:p>
            <w:pPr>
              <w:pStyle w:val="TableContents"/>
              <w:spacing w:before="0" w:after="283"/>
              <w:jc w:val="left"/>
              <w:rPr/>
            </w:pPr>
            <w:r>
              <w:rPr/>
              <w:t> </w:t>
            </w:r>
          </w:p>
        </w:tc>
      </w:tr>
      <w:tr>
        <w:trPr/>
        <w:tc>
          <w:tcPr>
            <w:tcW w:w="8611" w:type="dxa"/>
            <w:tcBorders/>
            <w:shd w:fill="FFFFFF" w:val="clear"/>
            <w:vAlign w:val="bottom"/>
          </w:tcPr>
          <w:p>
            <w:pPr>
              <w:pStyle w:val="TableContents"/>
              <w:spacing w:before="0" w:after="0"/>
              <w:ind w:left="0" w:right="0" w:hanging="0"/>
              <w:jc w:val="left"/>
              <w:rPr>
                <w:rFonts w:ascii="helvetica" w:hAnsi="helvetica"/>
                <w:sz w:val="20"/>
              </w:rPr>
            </w:pPr>
            <w:r>
              <w:rPr>
                <w:rFonts w:ascii="helvetica" w:hAnsi="helvetica"/>
                <w:sz w:val="20"/>
              </w:rPr>
              <w:t>Expected terms (in years)</w:t>
            </w:r>
          </w:p>
        </w:tc>
        <w:tc>
          <w:tcPr>
            <w:tcW w:w="123" w:type="dxa"/>
            <w:tcBorders/>
            <w:shd w:fill="FFFFFF" w:val="clear"/>
            <w:vAlign w:val="bottom"/>
          </w:tcPr>
          <w:p>
            <w:pPr>
              <w:pStyle w:val="TableContents"/>
              <w:spacing w:before="0" w:after="283"/>
              <w:rPr/>
            </w:pPr>
            <w:r>
              <w:rPr/>
              <w:t> </w:t>
            </w:r>
          </w:p>
        </w:tc>
        <w:tc>
          <w:tcPr>
            <w:tcW w:w="163" w:type="dxa"/>
            <w:tcBorders/>
            <w:shd w:fill="FFFFFF" w:val="clear"/>
            <w:vAlign w:val="bottom"/>
          </w:tcPr>
          <w:p>
            <w:pPr>
              <w:pStyle w:val="TableContents"/>
              <w:spacing w:before="0" w:after="283"/>
              <w:jc w:val="left"/>
              <w:rPr/>
            </w:pPr>
            <w:r>
              <w:rPr/>
              <w:t> </w:t>
            </w:r>
          </w:p>
        </w:tc>
        <w:tc>
          <w:tcPr>
            <w:tcW w:w="1085"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3-5.5</w:t>
            </w:r>
          </w:p>
        </w:tc>
        <w:tc>
          <w:tcPr>
            <w:tcW w:w="223" w:type="dxa"/>
            <w:tcBorders/>
            <w:shd w:fill="FFFFFF" w:val="clear"/>
            <w:vAlign w:val="bottom"/>
          </w:tcPr>
          <w:p>
            <w:pPr>
              <w:pStyle w:val="TableContents"/>
              <w:spacing w:before="0" w:after="283"/>
              <w:jc w:val="left"/>
              <w:rPr/>
            </w:pPr>
            <w:r>
              <w:rPr/>
              <w:t> </w:t>
            </w:r>
          </w:p>
        </w:tc>
      </w:tr>
      <w:tr>
        <w:trPr/>
        <w:tc>
          <w:tcPr>
            <w:tcW w:w="8611" w:type="dxa"/>
            <w:tcBorders/>
            <w:shd w:fill="CCEEFF" w:val="clear"/>
            <w:vAlign w:val="bottom"/>
          </w:tcPr>
          <w:p>
            <w:pPr>
              <w:pStyle w:val="TableContents"/>
              <w:spacing w:before="0" w:after="0"/>
              <w:ind w:left="0" w:right="0" w:hanging="0"/>
              <w:jc w:val="left"/>
              <w:rPr>
                <w:rFonts w:ascii="helvetica" w:hAnsi="helvetica"/>
                <w:sz w:val="20"/>
              </w:rPr>
            </w:pPr>
            <w:r>
              <w:rPr>
                <w:rFonts w:ascii="helvetica" w:hAnsi="helvetica"/>
                <w:sz w:val="20"/>
              </w:rPr>
              <w:t>Expected volatility</w:t>
            </w:r>
          </w:p>
        </w:tc>
        <w:tc>
          <w:tcPr>
            <w:tcW w:w="123" w:type="dxa"/>
            <w:tcBorders/>
            <w:shd w:fill="CCEEFF" w:val="clear"/>
            <w:vAlign w:val="bottom"/>
          </w:tcPr>
          <w:p>
            <w:pPr>
              <w:pStyle w:val="TableContents"/>
              <w:spacing w:before="0" w:after="283"/>
              <w:rPr/>
            </w:pPr>
            <w:r>
              <w:rPr/>
              <w:t> </w:t>
            </w:r>
          </w:p>
        </w:tc>
        <w:tc>
          <w:tcPr>
            <w:tcW w:w="163" w:type="dxa"/>
            <w:tcBorders/>
            <w:shd w:fill="CCEEFF" w:val="clear"/>
            <w:vAlign w:val="bottom"/>
          </w:tcPr>
          <w:p>
            <w:pPr>
              <w:pStyle w:val="TableContents"/>
              <w:spacing w:before="0" w:after="283"/>
              <w:jc w:val="left"/>
              <w:rPr/>
            </w:pPr>
            <w:r>
              <w:rPr/>
              <w:t> </w:t>
            </w:r>
          </w:p>
        </w:tc>
        <w:tc>
          <w:tcPr>
            <w:tcW w:w="1085"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219-360</w:t>
            </w:r>
          </w:p>
        </w:tc>
        <w:tc>
          <w:tcPr>
            <w:tcW w:w="223" w:type="dxa"/>
            <w:tcBorders/>
            <w:shd w:fill="CCEEFF" w:val="clear"/>
            <w:vAlign w:val="bottom"/>
          </w:tcPr>
          <w:p>
            <w:pPr>
              <w:pStyle w:val="TableContents"/>
              <w:spacing w:before="0" w:after="283"/>
              <w:jc w:val="left"/>
              <w:rPr>
                <w:rFonts w:ascii="helvetica" w:hAnsi="helvetica"/>
                <w:sz w:val="20"/>
              </w:rPr>
            </w:pPr>
            <w:r>
              <w:rPr>
                <w:rFonts w:ascii="helvetica" w:hAnsi="helvetica"/>
                <w:sz w:val="20"/>
              </w:rPr>
              <w:t>%</w:t>
            </w:r>
          </w:p>
        </w:tc>
      </w:tr>
      <w:tr>
        <w:trPr/>
        <w:tc>
          <w:tcPr>
            <w:tcW w:w="8611" w:type="dxa"/>
            <w:tcBorders/>
            <w:shd w:fill="FFFFFF" w:val="clear"/>
            <w:vAlign w:val="bottom"/>
          </w:tcPr>
          <w:p>
            <w:pPr>
              <w:pStyle w:val="TableContents"/>
              <w:spacing w:before="0" w:after="0"/>
              <w:ind w:left="0" w:right="0" w:hanging="0"/>
              <w:jc w:val="left"/>
              <w:rPr>
                <w:rFonts w:ascii="helvetica" w:hAnsi="helvetica"/>
                <w:sz w:val="20"/>
              </w:rPr>
            </w:pPr>
            <w:r>
              <w:rPr>
                <w:rFonts w:ascii="helvetica" w:hAnsi="helvetica"/>
                <w:sz w:val="20"/>
              </w:rPr>
              <w:t>Risk-free interest rate</w:t>
            </w:r>
          </w:p>
        </w:tc>
        <w:tc>
          <w:tcPr>
            <w:tcW w:w="123" w:type="dxa"/>
            <w:tcBorders/>
            <w:shd w:fill="FFFFFF" w:val="clear"/>
            <w:vAlign w:val="bottom"/>
          </w:tcPr>
          <w:p>
            <w:pPr>
              <w:pStyle w:val="TableContents"/>
              <w:spacing w:before="0" w:after="283"/>
              <w:rPr/>
            </w:pPr>
            <w:r>
              <w:rPr/>
              <w:t> </w:t>
            </w:r>
          </w:p>
        </w:tc>
        <w:tc>
          <w:tcPr>
            <w:tcW w:w="163" w:type="dxa"/>
            <w:tcBorders/>
            <w:shd w:fill="FFFFFF" w:val="clear"/>
            <w:vAlign w:val="bottom"/>
          </w:tcPr>
          <w:p>
            <w:pPr>
              <w:pStyle w:val="TableContents"/>
              <w:spacing w:before="0" w:after="283"/>
              <w:jc w:val="left"/>
              <w:rPr/>
            </w:pPr>
            <w:r>
              <w:rPr/>
              <w:t> </w:t>
            </w:r>
          </w:p>
        </w:tc>
        <w:tc>
          <w:tcPr>
            <w:tcW w:w="1085"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0.36-1.03</w:t>
            </w:r>
          </w:p>
        </w:tc>
        <w:tc>
          <w:tcPr>
            <w:tcW w:w="223" w:type="dxa"/>
            <w:tcBorders/>
            <w:shd w:fill="FFFFFF" w:val="clear"/>
            <w:vAlign w:val="bottom"/>
          </w:tcPr>
          <w:p>
            <w:pPr>
              <w:pStyle w:val="TableContents"/>
              <w:spacing w:before="0" w:after="283"/>
              <w:jc w:val="left"/>
              <w:rPr>
                <w:rFonts w:ascii="helvetica" w:hAnsi="helvetica"/>
                <w:sz w:val="20"/>
              </w:rPr>
            </w:pPr>
            <w:r>
              <w:rPr>
                <w:rFonts w:ascii="helvetica" w:hAnsi="helvetica"/>
                <w:sz w:val="20"/>
              </w:rPr>
              <w:t>%</w:t>
            </w:r>
          </w:p>
        </w:tc>
      </w:tr>
      <w:tr>
        <w:trPr/>
        <w:tc>
          <w:tcPr>
            <w:tcW w:w="8611" w:type="dxa"/>
            <w:tcBorders/>
            <w:shd w:fill="CCEEFF" w:val="clear"/>
            <w:vAlign w:val="bottom"/>
          </w:tcPr>
          <w:p>
            <w:pPr>
              <w:pStyle w:val="TableContents"/>
              <w:spacing w:before="0" w:after="0"/>
              <w:ind w:left="0" w:right="0" w:hanging="0"/>
              <w:jc w:val="left"/>
              <w:rPr>
                <w:rFonts w:ascii="helvetica" w:hAnsi="helvetica"/>
                <w:sz w:val="20"/>
              </w:rPr>
            </w:pPr>
            <w:r>
              <w:rPr>
                <w:rFonts w:ascii="helvetica" w:hAnsi="helvetica"/>
                <w:sz w:val="20"/>
              </w:rPr>
              <w:t>Dividend yield</w:t>
            </w:r>
          </w:p>
        </w:tc>
        <w:tc>
          <w:tcPr>
            <w:tcW w:w="123" w:type="dxa"/>
            <w:tcBorders/>
            <w:shd w:fill="CCEEFF" w:val="clear"/>
            <w:vAlign w:val="bottom"/>
          </w:tcPr>
          <w:p>
            <w:pPr>
              <w:pStyle w:val="TableContents"/>
              <w:spacing w:before="0" w:after="283"/>
              <w:rPr/>
            </w:pPr>
            <w:r>
              <w:rPr/>
              <w:t> </w:t>
            </w:r>
          </w:p>
        </w:tc>
        <w:tc>
          <w:tcPr>
            <w:tcW w:w="163" w:type="dxa"/>
            <w:tcBorders/>
            <w:shd w:fill="CCEEFF" w:val="clear"/>
            <w:vAlign w:val="bottom"/>
          </w:tcPr>
          <w:p>
            <w:pPr>
              <w:pStyle w:val="TableContents"/>
              <w:spacing w:before="0" w:after="283"/>
              <w:jc w:val="left"/>
              <w:rPr/>
            </w:pPr>
            <w:r>
              <w:rPr/>
              <w:t> </w:t>
            </w:r>
          </w:p>
        </w:tc>
        <w:tc>
          <w:tcPr>
            <w:tcW w:w="1085"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w:t>
            </w:r>
          </w:p>
        </w:tc>
        <w:tc>
          <w:tcPr>
            <w:tcW w:w="223" w:type="dxa"/>
            <w:tcBorders/>
            <w:shd w:fill="CCEEFF" w:val="clear"/>
            <w:vAlign w:val="bottom"/>
          </w:tcPr>
          <w:p>
            <w:pPr>
              <w:pStyle w:val="TableContents"/>
              <w:spacing w:before="0" w:after="283"/>
              <w:jc w:val="left"/>
              <w:rPr/>
            </w:pPr>
            <w:r>
              <w:rPr/>
              <w:t> </w:t>
            </w:r>
          </w:p>
        </w:tc>
      </w:tr>
    </w:tbl>
    <w:p>
      <w:pPr>
        <w:pStyle w:val="TextBody"/>
        <w:spacing w:before="0" w:after="0"/>
        <w:ind w:left="0" w:right="0" w:hanging="0"/>
        <w:jc w:val="both"/>
        <w:rPr/>
      </w:pPr>
      <w:r>
        <w:rPr/>
        <w:t> </w:t>
      </w:r>
    </w:p>
    <w:p>
      <w:pPr>
        <w:pStyle w:val="TextBody"/>
        <w:spacing w:before="0" w:after="0"/>
        <w:ind w:left="0" w:right="0" w:hanging="0"/>
        <w:jc w:val="both"/>
        <w:rPr>
          <w:rFonts w:ascii="helvetica" w:hAnsi="helvetica"/>
          <w:sz w:val="20"/>
        </w:rPr>
      </w:pPr>
      <w:r>
        <w:rPr>
          <w:rFonts w:ascii="helvetica" w:hAnsi="helvetica"/>
          <w:sz w:val="20"/>
        </w:rPr>
        <w:t>Effective April 1, 2012, the Company entered into an advisory agreement with director Dr. Robert Kammer (the “Advisory Agreement”) pursuant to which Dr. Kammer will provide certain services to the Company in addition to his services as a director, including, but not limited to, providing management and advice regarding the operations of the registration clinical trials including start-up and on-going clinical operational and development activities, manufacturing and quality control of the clinical and commercial supplies, project and operational management, assistance in the identification of new drug delivery technologies that may be available for acquisition or license and assistance in the development of the Company’s intellectual property. Under the terms of the Advisory Agreement, Dr. Kammer is to be compensated $10,000 per month in the form of common stock based on $0.90 price per share being allocated to each dollar of payment due to Dr. Kammer. Upon the completion of a financing transaction yielding not less than $15,000,000 to the Company, Dr. Kammer may unilaterally choose to be paid in either cash or common stock, based on the same $0.90 price per share. Dr. Kammer and the Company have agreed that the common stock issuable to Dr. Kammer as compensation under his advisory agreement is to be accrued and issued on a quarterly or annual basis; accordingly, as of the date hereof no such shares have been issued to Dr. Kammer. The balance due to Dr. Kammer at June 30, 2012 under the Advisory Agreement was $30,000 (share equivalent of 33,333 common shares) and is included in accounts payable and accrued expenses in the accompanying unaudited condensed consolidated balance sheet.</w:t>
      </w:r>
    </w:p>
    <w:p>
      <w:pPr>
        <w:pStyle w:val="TextBody"/>
        <w:spacing w:before="0" w:after="0"/>
        <w:ind w:left="0" w:right="0" w:hanging="0"/>
        <w:rPr/>
      </w:pPr>
      <w:r>
        <w:rPr/>
        <w:t> </w:t>
      </w:r>
    </w:p>
    <w:p>
      <w:pPr>
        <w:pStyle w:val="TextBody"/>
        <w:spacing w:before="0" w:after="0"/>
        <w:ind w:left="0" w:right="0" w:hanging="0"/>
        <w:jc w:val="both"/>
        <w:rPr>
          <w:rFonts w:ascii="helvetica" w:hAnsi="helvetica"/>
          <w:sz w:val="20"/>
        </w:rPr>
      </w:pPr>
      <w:r>
        <w:rPr>
          <w:rFonts w:ascii="helvetica" w:hAnsi="helvetica"/>
          <w:sz w:val="20"/>
        </w:rPr>
        <w:t>In connection with the Advisory Agreement, the Company granted to Dr. Kammer an option to purchase up to 300,000 shares of the Company’s common stock at an exercise price of $0.90 per share under the Plan pursuant to the Company’s form of Nonqualified Stock Option Agreement.  The option terminates on March 31, 2017 and vests over a two year period, with 75,000 options vesting immediately upon issuance and an additional 9,375 options vesting monthly for the next twenty four months thereafter. In accordance with accounting guidance for share-based compensation to consultants, the unvested portion of the option will be revalued on an interim basis until the termination of the Advisory Agreement.  The Advisory Agreement is to terminate on the earlier of the completion of the services or the second anniversary of the date of the agreement. As of June 30, 2012, the revalued aggregate estimated fair value of the stock option, based on the Black-Scholes-Merton pricing model, was $203,736.</w:t>
      </w:r>
    </w:p>
    <w:p>
      <w:pPr>
        <w:pStyle w:val="TextBody"/>
        <w:spacing w:before="0" w:after="0"/>
        <w:ind w:left="0" w:right="0" w:hanging="0"/>
        <w:rPr/>
      </w:pPr>
      <w:r>
        <w:rPr/>
        <w:t> </w:t>
      </w:r>
    </w:p>
    <w:p>
      <w:pPr>
        <w:pStyle w:val="TextBody"/>
        <w:spacing w:before="0" w:after="0"/>
        <w:ind w:left="0" w:right="0" w:hanging="0"/>
        <w:jc w:val="left"/>
        <w:rPr>
          <w:rFonts w:ascii="helvetica" w:hAnsi="helvetica"/>
          <w:sz w:val="20"/>
        </w:rPr>
      </w:pPr>
      <w:r>
        <w:rPr>
          <w:rFonts w:ascii="helvetica" w:hAnsi="helvetica"/>
          <w:sz w:val="20"/>
        </w:rPr>
        <w:t>The table below illustrates the fair value per share determined by the Black-Scholes-Merton option pricing model with the following assumptions used for the grants issued to consultants during the six months ended June 30, 2012:</w:t>
      </w:r>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8558"/>
        <w:gridCol w:w="123"/>
        <w:gridCol w:w="164"/>
        <w:gridCol w:w="1135"/>
        <w:gridCol w:w="225"/>
      </w:tblGrid>
      <w:tr>
        <w:trPr/>
        <w:tc>
          <w:tcPr>
            <w:tcW w:w="8558" w:type="dxa"/>
            <w:tcBorders/>
            <w:shd w:fill="auto" w:val="clear"/>
            <w:vAlign w:val="bottom"/>
          </w:tcPr>
          <w:p>
            <w:pPr>
              <w:pStyle w:val="TableContents"/>
              <w:spacing w:before="0" w:after="283"/>
              <w:rPr/>
            </w:pPr>
            <w:r>
              <w:rPr/>
              <w:t xml:space="preserve">  </w:t>
            </w:r>
          </w:p>
        </w:tc>
        <w:tc>
          <w:tcPr>
            <w:tcW w:w="123" w:type="dxa"/>
            <w:tcBorders/>
            <w:shd w:fill="auto" w:val="clear"/>
            <w:vAlign w:val="bottom"/>
          </w:tcPr>
          <w:p>
            <w:pPr>
              <w:pStyle w:val="TableContents"/>
              <w:spacing w:before="0" w:after="283"/>
              <w:rPr/>
            </w:pPr>
            <w:r>
              <w:rPr/>
              <w:t> </w:t>
            </w:r>
          </w:p>
        </w:tc>
        <w:tc>
          <w:tcPr>
            <w:tcW w:w="1299"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helvetica" w:hAnsi="helvetica"/>
                <w:b/>
                <w:sz w:val="16"/>
              </w:rPr>
            </w:pPr>
            <w:r>
              <w:rPr>
                <w:rFonts w:ascii="helvetica" w:hAnsi="helvetica"/>
                <w:b/>
                <w:sz w:val="16"/>
              </w:rPr>
              <w:t>Six Months Ended June 30,2012</w:t>
            </w:r>
          </w:p>
        </w:tc>
        <w:tc>
          <w:tcPr>
            <w:tcW w:w="225" w:type="dxa"/>
            <w:tcBorders/>
            <w:shd w:fill="auto" w:val="clear"/>
            <w:vAlign w:val="bottom"/>
          </w:tcPr>
          <w:p>
            <w:pPr>
              <w:pStyle w:val="TableContents"/>
              <w:spacing w:before="0" w:after="283"/>
              <w:jc w:val="left"/>
              <w:rPr/>
            </w:pPr>
            <w:r>
              <w:rPr/>
              <w:t> </w:t>
            </w:r>
          </w:p>
        </w:tc>
      </w:tr>
      <w:tr>
        <w:trPr/>
        <w:tc>
          <w:tcPr>
            <w:tcW w:w="8558" w:type="dxa"/>
            <w:tcBorders/>
            <w:shd w:fill="CCEEFF" w:val="clear"/>
            <w:vAlign w:val="bottom"/>
          </w:tcPr>
          <w:p>
            <w:pPr>
              <w:pStyle w:val="TableContents"/>
              <w:spacing w:before="0" w:after="0"/>
              <w:ind w:left="0" w:right="0" w:hanging="0"/>
              <w:jc w:val="left"/>
              <w:rPr>
                <w:rFonts w:ascii="helvetica" w:hAnsi="helvetica"/>
                <w:sz w:val="20"/>
              </w:rPr>
            </w:pPr>
            <w:r>
              <w:rPr>
                <w:rFonts w:ascii="helvetica" w:hAnsi="helvetica"/>
                <w:sz w:val="20"/>
              </w:rPr>
              <w:t>Weighted-average fair value of options granted</w:t>
            </w:r>
          </w:p>
        </w:tc>
        <w:tc>
          <w:tcPr>
            <w:tcW w:w="123" w:type="dxa"/>
            <w:tcBorders/>
            <w:shd w:fill="CCEEFF" w:val="clear"/>
            <w:vAlign w:val="bottom"/>
          </w:tcPr>
          <w:p>
            <w:pPr>
              <w:pStyle w:val="TableContents"/>
              <w:spacing w:before="0" w:after="283"/>
              <w:rPr/>
            </w:pPr>
            <w:r>
              <w:rPr/>
              <w:t> </w:t>
            </w:r>
          </w:p>
        </w:tc>
        <w:tc>
          <w:tcPr>
            <w:tcW w:w="164" w:type="dxa"/>
            <w:tcBorders/>
            <w:shd w:fill="CCEEFF" w:val="clear"/>
            <w:vAlign w:val="bottom"/>
          </w:tcPr>
          <w:p>
            <w:pPr>
              <w:pStyle w:val="TableContents"/>
              <w:spacing w:before="0" w:after="283"/>
              <w:jc w:val="left"/>
              <w:rPr>
                <w:rFonts w:ascii="helvetica" w:hAnsi="helvetica"/>
                <w:sz w:val="20"/>
              </w:rPr>
            </w:pPr>
            <w:r>
              <w:rPr>
                <w:rFonts w:ascii="helvetica" w:hAnsi="helvetica"/>
                <w:sz w:val="20"/>
              </w:rPr>
              <w:t>$</w:t>
            </w:r>
          </w:p>
        </w:tc>
        <w:tc>
          <w:tcPr>
            <w:tcW w:w="1135"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0.68</w:t>
            </w:r>
          </w:p>
        </w:tc>
        <w:tc>
          <w:tcPr>
            <w:tcW w:w="225" w:type="dxa"/>
            <w:tcBorders/>
            <w:shd w:fill="CCEEFF" w:val="clear"/>
            <w:vAlign w:val="bottom"/>
          </w:tcPr>
          <w:p>
            <w:pPr>
              <w:pStyle w:val="TableContents"/>
              <w:spacing w:before="0" w:after="283"/>
              <w:jc w:val="left"/>
              <w:rPr/>
            </w:pPr>
            <w:r>
              <w:rPr/>
              <w:t> </w:t>
            </w:r>
          </w:p>
        </w:tc>
      </w:tr>
      <w:tr>
        <w:trPr/>
        <w:tc>
          <w:tcPr>
            <w:tcW w:w="8558" w:type="dxa"/>
            <w:tcBorders/>
            <w:shd w:fill="FFFFFF" w:val="clear"/>
            <w:vAlign w:val="bottom"/>
          </w:tcPr>
          <w:p>
            <w:pPr>
              <w:pStyle w:val="TableContents"/>
              <w:spacing w:before="0" w:after="0"/>
              <w:ind w:left="0" w:right="0" w:hanging="0"/>
              <w:jc w:val="left"/>
              <w:rPr>
                <w:rFonts w:ascii="helvetica" w:hAnsi="helvetica"/>
                <w:sz w:val="20"/>
              </w:rPr>
            </w:pPr>
            <w:r>
              <w:rPr>
                <w:rFonts w:ascii="helvetica" w:hAnsi="helvetica"/>
                <w:sz w:val="20"/>
              </w:rPr>
              <w:t>Expected terms (in years)</w:t>
            </w:r>
          </w:p>
        </w:tc>
        <w:tc>
          <w:tcPr>
            <w:tcW w:w="123" w:type="dxa"/>
            <w:tcBorders/>
            <w:shd w:fill="FFFFFF" w:val="clear"/>
            <w:vAlign w:val="bottom"/>
          </w:tcPr>
          <w:p>
            <w:pPr>
              <w:pStyle w:val="TableContents"/>
              <w:spacing w:before="0" w:after="283"/>
              <w:rPr/>
            </w:pPr>
            <w:r>
              <w:rPr/>
              <w:t> </w:t>
            </w:r>
          </w:p>
        </w:tc>
        <w:tc>
          <w:tcPr>
            <w:tcW w:w="164" w:type="dxa"/>
            <w:tcBorders/>
            <w:shd w:fill="FFFFFF" w:val="clear"/>
            <w:vAlign w:val="bottom"/>
          </w:tcPr>
          <w:p>
            <w:pPr>
              <w:pStyle w:val="TableContents"/>
              <w:spacing w:before="0" w:after="283"/>
              <w:jc w:val="left"/>
              <w:rPr/>
            </w:pPr>
            <w:r>
              <w:rPr/>
              <w:t> </w:t>
            </w:r>
          </w:p>
        </w:tc>
        <w:tc>
          <w:tcPr>
            <w:tcW w:w="1135"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4.83-5.00</w:t>
            </w:r>
          </w:p>
        </w:tc>
        <w:tc>
          <w:tcPr>
            <w:tcW w:w="225" w:type="dxa"/>
            <w:tcBorders/>
            <w:shd w:fill="FFFFFF" w:val="clear"/>
            <w:vAlign w:val="bottom"/>
          </w:tcPr>
          <w:p>
            <w:pPr>
              <w:pStyle w:val="TableContents"/>
              <w:spacing w:before="0" w:after="283"/>
              <w:jc w:val="left"/>
              <w:rPr/>
            </w:pPr>
            <w:r>
              <w:rPr/>
              <w:t> </w:t>
            </w:r>
          </w:p>
        </w:tc>
      </w:tr>
      <w:tr>
        <w:trPr/>
        <w:tc>
          <w:tcPr>
            <w:tcW w:w="8558" w:type="dxa"/>
            <w:tcBorders/>
            <w:shd w:fill="CCEEFF" w:val="clear"/>
            <w:vAlign w:val="bottom"/>
          </w:tcPr>
          <w:p>
            <w:pPr>
              <w:pStyle w:val="TableContents"/>
              <w:spacing w:before="0" w:after="0"/>
              <w:ind w:left="0" w:right="0" w:hanging="0"/>
              <w:jc w:val="left"/>
              <w:rPr>
                <w:rFonts w:ascii="helvetica" w:hAnsi="helvetica"/>
                <w:sz w:val="20"/>
              </w:rPr>
            </w:pPr>
            <w:r>
              <w:rPr>
                <w:rFonts w:ascii="helvetica" w:hAnsi="helvetica"/>
                <w:sz w:val="20"/>
              </w:rPr>
              <w:t>Expected volatility</w:t>
            </w:r>
          </w:p>
        </w:tc>
        <w:tc>
          <w:tcPr>
            <w:tcW w:w="123" w:type="dxa"/>
            <w:tcBorders/>
            <w:shd w:fill="CCEEFF" w:val="clear"/>
            <w:vAlign w:val="bottom"/>
          </w:tcPr>
          <w:p>
            <w:pPr>
              <w:pStyle w:val="TableContents"/>
              <w:spacing w:before="0" w:after="283"/>
              <w:rPr/>
            </w:pPr>
            <w:r>
              <w:rPr/>
              <w:t> </w:t>
            </w:r>
          </w:p>
        </w:tc>
        <w:tc>
          <w:tcPr>
            <w:tcW w:w="164" w:type="dxa"/>
            <w:tcBorders/>
            <w:shd w:fill="CCEEFF" w:val="clear"/>
            <w:vAlign w:val="bottom"/>
          </w:tcPr>
          <w:p>
            <w:pPr>
              <w:pStyle w:val="TableContents"/>
              <w:spacing w:before="0" w:after="283"/>
              <w:jc w:val="left"/>
              <w:rPr/>
            </w:pPr>
            <w:r>
              <w:rPr/>
              <w:t> </w:t>
            </w:r>
          </w:p>
        </w:tc>
        <w:tc>
          <w:tcPr>
            <w:tcW w:w="1135"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306% - 361</w:t>
            </w:r>
          </w:p>
        </w:tc>
        <w:tc>
          <w:tcPr>
            <w:tcW w:w="225" w:type="dxa"/>
            <w:tcBorders/>
            <w:shd w:fill="CCEEFF" w:val="clear"/>
            <w:vAlign w:val="bottom"/>
          </w:tcPr>
          <w:p>
            <w:pPr>
              <w:pStyle w:val="TableContents"/>
              <w:spacing w:before="0" w:after="283"/>
              <w:jc w:val="left"/>
              <w:rPr>
                <w:rFonts w:ascii="helvetica" w:hAnsi="helvetica"/>
                <w:sz w:val="20"/>
              </w:rPr>
            </w:pPr>
            <w:r>
              <w:rPr>
                <w:rFonts w:ascii="helvetica" w:hAnsi="helvetica"/>
                <w:sz w:val="20"/>
              </w:rPr>
              <w:t>%</w:t>
            </w:r>
          </w:p>
        </w:tc>
      </w:tr>
      <w:tr>
        <w:trPr/>
        <w:tc>
          <w:tcPr>
            <w:tcW w:w="8558" w:type="dxa"/>
            <w:tcBorders/>
            <w:shd w:fill="FFFFFF" w:val="clear"/>
            <w:vAlign w:val="bottom"/>
          </w:tcPr>
          <w:p>
            <w:pPr>
              <w:pStyle w:val="TableContents"/>
              <w:spacing w:before="0" w:after="0"/>
              <w:ind w:left="0" w:right="0" w:hanging="0"/>
              <w:jc w:val="left"/>
              <w:rPr>
                <w:rFonts w:ascii="helvetica" w:hAnsi="helvetica"/>
                <w:sz w:val="20"/>
              </w:rPr>
            </w:pPr>
            <w:r>
              <w:rPr>
                <w:rFonts w:ascii="helvetica" w:hAnsi="helvetica"/>
                <w:sz w:val="20"/>
              </w:rPr>
              <w:t>Risk-free interest rate</w:t>
            </w:r>
          </w:p>
        </w:tc>
        <w:tc>
          <w:tcPr>
            <w:tcW w:w="123" w:type="dxa"/>
            <w:tcBorders/>
            <w:shd w:fill="FFFFFF" w:val="clear"/>
            <w:vAlign w:val="bottom"/>
          </w:tcPr>
          <w:p>
            <w:pPr>
              <w:pStyle w:val="TableContents"/>
              <w:spacing w:before="0" w:after="283"/>
              <w:rPr/>
            </w:pPr>
            <w:r>
              <w:rPr/>
              <w:t> </w:t>
            </w:r>
          </w:p>
        </w:tc>
        <w:tc>
          <w:tcPr>
            <w:tcW w:w="164" w:type="dxa"/>
            <w:tcBorders/>
            <w:shd w:fill="FFFFFF" w:val="clear"/>
            <w:vAlign w:val="bottom"/>
          </w:tcPr>
          <w:p>
            <w:pPr>
              <w:pStyle w:val="TableContents"/>
              <w:spacing w:before="0" w:after="283"/>
              <w:jc w:val="left"/>
              <w:rPr/>
            </w:pPr>
            <w:r>
              <w:rPr/>
              <w:t> </w:t>
            </w:r>
          </w:p>
        </w:tc>
        <w:tc>
          <w:tcPr>
            <w:tcW w:w="1135"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0.62%-1.03</w:t>
            </w:r>
          </w:p>
        </w:tc>
        <w:tc>
          <w:tcPr>
            <w:tcW w:w="225" w:type="dxa"/>
            <w:tcBorders/>
            <w:shd w:fill="FFFFFF" w:val="clear"/>
            <w:vAlign w:val="bottom"/>
          </w:tcPr>
          <w:p>
            <w:pPr>
              <w:pStyle w:val="TableContents"/>
              <w:spacing w:before="0" w:after="283"/>
              <w:jc w:val="left"/>
              <w:rPr>
                <w:rFonts w:ascii="helvetica" w:hAnsi="helvetica"/>
                <w:sz w:val="20"/>
              </w:rPr>
            </w:pPr>
            <w:r>
              <w:rPr>
                <w:rFonts w:ascii="helvetica" w:hAnsi="helvetica"/>
                <w:sz w:val="20"/>
              </w:rPr>
              <w:t>%</w:t>
            </w:r>
          </w:p>
        </w:tc>
      </w:tr>
      <w:tr>
        <w:trPr/>
        <w:tc>
          <w:tcPr>
            <w:tcW w:w="8558" w:type="dxa"/>
            <w:tcBorders/>
            <w:shd w:fill="CCEEFF" w:val="clear"/>
            <w:vAlign w:val="bottom"/>
          </w:tcPr>
          <w:p>
            <w:pPr>
              <w:pStyle w:val="TableContents"/>
              <w:spacing w:before="0" w:after="0"/>
              <w:ind w:left="0" w:right="0" w:hanging="0"/>
              <w:jc w:val="left"/>
              <w:rPr>
                <w:rFonts w:ascii="helvetica" w:hAnsi="helvetica"/>
                <w:sz w:val="20"/>
              </w:rPr>
            </w:pPr>
            <w:r>
              <w:rPr>
                <w:rFonts w:ascii="helvetica" w:hAnsi="helvetica"/>
                <w:sz w:val="20"/>
              </w:rPr>
              <w:t>Dividend yield</w:t>
            </w:r>
          </w:p>
        </w:tc>
        <w:tc>
          <w:tcPr>
            <w:tcW w:w="123" w:type="dxa"/>
            <w:tcBorders/>
            <w:shd w:fill="CCEEFF" w:val="clear"/>
            <w:vAlign w:val="bottom"/>
          </w:tcPr>
          <w:p>
            <w:pPr>
              <w:pStyle w:val="TableContents"/>
              <w:spacing w:before="0" w:after="283"/>
              <w:rPr/>
            </w:pPr>
            <w:r>
              <w:rPr/>
              <w:t> </w:t>
            </w:r>
          </w:p>
        </w:tc>
        <w:tc>
          <w:tcPr>
            <w:tcW w:w="164" w:type="dxa"/>
            <w:tcBorders/>
            <w:shd w:fill="CCEEFF" w:val="clear"/>
            <w:vAlign w:val="bottom"/>
          </w:tcPr>
          <w:p>
            <w:pPr>
              <w:pStyle w:val="TableContents"/>
              <w:spacing w:before="0" w:after="283"/>
              <w:jc w:val="left"/>
              <w:rPr/>
            </w:pPr>
            <w:r>
              <w:rPr/>
              <w:t> </w:t>
            </w:r>
          </w:p>
        </w:tc>
        <w:tc>
          <w:tcPr>
            <w:tcW w:w="1135"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w:t>
            </w:r>
          </w:p>
        </w:tc>
        <w:tc>
          <w:tcPr>
            <w:tcW w:w="225" w:type="dxa"/>
            <w:tcBorders/>
            <w:shd w:fill="CCEEFF" w:val="clear"/>
            <w:vAlign w:val="bottom"/>
          </w:tcPr>
          <w:p>
            <w:pPr>
              <w:pStyle w:val="TableContents"/>
              <w:spacing w:before="0" w:after="283"/>
              <w:jc w:val="left"/>
              <w:rPr/>
            </w:pPr>
            <w:r>
              <w:rPr/>
              <w:t> </w:t>
            </w:r>
          </w:p>
        </w:tc>
      </w:tr>
    </w:tbl>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r>
      <w:bookmarkStart w:id="1030" w:name="PGBRK86"/>
      <w:bookmarkStart w:id="1031" w:name="PGBRK86"/>
      <w:bookmarkEnd w:id="103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032" w:name="FTR86"/>
      <w:bookmarkStart w:id="1033" w:name="FTR86"/>
      <w:bookmarkEnd w:id="103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1034" w:name="GLFTR85"/>
      <w:bookmarkEnd w:id="1034"/>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helvetica" w:hAnsi="helvetica"/>
          <w:sz w:val="20"/>
        </w:rPr>
      </w:pPr>
      <w:bookmarkStart w:id="1035" w:name="PN85"/>
      <w:bookmarkEnd w:id="1035"/>
      <w:r>
        <w:rPr>
          <w:rFonts w:ascii="helvetica" w:hAnsi="helvetica"/>
          <w:sz w:val="20"/>
        </w:rPr>
        <w:t>F-15</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036" w:name="HDR85"/>
      <w:bookmarkStart w:id="1037" w:name="HDR85"/>
      <w:bookmarkEnd w:id="103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1038" w:name="GLHDR85"/>
      <w:bookmarkEnd w:id="1038"/>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left"/>
        <w:rPr/>
      </w:pPr>
      <w:r>
        <w:rPr/>
        <w:t> </w:t>
      </w:r>
    </w:p>
    <w:p>
      <w:pPr>
        <w:pStyle w:val="TextBody"/>
        <w:spacing w:before="0" w:after="0"/>
        <w:ind w:left="0" w:right="0" w:hanging="0"/>
        <w:jc w:val="both"/>
        <w:rPr>
          <w:rFonts w:ascii="helvetica" w:hAnsi="helvetica"/>
          <w:b w:val="false"/>
          <w:sz w:val="20"/>
        </w:rPr>
      </w:pPr>
      <w:r>
        <w:rPr>
          <w:rFonts w:ascii="helvetica" w:hAnsi="helvetica"/>
          <w:b w:val="false"/>
          <w:sz w:val="20"/>
        </w:rPr>
        <w:t>The Company’s outstanding options have been granted to the employees, directors and consultants at exercise prices that range from $0.48 to $16.00, the estimated fair market value of the common stock on the dates of issuance.  These options have expiration dates that range from 4 – 10 years of their grant date and were vested immediately, monthly, quarterly, or on an annual basis for a period of up to five years. The Company uses the Black-Scholes-Merton option pricing model to estimate the grant-date fair value of share-based awards. The Black-Scholes-Merton model requires subjective assumptions regarding future stock price volatility and expected time to exercise, along with assumptions about the risk-free interest rate and expected dividends, which affect the estimated fair values of the Company’s stock-based awards. The expected term of options granted was determined in accordance with the “simplified approach” as the Company has limited historical data on employee exercises and post-vesting employment termination behavior. The expected volatility is based on the historical volatilities of the common stock of the Company.  The risk-free rate selected to value any particular grant is based on the U.S. Treasury rate that corresponds to the expected term of the grant effective as of the date of the grant. The Company used 0% as an expected dividend yield assumption. These factors could change in the future, affecting the determination of stock-based compensation expense in future periods. Utilizing these assumptions, the fair value is determined at the date of grant.</w:t>
      </w:r>
    </w:p>
    <w:p>
      <w:pPr>
        <w:pStyle w:val="TextBody"/>
        <w:spacing w:before="0" w:after="0"/>
        <w:ind w:left="0" w:right="0" w:hanging="0"/>
        <w:jc w:val="left"/>
        <w:rPr/>
      </w:pPr>
      <w:r>
        <w:rPr/>
        <w:t> </w:t>
      </w:r>
    </w:p>
    <w:p>
      <w:pPr>
        <w:pStyle w:val="TextBody"/>
        <w:spacing w:before="0" w:after="0"/>
        <w:ind w:left="0" w:right="0" w:hanging="0"/>
        <w:jc w:val="both"/>
        <w:rPr>
          <w:rFonts w:ascii="helvetica" w:hAnsi="helvetica"/>
          <w:b w:val="false"/>
          <w:sz w:val="20"/>
        </w:rPr>
      </w:pPr>
      <w:r>
        <w:rPr>
          <w:rFonts w:ascii="helvetica" w:hAnsi="helvetica"/>
          <w:b w:val="false"/>
          <w:sz w:val="20"/>
        </w:rPr>
        <w:t>The Company issued options to purchase up to 4,975,000 shares of the Company’s common stock during the six months ended June 30, 2012.  The weighted average fair value per share of grants issued during the six months ended June 30, 2012 was $0.64.</w:t>
      </w:r>
    </w:p>
    <w:p>
      <w:pPr>
        <w:pStyle w:val="TextBody"/>
        <w:spacing w:before="0" w:after="0"/>
        <w:ind w:left="0" w:right="0" w:hanging="0"/>
        <w:jc w:val="left"/>
        <w:rPr/>
      </w:pPr>
      <w:r>
        <w:rPr/>
        <w:t> </w:t>
      </w:r>
    </w:p>
    <w:p>
      <w:pPr>
        <w:pStyle w:val="TextBody"/>
        <w:spacing w:before="0" w:after="0"/>
        <w:ind w:left="0" w:right="0" w:hanging="0"/>
        <w:jc w:val="both"/>
        <w:rPr>
          <w:rFonts w:ascii="helvetica" w:hAnsi="helvetica"/>
          <w:b w:val="false"/>
          <w:sz w:val="20"/>
        </w:rPr>
      </w:pPr>
      <w:r>
        <w:rPr>
          <w:rFonts w:ascii="helvetica" w:hAnsi="helvetica"/>
          <w:b w:val="false"/>
          <w:sz w:val="20"/>
        </w:rPr>
        <w:t>As of June 30, 2012, there was approximately $2,044,000 of total unrecognized compensation expense related to unvested stock options under the Plan. That expense is expected to be recognized over the weighted-average period of 1.61 years.</w:t>
      </w:r>
    </w:p>
    <w:p>
      <w:pPr>
        <w:pStyle w:val="TextBody"/>
        <w:spacing w:before="0" w:after="0"/>
        <w:ind w:left="0" w:right="0" w:hanging="0"/>
        <w:jc w:val="left"/>
        <w:rPr/>
      </w:pPr>
      <w:r>
        <w:rPr/>
        <w:t> </w:t>
      </w:r>
    </w:p>
    <w:p>
      <w:pPr>
        <w:pStyle w:val="TextBody"/>
        <w:spacing w:before="0" w:after="0"/>
        <w:ind w:left="0" w:right="0" w:hanging="0"/>
        <w:jc w:val="left"/>
        <w:rPr>
          <w:rFonts w:ascii="helvetica" w:hAnsi="helvetica"/>
          <w:b/>
          <w:sz w:val="20"/>
        </w:rPr>
      </w:pPr>
      <w:r>
        <w:rPr>
          <w:rFonts w:ascii="helvetica" w:hAnsi="helvetica"/>
          <w:b/>
          <w:sz w:val="20"/>
        </w:rPr>
        <w:t>NOTE 7.  WARRANTS</w:t>
      </w:r>
    </w:p>
    <w:p>
      <w:pPr>
        <w:pStyle w:val="TextBody"/>
        <w:spacing w:before="0" w:after="0"/>
        <w:ind w:left="0" w:right="0" w:hanging="0"/>
        <w:rPr/>
      </w:pPr>
      <w:r>
        <w:rPr/>
        <w:t> </w:t>
      </w:r>
    </w:p>
    <w:p>
      <w:pPr>
        <w:pStyle w:val="TextBody"/>
        <w:spacing w:before="0" w:after="0"/>
        <w:ind w:left="0" w:right="0" w:hanging="0"/>
        <w:jc w:val="both"/>
        <w:rPr>
          <w:rFonts w:ascii="helvetica" w:hAnsi="helvetica"/>
          <w:sz w:val="20"/>
        </w:rPr>
      </w:pPr>
      <w:r>
        <w:rPr>
          <w:rFonts w:ascii="helvetica" w:hAnsi="helvetica"/>
          <w:sz w:val="20"/>
        </w:rPr>
        <w:t>On April 25, 2012, at the closing of the April Private Placement (see Note 5), the Company issued warrants to the Investors to purchase up to an aggregate amount of 2,514,642 shares of common stock with an exercise price of $1.185. The warrants have an initial exercise date of April 25, 2012 and a three-year term.  Also on April 25, 2012, in connection with the Conversion Agreement (see Note 4) between the Company and DermaStar, a related party, the Company issued to DermaStar a warrant to purchase up to 241,308 shares of the Company’s common stock with an exercise price of $1.185 per share.  The warrant has an initial exercise date of April 25, 2012 and a three-year term.</w:t>
      </w:r>
    </w:p>
    <w:p>
      <w:pPr>
        <w:pStyle w:val="TextBody"/>
        <w:spacing w:before="0" w:after="0"/>
        <w:ind w:left="0" w:right="0" w:hanging="0"/>
        <w:jc w:val="both"/>
        <w:rPr/>
      </w:pPr>
      <w:r>
        <w:rPr/>
        <w:t> </w:t>
      </w:r>
    </w:p>
    <w:p>
      <w:pPr>
        <w:pStyle w:val="TextBody"/>
        <w:spacing w:before="0" w:after="0"/>
        <w:ind w:left="0" w:right="0" w:hanging="0"/>
        <w:jc w:val="both"/>
        <w:rPr>
          <w:rFonts w:ascii="helvetica" w:hAnsi="helvetica"/>
          <w:sz w:val="20"/>
        </w:rPr>
      </w:pPr>
      <w:r>
        <w:rPr>
          <w:rFonts w:ascii="helvetica" w:hAnsi="helvetica"/>
          <w:sz w:val="20"/>
        </w:rPr>
        <w:t>The warrants issued as part of the April Private Placement and to DermaStar have mandatory exercise provisions providing that the Company may require the holders of the warrants to exercise the warrants in full but not in part within twenty (20) business days after the date of the Mandatory Exercise Notice (as defined below), by delivering a written notice to each holder of a warrant (the “Mandatory Exercise Notice”); provided that (i) the value weighted average price of the Company’s common stock for ten (10) consecutive trading days is equal to or greater than the exercise price, (ii) the Company has received a Filing Review Notification (commonly referred to as a “74 Day Letter”) from the U.S. Food and Drug Administration regarding the status of the Company’s Impracor topical non-steroidal anti-inflammatory drug, and (iii) sufficient shares of the Company’s common stock are authorized and reserved for issuance upon full exercise of the warrants.</w:t>
      </w:r>
    </w:p>
    <w:p>
      <w:pPr>
        <w:pStyle w:val="TextBody"/>
        <w:spacing w:before="0" w:after="0"/>
        <w:ind w:left="0" w:right="0" w:hanging="0"/>
        <w:jc w:val="both"/>
        <w:rPr/>
      </w:pPr>
      <w:r>
        <w:rPr/>
        <w:t> </w:t>
      </w:r>
    </w:p>
    <w:p>
      <w:pPr>
        <w:pStyle w:val="TextBody"/>
        <w:spacing w:before="0" w:after="0"/>
        <w:ind w:left="0" w:right="0" w:hanging="0"/>
        <w:jc w:val="left"/>
        <w:rPr>
          <w:rFonts w:ascii="helvetica" w:hAnsi="helvetica"/>
          <w:sz w:val="20"/>
        </w:rPr>
      </w:pPr>
      <w:r>
        <w:rPr>
          <w:rFonts w:ascii="helvetica" w:hAnsi="helvetica"/>
          <w:sz w:val="20"/>
        </w:rPr>
        <w:t>A summary of the activity of the warrants for the six months ended June 30, 2012 is as follows:</w:t>
      </w:r>
    </w:p>
    <w:p>
      <w:pPr>
        <w:pStyle w:val="TextBody"/>
        <w:spacing w:before="0" w:after="0"/>
        <w:ind w:left="0" w:right="0" w:hanging="0"/>
        <w:jc w:val="left"/>
        <w:rPr/>
      </w:pPr>
      <w:r>
        <w:rPr/>
        <w:t> </w:t>
      </w:r>
    </w:p>
    <w:tbl>
      <w:tblPr>
        <w:tblW w:w="5000" w:type="pct"/>
        <w:jc w:val="left"/>
        <w:tblInd w:w="0" w:type="dxa"/>
        <w:tblCellMar>
          <w:top w:w="0" w:type="dxa"/>
          <w:left w:w="0" w:type="dxa"/>
          <w:bottom w:w="0" w:type="dxa"/>
          <w:right w:w="0" w:type="dxa"/>
        </w:tblCellMar>
      </w:tblPr>
      <w:tblGrid>
        <w:gridCol w:w="7201"/>
        <w:gridCol w:w="114"/>
        <w:gridCol w:w="116"/>
        <w:gridCol w:w="1207"/>
        <w:gridCol w:w="114"/>
        <w:gridCol w:w="114"/>
        <w:gridCol w:w="154"/>
        <w:gridCol w:w="1061"/>
        <w:gridCol w:w="124"/>
      </w:tblGrid>
      <w:tr>
        <w:trPr/>
        <w:tc>
          <w:tcPr>
            <w:tcW w:w="7201" w:type="dxa"/>
            <w:tcBorders/>
            <w:shd w:fill="auto" w:val="clear"/>
            <w:vAlign w:val="bottom"/>
          </w:tcPr>
          <w:p>
            <w:pPr>
              <w:pStyle w:val="TableContents"/>
              <w:spacing w:before="0" w:after="283"/>
              <w:rPr/>
            </w:pPr>
            <w:r>
              <w:rPr/>
              <w:t xml:space="preserve">  </w:t>
            </w:r>
          </w:p>
        </w:tc>
        <w:tc>
          <w:tcPr>
            <w:tcW w:w="114" w:type="dxa"/>
            <w:tcBorders/>
            <w:shd w:fill="auto" w:val="clear"/>
            <w:vAlign w:val="bottom"/>
          </w:tcPr>
          <w:p>
            <w:pPr>
              <w:pStyle w:val="TableContents"/>
              <w:spacing w:before="0" w:after="283"/>
              <w:rPr/>
            </w:pPr>
            <w:r>
              <w:rPr/>
              <w:t> </w:t>
            </w:r>
          </w:p>
        </w:tc>
        <w:tc>
          <w:tcPr>
            <w:tcW w:w="1323"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helvetica" w:hAnsi="helvetica"/>
                <w:b/>
                <w:sz w:val="16"/>
              </w:rPr>
            </w:pPr>
            <w:r>
              <w:rPr>
                <w:rFonts w:ascii="helvetica" w:hAnsi="helvetica"/>
                <w:b/>
                <w:sz w:val="16"/>
              </w:rPr>
              <w:t>Number of Shares Subject to Warrants Outstanding</w:t>
            </w:r>
          </w:p>
        </w:tc>
        <w:tc>
          <w:tcPr>
            <w:tcW w:w="114" w:type="dxa"/>
            <w:tcBorders/>
            <w:shd w:fill="auto" w:val="clear"/>
            <w:vAlign w:val="bottom"/>
          </w:tcPr>
          <w:p>
            <w:pPr>
              <w:pStyle w:val="TableContents"/>
              <w:spacing w:before="0" w:after="283"/>
              <w:jc w:val="left"/>
              <w:rPr/>
            </w:pPr>
            <w:r>
              <w:rPr/>
              <w:t> </w:t>
            </w:r>
          </w:p>
        </w:tc>
        <w:tc>
          <w:tcPr>
            <w:tcW w:w="114" w:type="dxa"/>
            <w:tcBorders/>
            <w:shd w:fill="auto" w:val="clear"/>
            <w:vAlign w:val="bottom"/>
          </w:tcPr>
          <w:p>
            <w:pPr>
              <w:pStyle w:val="TableContents"/>
              <w:spacing w:before="0" w:after="283"/>
              <w:rPr/>
            </w:pPr>
            <w:r>
              <w:rPr/>
              <w:t> </w:t>
            </w:r>
          </w:p>
        </w:tc>
        <w:tc>
          <w:tcPr>
            <w:tcW w:w="1215"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helvetica" w:hAnsi="helvetica"/>
                <w:b/>
                <w:sz w:val="16"/>
              </w:rPr>
            </w:pPr>
            <w:r>
              <w:rPr>
                <w:rFonts w:ascii="helvetica" w:hAnsi="helvetica"/>
                <w:b/>
                <w:sz w:val="16"/>
              </w:rPr>
              <w:t>Weighted Avg. Exercise Price</w:t>
            </w:r>
          </w:p>
        </w:tc>
        <w:tc>
          <w:tcPr>
            <w:tcW w:w="124" w:type="dxa"/>
            <w:tcBorders/>
            <w:shd w:fill="auto" w:val="clear"/>
            <w:vAlign w:val="bottom"/>
          </w:tcPr>
          <w:p>
            <w:pPr>
              <w:pStyle w:val="TableContents"/>
              <w:spacing w:before="0" w:after="283"/>
              <w:jc w:val="left"/>
              <w:rPr/>
            </w:pPr>
            <w:r>
              <w:rPr/>
              <w:t> </w:t>
            </w:r>
          </w:p>
        </w:tc>
      </w:tr>
      <w:tr>
        <w:trPr/>
        <w:tc>
          <w:tcPr>
            <w:tcW w:w="7201" w:type="dxa"/>
            <w:tcBorders/>
            <w:shd w:fill="auto" w:val="clear"/>
            <w:vAlign w:val="bottom"/>
          </w:tcPr>
          <w:p>
            <w:pPr>
              <w:pStyle w:val="TableContents"/>
              <w:spacing w:before="0" w:after="283"/>
              <w:rPr/>
            </w:pPr>
            <w:r>
              <w:rPr/>
              <w:t xml:space="preserve">  </w:t>
            </w:r>
          </w:p>
        </w:tc>
        <w:tc>
          <w:tcPr>
            <w:tcW w:w="114" w:type="dxa"/>
            <w:tcBorders/>
            <w:shd w:fill="auto" w:val="clear"/>
            <w:vAlign w:val="bottom"/>
          </w:tcPr>
          <w:p>
            <w:pPr>
              <w:pStyle w:val="TableContents"/>
              <w:spacing w:before="0" w:after="283"/>
              <w:rPr/>
            </w:pPr>
            <w:r>
              <w:rPr/>
              <w:t> </w:t>
            </w:r>
          </w:p>
        </w:tc>
        <w:tc>
          <w:tcPr>
            <w:tcW w:w="1323" w:type="dxa"/>
            <w:gridSpan w:val="2"/>
            <w:tcBorders/>
            <w:shd w:fill="auto" w:val="clear"/>
            <w:vAlign w:val="bottom"/>
          </w:tcPr>
          <w:p>
            <w:pPr>
              <w:pStyle w:val="TableContents"/>
              <w:spacing w:before="0" w:after="283"/>
              <w:rPr/>
            </w:pPr>
            <w:r>
              <w:rPr/>
              <w:t> </w:t>
            </w:r>
          </w:p>
        </w:tc>
        <w:tc>
          <w:tcPr>
            <w:tcW w:w="114" w:type="dxa"/>
            <w:tcBorders/>
            <w:shd w:fill="auto" w:val="clear"/>
            <w:vAlign w:val="bottom"/>
          </w:tcPr>
          <w:p>
            <w:pPr>
              <w:pStyle w:val="TableContents"/>
              <w:spacing w:before="0" w:after="283"/>
              <w:jc w:val="left"/>
              <w:rPr/>
            </w:pPr>
            <w:r>
              <w:rPr/>
              <w:t> </w:t>
            </w:r>
          </w:p>
        </w:tc>
        <w:tc>
          <w:tcPr>
            <w:tcW w:w="114" w:type="dxa"/>
            <w:tcBorders/>
            <w:shd w:fill="auto" w:val="clear"/>
            <w:vAlign w:val="bottom"/>
          </w:tcPr>
          <w:p>
            <w:pPr>
              <w:pStyle w:val="TableContents"/>
              <w:spacing w:before="0" w:after="283"/>
              <w:rPr/>
            </w:pPr>
            <w:r>
              <w:rPr/>
              <w:t> </w:t>
            </w:r>
          </w:p>
        </w:tc>
        <w:tc>
          <w:tcPr>
            <w:tcW w:w="1215" w:type="dxa"/>
            <w:gridSpan w:val="2"/>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jc w:val="left"/>
              <w:rPr/>
            </w:pPr>
            <w:r>
              <w:rPr/>
              <w:t> </w:t>
            </w:r>
          </w:p>
        </w:tc>
      </w:tr>
      <w:tr>
        <w:trPr/>
        <w:tc>
          <w:tcPr>
            <w:tcW w:w="7201" w:type="dxa"/>
            <w:tcBorders/>
            <w:shd w:fill="CCEEFF" w:val="clear"/>
            <w:vAlign w:val="bottom"/>
          </w:tcPr>
          <w:p>
            <w:pPr>
              <w:pStyle w:val="TableContents"/>
              <w:spacing w:before="0" w:after="0"/>
              <w:ind w:left="0" w:right="0" w:hanging="0"/>
              <w:jc w:val="left"/>
              <w:rPr>
                <w:rFonts w:ascii="helvetica" w:hAnsi="helvetica"/>
                <w:sz w:val="20"/>
              </w:rPr>
            </w:pPr>
            <w:r>
              <w:rPr>
                <w:rFonts w:ascii="helvetica" w:hAnsi="helvetica"/>
                <w:sz w:val="20"/>
              </w:rPr>
              <w:t>Warrants outstanding - January 1, 2012</w:t>
            </w:r>
          </w:p>
        </w:tc>
        <w:tc>
          <w:tcPr>
            <w:tcW w:w="114" w:type="dxa"/>
            <w:tcBorders/>
            <w:shd w:fill="CCEEFF" w:val="clear"/>
            <w:vAlign w:val="bottom"/>
          </w:tcPr>
          <w:p>
            <w:pPr>
              <w:pStyle w:val="TableContents"/>
              <w:spacing w:before="0" w:after="283"/>
              <w:rPr/>
            </w:pPr>
            <w:r>
              <w:rPr/>
              <w:t> </w:t>
            </w:r>
          </w:p>
        </w:tc>
        <w:tc>
          <w:tcPr>
            <w:tcW w:w="116" w:type="dxa"/>
            <w:tcBorders/>
            <w:shd w:fill="CCEEFF" w:val="clear"/>
            <w:vAlign w:val="bottom"/>
          </w:tcPr>
          <w:p>
            <w:pPr>
              <w:pStyle w:val="TableContents"/>
              <w:spacing w:before="0" w:after="283"/>
              <w:jc w:val="left"/>
              <w:rPr/>
            </w:pPr>
            <w:r>
              <w:rPr/>
              <w:t> </w:t>
            </w:r>
          </w:p>
        </w:tc>
        <w:tc>
          <w:tcPr>
            <w:tcW w:w="1207"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95,498</w:t>
            </w:r>
          </w:p>
        </w:tc>
        <w:tc>
          <w:tcPr>
            <w:tcW w:w="114" w:type="dxa"/>
            <w:tcBorders/>
            <w:shd w:fill="CCEEFF" w:val="clear"/>
            <w:vAlign w:val="bottom"/>
          </w:tcPr>
          <w:p>
            <w:pPr>
              <w:pStyle w:val="TableContents"/>
              <w:spacing w:before="0" w:after="283"/>
              <w:jc w:val="left"/>
              <w:rPr/>
            </w:pPr>
            <w:r>
              <w:rPr/>
              <w:t> </w:t>
            </w:r>
          </w:p>
        </w:tc>
        <w:tc>
          <w:tcPr>
            <w:tcW w:w="114" w:type="dxa"/>
            <w:tcBorders/>
            <w:shd w:fill="CCEEFF" w:val="clear"/>
            <w:vAlign w:val="bottom"/>
          </w:tcPr>
          <w:p>
            <w:pPr>
              <w:pStyle w:val="TableContents"/>
              <w:spacing w:before="0" w:after="283"/>
              <w:rPr/>
            </w:pPr>
            <w:r>
              <w:rPr/>
              <w:t> </w:t>
            </w:r>
          </w:p>
        </w:tc>
        <w:tc>
          <w:tcPr>
            <w:tcW w:w="154" w:type="dxa"/>
            <w:tcBorders/>
            <w:shd w:fill="CCEEFF" w:val="clear"/>
            <w:vAlign w:val="bottom"/>
          </w:tcPr>
          <w:p>
            <w:pPr>
              <w:pStyle w:val="TableContents"/>
              <w:spacing w:before="0" w:after="283"/>
              <w:jc w:val="left"/>
              <w:rPr>
                <w:rFonts w:ascii="helvetica" w:hAnsi="helvetica"/>
                <w:sz w:val="20"/>
              </w:rPr>
            </w:pPr>
            <w:r>
              <w:rPr>
                <w:rFonts w:ascii="helvetica" w:hAnsi="helvetica"/>
                <w:sz w:val="20"/>
              </w:rPr>
              <w:t>$</w:t>
            </w:r>
          </w:p>
        </w:tc>
        <w:tc>
          <w:tcPr>
            <w:tcW w:w="1061"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33.16</w:t>
            </w:r>
          </w:p>
        </w:tc>
        <w:tc>
          <w:tcPr>
            <w:tcW w:w="124" w:type="dxa"/>
            <w:tcBorders/>
            <w:shd w:fill="CCEEFF" w:val="clear"/>
            <w:vAlign w:val="bottom"/>
          </w:tcPr>
          <w:p>
            <w:pPr>
              <w:pStyle w:val="TableContents"/>
              <w:spacing w:before="0" w:after="283"/>
              <w:jc w:val="left"/>
              <w:rPr/>
            </w:pPr>
            <w:r>
              <w:rPr/>
              <w:t> </w:t>
            </w:r>
          </w:p>
        </w:tc>
      </w:tr>
      <w:tr>
        <w:trPr/>
        <w:tc>
          <w:tcPr>
            <w:tcW w:w="7201" w:type="dxa"/>
            <w:tcBorders/>
            <w:shd w:fill="FFFFFF" w:val="clear"/>
            <w:vAlign w:val="bottom"/>
          </w:tcPr>
          <w:p>
            <w:pPr>
              <w:pStyle w:val="TableContents"/>
              <w:spacing w:before="0" w:after="0"/>
              <w:ind w:left="0" w:right="0" w:hanging="0"/>
              <w:jc w:val="left"/>
              <w:rPr>
                <w:rFonts w:ascii="helvetica" w:hAnsi="helvetica"/>
                <w:sz w:val="20"/>
              </w:rPr>
            </w:pPr>
            <w:r>
              <w:rPr>
                <w:rFonts w:ascii="helvetica" w:hAnsi="helvetica"/>
                <w:sz w:val="20"/>
              </w:rPr>
              <w:t>Granted</w:t>
            </w:r>
          </w:p>
        </w:tc>
        <w:tc>
          <w:tcPr>
            <w:tcW w:w="114" w:type="dxa"/>
            <w:tcBorders/>
            <w:shd w:fill="FFFFFF" w:val="clear"/>
            <w:vAlign w:val="bottom"/>
          </w:tcPr>
          <w:p>
            <w:pPr>
              <w:pStyle w:val="TableContents"/>
              <w:spacing w:before="0" w:after="283"/>
              <w:rPr/>
            </w:pPr>
            <w:r>
              <w:rPr/>
              <w:t> </w:t>
            </w:r>
          </w:p>
        </w:tc>
        <w:tc>
          <w:tcPr>
            <w:tcW w:w="116" w:type="dxa"/>
            <w:tcBorders/>
            <w:shd w:fill="FFFFFF" w:val="clear"/>
            <w:vAlign w:val="bottom"/>
          </w:tcPr>
          <w:p>
            <w:pPr>
              <w:pStyle w:val="TableContents"/>
              <w:spacing w:before="0" w:after="283"/>
              <w:jc w:val="left"/>
              <w:rPr/>
            </w:pPr>
            <w:r>
              <w:rPr/>
              <w:t> </w:t>
            </w:r>
          </w:p>
        </w:tc>
        <w:tc>
          <w:tcPr>
            <w:tcW w:w="1207"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2,755,950</w:t>
            </w:r>
          </w:p>
        </w:tc>
        <w:tc>
          <w:tcPr>
            <w:tcW w:w="114" w:type="dxa"/>
            <w:tcBorders/>
            <w:shd w:fill="FFFFFF" w:val="clear"/>
            <w:vAlign w:val="bottom"/>
          </w:tcPr>
          <w:p>
            <w:pPr>
              <w:pStyle w:val="TableContents"/>
              <w:spacing w:before="0" w:after="283"/>
              <w:jc w:val="left"/>
              <w:rPr/>
            </w:pPr>
            <w:r>
              <w:rPr/>
              <w:t> </w:t>
            </w:r>
          </w:p>
        </w:tc>
        <w:tc>
          <w:tcPr>
            <w:tcW w:w="114" w:type="dxa"/>
            <w:tcBorders/>
            <w:shd w:fill="FFFFFF" w:val="clear"/>
            <w:vAlign w:val="bottom"/>
          </w:tcPr>
          <w:p>
            <w:pPr>
              <w:pStyle w:val="TableContents"/>
              <w:spacing w:before="0" w:after="283"/>
              <w:rPr/>
            </w:pPr>
            <w:r>
              <w:rPr/>
              <w:t> </w:t>
            </w:r>
          </w:p>
        </w:tc>
        <w:tc>
          <w:tcPr>
            <w:tcW w:w="154" w:type="dxa"/>
            <w:tcBorders/>
            <w:shd w:fill="FFFFFF" w:val="clear"/>
            <w:vAlign w:val="bottom"/>
          </w:tcPr>
          <w:p>
            <w:pPr>
              <w:pStyle w:val="TableContents"/>
              <w:spacing w:before="0" w:after="283"/>
              <w:jc w:val="left"/>
              <w:rPr>
                <w:rFonts w:ascii="helvetica" w:hAnsi="helvetica"/>
                <w:sz w:val="20"/>
              </w:rPr>
            </w:pPr>
            <w:r>
              <w:rPr>
                <w:rFonts w:ascii="helvetica" w:hAnsi="helvetica"/>
                <w:sz w:val="20"/>
              </w:rPr>
              <w:t>$</w:t>
            </w:r>
          </w:p>
        </w:tc>
        <w:tc>
          <w:tcPr>
            <w:tcW w:w="1061"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1.19</w:t>
            </w:r>
          </w:p>
        </w:tc>
        <w:tc>
          <w:tcPr>
            <w:tcW w:w="124" w:type="dxa"/>
            <w:tcBorders/>
            <w:shd w:fill="FFFFFF" w:val="clear"/>
            <w:vAlign w:val="bottom"/>
          </w:tcPr>
          <w:p>
            <w:pPr>
              <w:pStyle w:val="TableContents"/>
              <w:spacing w:before="0" w:after="283"/>
              <w:jc w:val="left"/>
              <w:rPr/>
            </w:pPr>
            <w:r>
              <w:rPr/>
              <w:t> </w:t>
            </w:r>
          </w:p>
        </w:tc>
      </w:tr>
      <w:tr>
        <w:trPr/>
        <w:tc>
          <w:tcPr>
            <w:tcW w:w="7201" w:type="dxa"/>
            <w:tcBorders/>
            <w:shd w:fill="CCEEFF" w:val="clear"/>
            <w:vAlign w:val="bottom"/>
          </w:tcPr>
          <w:p>
            <w:pPr>
              <w:pStyle w:val="TableContents"/>
              <w:spacing w:before="0" w:after="0"/>
              <w:ind w:left="0" w:right="0" w:hanging="0"/>
              <w:jc w:val="left"/>
              <w:rPr>
                <w:rFonts w:ascii="helvetica" w:hAnsi="helvetica"/>
                <w:sz w:val="20"/>
              </w:rPr>
            </w:pPr>
            <w:r>
              <w:rPr>
                <w:rFonts w:ascii="helvetica" w:hAnsi="helvetica"/>
                <w:sz w:val="20"/>
              </w:rPr>
              <w:t>Exercised</w:t>
            </w:r>
          </w:p>
        </w:tc>
        <w:tc>
          <w:tcPr>
            <w:tcW w:w="114" w:type="dxa"/>
            <w:tcBorders/>
            <w:shd w:fill="CCEEFF" w:val="clear"/>
            <w:vAlign w:val="bottom"/>
          </w:tcPr>
          <w:p>
            <w:pPr>
              <w:pStyle w:val="TableContents"/>
              <w:spacing w:before="0" w:after="283"/>
              <w:rPr/>
            </w:pPr>
            <w:r>
              <w:rPr/>
              <w:t> </w:t>
            </w:r>
          </w:p>
        </w:tc>
        <w:tc>
          <w:tcPr>
            <w:tcW w:w="116" w:type="dxa"/>
            <w:tcBorders/>
            <w:shd w:fill="CCEEFF" w:val="clear"/>
            <w:vAlign w:val="bottom"/>
          </w:tcPr>
          <w:p>
            <w:pPr>
              <w:pStyle w:val="TableContents"/>
              <w:spacing w:before="0" w:after="283"/>
              <w:jc w:val="left"/>
              <w:rPr/>
            </w:pPr>
            <w:r>
              <w:rPr/>
              <w:t> </w:t>
            </w:r>
          </w:p>
        </w:tc>
        <w:tc>
          <w:tcPr>
            <w:tcW w:w="1207"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w:t>
            </w:r>
          </w:p>
        </w:tc>
        <w:tc>
          <w:tcPr>
            <w:tcW w:w="114" w:type="dxa"/>
            <w:tcBorders/>
            <w:shd w:fill="CCEEFF" w:val="clear"/>
            <w:vAlign w:val="bottom"/>
          </w:tcPr>
          <w:p>
            <w:pPr>
              <w:pStyle w:val="TableContents"/>
              <w:spacing w:before="0" w:after="283"/>
              <w:jc w:val="left"/>
              <w:rPr/>
            </w:pPr>
            <w:r>
              <w:rPr/>
              <w:t> </w:t>
            </w:r>
          </w:p>
        </w:tc>
        <w:tc>
          <w:tcPr>
            <w:tcW w:w="114" w:type="dxa"/>
            <w:tcBorders/>
            <w:shd w:fill="CCEEFF" w:val="clear"/>
            <w:vAlign w:val="bottom"/>
          </w:tcPr>
          <w:p>
            <w:pPr>
              <w:pStyle w:val="TableContents"/>
              <w:spacing w:before="0" w:after="283"/>
              <w:rPr/>
            </w:pPr>
            <w:r>
              <w:rPr/>
              <w:t> </w:t>
            </w:r>
          </w:p>
        </w:tc>
        <w:tc>
          <w:tcPr>
            <w:tcW w:w="154" w:type="dxa"/>
            <w:tcBorders/>
            <w:shd w:fill="CCEEFF" w:val="clear"/>
            <w:vAlign w:val="bottom"/>
          </w:tcPr>
          <w:p>
            <w:pPr>
              <w:pStyle w:val="TableContents"/>
              <w:spacing w:before="0" w:after="283"/>
              <w:jc w:val="left"/>
              <w:rPr/>
            </w:pPr>
            <w:r>
              <w:rPr/>
              <w:t> </w:t>
            </w:r>
          </w:p>
        </w:tc>
        <w:tc>
          <w:tcPr>
            <w:tcW w:w="1061" w:type="dxa"/>
            <w:tcBorders/>
            <w:shd w:fill="CCEEFF" w:val="clear"/>
            <w:vAlign w:val="bottom"/>
          </w:tcPr>
          <w:p>
            <w:pPr>
              <w:pStyle w:val="TableContents"/>
              <w:spacing w:before="0" w:after="283"/>
              <w:jc w:val="right"/>
              <w:rPr/>
            </w:pPr>
            <w:r>
              <w:rPr/>
              <w:t> </w:t>
            </w:r>
          </w:p>
        </w:tc>
        <w:tc>
          <w:tcPr>
            <w:tcW w:w="124" w:type="dxa"/>
            <w:tcBorders/>
            <w:shd w:fill="CCEEFF" w:val="clear"/>
            <w:vAlign w:val="bottom"/>
          </w:tcPr>
          <w:p>
            <w:pPr>
              <w:pStyle w:val="TableContents"/>
              <w:spacing w:before="0" w:after="283"/>
              <w:jc w:val="left"/>
              <w:rPr/>
            </w:pPr>
            <w:r>
              <w:rPr/>
              <w:t> </w:t>
            </w:r>
          </w:p>
        </w:tc>
      </w:tr>
      <w:tr>
        <w:trPr/>
        <w:tc>
          <w:tcPr>
            <w:tcW w:w="7201" w:type="dxa"/>
            <w:tcBorders/>
            <w:shd w:fill="FFFFFF" w:val="clear"/>
            <w:vAlign w:val="bottom"/>
          </w:tcPr>
          <w:p>
            <w:pPr>
              <w:pStyle w:val="TableContents"/>
              <w:spacing w:before="0" w:after="0"/>
              <w:ind w:left="0" w:right="0" w:hanging="0"/>
              <w:jc w:val="left"/>
              <w:rPr>
                <w:rFonts w:ascii="helvetica" w:hAnsi="helvetica"/>
                <w:sz w:val="20"/>
              </w:rPr>
            </w:pPr>
            <w:r>
              <w:rPr>
                <w:rFonts w:ascii="helvetica" w:hAnsi="helvetica"/>
                <w:sz w:val="20"/>
              </w:rPr>
              <w:t>Expired</w:t>
            </w:r>
          </w:p>
        </w:tc>
        <w:tc>
          <w:tcPr>
            <w:tcW w:w="114" w:type="dxa"/>
            <w:tcBorders/>
            <w:shd w:fill="FFFFFF" w:val="clear"/>
            <w:vAlign w:val="bottom"/>
          </w:tcPr>
          <w:p>
            <w:pPr>
              <w:pStyle w:val="TableContents"/>
              <w:spacing w:before="0" w:after="283"/>
              <w:rPr/>
            </w:pPr>
            <w:r>
              <w:rPr/>
              <w:t> </w:t>
            </w:r>
          </w:p>
        </w:tc>
        <w:tc>
          <w:tcPr>
            <w:tcW w:w="116"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207" w:type="dxa"/>
            <w:tcBorders>
              <w:bottom w:val="single" w:sz="12" w:space="0" w:color="000000"/>
            </w:tcBorders>
            <w:shd w:fill="FFFF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w:t>
            </w:r>
          </w:p>
        </w:tc>
        <w:tc>
          <w:tcPr>
            <w:tcW w:w="114" w:type="dxa"/>
            <w:tcBorders/>
            <w:shd w:fill="FFFFFF" w:val="clear"/>
            <w:vAlign w:val="bottom"/>
          </w:tcPr>
          <w:p>
            <w:pPr>
              <w:pStyle w:val="TableContents"/>
              <w:spacing w:before="0" w:after="283"/>
              <w:jc w:val="left"/>
              <w:rPr/>
            </w:pPr>
            <w:r>
              <w:rPr/>
              <w:t> </w:t>
            </w:r>
          </w:p>
        </w:tc>
        <w:tc>
          <w:tcPr>
            <w:tcW w:w="114" w:type="dxa"/>
            <w:tcBorders/>
            <w:shd w:fill="FFFFFF" w:val="clear"/>
            <w:vAlign w:val="bottom"/>
          </w:tcPr>
          <w:p>
            <w:pPr>
              <w:pStyle w:val="TableContents"/>
              <w:spacing w:before="0" w:after="283"/>
              <w:rPr/>
            </w:pPr>
            <w:r>
              <w:rPr/>
              <w:t> </w:t>
            </w:r>
          </w:p>
        </w:tc>
        <w:tc>
          <w:tcPr>
            <w:tcW w:w="154" w:type="dxa"/>
            <w:tcBorders/>
            <w:shd w:fill="FFFFFF" w:val="clear"/>
            <w:vAlign w:val="bottom"/>
          </w:tcPr>
          <w:p>
            <w:pPr>
              <w:pStyle w:val="TableContents"/>
              <w:spacing w:before="0" w:after="283"/>
              <w:jc w:val="left"/>
              <w:rPr/>
            </w:pPr>
            <w:r>
              <w:rPr/>
              <w:t> </w:t>
            </w:r>
          </w:p>
        </w:tc>
        <w:tc>
          <w:tcPr>
            <w:tcW w:w="1061"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w:t>
            </w:r>
          </w:p>
        </w:tc>
        <w:tc>
          <w:tcPr>
            <w:tcW w:w="124" w:type="dxa"/>
            <w:tcBorders/>
            <w:shd w:fill="FFFFFF" w:val="clear"/>
            <w:vAlign w:val="bottom"/>
          </w:tcPr>
          <w:p>
            <w:pPr>
              <w:pStyle w:val="TableContents"/>
              <w:spacing w:before="0" w:after="283"/>
              <w:jc w:val="left"/>
              <w:rPr/>
            </w:pPr>
            <w:r>
              <w:rPr/>
              <w:t> </w:t>
            </w:r>
          </w:p>
        </w:tc>
      </w:tr>
      <w:tr>
        <w:trPr/>
        <w:tc>
          <w:tcPr>
            <w:tcW w:w="7201" w:type="dxa"/>
            <w:tcBorders/>
            <w:shd w:fill="CCEEFF" w:val="clear"/>
            <w:vAlign w:val="bottom"/>
          </w:tcPr>
          <w:p>
            <w:pPr>
              <w:pStyle w:val="TableContents"/>
              <w:spacing w:before="0" w:after="0"/>
              <w:ind w:left="0" w:right="0" w:hanging="0"/>
              <w:jc w:val="left"/>
              <w:rPr>
                <w:rFonts w:ascii="helvetica" w:hAnsi="helvetica"/>
                <w:sz w:val="20"/>
              </w:rPr>
            </w:pPr>
            <w:r>
              <w:rPr>
                <w:rFonts w:ascii="helvetica" w:hAnsi="helvetica"/>
                <w:sz w:val="20"/>
              </w:rPr>
              <w:t>Warrants outstanding and exercisable - June 30, 2012</w:t>
            </w:r>
          </w:p>
        </w:tc>
        <w:tc>
          <w:tcPr>
            <w:tcW w:w="114" w:type="dxa"/>
            <w:tcBorders/>
            <w:shd w:fill="CCEEFF" w:val="clear"/>
            <w:vAlign w:val="bottom"/>
          </w:tcPr>
          <w:p>
            <w:pPr>
              <w:pStyle w:val="TableContents"/>
              <w:spacing w:before="0" w:after="283"/>
              <w:rPr/>
            </w:pPr>
            <w:r>
              <w:rPr/>
              <w:t> </w:t>
            </w:r>
          </w:p>
        </w:tc>
        <w:tc>
          <w:tcPr>
            <w:tcW w:w="116" w:type="dxa"/>
            <w:tcBorders>
              <w:bottom w:val="double" w:sz="8" w:space="0" w:color="000000"/>
            </w:tcBorders>
            <w:shd w:fill="CCEEFF" w:val="clear"/>
            <w:tcMar>
              <w:bottom w:w="28" w:type="dxa"/>
            </w:tcMar>
            <w:vAlign w:val="bottom"/>
          </w:tcPr>
          <w:p>
            <w:pPr>
              <w:pStyle w:val="TableContents"/>
              <w:spacing w:before="0" w:after="283"/>
              <w:jc w:val="left"/>
              <w:rPr/>
            </w:pPr>
            <w:r>
              <w:rPr/>
              <w:t> </w:t>
            </w:r>
          </w:p>
        </w:tc>
        <w:tc>
          <w:tcPr>
            <w:tcW w:w="1207" w:type="dxa"/>
            <w:tcBorders>
              <w:bottom w:val="double" w:sz="8" w:space="0" w:color="000000"/>
            </w:tcBorders>
            <w:shd w:fill="CCEE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2,851,448</w:t>
            </w:r>
          </w:p>
        </w:tc>
        <w:tc>
          <w:tcPr>
            <w:tcW w:w="114" w:type="dxa"/>
            <w:tcBorders/>
            <w:shd w:fill="CCEEFF" w:val="clear"/>
            <w:vAlign w:val="bottom"/>
          </w:tcPr>
          <w:p>
            <w:pPr>
              <w:pStyle w:val="TableContents"/>
              <w:spacing w:before="0" w:after="283"/>
              <w:jc w:val="left"/>
              <w:rPr/>
            </w:pPr>
            <w:r>
              <w:rPr/>
              <w:t> </w:t>
            </w:r>
          </w:p>
        </w:tc>
        <w:tc>
          <w:tcPr>
            <w:tcW w:w="114" w:type="dxa"/>
            <w:tcBorders/>
            <w:shd w:fill="CCEEFF" w:val="clear"/>
            <w:vAlign w:val="bottom"/>
          </w:tcPr>
          <w:p>
            <w:pPr>
              <w:pStyle w:val="TableContents"/>
              <w:spacing w:before="0" w:after="283"/>
              <w:rPr/>
            </w:pPr>
            <w:r>
              <w:rPr/>
              <w:t> </w:t>
            </w:r>
          </w:p>
        </w:tc>
        <w:tc>
          <w:tcPr>
            <w:tcW w:w="154" w:type="dxa"/>
            <w:tcBorders>
              <w:bottom w:val="double" w:sz="8" w:space="0" w:color="000000"/>
            </w:tcBorders>
            <w:shd w:fill="CCEEFF" w:val="clear"/>
            <w:tcMar>
              <w:bottom w:w="28" w:type="dxa"/>
            </w:tcMar>
            <w:vAlign w:val="bottom"/>
          </w:tcPr>
          <w:p>
            <w:pPr>
              <w:pStyle w:val="TableContents"/>
              <w:spacing w:before="0" w:after="283"/>
              <w:jc w:val="left"/>
              <w:rPr>
                <w:rFonts w:ascii="helvetica" w:hAnsi="helvetica"/>
                <w:sz w:val="20"/>
              </w:rPr>
            </w:pPr>
            <w:r>
              <w:rPr>
                <w:rFonts w:ascii="helvetica" w:hAnsi="helvetica"/>
                <w:sz w:val="20"/>
              </w:rPr>
              <w:t>$</w:t>
            </w:r>
          </w:p>
        </w:tc>
        <w:tc>
          <w:tcPr>
            <w:tcW w:w="1061" w:type="dxa"/>
            <w:tcBorders>
              <w:bottom w:val="double" w:sz="8" w:space="0" w:color="000000"/>
            </w:tcBorders>
            <w:shd w:fill="CCEE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2.25</w:t>
            </w:r>
          </w:p>
        </w:tc>
        <w:tc>
          <w:tcPr>
            <w:tcW w:w="124" w:type="dxa"/>
            <w:tcBorders/>
            <w:shd w:fill="CCEEFF" w:val="clear"/>
            <w:vAlign w:val="bottom"/>
          </w:tcPr>
          <w:p>
            <w:pPr>
              <w:pStyle w:val="TableContents"/>
              <w:spacing w:before="0" w:after="283"/>
              <w:jc w:val="left"/>
              <w:rPr/>
            </w:pPr>
            <w:r>
              <w:rPr/>
              <w:t> </w:t>
            </w:r>
          </w:p>
        </w:tc>
      </w:tr>
      <w:tr>
        <w:trPr/>
        <w:tc>
          <w:tcPr>
            <w:tcW w:w="7201" w:type="dxa"/>
            <w:tcBorders/>
            <w:shd w:fill="FFFFFF" w:val="clear"/>
            <w:vAlign w:val="bottom"/>
          </w:tcPr>
          <w:p>
            <w:pPr>
              <w:pStyle w:val="TableContents"/>
              <w:spacing w:before="0" w:after="0"/>
              <w:ind w:left="0" w:right="0" w:hanging="0"/>
              <w:jc w:val="left"/>
              <w:rPr>
                <w:rFonts w:ascii="helvetica" w:hAnsi="helvetica"/>
                <w:sz w:val="20"/>
              </w:rPr>
            </w:pPr>
            <w:r>
              <w:rPr>
                <w:rFonts w:ascii="helvetica" w:hAnsi="helvetica"/>
                <w:sz w:val="20"/>
              </w:rPr>
              <w:t>Weighted average remaining contractual life of the outstanding warrants in years - June 30, 2012</w:t>
            </w:r>
          </w:p>
        </w:tc>
        <w:tc>
          <w:tcPr>
            <w:tcW w:w="114" w:type="dxa"/>
            <w:tcBorders/>
            <w:shd w:fill="FFFFFF" w:val="clear"/>
            <w:vAlign w:val="bottom"/>
          </w:tcPr>
          <w:p>
            <w:pPr>
              <w:pStyle w:val="TableContents"/>
              <w:spacing w:before="0" w:after="283"/>
              <w:rPr/>
            </w:pPr>
            <w:r>
              <w:rPr/>
              <w:t> </w:t>
            </w:r>
          </w:p>
        </w:tc>
        <w:tc>
          <w:tcPr>
            <w:tcW w:w="116" w:type="dxa"/>
            <w:tcBorders>
              <w:bottom w:val="double" w:sz="8" w:space="0" w:color="000000"/>
            </w:tcBorders>
            <w:shd w:fill="FFFFFF" w:val="clear"/>
            <w:tcMar>
              <w:bottom w:w="28" w:type="dxa"/>
            </w:tcMar>
            <w:vAlign w:val="bottom"/>
          </w:tcPr>
          <w:p>
            <w:pPr>
              <w:pStyle w:val="TableContents"/>
              <w:spacing w:before="0" w:after="283"/>
              <w:jc w:val="left"/>
              <w:rPr/>
            </w:pPr>
            <w:r>
              <w:rPr/>
              <w:t> </w:t>
            </w:r>
          </w:p>
        </w:tc>
        <w:tc>
          <w:tcPr>
            <w:tcW w:w="1207" w:type="dxa"/>
            <w:tcBorders>
              <w:bottom w:val="double" w:sz="8" w:space="0" w:color="000000"/>
            </w:tcBorders>
            <w:shd w:fill="FFFF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2.74</w:t>
            </w:r>
          </w:p>
        </w:tc>
        <w:tc>
          <w:tcPr>
            <w:tcW w:w="114" w:type="dxa"/>
            <w:tcBorders/>
            <w:shd w:fill="FFFFFF" w:val="clear"/>
            <w:vAlign w:val="bottom"/>
          </w:tcPr>
          <w:p>
            <w:pPr>
              <w:pStyle w:val="TableContents"/>
              <w:spacing w:before="0" w:after="283"/>
              <w:jc w:val="left"/>
              <w:rPr/>
            </w:pPr>
            <w:r>
              <w:rPr/>
              <w:t> </w:t>
            </w:r>
          </w:p>
        </w:tc>
        <w:tc>
          <w:tcPr>
            <w:tcW w:w="114" w:type="dxa"/>
            <w:tcBorders/>
            <w:shd w:fill="FFFFFF" w:val="clear"/>
            <w:vAlign w:val="bottom"/>
          </w:tcPr>
          <w:p>
            <w:pPr>
              <w:pStyle w:val="TableContents"/>
              <w:spacing w:before="0" w:after="283"/>
              <w:rPr/>
            </w:pPr>
            <w:r>
              <w:rPr/>
              <w:t> </w:t>
            </w:r>
          </w:p>
        </w:tc>
        <w:tc>
          <w:tcPr>
            <w:tcW w:w="154" w:type="dxa"/>
            <w:tcBorders/>
            <w:shd w:fill="FFFFFF" w:val="clear"/>
            <w:vAlign w:val="bottom"/>
          </w:tcPr>
          <w:p>
            <w:pPr>
              <w:pStyle w:val="TableContents"/>
              <w:spacing w:before="0" w:after="283"/>
              <w:jc w:val="left"/>
              <w:rPr/>
            </w:pPr>
            <w:r>
              <w:rPr/>
              <w:t> </w:t>
            </w:r>
          </w:p>
        </w:tc>
        <w:tc>
          <w:tcPr>
            <w:tcW w:w="1061" w:type="dxa"/>
            <w:tcBorders/>
            <w:shd w:fill="FFFFFF" w:val="clear"/>
            <w:vAlign w:val="bottom"/>
          </w:tcPr>
          <w:p>
            <w:pPr>
              <w:pStyle w:val="TableContents"/>
              <w:spacing w:before="0" w:after="283"/>
              <w:jc w:val="right"/>
              <w:rPr/>
            </w:pPr>
            <w:r>
              <w:rPr/>
              <w:t> </w:t>
            </w:r>
          </w:p>
        </w:tc>
        <w:tc>
          <w:tcPr>
            <w:tcW w:w="124" w:type="dxa"/>
            <w:tcBorders/>
            <w:shd w:fill="FFFFFF" w:val="clear"/>
            <w:vAlign w:val="bottom"/>
          </w:tcPr>
          <w:p>
            <w:pPr>
              <w:pStyle w:val="TableContents"/>
              <w:spacing w:before="0" w:after="283"/>
              <w:jc w:val="left"/>
              <w:rPr/>
            </w:pPr>
            <w:r>
              <w:rPr/>
              <w:t> </w:t>
            </w:r>
          </w:p>
        </w:tc>
      </w:tr>
    </w:tbl>
    <w:p>
      <w:pPr>
        <w:pStyle w:val="TextBody"/>
        <w:spacing w:before="0" w:after="0"/>
        <w:ind w:left="0" w:right="0" w:hanging="0"/>
        <w:rPr/>
      </w:pPr>
      <w:r>
        <w:rPr/>
        <w:t> </w:t>
      </w:r>
    </w:p>
    <w:p>
      <w:pPr>
        <w:pStyle w:val="TextBody"/>
        <w:spacing w:before="0" w:after="0"/>
        <w:ind w:left="0" w:right="0" w:hanging="0"/>
        <w:jc w:val="left"/>
        <w:rPr>
          <w:rFonts w:ascii="helvetica" w:hAnsi="helvetica"/>
          <w:b/>
          <w:sz w:val="20"/>
        </w:rPr>
      </w:pPr>
      <w:r>
        <w:rPr>
          <w:rFonts w:ascii="helvetica" w:hAnsi="helvetica"/>
          <w:b/>
          <w:sz w:val="20"/>
        </w:rPr>
        <w:t>NOTE 8.  COMMITMENTS AND CONTINGENCIES</w:t>
      </w:r>
    </w:p>
    <w:p>
      <w:pPr>
        <w:pStyle w:val="TextBody"/>
        <w:spacing w:before="0" w:after="0"/>
        <w:ind w:left="0" w:right="0" w:hanging="0"/>
        <w:rPr/>
      </w:pPr>
      <w:r>
        <w:rPr/>
        <w:t> </w:t>
      </w:r>
    </w:p>
    <w:p>
      <w:pPr>
        <w:pStyle w:val="TextBody"/>
        <w:spacing w:before="0" w:after="0"/>
        <w:ind w:left="0" w:right="0" w:hanging="0"/>
        <w:jc w:val="left"/>
        <w:rPr>
          <w:rFonts w:ascii="helvetica" w:hAnsi="helvetica"/>
          <w:b/>
          <w:sz w:val="20"/>
        </w:rPr>
      </w:pPr>
      <w:r>
        <w:rPr>
          <w:rFonts w:ascii="helvetica" w:hAnsi="helvetica"/>
          <w:b/>
          <w:sz w:val="20"/>
        </w:rPr>
        <w:t>Commitments</w:t>
      </w:r>
    </w:p>
    <w:p>
      <w:pPr>
        <w:pStyle w:val="TextBody"/>
        <w:spacing w:before="0" w:after="0"/>
        <w:ind w:left="0" w:right="0" w:hanging="0"/>
        <w:jc w:val="both"/>
        <w:rPr/>
      </w:pPr>
      <w:r>
        <w:rPr/>
        <w:t> </w:t>
      </w:r>
    </w:p>
    <w:p>
      <w:pPr>
        <w:pStyle w:val="TextBody"/>
        <w:spacing w:before="0" w:after="0"/>
        <w:ind w:left="0" w:right="0" w:hanging="0"/>
        <w:jc w:val="both"/>
        <w:rPr>
          <w:rFonts w:ascii="helvetica" w:hAnsi="helvetica"/>
          <w:sz w:val="20"/>
        </w:rPr>
      </w:pPr>
      <w:r>
        <w:rPr>
          <w:rFonts w:ascii="helvetica" w:hAnsi="helvetica"/>
          <w:sz w:val="20"/>
        </w:rPr>
        <w:t>The Company leases its office facilities under a noncancelable operating lease, which expires on February 28, 2014, with a monthly amount due of $2,972 for the first 12 months beginning March 1, 2012, and $3,715 due monthly for the next 12 months.   For the remaining fiscal year 2012, the Company’s lease commitment is approximately $17,800.</w:t>
      </w:r>
    </w:p>
    <w:p>
      <w:pPr>
        <w:pStyle w:val="TextBody"/>
        <w:spacing w:before="0" w:after="0"/>
        <w:jc w:val="both"/>
        <w:rPr/>
      </w:pPr>
      <w:r>
        <w:rPr/>
      </w:r>
    </w:p>
    <w:p>
      <w:pPr>
        <w:pStyle w:val="TextBody"/>
        <w:spacing w:before="0" w:after="0"/>
        <w:ind w:left="0" w:right="0" w:hanging="0"/>
        <w:jc w:val="both"/>
        <w:rPr>
          <w:rFonts w:ascii="helvetica" w:hAnsi="helvetica"/>
          <w:b/>
          <w:sz w:val="20"/>
        </w:rPr>
      </w:pPr>
      <w:r>
        <w:rPr>
          <w:rFonts w:ascii="helvetica" w:hAnsi="helvetica"/>
          <w:b/>
          <w:sz w:val="20"/>
        </w:rPr>
        <w:t>Indemnities and Guarantees</w:t>
      </w:r>
    </w:p>
    <w:p>
      <w:pPr>
        <w:pStyle w:val="TextBody"/>
        <w:spacing w:before="0" w:after="0"/>
        <w:ind w:left="0" w:right="0" w:hanging="0"/>
        <w:jc w:val="both"/>
        <w:rPr/>
      </w:pPr>
      <w:r>
        <w:rPr/>
        <w:t> </w:t>
      </w:r>
    </w:p>
    <w:p>
      <w:pPr>
        <w:pStyle w:val="TextBody"/>
        <w:spacing w:before="0" w:after="0"/>
        <w:ind w:left="0" w:right="0" w:hanging="0"/>
        <w:jc w:val="both"/>
        <w:rPr>
          <w:rFonts w:ascii="helvetica" w:hAnsi="helvetica"/>
          <w:sz w:val="20"/>
        </w:rPr>
      </w:pPr>
      <w:r>
        <w:rPr>
          <w:rFonts w:ascii="helvetica" w:hAnsi="helvetica"/>
          <w:sz w:val="20"/>
        </w:rPr>
        <w:t>In addition to the indemnification provisions contained in the Company’s charter documents, the Company generally enters into separate indemnification agreements with the Company’s directors and officers. These agreements require the Company, among other things, to indemnify the director or officer against specified expenses and liabilities, such as attorneys’ fees, judgments, fines and settlements, paid by the individual in connection with any action, suit or proceeding arising out of the individual’s status or service as the Company’s director or officer, other than liabilities arising from willful misconduct or conduct that is knowingly fraudulent or deliberately dishonest, and to advance expenses incurred by the individual in connection with any proceeding against the individual with respect to which the individual may be entitled to indemnification by the Company.  These guarantees and indemnities do not provide for any limitation of the maximum potential future payments the Company could be obligated to make. Historically, the Company has not been obligated nor incurred any payments for these obligations and, therefore, no liabilities have been recorded for these indemnities and guarantees in the accompanying condensed consolidated balance sheets.</w:t>
      </w:r>
    </w:p>
    <w:p>
      <w:pPr>
        <w:pStyle w:val="TextBody"/>
        <w:spacing w:before="0" w:after="0"/>
        <w:ind w:left="0" w:right="0" w:hanging="0"/>
        <w:jc w:val="both"/>
        <w:rPr/>
      </w:pPr>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r>
      <w:bookmarkStart w:id="1039" w:name="PGBRK87"/>
      <w:bookmarkStart w:id="1040" w:name="PGBRK87"/>
      <w:bookmarkEnd w:id="104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041" w:name="FTR87"/>
      <w:bookmarkStart w:id="1042" w:name="FTR87"/>
      <w:bookmarkEnd w:id="104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1043" w:name="GLFTR86"/>
      <w:bookmarkEnd w:id="1043"/>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helvetica" w:hAnsi="helvetica"/>
          <w:sz w:val="20"/>
        </w:rPr>
      </w:pPr>
      <w:bookmarkStart w:id="1044" w:name="PN86"/>
      <w:bookmarkEnd w:id="1044"/>
      <w:r>
        <w:rPr>
          <w:rFonts w:ascii="helvetica" w:hAnsi="helvetica"/>
          <w:sz w:val="20"/>
        </w:rPr>
        <w:t>F-16</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045" w:name="HDR86"/>
      <w:bookmarkStart w:id="1046" w:name="HDR86"/>
      <w:bookmarkEnd w:id="104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1047" w:name="GLHDR86"/>
      <w:bookmarkEnd w:id="1047"/>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pPr>
      <w:r>
        <w:rPr/>
        <w:t> </w:t>
      </w:r>
    </w:p>
    <w:p>
      <w:pPr>
        <w:pStyle w:val="TextBody"/>
        <w:spacing w:before="0" w:after="0"/>
        <w:ind w:left="0" w:right="0" w:hanging="0"/>
        <w:jc w:val="both"/>
        <w:rPr>
          <w:rFonts w:ascii="helvetica" w:hAnsi="helvetica"/>
          <w:b/>
          <w:sz w:val="20"/>
        </w:rPr>
      </w:pPr>
      <w:r>
        <w:rPr>
          <w:rFonts w:ascii="helvetica" w:hAnsi="helvetica"/>
          <w:b/>
          <w:sz w:val="20"/>
        </w:rPr>
        <w:t>Cosmetic License Agreements - Terminated</w:t>
      </w:r>
    </w:p>
    <w:p>
      <w:pPr>
        <w:pStyle w:val="TextBody"/>
        <w:spacing w:before="0" w:after="0"/>
        <w:ind w:left="0" w:right="0" w:hanging="0"/>
        <w:jc w:val="both"/>
        <w:rPr/>
      </w:pPr>
      <w:r>
        <w:rPr/>
        <w:t> </w:t>
      </w:r>
    </w:p>
    <w:p>
      <w:pPr>
        <w:pStyle w:val="TextBody"/>
        <w:spacing w:before="0" w:after="0"/>
        <w:ind w:left="0" w:right="0" w:hanging="0"/>
        <w:jc w:val="both"/>
        <w:rPr>
          <w:rFonts w:ascii="helvetica" w:hAnsi="helvetica"/>
          <w:b w:val="false"/>
          <w:sz w:val="20"/>
        </w:rPr>
      </w:pPr>
      <w:r>
        <w:rPr>
          <w:rFonts w:ascii="helvetica" w:hAnsi="helvetica"/>
          <w:b w:val="false"/>
          <w:sz w:val="20"/>
        </w:rPr>
        <w:t>On May 20, 2009, the Company and JH Direct, LLC (“JH Direct”) entered into a licensing agreement providing JH Direct with the exclusive worldwide rights to the Company’s anti-cellulite cosmetic product which utilizes the Company’s patented transdermal delivery system technology, Accudel.  Under the terms of the agreement, JH Direct must pay the Company initial royalty advances and a continuing licensing royalty on the worldwide sales of the anti-cellulite product.  The Company received non-refundable royalty advances totaling $100,000 from JH Direct.  During the six months ended June 30, 2012, management of the Company concluded that JH Direct had abandoned its efforts to commercialize the anti-cellulite cream and the Company exercised its rights to terminate the agreement in January 2012, at which time all revenues from this agreement were recognized in full.  The Company does not expect to receive any additional funds from JH Direct under this contract.</w:t>
      </w:r>
    </w:p>
    <w:p>
      <w:pPr>
        <w:pStyle w:val="TextBody"/>
        <w:spacing w:before="0" w:after="0"/>
        <w:jc w:val="both"/>
        <w:rPr/>
      </w:pPr>
      <w:r>
        <w:rPr/>
      </w:r>
    </w:p>
    <w:p>
      <w:pPr>
        <w:pStyle w:val="TextBody"/>
        <w:spacing w:before="0" w:after="0"/>
        <w:ind w:left="0" w:right="0" w:hanging="0"/>
        <w:rPr/>
      </w:pPr>
      <w:r>
        <w:rPr/>
        <w:t> </w:t>
      </w:r>
    </w:p>
    <w:p>
      <w:pPr>
        <w:pStyle w:val="TextBody"/>
        <w:spacing w:before="0" w:after="0"/>
        <w:ind w:left="0" w:right="0" w:hanging="0"/>
        <w:jc w:val="both"/>
        <w:rPr/>
      </w:pPr>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r>
      <w:bookmarkStart w:id="1048" w:name="PGBRK88"/>
      <w:bookmarkStart w:id="1049" w:name="PGBRK88"/>
      <w:bookmarkEnd w:id="104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050" w:name="FTR88"/>
      <w:bookmarkStart w:id="1051" w:name="FTR88"/>
      <w:bookmarkEnd w:id="105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1052" w:name="GLFTR87"/>
      <w:bookmarkEnd w:id="1052"/>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helvetica" w:hAnsi="helvetica"/>
          <w:sz w:val="20"/>
        </w:rPr>
      </w:pPr>
      <w:bookmarkStart w:id="1053" w:name="PN87"/>
      <w:bookmarkEnd w:id="1053"/>
      <w:r>
        <w:rPr>
          <w:rFonts w:ascii="helvetica" w:hAnsi="helvetica"/>
          <w:sz w:val="20"/>
        </w:rPr>
        <w:t>F-17</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054" w:name="HDR87"/>
      <w:bookmarkStart w:id="1055" w:name="HDR87"/>
      <w:bookmarkEnd w:id="105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1056" w:name="GLHDR87"/>
      <w:bookmarkEnd w:id="1056"/>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pPr>
      <w:r>
        <w:rPr/>
        <w:t> </w:t>
      </w:r>
    </w:p>
    <w:p>
      <w:pPr>
        <w:pStyle w:val="TextBody"/>
        <w:spacing w:before="0" w:after="0"/>
        <w:ind w:left="0" w:right="0" w:hanging="0"/>
        <w:jc w:val="both"/>
        <w:rPr>
          <w:rFonts w:ascii="helvetica" w:hAnsi="helvetica"/>
          <w:b/>
          <w:sz w:val="20"/>
        </w:rPr>
      </w:pPr>
      <w:r>
        <w:rPr>
          <w:rFonts w:ascii="helvetica" w:hAnsi="helvetica"/>
          <w:b/>
          <w:sz w:val="20"/>
        </w:rPr>
        <w:t>NOTE 9. SUBSEQUENT EVENTS</w:t>
      </w:r>
    </w:p>
    <w:p>
      <w:pPr>
        <w:pStyle w:val="TextBody"/>
        <w:spacing w:before="0" w:after="0"/>
        <w:ind w:left="0" w:right="0" w:hanging="0"/>
        <w:jc w:val="both"/>
        <w:rPr/>
      </w:pPr>
      <w:r>
        <w:rPr/>
        <w:t> </w:t>
      </w:r>
    </w:p>
    <w:p>
      <w:pPr>
        <w:pStyle w:val="TextBody"/>
        <w:spacing w:before="0" w:after="0"/>
        <w:ind w:left="0" w:right="0" w:hanging="0"/>
        <w:jc w:val="both"/>
        <w:rPr>
          <w:rFonts w:ascii="helvetica" w:hAnsi="helvetica"/>
          <w:sz w:val="20"/>
        </w:rPr>
      </w:pPr>
      <w:r>
        <w:rPr>
          <w:rFonts w:ascii="helvetica" w:hAnsi="helvetica"/>
          <w:sz w:val="20"/>
        </w:rPr>
        <w:t>On July 18, 2012, the Company granted to Mr. Mark L. Baum, in connection with his services as the Chief Executive Officer, 800,000 restricted stock units “(RSUs”) outside of the Plan, pursuant to a Stand-alone Restricted Stock Unit Agreement.  The RSUs are subject to certain performance-based vesting criteria, such that 200,000 RSUs will vest upon the satisfaction of each of the following events:  (i) successful completion of a financing that results in aggregate cash proceeds to the Company of at least $5,000,000 at any time following the effective date of the grant; (ii) the Company meets the primary endpoints of its Phase 3 clinical studies for its drug candidate, Impracor; (iii) the Company submits a New Drug Application for Impracor to the U.S. Food and Drug Administration; and (iv) the Company enters into a definitive license, collaboration or similar agreement for Impracor that would reasonably be expected to generate cash flow for the Company.  The RSUs vest in full upon a change in control of the Company.</w:t>
      </w:r>
    </w:p>
    <w:p>
      <w:pPr>
        <w:pStyle w:val="TextBody"/>
        <w:spacing w:before="0" w:after="0"/>
        <w:ind w:left="0" w:right="0" w:hanging="0"/>
        <w:rPr/>
      </w:pPr>
      <w:r>
        <w:rPr/>
        <w:t> </w:t>
      </w:r>
    </w:p>
    <w:p>
      <w:pPr>
        <w:pStyle w:val="TextBody"/>
        <w:spacing w:before="0" w:after="0"/>
        <w:ind w:left="0" w:right="0" w:hanging="0"/>
        <w:jc w:val="both"/>
        <w:rPr>
          <w:rFonts w:ascii="helvetica" w:hAnsi="helvetica"/>
          <w:sz w:val="20"/>
        </w:rPr>
      </w:pPr>
      <w:r>
        <w:rPr>
          <w:rFonts w:ascii="helvetica" w:hAnsi="helvetica"/>
          <w:sz w:val="20"/>
        </w:rPr>
        <w:t>On July 18, 2012, the Company granted to Dr. Robert J. Kammer, in connection with his services as a consultant and advisor to the Company, 200,000 RSUs outside of the Plan, pursuant to a Stand-alone Restricted Stock Unit Agreement.  The RSUs are subject to certain performance-based vesting criteria, such that all 200,000 RSUs will vest when the Company meets the primary endpoints of its Phase 3 clinical studies for its drug candidate, Impracor.  The RSUs vest in full upon a change in control of the Company.</w:t>
      </w:r>
    </w:p>
    <w:p>
      <w:pPr>
        <w:pStyle w:val="TextBody"/>
        <w:spacing w:before="0" w:after="0"/>
        <w:ind w:left="0" w:right="0" w:hanging="0"/>
        <w:rPr/>
      </w:pPr>
      <w:r>
        <w:rPr/>
        <w:t> </w:t>
      </w:r>
    </w:p>
    <w:p>
      <w:pPr>
        <w:pStyle w:val="TextBody"/>
        <w:spacing w:before="0" w:after="0"/>
        <w:ind w:left="0" w:right="0" w:hanging="0"/>
        <w:jc w:val="both"/>
        <w:rPr>
          <w:rFonts w:ascii="helvetica" w:hAnsi="helvetica"/>
          <w:sz w:val="20"/>
        </w:rPr>
      </w:pPr>
      <w:r>
        <w:rPr>
          <w:rFonts w:ascii="helvetica" w:hAnsi="helvetica"/>
          <w:sz w:val="20"/>
        </w:rPr>
        <w:t>Effective as of July 18, 2012, our Board of Directors and stockholders approved an amendment to the Plan to increase the number of shares available for issuance under the Plan from 3,750,000 to 12,000,000 and to increase the per person limit on the maximum number of shares of the Company’s common stock that may be granted to an individual under the Plan in a calendar year.  Stockholder approval of the amendment will become effective when the Company has complied with certain notice requirements under the Exchange Act.</w:t>
      </w:r>
    </w:p>
    <w:p>
      <w:pPr>
        <w:pStyle w:val="TextBody"/>
        <w:spacing w:before="0" w:after="0"/>
        <w:ind w:left="0" w:right="0" w:hanging="0"/>
        <w:rPr/>
      </w:pPr>
      <w:r>
        <w:rPr/>
        <w:t> </w:t>
      </w:r>
    </w:p>
    <w:p>
      <w:pPr>
        <w:pStyle w:val="TextBody"/>
        <w:spacing w:before="0" w:after="0"/>
        <w:ind w:left="0" w:right="0" w:hanging="0"/>
        <w:jc w:val="both"/>
        <w:rPr>
          <w:rFonts w:ascii="helvetica" w:hAnsi="helvetica"/>
          <w:sz w:val="20"/>
        </w:rPr>
      </w:pPr>
      <w:r>
        <w:rPr>
          <w:rFonts w:ascii="helvetica" w:hAnsi="helvetica"/>
          <w:sz w:val="20"/>
        </w:rPr>
        <w:t>On July 24, 2012, the Company entered an Amended and Restated Employment Agreement with Mr. Mark L. Baum, its Chief Executive Officer (the “Amended Baum Employment Agreement”), which amends and restates in its entirety the employment agreement entered into with Mr. Baum on April 1, 2012 concurrently with his appointment as the Company’s Chief Executive Officer. Under the terms of the Amended Baum Employment Agreement, Mr. Baum will become eligible to receive certain severance benefits as set forth in such agreement, which include severance pay equal to the sum of Mr. Baum’s annual base salary and annual bonus, upon the Company’s completion of a financing resulting in aggregate cash proceeds to the Company of at least $5,000,000. Once Mr. Baum becomes eligible to receive such severance benefits, Mr. Baum would be entitled to such benefits in the event of a termination of Mr. Baum by the Company without cause (as defined in such agreement) or due to Mr. Baum’s death or disability. Mr. Baum’s base annual salary and annual bonus were not modified.</w:t>
      </w:r>
    </w:p>
    <w:p>
      <w:pPr>
        <w:pStyle w:val="TextBody"/>
        <w:spacing w:before="0" w:after="0"/>
        <w:rPr/>
      </w:pPr>
      <w:r>
        <w:rPr/>
      </w:r>
    </w:p>
    <w:p>
      <w:pPr>
        <w:pStyle w:val="TextBody"/>
        <w:spacing w:before="0" w:after="0"/>
        <w:ind w:left="0" w:right="0" w:hanging="0"/>
        <w:jc w:val="both"/>
        <w:rPr/>
      </w:pPr>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r>
      <w:bookmarkStart w:id="1057" w:name="PGBRK89"/>
      <w:bookmarkStart w:id="1058" w:name="PGBRK89"/>
      <w:bookmarkEnd w:id="105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059" w:name="FTR89"/>
      <w:bookmarkStart w:id="1060" w:name="FTR89"/>
      <w:bookmarkEnd w:id="106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1061" w:name="GLFTR88"/>
      <w:bookmarkEnd w:id="1061"/>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helvetica" w:hAnsi="helvetica"/>
          <w:sz w:val="20"/>
        </w:rPr>
      </w:pPr>
      <w:bookmarkStart w:id="1062" w:name="PN88"/>
      <w:bookmarkEnd w:id="1062"/>
      <w:r>
        <w:rPr>
          <w:rFonts w:ascii="helvetica" w:hAnsi="helvetica"/>
          <w:sz w:val="20"/>
        </w:rPr>
        <w:t>F-18</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063" w:name="HDR88"/>
      <w:bookmarkStart w:id="1064" w:name="HDR88"/>
      <w:bookmarkEnd w:id="106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1065" w:name="GLHDR88"/>
      <w:bookmarkEnd w:id="1065"/>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pPr>
      <w:r>
        <w:rPr/>
        <w:t> </w:t>
      </w:r>
    </w:p>
    <w:p>
      <w:pPr>
        <w:pStyle w:val="TextBody"/>
        <w:spacing w:before="0" w:after="0"/>
        <w:ind w:left="0" w:right="0" w:hanging="0"/>
        <w:jc w:val="both"/>
        <w:rPr>
          <w:rFonts w:ascii="helvetica" w:hAnsi="helvetica"/>
          <w:sz w:val="20"/>
        </w:rPr>
      </w:pPr>
      <w:r>
        <w:rPr>
          <w:rFonts w:ascii="helvetica" w:hAnsi="helvetica"/>
          <w:sz w:val="20"/>
        </w:rPr>
        <w:t>On July 24, 2012, the Company entered an Amendment to Advisory Agreement with Dr. Kammer (the “Advisory Agreement Amendment”), in order to amend certain provisions of the Advisory Agreement entered with Dr. Kammer on April 1, 2012. Pursuant to the Advisory Agreement Amendment, Dr. Kammer has agreed to not sell more than 5% of the shares of the Company’s common stock acquired as compensation under the Advisory Agreement, through the exercise of stock options or otherwise, in any monthly period without the approval of the Company’s Board of Directors.</w:t>
      </w:r>
    </w:p>
    <w:p>
      <w:pPr>
        <w:pStyle w:val="TextBody"/>
        <w:spacing w:before="0" w:after="0"/>
        <w:ind w:left="0" w:right="0" w:hanging="0"/>
        <w:rPr/>
      </w:pPr>
      <w:r>
        <w:rPr/>
        <w:t> </w:t>
      </w:r>
    </w:p>
    <w:p>
      <w:pPr>
        <w:pStyle w:val="TextBody"/>
        <w:spacing w:before="0" w:after="0"/>
        <w:ind w:left="0" w:right="0" w:hanging="0"/>
        <w:jc w:val="both"/>
        <w:rPr>
          <w:rFonts w:ascii="helvetica" w:hAnsi="helvetica"/>
          <w:sz w:val="20"/>
        </w:rPr>
      </w:pPr>
      <w:r>
        <w:rPr>
          <w:rFonts w:ascii="helvetica" w:hAnsi="helvetica"/>
          <w:sz w:val="20"/>
        </w:rPr>
        <w:t>Effective as of the close of business on July 25, 2012, Dr. Balbir Brar submitted his resignation as a director on the Board of Directors of the Company.  Dr. Brar will continue in his capacity as the President of the Company.</w:t>
      </w:r>
    </w:p>
    <w:p>
      <w:pPr>
        <w:pStyle w:val="TextBody"/>
        <w:spacing w:before="0" w:after="0"/>
        <w:ind w:left="0" w:right="0" w:hanging="0"/>
        <w:rPr/>
      </w:pPr>
      <w:r>
        <w:rPr/>
        <w:t> </w:t>
      </w:r>
    </w:p>
    <w:p>
      <w:pPr>
        <w:pStyle w:val="TextBody"/>
        <w:spacing w:before="0" w:after="0"/>
        <w:ind w:left="0" w:right="0" w:hanging="0"/>
        <w:jc w:val="both"/>
        <w:rPr>
          <w:rFonts w:ascii="helvetica" w:hAnsi="helvetica"/>
          <w:sz w:val="20"/>
        </w:rPr>
      </w:pPr>
      <w:r>
        <w:rPr>
          <w:rFonts w:ascii="helvetica" w:hAnsi="helvetica"/>
          <w:sz w:val="20"/>
        </w:rPr>
        <w:t>Effective on July 26, 2012, the Board of Directors of the Company appointed Stephen G. Austin, CPA, as a new director on the Board of the Company.  Mr. Austin currently serves as the Chairman of the Audit Committee of the Board and as a member of the Compensation Committee and the Nomination and Corporate Governance Committee of the Board.  In connection with his appointment as a director, the Board approved the issuance to Mr. Austin of an option to purchase up to 85,616 shares of the Company’s common stock under the Plan.  Such option has an exercise price of $0.90 per share, has a term of five years, and vests monthly over a period of one year commencing on January 1, 2013.  As additional compensation for his services as a director, the Company has agreed to pay Mr. Austin a quarterly cash payment of $5,000 and, as compensation for his services as the Chairman of the Audit Committee of the Board, the Company has agreed to pay Mr. Austin a quarterly cash payment of $1,250.</w:t>
      </w:r>
    </w:p>
    <w:p>
      <w:pPr>
        <w:pStyle w:val="TextBody"/>
        <w:spacing w:before="0" w:after="0"/>
        <w:rPr/>
      </w:pPr>
      <w:r>
        <w:rPr/>
      </w:r>
    </w:p>
    <w:p>
      <w:pPr>
        <w:pStyle w:val="TextBody"/>
        <w:spacing w:before="0" w:after="0"/>
        <w:ind w:left="0" w:right="0" w:hanging="0"/>
        <w:jc w:val="both"/>
        <w:rPr/>
      </w:pPr>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r>
      <w:bookmarkStart w:id="1066" w:name="PGBRK90"/>
      <w:bookmarkStart w:id="1067" w:name="PGBRK90"/>
      <w:bookmarkEnd w:id="106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068" w:name="FTR90"/>
      <w:bookmarkStart w:id="1069" w:name="FTR90"/>
      <w:bookmarkEnd w:id="106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1070" w:name="GLFTR89"/>
      <w:bookmarkEnd w:id="1070"/>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helvetica" w:hAnsi="helvetica"/>
          <w:sz w:val="20"/>
        </w:rPr>
      </w:pPr>
      <w:bookmarkStart w:id="1071" w:name="PN89"/>
      <w:bookmarkEnd w:id="1071"/>
      <w:r>
        <w:rPr>
          <w:rFonts w:ascii="helvetica" w:hAnsi="helvetica"/>
          <w:sz w:val="20"/>
        </w:rPr>
        <w:t>F-19</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072" w:name="HDR89"/>
      <w:bookmarkStart w:id="1073" w:name="HDR89"/>
      <w:bookmarkEnd w:id="107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1074" w:name="GLHDR89"/>
      <w:bookmarkEnd w:id="1074"/>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br/>
        <w:t> </w:t>
      </w:r>
    </w:p>
    <w:p>
      <w:pPr>
        <w:pStyle w:val="TextBody"/>
        <w:spacing w:before="0" w:after="0"/>
        <w:ind w:left="0" w:right="0" w:hanging="0"/>
        <w:jc w:val="center"/>
        <w:rPr>
          <w:rFonts w:ascii="helvetica" w:hAnsi="helvetica"/>
          <w:b/>
          <w:sz w:val="20"/>
        </w:rPr>
      </w:pPr>
      <w:r>
        <w:rPr>
          <w:rFonts w:ascii="helvetica" w:hAnsi="helvetica"/>
          <w:b/>
          <w:sz w:val="20"/>
        </w:rPr>
        <w:t>REPORT OF INDEPENDENT REGISTERED PUBLIC ACCOUNTING FIRM</w:t>
      </w:r>
    </w:p>
    <w:p>
      <w:pPr>
        <w:pStyle w:val="TextBody"/>
        <w:spacing w:before="0" w:after="0"/>
        <w:ind w:left="0" w:right="0" w:hanging="0"/>
        <w:rPr/>
      </w:pPr>
      <w:r>
        <w:rPr/>
        <w:t> </w:t>
      </w:r>
    </w:p>
    <w:p>
      <w:pPr>
        <w:pStyle w:val="TextBody"/>
        <w:spacing w:before="0" w:after="0"/>
        <w:ind w:left="0" w:right="0" w:hanging="0"/>
        <w:jc w:val="left"/>
        <w:rPr>
          <w:rFonts w:ascii="helvetica" w:hAnsi="helvetica"/>
          <w:sz w:val="20"/>
        </w:rPr>
      </w:pPr>
      <w:r>
        <w:rPr>
          <w:rFonts w:ascii="helvetica" w:hAnsi="helvetica"/>
          <w:sz w:val="20"/>
        </w:rPr>
        <w:t>To the Board of Directors and Stockholders of Imprimis Pharmaceuticals, Inc.</w:t>
      </w:r>
    </w:p>
    <w:p>
      <w:pPr>
        <w:pStyle w:val="TextBody"/>
        <w:spacing w:before="0" w:after="0"/>
        <w:ind w:left="0" w:right="0" w:hanging="0"/>
        <w:rPr/>
      </w:pPr>
      <w:r>
        <w:rPr/>
        <w:t> </w:t>
      </w:r>
    </w:p>
    <w:p>
      <w:pPr>
        <w:pStyle w:val="TextBody"/>
        <w:spacing w:before="0" w:after="0"/>
        <w:ind w:left="0" w:right="0" w:hanging="0"/>
        <w:jc w:val="both"/>
        <w:rPr>
          <w:rFonts w:ascii="helvetica" w:hAnsi="helvetica"/>
          <w:sz w:val="20"/>
        </w:rPr>
      </w:pPr>
      <w:r>
        <w:rPr>
          <w:rFonts w:ascii="helvetica" w:hAnsi="helvetica"/>
          <w:sz w:val="20"/>
        </w:rPr>
        <w:t>We have audited the accompanying consolidated balance sheets of Imprimis Pharmaceuticals, Inc. (formerly Transdel Pharmaceuticals, Inc.) and subsidiary (a development stage company) (the “Company”) as of December 31, 2011 and 2010, and the related consolidated statements of operations, stockholders’ deficit and cash flows for each of the two years in the period ended December 31, 2011 and for the period from July 24, 1998 (date of inception) through December 31, 2011. These consolidated financial statements are the responsibility of the Company’s management. Our responsibility is to express an opinion on these consolidated financial statements based on our audits.</w:t>
      </w:r>
    </w:p>
    <w:p>
      <w:pPr>
        <w:pStyle w:val="TextBody"/>
        <w:spacing w:before="0" w:after="0"/>
        <w:ind w:left="0" w:right="0" w:hanging="0"/>
        <w:jc w:val="both"/>
        <w:rPr/>
      </w:pPr>
      <w:r>
        <w:rPr/>
        <w:t> </w:t>
      </w:r>
    </w:p>
    <w:p>
      <w:pPr>
        <w:pStyle w:val="TextBody"/>
        <w:spacing w:before="0" w:after="0"/>
        <w:ind w:left="0" w:right="0" w:hanging="0"/>
        <w:jc w:val="both"/>
        <w:rPr>
          <w:rFonts w:ascii="helvetica" w:hAnsi="helvetica"/>
          <w:sz w:val="20"/>
        </w:rPr>
      </w:pPr>
      <w:r>
        <w:rPr>
          <w:rFonts w:ascii="helvetica" w:hAnsi="helvetica"/>
          <w:sz w:val="20"/>
        </w:rPr>
        <w:t>We conducted our audits in accordance with the standards of the Public Company Accounting Oversight Board (United States). Those standards require that we plan and perform the audits to obtain reasonable assurance about whether the consolidated financial statements are free of material misstatement. The Company is not required to have, nor were we engaged to perform, an audit on its internal control over financial reporting. Our audits included consideration of internal control over financial reporting as a basis for designing audit procedures that are appropriate in the circumstances, but not for the purpose of expressing an opinion on the effectiveness of the Company’s internal control over financial reporting. Accordingly, we express no such opinion. An audit also includes assessing the accounting principles used and significant estimates made by management, as well as evaluating the overall consolidated financial statement presentation. We believe that our audits provide a reasonable basis for our opinion.</w:t>
      </w:r>
    </w:p>
    <w:p>
      <w:pPr>
        <w:pStyle w:val="TextBody"/>
        <w:spacing w:before="0" w:after="0"/>
        <w:ind w:left="0" w:right="0" w:hanging="0"/>
        <w:jc w:val="both"/>
        <w:rPr/>
      </w:pPr>
      <w:r>
        <w:rPr/>
        <w:t> </w:t>
      </w:r>
    </w:p>
    <w:p>
      <w:pPr>
        <w:pStyle w:val="TextBody"/>
        <w:spacing w:before="0" w:after="0"/>
        <w:ind w:left="0" w:right="0" w:hanging="0"/>
        <w:jc w:val="both"/>
        <w:rPr>
          <w:rFonts w:ascii="helvetica" w:hAnsi="helvetica"/>
          <w:sz w:val="20"/>
        </w:rPr>
      </w:pPr>
      <w:r>
        <w:rPr>
          <w:rFonts w:ascii="helvetica" w:hAnsi="helvetica"/>
          <w:sz w:val="20"/>
        </w:rPr>
        <w:t>In our opinion, the consolidated financial statements referred to above present fairly, in all material respects, the consolidated financial position of Imprimis Pharmaceuticals, Inc. (formerly Transdel Pharmaceuticals, Inc.) and subsidiary as of December 31, 2011 and 2010, and the consolidated results of their operations and their cash flows for each of the two years in the period ended December 31, 2011 and for the period from July 24, 1998 (date of inception) through December 31, 2011 in conformity with accounting principles generally accepted in the United States of America.</w:t>
      </w:r>
    </w:p>
    <w:p>
      <w:pPr>
        <w:pStyle w:val="TextBody"/>
        <w:spacing w:before="0" w:after="0"/>
        <w:ind w:left="0" w:right="0" w:hanging="0"/>
        <w:jc w:val="both"/>
        <w:rPr/>
      </w:pPr>
      <w:r>
        <w:rPr/>
        <w:t> </w:t>
      </w:r>
    </w:p>
    <w:p>
      <w:pPr>
        <w:pStyle w:val="TextBody"/>
        <w:spacing w:before="0" w:after="0"/>
        <w:ind w:left="0" w:right="0" w:hanging="0"/>
        <w:jc w:val="both"/>
        <w:rPr>
          <w:rFonts w:ascii="helvetica" w:hAnsi="helvetica"/>
          <w:sz w:val="20"/>
        </w:rPr>
      </w:pPr>
      <w:r>
        <w:rPr>
          <w:rFonts w:ascii="helvetica" w:hAnsi="helvetica"/>
          <w:sz w:val="20"/>
        </w:rPr>
        <w:t>The accompanying consolidated financial statements have been prepared assuming the Company will continue as a going concern. As more fully described in Note 2 to the consolidated financial statements, the Company has incurred significant operating losses, had negative cash flows from operations, has not recognized any revenues since inception and has a deficit accumulated during the development stage. These factors raise substantial doubt about the Company’s ability to continue as a going concern. Management’s plans in regard to these matters are also described in Note 2. The consolidated financial statements do not include any adjustments to reflect the possible future effects on the recoverability and classification of assets or the amount and classification of liabilities that may result from the outcome of this uncertainty.</w:t>
      </w:r>
    </w:p>
    <w:p>
      <w:pPr>
        <w:pStyle w:val="TextBody"/>
        <w:spacing w:before="0" w:after="0"/>
        <w:ind w:left="0" w:right="0" w:hanging="0"/>
        <w:rPr/>
      </w:pPr>
      <w:r>
        <w:rPr/>
        <w:t> </w:t>
      </w:r>
    </w:p>
    <w:p>
      <w:pPr>
        <w:pStyle w:val="TextBody"/>
        <w:spacing w:before="0" w:after="0"/>
        <w:ind w:left="0" w:right="0" w:hanging="0"/>
        <w:jc w:val="left"/>
        <w:rPr>
          <w:rFonts w:ascii="helvetica" w:hAnsi="helvetica"/>
          <w:sz w:val="20"/>
        </w:rPr>
      </w:pPr>
      <w:r>
        <w:rPr>
          <w:rFonts w:ascii="helvetica" w:hAnsi="helvetica"/>
          <w:sz w:val="20"/>
        </w:rPr>
        <w:t>/s/ KMJ Corbin &amp; Company LLP</w:t>
      </w:r>
    </w:p>
    <w:p>
      <w:pPr>
        <w:pStyle w:val="TextBody"/>
        <w:spacing w:before="0" w:after="0"/>
        <w:ind w:left="0" w:right="0" w:hanging="0"/>
        <w:jc w:val="both"/>
        <w:rPr/>
      </w:pPr>
      <w:r>
        <w:rPr/>
        <w:t> </w:t>
      </w:r>
    </w:p>
    <w:p>
      <w:pPr>
        <w:pStyle w:val="TextBody"/>
        <w:spacing w:before="0" w:after="0"/>
        <w:ind w:left="0" w:right="0" w:hanging="0"/>
        <w:jc w:val="left"/>
        <w:rPr>
          <w:rFonts w:ascii="helvetica" w:hAnsi="helvetica"/>
          <w:sz w:val="20"/>
        </w:rPr>
      </w:pPr>
      <w:r>
        <w:rPr>
          <w:rFonts w:ascii="helvetica" w:hAnsi="helvetica"/>
          <w:sz w:val="20"/>
        </w:rPr>
        <w:t>Costa Mesa, California</w:t>
      </w:r>
    </w:p>
    <w:p>
      <w:pPr>
        <w:pStyle w:val="TextBody"/>
        <w:spacing w:before="0" w:after="0"/>
        <w:ind w:left="0" w:right="0" w:hanging="0"/>
        <w:jc w:val="both"/>
        <w:rPr/>
      </w:pPr>
      <w:r>
        <w:rPr/>
        <w:t> </w:t>
      </w:r>
    </w:p>
    <w:p>
      <w:pPr>
        <w:pStyle w:val="TextBody"/>
        <w:spacing w:before="0" w:after="0"/>
        <w:ind w:left="0" w:right="0" w:hanging="0"/>
        <w:jc w:val="left"/>
        <w:rPr>
          <w:rFonts w:ascii="helvetica" w:hAnsi="helvetica"/>
          <w:sz w:val="20"/>
        </w:rPr>
      </w:pPr>
      <w:r>
        <w:rPr>
          <w:rFonts w:ascii="helvetica" w:hAnsi="helvetica"/>
          <w:sz w:val="20"/>
        </w:rPr>
        <w:t>February 23, 2012</w:t>
      </w:r>
    </w:p>
    <w:p>
      <w:pPr>
        <w:pStyle w:val="TextBody"/>
        <w:spacing w:before="0" w:after="0"/>
        <w:ind w:left="0" w:right="0" w:hanging="0"/>
        <w:jc w:val="left"/>
        <w:rPr>
          <w:rFonts w:ascii="helvetica" w:hAnsi="helvetica"/>
          <w:sz w:val="20"/>
        </w:rPr>
      </w:pPr>
      <w:r>
        <w:rPr>
          <w:rFonts w:ascii="helvetica" w:hAnsi="helvetica"/>
          <w:sz w:val="20"/>
        </w:rPr>
        <w:t>Except for Note 3 and the effects of</w:t>
      </w:r>
    </w:p>
    <w:p>
      <w:pPr>
        <w:pStyle w:val="TextBody"/>
        <w:spacing w:before="0" w:after="0"/>
        <w:ind w:left="0" w:right="0" w:hanging="0"/>
        <w:jc w:val="left"/>
        <w:rPr>
          <w:rFonts w:ascii="helvetica" w:hAnsi="helvetica"/>
          <w:sz w:val="20"/>
        </w:rPr>
      </w:pPr>
      <w:r>
        <w:rPr>
          <w:rFonts w:ascii="helvetica" w:hAnsi="helvetica"/>
          <w:sz w:val="20"/>
        </w:rPr>
        <w:t>the retrospective application of the</w:t>
      </w:r>
    </w:p>
    <w:p>
      <w:pPr>
        <w:pStyle w:val="TextBody"/>
        <w:spacing w:before="0" w:after="0"/>
        <w:ind w:left="0" w:right="0" w:hanging="0"/>
        <w:jc w:val="left"/>
        <w:rPr>
          <w:rFonts w:ascii="helvetica" w:hAnsi="helvetica"/>
          <w:sz w:val="20"/>
        </w:rPr>
      </w:pPr>
      <w:r>
        <w:rPr>
          <w:rFonts w:ascii="helvetica" w:hAnsi="helvetica"/>
          <w:sz w:val="20"/>
        </w:rPr>
        <w:t>reverse stock split as described in</w:t>
      </w:r>
    </w:p>
    <w:p>
      <w:pPr>
        <w:pStyle w:val="TextBody"/>
        <w:spacing w:before="0" w:after="0"/>
        <w:ind w:left="0" w:right="0" w:hanging="0"/>
        <w:jc w:val="left"/>
        <w:rPr>
          <w:rFonts w:ascii="helvetica" w:hAnsi="helvetica"/>
          <w:sz w:val="20"/>
        </w:rPr>
      </w:pPr>
      <w:r>
        <w:rPr>
          <w:rFonts w:ascii="helvetica" w:hAnsi="helvetica"/>
          <w:sz w:val="20"/>
        </w:rPr>
        <w:t>Note 3, as to which the date is</w:t>
      </w:r>
    </w:p>
    <w:p>
      <w:pPr>
        <w:pStyle w:val="TextBody"/>
        <w:spacing w:before="0" w:after="0"/>
        <w:ind w:left="0" w:right="0" w:hanging="0"/>
        <w:jc w:val="left"/>
        <w:rPr>
          <w:rFonts w:ascii="helvetica" w:hAnsi="helvetica"/>
          <w:sz w:val="20"/>
        </w:rPr>
      </w:pPr>
      <w:r>
        <w:rPr>
          <w:rFonts w:ascii="helvetica" w:hAnsi="helvetica"/>
          <w:sz w:val="20"/>
        </w:rPr>
        <w:t>February 28, 2012</w:t>
      </w:r>
    </w:p>
    <w:p>
      <w:pPr>
        <w:pStyle w:val="TextBody"/>
        <w:spacing w:before="0" w:after="0"/>
        <w:ind w:left="0" w:right="0" w:hanging="0"/>
        <w:rPr/>
      </w:pPr>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r>
      <w:bookmarkStart w:id="1075" w:name="PGBRK91"/>
      <w:bookmarkStart w:id="1076" w:name="PGBRK91"/>
      <w:bookmarkEnd w:id="107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077" w:name="FTR91"/>
      <w:bookmarkStart w:id="1078" w:name="FTR91"/>
      <w:bookmarkEnd w:id="107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1079" w:name="GLFTR90"/>
      <w:bookmarkEnd w:id="1079"/>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helvetica" w:hAnsi="helvetica"/>
          <w:sz w:val="20"/>
        </w:rPr>
      </w:pPr>
      <w:bookmarkStart w:id="1080" w:name="PN90"/>
      <w:bookmarkEnd w:id="1080"/>
      <w:r>
        <w:rPr>
          <w:rFonts w:ascii="helvetica" w:hAnsi="helvetica"/>
          <w:sz w:val="20"/>
        </w:rPr>
        <w:t>F-20</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081" w:name="HDR90"/>
      <w:bookmarkStart w:id="1082" w:name="HDR90"/>
      <w:bookmarkEnd w:id="108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1083" w:name="GLHDR90"/>
      <w:bookmarkEnd w:id="1083"/>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10205"/>
      </w:tblGrid>
      <w:tr>
        <w:trPr/>
        <w:tc>
          <w:tcPr>
            <w:tcW w:w="10205" w:type="dxa"/>
            <w:tcBorders/>
            <w:shd w:fill="auto" w:val="clear"/>
            <w:vAlign w:val="bottom"/>
          </w:tcPr>
          <w:p>
            <w:pPr>
              <w:pStyle w:val="TableContents"/>
              <w:spacing w:before="0" w:after="0"/>
              <w:ind w:left="0" w:right="0" w:hanging="0"/>
              <w:jc w:val="center"/>
              <w:rPr>
                <w:rFonts w:ascii="helvetica" w:hAnsi="helvetica"/>
                <w:b/>
                <w:sz w:val="20"/>
              </w:rPr>
            </w:pPr>
            <w:bookmarkStart w:id="1084" w:name="range!a1%3Ag49"/>
            <w:bookmarkEnd w:id="1084"/>
            <w:r>
              <w:rPr>
                <w:rFonts w:ascii="helvetica" w:hAnsi="helvetica"/>
                <w:b/>
                <w:sz w:val="20"/>
              </w:rPr>
              <w:t>IMPRIMIS PHARMACEUTICALS, INC.</w:t>
            </w:r>
          </w:p>
        </w:tc>
      </w:tr>
      <w:tr>
        <w:trPr/>
        <w:tc>
          <w:tcPr>
            <w:tcW w:w="10205" w:type="dxa"/>
            <w:tcBorders/>
            <w:shd w:fill="auto" w:val="clear"/>
            <w:vAlign w:val="bottom"/>
          </w:tcPr>
          <w:p>
            <w:pPr>
              <w:pStyle w:val="TableContents"/>
              <w:spacing w:before="0" w:after="0"/>
              <w:ind w:left="0" w:right="0" w:hanging="0"/>
              <w:jc w:val="center"/>
              <w:rPr>
                <w:rFonts w:ascii="helvetica" w:hAnsi="helvetica"/>
                <w:b/>
                <w:sz w:val="20"/>
              </w:rPr>
            </w:pPr>
            <w:r>
              <w:rPr>
                <w:rFonts w:ascii="helvetica" w:hAnsi="helvetica"/>
                <w:b/>
                <w:sz w:val="20"/>
              </w:rPr>
              <w:t>(A Development Stage Company)</w:t>
            </w:r>
          </w:p>
        </w:tc>
      </w:tr>
      <w:tr>
        <w:trPr/>
        <w:tc>
          <w:tcPr>
            <w:tcW w:w="10205" w:type="dxa"/>
            <w:tcBorders/>
            <w:shd w:fill="auto" w:val="clear"/>
            <w:vAlign w:val="bottom"/>
          </w:tcPr>
          <w:p>
            <w:pPr>
              <w:pStyle w:val="TableContents"/>
              <w:spacing w:before="0" w:after="0"/>
              <w:ind w:left="0" w:right="0" w:hanging="0"/>
              <w:jc w:val="center"/>
              <w:rPr/>
            </w:pPr>
            <w:r>
              <w:rPr/>
              <w:t> </w:t>
            </w:r>
            <w:r>
              <w:rPr>
                <w:rFonts w:ascii="helvetica" w:hAnsi="helvetica"/>
                <w:b/>
                <w:sz w:val="20"/>
              </w:rPr>
              <w:t>CONSOLIDATED BALANCE SHEETS</w:t>
            </w:r>
          </w:p>
        </w:tc>
      </w:tr>
      <w:tr>
        <w:trPr/>
        <w:tc>
          <w:tcPr>
            <w:tcW w:w="10205" w:type="dxa"/>
            <w:tcBorders/>
            <w:shd w:fill="auto" w:val="clear"/>
            <w:vAlign w:val="bottom"/>
          </w:tcPr>
          <w:p>
            <w:pPr>
              <w:pStyle w:val="TableContents"/>
              <w:spacing w:before="0" w:after="283"/>
              <w:rPr/>
            </w:pPr>
            <w:r>
              <w:rPr/>
              <w:t xml:space="preserve">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7281"/>
        <w:gridCol w:w="106"/>
        <w:gridCol w:w="126"/>
        <w:gridCol w:w="1112"/>
        <w:gridCol w:w="112"/>
        <w:gridCol w:w="106"/>
        <w:gridCol w:w="126"/>
        <w:gridCol w:w="1112"/>
        <w:gridCol w:w="124"/>
      </w:tblGrid>
      <w:tr>
        <w:trPr/>
        <w:tc>
          <w:tcPr>
            <w:tcW w:w="7281" w:type="dxa"/>
            <w:tcBorders/>
            <w:shd w:fill="auto" w:val="clear"/>
            <w:vAlign w:val="bottom"/>
          </w:tcPr>
          <w:p>
            <w:pPr>
              <w:pStyle w:val="TableContents"/>
              <w:spacing w:before="0" w:after="283"/>
              <w:rPr/>
            </w:pPr>
            <w:r>
              <w:rPr/>
              <w:t xml:space="preserve">  </w:t>
            </w:r>
          </w:p>
        </w:tc>
        <w:tc>
          <w:tcPr>
            <w:tcW w:w="106" w:type="dxa"/>
            <w:tcBorders/>
            <w:shd w:fill="auto" w:val="clear"/>
            <w:vAlign w:val="bottom"/>
          </w:tcPr>
          <w:p>
            <w:pPr>
              <w:pStyle w:val="TableContents"/>
              <w:spacing w:before="0" w:after="283"/>
              <w:rPr/>
            </w:pPr>
            <w:r>
              <w:rPr/>
              <w:t> </w:t>
            </w:r>
          </w:p>
        </w:tc>
        <w:tc>
          <w:tcPr>
            <w:tcW w:w="1238" w:type="dxa"/>
            <w:gridSpan w:val="2"/>
            <w:tcBorders/>
            <w:shd w:fill="auto" w:val="clear"/>
            <w:vAlign w:val="bottom"/>
          </w:tcPr>
          <w:p>
            <w:pPr>
              <w:pStyle w:val="TableContents"/>
              <w:spacing w:before="0" w:after="0"/>
              <w:ind w:left="0" w:right="0" w:hanging="0"/>
              <w:jc w:val="center"/>
              <w:rPr>
                <w:rFonts w:ascii="helvetica" w:hAnsi="helvetica"/>
                <w:b/>
                <w:sz w:val="16"/>
              </w:rPr>
            </w:pPr>
            <w:r>
              <w:rPr>
                <w:rFonts w:ascii="helvetica" w:hAnsi="helvetica"/>
                <w:b/>
                <w:sz w:val="16"/>
              </w:rPr>
              <w:t>December 31,</w:t>
            </w:r>
          </w:p>
        </w:tc>
        <w:tc>
          <w:tcPr>
            <w:tcW w:w="112" w:type="dxa"/>
            <w:tcBorders/>
            <w:shd w:fill="auto" w:val="clear"/>
            <w:vAlign w:val="bottom"/>
          </w:tcPr>
          <w:p>
            <w:pPr>
              <w:pStyle w:val="TableContents"/>
              <w:spacing w:before="0" w:after="283"/>
              <w:jc w:val="left"/>
              <w:rPr/>
            </w:pPr>
            <w:r>
              <w:rPr/>
              <w:t> </w:t>
            </w:r>
          </w:p>
        </w:tc>
        <w:tc>
          <w:tcPr>
            <w:tcW w:w="106" w:type="dxa"/>
            <w:tcBorders/>
            <w:shd w:fill="auto" w:val="clear"/>
            <w:vAlign w:val="bottom"/>
          </w:tcPr>
          <w:p>
            <w:pPr>
              <w:pStyle w:val="TableContents"/>
              <w:spacing w:before="0" w:after="283"/>
              <w:rPr/>
            </w:pPr>
            <w:r>
              <w:rPr/>
              <w:t> </w:t>
            </w:r>
          </w:p>
        </w:tc>
        <w:tc>
          <w:tcPr>
            <w:tcW w:w="1238" w:type="dxa"/>
            <w:gridSpan w:val="2"/>
            <w:tcBorders/>
            <w:shd w:fill="auto" w:val="clear"/>
            <w:vAlign w:val="bottom"/>
          </w:tcPr>
          <w:p>
            <w:pPr>
              <w:pStyle w:val="TableContents"/>
              <w:spacing w:before="0" w:after="0"/>
              <w:ind w:left="0" w:right="0" w:hanging="0"/>
              <w:jc w:val="center"/>
              <w:rPr>
                <w:rFonts w:ascii="helvetica" w:hAnsi="helvetica"/>
                <w:b/>
                <w:sz w:val="16"/>
              </w:rPr>
            </w:pPr>
            <w:r>
              <w:rPr>
                <w:rFonts w:ascii="helvetica" w:hAnsi="helvetica"/>
                <w:b/>
                <w:sz w:val="16"/>
              </w:rPr>
              <w:t>December 31,</w:t>
            </w:r>
          </w:p>
        </w:tc>
        <w:tc>
          <w:tcPr>
            <w:tcW w:w="124" w:type="dxa"/>
            <w:tcBorders/>
            <w:shd w:fill="auto" w:val="clear"/>
            <w:vAlign w:val="bottom"/>
          </w:tcPr>
          <w:p>
            <w:pPr>
              <w:pStyle w:val="TableContents"/>
              <w:spacing w:before="0" w:after="283"/>
              <w:jc w:val="left"/>
              <w:rPr/>
            </w:pPr>
            <w:r>
              <w:rPr/>
              <w:t> </w:t>
            </w:r>
          </w:p>
        </w:tc>
      </w:tr>
      <w:tr>
        <w:trPr/>
        <w:tc>
          <w:tcPr>
            <w:tcW w:w="7281" w:type="dxa"/>
            <w:tcBorders/>
            <w:shd w:fill="auto" w:val="clear"/>
            <w:vAlign w:val="bottom"/>
          </w:tcPr>
          <w:p>
            <w:pPr>
              <w:pStyle w:val="TableContents"/>
              <w:spacing w:before="0" w:after="283"/>
              <w:rPr/>
            </w:pPr>
            <w:r>
              <w:rPr/>
              <w:t xml:space="preserve">  </w:t>
            </w:r>
          </w:p>
        </w:tc>
        <w:tc>
          <w:tcPr>
            <w:tcW w:w="106" w:type="dxa"/>
            <w:tcBorders/>
            <w:shd w:fill="auto" w:val="clear"/>
            <w:vAlign w:val="bottom"/>
          </w:tcPr>
          <w:p>
            <w:pPr>
              <w:pStyle w:val="TableContents"/>
              <w:spacing w:before="0" w:after="283"/>
              <w:rPr/>
            </w:pPr>
            <w:r>
              <w:rPr/>
              <w:t> </w:t>
            </w:r>
          </w:p>
        </w:tc>
        <w:tc>
          <w:tcPr>
            <w:tcW w:w="1238"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helvetica" w:hAnsi="helvetica"/>
                <w:b/>
                <w:sz w:val="16"/>
              </w:rPr>
            </w:pPr>
            <w:r>
              <w:rPr>
                <w:rFonts w:ascii="helvetica" w:hAnsi="helvetica"/>
                <w:b/>
                <w:sz w:val="16"/>
              </w:rPr>
              <w:t>2011</w:t>
            </w:r>
          </w:p>
        </w:tc>
        <w:tc>
          <w:tcPr>
            <w:tcW w:w="112" w:type="dxa"/>
            <w:tcBorders/>
            <w:shd w:fill="auto" w:val="clear"/>
            <w:vAlign w:val="bottom"/>
          </w:tcPr>
          <w:p>
            <w:pPr>
              <w:pStyle w:val="TableContents"/>
              <w:spacing w:before="0" w:after="283"/>
              <w:jc w:val="left"/>
              <w:rPr/>
            </w:pPr>
            <w:r>
              <w:rPr/>
              <w:t> </w:t>
            </w:r>
          </w:p>
        </w:tc>
        <w:tc>
          <w:tcPr>
            <w:tcW w:w="106" w:type="dxa"/>
            <w:tcBorders/>
            <w:shd w:fill="auto" w:val="clear"/>
            <w:vAlign w:val="bottom"/>
          </w:tcPr>
          <w:p>
            <w:pPr>
              <w:pStyle w:val="TableContents"/>
              <w:spacing w:before="0" w:after="283"/>
              <w:rPr/>
            </w:pPr>
            <w:r>
              <w:rPr/>
              <w:t> </w:t>
            </w:r>
          </w:p>
        </w:tc>
        <w:tc>
          <w:tcPr>
            <w:tcW w:w="1238"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helvetica" w:hAnsi="helvetica"/>
                <w:b/>
                <w:sz w:val="16"/>
              </w:rPr>
            </w:pPr>
            <w:r>
              <w:rPr>
                <w:rFonts w:ascii="helvetica" w:hAnsi="helvetica"/>
                <w:b/>
                <w:sz w:val="16"/>
              </w:rPr>
              <w:t>2010</w:t>
            </w:r>
          </w:p>
        </w:tc>
        <w:tc>
          <w:tcPr>
            <w:tcW w:w="124" w:type="dxa"/>
            <w:tcBorders/>
            <w:shd w:fill="auto" w:val="clear"/>
            <w:vAlign w:val="bottom"/>
          </w:tcPr>
          <w:p>
            <w:pPr>
              <w:pStyle w:val="TableContents"/>
              <w:spacing w:before="0" w:after="283"/>
              <w:jc w:val="left"/>
              <w:rPr/>
            </w:pPr>
            <w:r>
              <w:rPr/>
              <w:t> </w:t>
            </w:r>
          </w:p>
        </w:tc>
      </w:tr>
      <w:tr>
        <w:trPr/>
        <w:tc>
          <w:tcPr>
            <w:tcW w:w="7281" w:type="dxa"/>
            <w:tcBorders/>
            <w:shd w:fill="auto" w:val="clear"/>
            <w:vAlign w:val="bottom"/>
          </w:tcPr>
          <w:p>
            <w:pPr>
              <w:pStyle w:val="TableContents"/>
              <w:spacing w:before="0" w:after="0"/>
              <w:ind w:left="0" w:right="0" w:hanging="0"/>
              <w:jc w:val="left"/>
              <w:rPr>
                <w:rFonts w:ascii="helvetica" w:hAnsi="helvetica"/>
                <w:b/>
                <w:sz w:val="20"/>
              </w:rPr>
            </w:pPr>
            <w:r>
              <w:rPr>
                <w:rFonts w:ascii="helvetica" w:hAnsi="helvetica"/>
                <w:b/>
                <w:sz w:val="20"/>
              </w:rPr>
              <w:t>ASSETS</w:t>
            </w:r>
          </w:p>
        </w:tc>
        <w:tc>
          <w:tcPr>
            <w:tcW w:w="106" w:type="dxa"/>
            <w:tcBorders/>
            <w:shd w:fill="auto" w:val="clear"/>
            <w:vAlign w:val="bottom"/>
          </w:tcPr>
          <w:p>
            <w:pPr>
              <w:pStyle w:val="TableContents"/>
              <w:spacing w:before="0" w:after="283"/>
              <w:rPr/>
            </w:pPr>
            <w:r>
              <w:rPr/>
              <w:t> </w:t>
            </w:r>
          </w:p>
        </w:tc>
        <w:tc>
          <w:tcPr>
            <w:tcW w:w="1238" w:type="dxa"/>
            <w:gridSpan w:val="2"/>
            <w:tcBorders/>
            <w:shd w:fill="auto" w:val="clear"/>
            <w:vAlign w:val="bottom"/>
          </w:tcPr>
          <w:p>
            <w:pPr>
              <w:pStyle w:val="TableContents"/>
              <w:spacing w:before="0" w:after="283"/>
              <w:rPr/>
            </w:pPr>
            <w:r>
              <w:rPr/>
              <w:t> </w:t>
            </w:r>
          </w:p>
        </w:tc>
        <w:tc>
          <w:tcPr>
            <w:tcW w:w="112" w:type="dxa"/>
            <w:tcBorders/>
            <w:shd w:fill="auto" w:val="clear"/>
            <w:vAlign w:val="bottom"/>
          </w:tcPr>
          <w:p>
            <w:pPr>
              <w:pStyle w:val="TableContents"/>
              <w:spacing w:before="0" w:after="283"/>
              <w:jc w:val="left"/>
              <w:rPr/>
            </w:pPr>
            <w:r>
              <w:rPr/>
              <w:t> </w:t>
            </w:r>
          </w:p>
        </w:tc>
        <w:tc>
          <w:tcPr>
            <w:tcW w:w="106" w:type="dxa"/>
            <w:tcBorders/>
            <w:shd w:fill="auto" w:val="clear"/>
            <w:vAlign w:val="bottom"/>
          </w:tcPr>
          <w:p>
            <w:pPr>
              <w:pStyle w:val="TableContents"/>
              <w:spacing w:before="0" w:after="283"/>
              <w:rPr/>
            </w:pPr>
            <w:r>
              <w:rPr/>
              <w:t> </w:t>
            </w:r>
          </w:p>
        </w:tc>
        <w:tc>
          <w:tcPr>
            <w:tcW w:w="1238" w:type="dxa"/>
            <w:gridSpan w:val="2"/>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jc w:val="left"/>
              <w:rPr/>
            </w:pPr>
            <w:r>
              <w:rPr/>
              <w:t> </w:t>
            </w:r>
          </w:p>
        </w:tc>
      </w:tr>
      <w:tr>
        <w:trPr/>
        <w:tc>
          <w:tcPr>
            <w:tcW w:w="7281" w:type="dxa"/>
            <w:tcBorders/>
            <w:shd w:fill="auto" w:val="clear"/>
            <w:vAlign w:val="bottom"/>
          </w:tcPr>
          <w:p>
            <w:pPr>
              <w:pStyle w:val="TableContents"/>
              <w:spacing w:before="0" w:after="283"/>
              <w:rPr/>
            </w:pPr>
            <w:r>
              <w:rPr/>
              <w:t xml:space="preserve">  </w:t>
            </w:r>
          </w:p>
        </w:tc>
        <w:tc>
          <w:tcPr>
            <w:tcW w:w="106" w:type="dxa"/>
            <w:tcBorders/>
            <w:shd w:fill="auto" w:val="clear"/>
            <w:vAlign w:val="bottom"/>
          </w:tcPr>
          <w:p>
            <w:pPr>
              <w:pStyle w:val="TableContents"/>
              <w:spacing w:before="0" w:after="283"/>
              <w:rPr/>
            </w:pPr>
            <w:r>
              <w:rPr/>
              <w:t> </w:t>
            </w:r>
          </w:p>
        </w:tc>
        <w:tc>
          <w:tcPr>
            <w:tcW w:w="1238" w:type="dxa"/>
            <w:gridSpan w:val="2"/>
            <w:tcBorders/>
            <w:shd w:fill="auto" w:val="clear"/>
            <w:vAlign w:val="bottom"/>
          </w:tcPr>
          <w:p>
            <w:pPr>
              <w:pStyle w:val="TableContents"/>
              <w:spacing w:before="0" w:after="283"/>
              <w:rPr/>
            </w:pPr>
            <w:r>
              <w:rPr/>
              <w:t> </w:t>
            </w:r>
          </w:p>
        </w:tc>
        <w:tc>
          <w:tcPr>
            <w:tcW w:w="112" w:type="dxa"/>
            <w:tcBorders/>
            <w:shd w:fill="auto" w:val="clear"/>
            <w:vAlign w:val="bottom"/>
          </w:tcPr>
          <w:p>
            <w:pPr>
              <w:pStyle w:val="TableContents"/>
              <w:spacing w:before="0" w:after="283"/>
              <w:jc w:val="left"/>
              <w:rPr/>
            </w:pPr>
            <w:r>
              <w:rPr/>
              <w:t> </w:t>
            </w:r>
          </w:p>
        </w:tc>
        <w:tc>
          <w:tcPr>
            <w:tcW w:w="106" w:type="dxa"/>
            <w:tcBorders/>
            <w:shd w:fill="auto" w:val="clear"/>
            <w:vAlign w:val="bottom"/>
          </w:tcPr>
          <w:p>
            <w:pPr>
              <w:pStyle w:val="TableContents"/>
              <w:spacing w:before="0" w:after="283"/>
              <w:rPr/>
            </w:pPr>
            <w:r>
              <w:rPr/>
              <w:t> </w:t>
            </w:r>
          </w:p>
        </w:tc>
        <w:tc>
          <w:tcPr>
            <w:tcW w:w="1238" w:type="dxa"/>
            <w:gridSpan w:val="2"/>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jc w:val="left"/>
              <w:rPr/>
            </w:pPr>
            <w:r>
              <w:rPr/>
              <w:t> </w:t>
            </w:r>
          </w:p>
        </w:tc>
      </w:tr>
      <w:tr>
        <w:trPr/>
        <w:tc>
          <w:tcPr>
            <w:tcW w:w="7281" w:type="dxa"/>
            <w:tcBorders/>
            <w:shd w:fill="auto" w:val="clear"/>
            <w:vAlign w:val="bottom"/>
          </w:tcPr>
          <w:p>
            <w:pPr>
              <w:pStyle w:val="TableContents"/>
              <w:spacing w:before="0" w:after="0"/>
              <w:ind w:left="0" w:right="0" w:hanging="0"/>
              <w:jc w:val="left"/>
              <w:rPr>
                <w:rFonts w:ascii="helvetica" w:hAnsi="helvetica"/>
                <w:sz w:val="20"/>
              </w:rPr>
            </w:pPr>
            <w:r>
              <w:rPr>
                <w:rFonts w:ascii="helvetica" w:hAnsi="helvetica"/>
                <w:sz w:val="20"/>
              </w:rPr>
              <w:t>Current assets</w:t>
            </w:r>
          </w:p>
        </w:tc>
        <w:tc>
          <w:tcPr>
            <w:tcW w:w="106" w:type="dxa"/>
            <w:tcBorders/>
            <w:shd w:fill="auto" w:val="clear"/>
            <w:vAlign w:val="bottom"/>
          </w:tcPr>
          <w:p>
            <w:pPr>
              <w:pStyle w:val="TableContents"/>
              <w:spacing w:before="0" w:after="283"/>
              <w:rPr/>
            </w:pPr>
            <w:r>
              <w:rPr/>
              <w:t> </w:t>
            </w:r>
          </w:p>
        </w:tc>
        <w:tc>
          <w:tcPr>
            <w:tcW w:w="1238" w:type="dxa"/>
            <w:gridSpan w:val="2"/>
            <w:tcBorders/>
            <w:shd w:fill="auto" w:val="clear"/>
            <w:vAlign w:val="bottom"/>
          </w:tcPr>
          <w:p>
            <w:pPr>
              <w:pStyle w:val="TableContents"/>
              <w:spacing w:before="0" w:after="283"/>
              <w:rPr/>
            </w:pPr>
            <w:r>
              <w:rPr/>
              <w:t> </w:t>
            </w:r>
          </w:p>
        </w:tc>
        <w:tc>
          <w:tcPr>
            <w:tcW w:w="112" w:type="dxa"/>
            <w:tcBorders/>
            <w:shd w:fill="auto" w:val="clear"/>
            <w:vAlign w:val="bottom"/>
          </w:tcPr>
          <w:p>
            <w:pPr>
              <w:pStyle w:val="TableContents"/>
              <w:spacing w:before="0" w:after="283"/>
              <w:jc w:val="left"/>
              <w:rPr/>
            </w:pPr>
            <w:r>
              <w:rPr/>
              <w:t> </w:t>
            </w:r>
          </w:p>
        </w:tc>
        <w:tc>
          <w:tcPr>
            <w:tcW w:w="106" w:type="dxa"/>
            <w:tcBorders/>
            <w:shd w:fill="auto" w:val="clear"/>
            <w:vAlign w:val="bottom"/>
          </w:tcPr>
          <w:p>
            <w:pPr>
              <w:pStyle w:val="TableContents"/>
              <w:spacing w:before="0" w:after="283"/>
              <w:rPr/>
            </w:pPr>
            <w:r>
              <w:rPr/>
              <w:t> </w:t>
            </w:r>
          </w:p>
        </w:tc>
        <w:tc>
          <w:tcPr>
            <w:tcW w:w="1238" w:type="dxa"/>
            <w:gridSpan w:val="2"/>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jc w:val="left"/>
              <w:rPr/>
            </w:pPr>
            <w:r>
              <w:rPr/>
              <w:t> </w:t>
            </w:r>
          </w:p>
        </w:tc>
      </w:tr>
      <w:tr>
        <w:trPr/>
        <w:tc>
          <w:tcPr>
            <w:tcW w:w="7281" w:type="dxa"/>
            <w:tcBorders/>
            <w:shd w:fill="CCEEFF" w:val="clear"/>
            <w:vAlign w:val="bottom"/>
          </w:tcPr>
          <w:p>
            <w:pPr>
              <w:pStyle w:val="TableContents"/>
              <w:spacing w:before="0" w:after="0"/>
              <w:ind w:left="0" w:right="0" w:hanging="0"/>
              <w:jc w:val="left"/>
              <w:rPr>
                <w:rFonts w:ascii="helvetica" w:hAnsi="helvetica"/>
                <w:sz w:val="20"/>
              </w:rPr>
            </w:pPr>
            <w:r>
              <w:rPr>
                <w:rFonts w:ascii="helvetica" w:hAnsi="helvetica"/>
                <w:sz w:val="20"/>
              </w:rPr>
              <w:t>Cash and cash equivalents</w:t>
            </w:r>
          </w:p>
        </w:tc>
        <w:tc>
          <w:tcPr>
            <w:tcW w:w="106"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jc w:val="left"/>
              <w:rPr>
                <w:rFonts w:ascii="helvetica" w:hAnsi="helvetica"/>
                <w:sz w:val="20"/>
              </w:rPr>
            </w:pPr>
            <w:r>
              <w:rPr>
                <w:rFonts w:ascii="helvetica" w:hAnsi="helvetica"/>
                <w:sz w:val="20"/>
              </w:rPr>
              <w:t>$</w:t>
            </w:r>
          </w:p>
        </w:tc>
        <w:tc>
          <w:tcPr>
            <w:tcW w:w="1112"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146,160</w:t>
            </w:r>
          </w:p>
        </w:tc>
        <w:tc>
          <w:tcPr>
            <w:tcW w:w="112" w:type="dxa"/>
            <w:tcBorders/>
            <w:shd w:fill="CCEEFF" w:val="clear"/>
            <w:vAlign w:val="bottom"/>
          </w:tcPr>
          <w:p>
            <w:pPr>
              <w:pStyle w:val="TableContents"/>
              <w:spacing w:before="0" w:after="283"/>
              <w:jc w:val="left"/>
              <w:rPr/>
            </w:pPr>
            <w:r>
              <w:rPr/>
              <w:t> </w:t>
            </w:r>
          </w:p>
        </w:tc>
        <w:tc>
          <w:tcPr>
            <w:tcW w:w="106"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jc w:val="left"/>
              <w:rPr>
                <w:rFonts w:ascii="helvetica" w:hAnsi="helvetica"/>
                <w:sz w:val="20"/>
              </w:rPr>
            </w:pPr>
            <w:r>
              <w:rPr>
                <w:rFonts w:ascii="helvetica" w:hAnsi="helvetica"/>
                <w:sz w:val="20"/>
              </w:rPr>
              <w:t>$</w:t>
            </w:r>
          </w:p>
        </w:tc>
        <w:tc>
          <w:tcPr>
            <w:tcW w:w="1112"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291,462</w:t>
            </w:r>
          </w:p>
        </w:tc>
        <w:tc>
          <w:tcPr>
            <w:tcW w:w="124" w:type="dxa"/>
            <w:tcBorders/>
            <w:shd w:fill="CCEEFF" w:val="clear"/>
            <w:vAlign w:val="bottom"/>
          </w:tcPr>
          <w:p>
            <w:pPr>
              <w:pStyle w:val="TableContents"/>
              <w:spacing w:before="0" w:after="283"/>
              <w:jc w:val="left"/>
              <w:rPr/>
            </w:pPr>
            <w:r>
              <w:rPr/>
              <w:t> </w:t>
            </w:r>
          </w:p>
        </w:tc>
      </w:tr>
      <w:tr>
        <w:trPr/>
        <w:tc>
          <w:tcPr>
            <w:tcW w:w="7281" w:type="dxa"/>
            <w:tcBorders/>
            <w:shd w:fill="FFFFFF" w:val="clear"/>
            <w:vAlign w:val="bottom"/>
          </w:tcPr>
          <w:p>
            <w:pPr>
              <w:pStyle w:val="TableContents"/>
              <w:spacing w:before="0" w:after="0"/>
              <w:ind w:left="0" w:right="0" w:hanging="0"/>
              <w:jc w:val="left"/>
              <w:rPr>
                <w:rFonts w:ascii="helvetica" w:hAnsi="helvetica"/>
                <w:sz w:val="20"/>
              </w:rPr>
            </w:pPr>
            <w:r>
              <w:rPr>
                <w:rFonts w:ascii="helvetica" w:hAnsi="helvetica"/>
                <w:sz w:val="20"/>
              </w:rPr>
              <w:t>Prepaid expenses and other current assets</w:t>
            </w:r>
          </w:p>
        </w:tc>
        <w:tc>
          <w:tcPr>
            <w:tcW w:w="106" w:type="dxa"/>
            <w:tcBorders/>
            <w:shd w:fill="FFFFFF" w:val="clear"/>
            <w:vAlign w:val="bottom"/>
          </w:tcPr>
          <w:p>
            <w:pPr>
              <w:pStyle w:val="TableContents"/>
              <w:spacing w:before="0" w:after="283"/>
              <w:rPr/>
            </w:pPr>
            <w:r>
              <w:rPr/>
              <w:t> </w:t>
            </w:r>
          </w:p>
        </w:tc>
        <w:tc>
          <w:tcPr>
            <w:tcW w:w="126"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112" w:type="dxa"/>
            <w:tcBorders>
              <w:bottom w:val="single" w:sz="12" w:space="0" w:color="000000"/>
            </w:tcBorders>
            <w:shd w:fill="FFFF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14,797</w:t>
            </w:r>
          </w:p>
        </w:tc>
        <w:tc>
          <w:tcPr>
            <w:tcW w:w="112" w:type="dxa"/>
            <w:tcBorders/>
            <w:shd w:fill="FFFFFF" w:val="clear"/>
            <w:vAlign w:val="bottom"/>
          </w:tcPr>
          <w:p>
            <w:pPr>
              <w:pStyle w:val="TableContents"/>
              <w:spacing w:before="0" w:after="283"/>
              <w:jc w:val="left"/>
              <w:rPr/>
            </w:pPr>
            <w:r>
              <w:rPr/>
              <w:t> </w:t>
            </w:r>
          </w:p>
        </w:tc>
        <w:tc>
          <w:tcPr>
            <w:tcW w:w="106" w:type="dxa"/>
            <w:tcBorders/>
            <w:shd w:fill="FFFFFF" w:val="clear"/>
            <w:vAlign w:val="bottom"/>
          </w:tcPr>
          <w:p>
            <w:pPr>
              <w:pStyle w:val="TableContents"/>
              <w:spacing w:before="0" w:after="283"/>
              <w:rPr/>
            </w:pPr>
            <w:r>
              <w:rPr/>
              <w:t> </w:t>
            </w:r>
          </w:p>
        </w:tc>
        <w:tc>
          <w:tcPr>
            <w:tcW w:w="126"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112" w:type="dxa"/>
            <w:tcBorders>
              <w:bottom w:val="single" w:sz="12" w:space="0" w:color="000000"/>
            </w:tcBorders>
            <w:shd w:fill="FFFF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60,492</w:t>
            </w:r>
          </w:p>
        </w:tc>
        <w:tc>
          <w:tcPr>
            <w:tcW w:w="124" w:type="dxa"/>
            <w:tcBorders/>
            <w:shd w:fill="FFFFFF" w:val="clear"/>
            <w:vAlign w:val="bottom"/>
          </w:tcPr>
          <w:p>
            <w:pPr>
              <w:pStyle w:val="TableContents"/>
              <w:spacing w:before="0" w:after="283"/>
              <w:jc w:val="left"/>
              <w:rPr/>
            </w:pPr>
            <w:r>
              <w:rPr/>
              <w:t> </w:t>
            </w:r>
          </w:p>
        </w:tc>
      </w:tr>
      <w:tr>
        <w:trPr/>
        <w:tc>
          <w:tcPr>
            <w:tcW w:w="7281" w:type="dxa"/>
            <w:tcBorders/>
            <w:shd w:fill="CCEEFF" w:val="clear"/>
            <w:vAlign w:val="bottom"/>
          </w:tcPr>
          <w:p>
            <w:pPr>
              <w:pStyle w:val="TableContents"/>
              <w:spacing w:before="0" w:after="0"/>
              <w:ind w:left="0" w:right="0" w:hanging="0"/>
              <w:jc w:val="left"/>
              <w:rPr>
                <w:rFonts w:ascii="helvetica" w:hAnsi="helvetica"/>
                <w:sz w:val="20"/>
              </w:rPr>
            </w:pPr>
            <w:r>
              <w:rPr>
                <w:rFonts w:ascii="helvetica" w:hAnsi="helvetica"/>
                <w:sz w:val="20"/>
              </w:rPr>
              <w:t>Total current assets</w:t>
            </w:r>
          </w:p>
        </w:tc>
        <w:tc>
          <w:tcPr>
            <w:tcW w:w="106"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jc w:val="left"/>
              <w:rPr/>
            </w:pPr>
            <w:r>
              <w:rPr/>
              <w:t> </w:t>
            </w:r>
          </w:p>
        </w:tc>
        <w:tc>
          <w:tcPr>
            <w:tcW w:w="1112"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160,957</w:t>
            </w:r>
          </w:p>
        </w:tc>
        <w:tc>
          <w:tcPr>
            <w:tcW w:w="112" w:type="dxa"/>
            <w:tcBorders/>
            <w:shd w:fill="CCEEFF" w:val="clear"/>
            <w:vAlign w:val="bottom"/>
          </w:tcPr>
          <w:p>
            <w:pPr>
              <w:pStyle w:val="TableContents"/>
              <w:spacing w:before="0" w:after="283"/>
              <w:jc w:val="left"/>
              <w:rPr/>
            </w:pPr>
            <w:r>
              <w:rPr/>
              <w:t> </w:t>
            </w:r>
          </w:p>
        </w:tc>
        <w:tc>
          <w:tcPr>
            <w:tcW w:w="106"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jc w:val="left"/>
              <w:rPr/>
            </w:pPr>
            <w:r>
              <w:rPr/>
              <w:t> </w:t>
            </w:r>
          </w:p>
        </w:tc>
        <w:tc>
          <w:tcPr>
            <w:tcW w:w="1112"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351,954</w:t>
            </w:r>
          </w:p>
        </w:tc>
        <w:tc>
          <w:tcPr>
            <w:tcW w:w="124" w:type="dxa"/>
            <w:tcBorders/>
            <w:shd w:fill="CCEEFF" w:val="clear"/>
            <w:vAlign w:val="bottom"/>
          </w:tcPr>
          <w:p>
            <w:pPr>
              <w:pStyle w:val="TableContents"/>
              <w:spacing w:before="0" w:after="283"/>
              <w:jc w:val="left"/>
              <w:rPr/>
            </w:pPr>
            <w:r>
              <w:rPr/>
              <w:t> </w:t>
            </w:r>
          </w:p>
        </w:tc>
      </w:tr>
      <w:tr>
        <w:trPr/>
        <w:tc>
          <w:tcPr>
            <w:tcW w:w="7281" w:type="dxa"/>
            <w:tcBorders/>
            <w:shd w:fill="FFFFFF" w:val="clear"/>
            <w:vAlign w:val="bottom"/>
          </w:tcPr>
          <w:p>
            <w:pPr>
              <w:pStyle w:val="TableContents"/>
              <w:spacing w:before="0" w:after="283"/>
              <w:rPr/>
            </w:pPr>
            <w:r>
              <w:rPr/>
              <w:t xml:space="preserve">  </w:t>
            </w:r>
          </w:p>
        </w:tc>
        <w:tc>
          <w:tcPr>
            <w:tcW w:w="106" w:type="dxa"/>
            <w:tcBorders/>
            <w:shd w:fill="FFFFFF" w:val="clear"/>
            <w:vAlign w:val="bottom"/>
          </w:tcPr>
          <w:p>
            <w:pPr>
              <w:pStyle w:val="TableContents"/>
              <w:spacing w:before="0" w:after="283"/>
              <w:rPr/>
            </w:pPr>
            <w:r>
              <w:rPr/>
              <w:t> </w:t>
            </w:r>
          </w:p>
        </w:tc>
        <w:tc>
          <w:tcPr>
            <w:tcW w:w="126" w:type="dxa"/>
            <w:tcBorders/>
            <w:shd w:fill="FFFFFF" w:val="clear"/>
            <w:vAlign w:val="bottom"/>
          </w:tcPr>
          <w:p>
            <w:pPr>
              <w:pStyle w:val="TableContents"/>
              <w:spacing w:before="0" w:after="283"/>
              <w:jc w:val="left"/>
              <w:rPr/>
            </w:pPr>
            <w:r>
              <w:rPr/>
              <w:t> </w:t>
            </w:r>
          </w:p>
        </w:tc>
        <w:tc>
          <w:tcPr>
            <w:tcW w:w="1112" w:type="dxa"/>
            <w:tcBorders/>
            <w:shd w:fill="FFFFFF" w:val="clear"/>
            <w:vAlign w:val="bottom"/>
          </w:tcPr>
          <w:p>
            <w:pPr>
              <w:pStyle w:val="TableContents"/>
              <w:spacing w:before="0" w:after="283"/>
              <w:jc w:val="right"/>
              <w:rPr/>
            </w:pPr>
            <w:r>
              <w:rPr/>
              <w:t> </w:t>
            </w:r>
          </w:p>
        </w:tc>
        <w:tc>
          <w:tcPr>
            <w:tcW w:w="112" w:type="dxa"/>
            <w:tcBorders/>
            <w:shd w:fill="FFFFFF" w:val="clear"/>
            <w:vAlign w:val="bottom"/>
          </w:tcPr>
          <w:p>
            <w:pPr>
              <w:pStyle w:val="TableContents"/>
              <w:spacing w:before="0" w:after="283"/>
              <w:jc w:val="left"/>
              <w:rPr/>
            </w:pPr>
            <w:r>
              <w:rPr/>
              <w:t> </w:t>
            </w:r>
          </w:p>
        </w:tc>
        <w:tc>
          <w:tcPr>
            <w:tcW w:w="106" w:type="dxa"/>
            <w:tcBorders/>
            <w:shd w:fill="FFFFFF" w:val="clear"/>
            <w:vAlign w:val="bottom"/>
          </w:tcPr>
          <w:p>
            <w:pPr>
              <w:pStyle w:val="TableContents"/>
              <w:spacing w:before="0" w:after="283"/>
              <w:rPr/>
            </w:pPr>
            <w:r>
              <w:rPr/>
              <w:t> </w:t>
            </w:r>
          </w:p>
        </w:tc>
        <w:tc>
          <w:tcPr>
            <w:tcW w:w="126" w:type="dxa"/>
            <w:tcBorders/>
            <w:shd w:fill="FFFFFF" w:val="clear"/>
            <w:vAlign w:val="bottom"/>
          </w:tcPr>
          <w:p>
            <w:pPr>
              <w:pStyle w:val="TableContents"/>
              <w:spacing w:before="0" w:after="283"/>
              <w:jc w:val="left"/>
              <w:rPr/>
            </w:pPr>
            <w:r>
              <w:rPr/>
              <w:t> </w:t>
            </w:r>
          </w:p>
        </w:tc>
        <w:tc>
          <w:tcPr>
            <w:tcW w:w="1112" w:type="dxa"/>
            <w:tcBorders/>
            <w:shd w:fill="FFFFFF" w:val="clear"/>
            <w:vAlign w:val="bottom"/>
          </w:tcPr>
          <w:p>
            <w:pPr>
              <w:pStyle w:val="TableContents"/>
              <w:spacing w:before="0" w:after="283"/>
              <w:jc w:val="right"/>
              <w:rPr/>
            </w:pPr>
            <w:r>
              <w:rPr/>
              <w:t> </w:t>
            </w:r>
          </w:p>
        </w:tc>
        <w:tc>
          <w:tcPr>
            <w:tcW w:w="124" w:type="dxa"/>
            <w:tcBorders/>
            <w:shd w:fill="FFFFFF" w:val="clear"/>
            <w:vAlign w:val="bottom"/>
          </w:tcPr>
          <w:p>
            <w:pPr>
              <w:pStyle w:val="TableContents"/>
              <w:spacing w:before="0" w:after="283"/>
              <w:jc w:val="left"/>
              <w:rPr/>
            </w:pPr>
            <w:r>
              <w:rPr/>
              <w:t> </w:t>
            </w:r>
          </w:p>
        </w:tc>
      </w:tr>
      <w:tr>
        <w:trPr/>
        <w:tc>
          <w:tcPr>
            <w:tcW w:w="7281" w:type="dxa"/>
            <w:tcBorders/>
            <w:shd w:fill="CCEEFF" w:val="clear"/>
            <w:vAlign w:val="bottom"/>
          </w:tcPr>
          <w:p>
            <w:pPr>
              <w:pStyle w:val="TableContents"/>
              <w:spacing w:before="0" w:after="0"/>
              <w:ind w:left="0" w:right="0" w:hanging="0"/>
              <w:jc w:val="left"/>
              <w:rPr>
                <w:rFonts w:ascii="helvetica" w:hAnsi="helvetica"/>
                <w:sz w:val="20"/>
              </w:rPr>
            </w:pPr>
            <w:r>
              <w:rPr>
                <w:rFonts w:ascii="helvetica" w:hAnsi="helvetica"/>
                <w:sz w:val="20"/>
              </w:rPr>
              <w:t>Computer equipment, net</w:t>
            </w:r>
          </w:p>
        </w:tc>
        <w:tc>
          <w:tcPr>
            <w:tcW w:w="106"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jc w:val="left"/>
              <w:rPr/>
            </w:pPr>
            <w:r>
              <w:rPr/>
              <w:t> </w:t>
            </w:r>
          </w:p>
        </w:tc>
        <w:tc>
          <w:tcPr>
            <w:tcW w:w="1112"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w:t>
            </w:r>
          </w:p>
        </w:tc>
        <w:tc>
          <w:tcPr>
            <w:tcW w:w="112" w:type="dxa"/>
            <w:tcBorders/>
            <w:shd w:fill="CCEEFF" w:val="clear"/>
            <w:vAlign w:val="bottom"/>
          </w:tcPr>
          <w:p>
            <w:pPr>
              <w:pStyle w:val="TableContents"/>
              <w:spacing w:before="0" w:after="283"/>
              <w:jc w:val="left"/>
              <w:rPr/>
            </w:pPr>
            <w:r>
              <w:rPr/>
              <w:t> </w:t>
            </w:r>
          </w:p>
        </w:tc>
        <w:tc>
          <w:tcPr>
            <w:tcW w:w="106"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jc w:val="left"/>
              <w:rPr/>
            </w:pPr>
            <w:r>
              <w:rPr/>
              <w:t> </w:t>
            </w:r>
          </w:p>
        </w:tc>
        <w:tc>
          <w:tcPr>
            <w:tcW w:w="1112"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338</w:t>
            </w:r>
          </w:p>
        </w:tc>
        <w:tc>
          <w:tcPr>
            <w:tcW w:w="124" w:type="dxa"/>
            <w:tcBorders/>
            <w:shd w:fill="CCEEFF" w:val="clear"/>
            <w:vAlign w:val="bottom"/>
          </w:tcPr>
          <w:p>
            <w:pPr>
              <w:pStyle w:val="TableContents"/>
              <w:spacing w:before="0" w:after="283"/>
              <w:jc w:val="left"/>
              <w:rPr/>
            </w:pPr>
            <w:r>
              <w:rPr/>
              <w:t> </w:t>
            </w:r>
          </w:p>
        </w:tc>
      </w:tr>
      <w:tr>
        <w:trPr/>
        <w:tc>
          <w:tcPr>
            <w:tcW w:w="7281" w:type="dxa"/>
            <w:tcBorders/>
            <w:shd w:fill="FFFFFF" w:val="clear"/>
            <w:vAlign w:val="bottom"/>
          </w:tcPr>
          <w:p>
            <w:pPr>
              <w:pStyle w:val="TableContents"/>
              <w:spacing w:before="0" w:after="283"/>
              <w:rPr/>
            </w:pPr>
            <w:r>
              <w:rPr/>
              <w:t xml:space="preserve">  </w:t>
            </w:r>
          </w:p>
        </w:tc>
        <w:tc>
          <w:tcPr>
            <w:tcW w:w="106" w:type="dxa"/>
            <w:tcBorders/>
            <w:shd w:fill="FFFFFF" w:val="clear"/>
            <w:vAlign w:val="bottom"/>
          </w:tcPr>
          <w:p>
            <w:pPr>
              <w:pStyle w:val="TableContents"/>
              <w:spacing w:before="0" w:after="283"/>
              <w:rPr/>
            </w:pPr>
            <w:r>
              <w:rPr/>
              <w:t> </w:t>
            </w:r>
          </w:p>
        </w:tc>
        <w:tc>
          <w:tcPr>
            <w:tcW w:w="126"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112" w:type="dxa"/>
            <w:tcBorders>
              <w:bottom w:val="single" w:sz="12" w:space="0" w:color="000000"/>
            </w:tcBorders>
            <w:shd w:fill="FFFFFF" w:val="clear"/>
            <w:tcMar>
              <w:bottom w:w="28" w:type="dxa"/>
            </w:tcMar>
            <w:vAlign w:val="bottom"/>
          </w:tcPr>
          <w:p>
            <w:pPr>
              <w:pStyle w:val="TableContents"/>
              <w:spacing w:before="0" w:after="283"/>
              <w:jc w:val="right"/>
              <w:rPr/>
            </w:pPr>
            <w:r>
              <w:rPr/>
              <w:t> </w:t>
            </w:r>
          </w:p>
        </w:tc>
        <w:tc>
          <w:tcPr>
            <w:tcW w:w="112" w:type="dxa"/>
            <w:tcBorders/>
            <w:shd w:fill="FFFFFF" w:val="clear"/>
            <w:vAlign w:val="bottom"/>
          </w:tcPr>
          <w:p>
            <w:pPr>
              <w:pStyle w:val="TableContents"/>
              <w:spacing w:before="0" w:after="283"/>
              <w:jc w:val="left"/>
              <w:rPr/>
            </w:pPr>
            <w:r>
              <w:rPr/>
              <w:t> </w:t>
            </w:r>
          </w:p>
        </w:tc>
        <w:tc>
          <w:tcPr>
            <w:tcW w:w="106" w:type="dxa"/>
            <w:tcBorders/>
            <w:shd w:fill="FFFFFF" w:val="clear"/>
            <w:vAlign w:val="bottom"/>
          </w:tcPr>
          <w:p>
            <w:pPr>
              <w:pStyle w:val="TableContents"/>
              <w:spacing w:before="0" w:after="283"/>
              <w:rPr/>
            </w:pPr>
            <w:r>
              <w:rPr/>
              <w:t> </w:t>
            </w:r>
          </w:p>
        </w:tc>
        <w:tc>
          <w:tcPr>
            <w:tcW w:w="126"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112" w:type="dxa"/>
            <w:tcBorders>
              <w:bottom w:val="single" w:sz="12" w:space="0" w:color="000000"/>
            </w:tcBorders>
            <w:shd w:fill="FFFFFF" w:val="clear"/>
            <w:tcMar>
              <w:bottom w:w="28" w:type="dxa"/>
            </w:tcMar>
            <w:vAlign w:val="bottom"/>
          </w:tcPr>
          <w:p>
            <w:pPr>
              <w:pStyle w:val="TableContents"/>
              <w:spacing w:before="0" w:after="283"/>
              <w:jc w:val="right"/>
              <w:rPr/>
            </w:pPr>
            <w:r>
              <w:rPr/>
              <w:t> </w:t>
            </w:r>
          </w:p>
        </w:tc>
        <w:tc>
          <w:tcPr>
            <w:tcW w:w="124" w:type="dxa"/>
            <w:tcBorders/>
            <w:shd w:fill="FFFFFF" w:val="clear"/>
            <w:vAlign w:val="bottom"/>
          </w:tcPr>
          <w:p>
            <w:pPr>
              <w:pStyle w:val="TableContents"/>
              <w:spacing w:before="0" w:after="283"/>
              <w:jc w:val="left"/>
              <w:rPr/>
            </w:pPr>
            <w:r>
              <w:rPr/>
              <w:t> </w:t>
            </w:r>
          </w:p>
        </w:tc>
      </w:tr>
      <w:tr>
        <w:trPr/>
        <w:tc>
          <w:tcPr>
            <w:tcW w:w="7281" w:type="dxa"/>
            <w:tcBorders/>
            <w:shd w:fill="CCEEFF" w:val="clear"/>
            <w:vAlign w:val="bottom"/>
          </w:tcPr>
          <w:p>
            <w:pPr>
              <w:pStyle w:val="TableContents"/>
              <w:spacing w:before="0" w:after="0"/>
              <w:ind w:left="0" w:right="0" w:hanging="0"/>
              <w:jc w:val="left"/>
              <w:rPr>
                <w:rFonts w:ascii="helvetica" w:hAnsi="helvetica"/>
                <w:sz w:val="20"/>
              </w:rPr>
            </w:pPr>
            <w:r>
              <w:rPr>
                <w:rFonts w:ascii="helvetica" w:hAnsi="helvetica"/>
                <w:sz w:val="20"/>
              </w:rPr>
              <w:t>TOTAL ASSETS</w:t>
            </w:r>
          </w:p>
        </w:tc>
        <w:tc>
          <w:tcPr>
            <w:tcW w:w="106" w:type="dxa"/>
            <w:tcBorders/>
            <w:shd w:fill="CCEEFF" w:val="clear"/>
            <w:vAlign w:val="bottom"/>
          </w:tcPr>
          <w:p>
            <w:pPr>
              <w:pStyle w:val="TableContents"/>
              <w:spacing w:before="0" w:after="283"/>
              <w:rPr/>
            </w:pPr>
            <w:r>
              <w:rPr/>
              <w:t> </w:t>
            </w:r>
          </w:p>
        </w:tc>
        <w:tc>
          <w:tcPr>
            <w:tcW w:w="126" w:type="dxa"/>
            <w:tcBorders>
              <w:bottom w:val="double" w:sz="8" w:space="0" w:color="000000"/>
            </w:tcBorders>
            <w:shd w:fill="CCEEFF" w:val="clear"/>
            <w:tcMar>
              <w:bottom w:w="28" w:type="dxa"/>
            </w:tcMar>
            <w:vAlign w:val="bottom"/>
          </w:tcPr>
          <w:p>
            <w:pPr>
              <w:pStyle w:val="TableContents"/>
              <w:spacing w:before="0" w:after="283"/>
              <w:jc w:val="left"/>
              <w:rPr>
                <w:rFonts w:ascii="helvetica" w:hAnsi="helvetica"/>
                <w:sz w:val="20"/>
              </w:rPr>
            </w:pPr>
            <w:r>
              <w:rPr>
                <w:rFonts w:ascii="helvetica" w:hAnsi="helvetica"/>
                <w:sz w:val="20"/>
              </w:rPr>
              <w:t>$</w:t>
            </w:r>
          </w:p>
        </w:tc>
        <w:tc>
          <w:tcPr>
            <w:tcW w:w="1112" w:type="dxa"/>
            <w:tcBorders>
              <w:bottom w:val="double" w:sz="8" w:space="0" w:color="000000"/>
            </w:tcBorders>
            <w:shd w:fill="CCEE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160,957</w:t>
            </w:r>
          </w:p>
        </w:tc>
        <w:tc>
          <w:tcPr>
            <w:tcW w:w="112" w:type="dxa"/>
            <w:tcBorders/>
            <w:shd w:fill="CCEEFF" w:val="clear"/>
            <w:vAlign w:val="bottom"/>
          </w:tcPr>
          <w:p>
            <w:pPr>
              <w:pStyle w:val="TableContents"/>
              <w:spacing w:before="0" w:after="283"/>
              <w:jc w:val="left"/>
              <w:rPr/>
            </w:pPr>
            <w:r>
              <w:rPr/>
              <w:t> </w:t>
            </w:r>
          </w:p>
        </w:tc>
        <w:tc>
          <w:tcPr>
            <w:tcW w:w="106" w:type="dxa"/>
            <w:tcBorders/>
            <w:shd w:fill="CCEEFF" w:val="clear"/>
            <w:vAlign w:val="bottom"/>
          </w:tcPr>
          <w:p>
            <w:pPr>
              <w:pStyle w:val="TableContents"/>
              <w:spacing w:before="0" w:after="283"/>
              <w:rPr/>
            </w:pPr>
            <w:r>
              <w:rPr/>
              <w:t> </w:t>
            </w:r>
          </w:p>
        </w:tc>
        <w:tc>
          <w:tcPr>
            <w:tcW w:w="126" w:type="dxa"/>
            <w:tcBorders>
              <w:bottom w:val="double" w:sz="8" w:space="0" w:color="000000"/>
            </w:tcBorders>
            <w:shd w:fill="CCEEFF" w:val="clear"/>
            <w:tcMar>
              <w:bottom w:w="28" w:type="dxa"/>
            </w:tcMar>
            <w:vAlign w:val="bottom"/>
          </w:tcPr>
          <w:p>
            <w:pPr>
              <w:pStyle w:val="TableContents"/>
              <w:spacing w:before="0" w:after="283"/>
              <w:jc w:val="left"/>
              <w:rPr>
                <w:rFonts w:ascii="helvetica" w:hAnsi="helvetica"/>
                <w:sz w:val="20"/>
              </w:rPr>
            </w:pPr>
            <w:r>
              <w:rPr>
                <w:rFonts w:ascii="helvetica" w:hAnsi="helvetica"/>
                <w:sz w:val="20"/>
              </w:rPr>
              <w:t>$</w:t>
            </w:r>
          </w:p>
        </w:tc>
        <w:tc>
          <w:tcPr>
            <w:tcW w:w="1112" w:type="dxa"/>
            <w:tcBorders>
              <w:bottom w:val="double" w:sz="8" w:space="0" w:color="000000"/>
            </w:tcBorders>
            <w:shd w:fill="CCEE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352,292</w:t>
            </w:r>
          </w:p>
        </w:tc>
        <w:tc>
          <w:tcPr>
            <w:tcW w:w="124" w:type="dxa"/>
            <w:tcBorders/>
            <w:shd w:fill="CCEEFF" w:val="clear"/>
            <w:vAlign w:val="bottom"/>
          </w:tcPr>
          <w:p>
            <w:pPr>
              <w:pStyle w:val="TableContents"/>
              <w:spacing w:before="0" w:after="283"/>
              <w:jc w:val="left"/>
              <w:rPr/>
            </w:pPr>
            <w:r>
              <w:rPr/>
              <w:t> </w:t>
            </w:r>
          </w:p>
        </w:tc>
      </w:tr>
      <w:tr>
        <w:trPr/>
        <w:tc>
          <w:tcPr>
            <w:tcW w:w="7281" w:type="dxa"/>
            <w:tcBorders/>
            <w:shd w:fill="FFFFFF" w:val="clear"/>
            <w:vAlign w:val="bottom"/>
          </w:tcPr>
          <w:p>
            <w:pPr>
              <w:pStyle w:val="TableContents"/>
              <w:spacing w:before="0" w:after="283"/>
              <w:rPr/>
            </w:pPr>
            <w:r>
              <w:rPr/>
              <w:t xml:space="preserve">  </w:t>
            </w:r>
          </w:p>
        </w:tc>
        <w:tc>
          <w:tcPr>
            <w:tcW w:w="106" w:type="dxa"/>
            <w:tcBorders/>
            <w:shd w:fill="FFFFFF" w:val="clear"/>
            <w:vAlign w:val="bottom"/>
          </w:tcPr>
          <w:p>
            <w:pPr>
              <w:pStyle w:val="TableContents"/>
              <w:spacing w:before="0" w:after="283"/>
              <w:rPr/>
            </w:pPr>
            <w:r>
              <w:rPr/>
              <w:t> </w:t>
            </w:r>
          </w:p>
        </w:tc>
        <w:tc>
          <w:tcPr>
            <w:tcW w:w="126" w:type="dxa"/>
            <w:tcBorders/>
            <w:shd w:fill="FFFFFF" w:val="clear"/>
            <w:vAlign w:val="bottom"/>
          </w:tcPr>
          <w:p>
            <w:pPr>
              <w:pStyle w:val="TableContents"/>
              <w:spacing w:before="0" w:after="283"/>
              <w:jc w:val="left"/>
              <w:rPr/>
            </w:pPr>
            <w:r>
              <w:rPr/>
              <w:t> </w:t>
            </w:r>
          </w:p>
        </w:tc>
        <w:tc>
          <w:tcPr>
            <w:tcW w:w="1112" w:type="dxa"/>
            <w:tcBorders/>
            <w:shd w:fill="FFFFFF" w:val="clear"/>
            <w:vAlign w:val="bottom"/>
          </w:tcPr>
          <w:p>
            <w:pPr>
              <w:pStyle w:val="TableContents"/>
              <w:spacing w:before="0" w:after="283"/>
              <w:jc w:val="right"/>
              <w:rPr/>
            </w:pPr>
            <w:r>
              <w:rPr/>
              <w:t> </w:t>
            </w:r>
          </w:p>
        </w:tc>
        <w:tc>
          <w:tcPr>
            <w:tcW w:w="112" w:type="dxa"/>
            <w:tcBorders/>
            <w:shd w:fill="FFFFFF" w:val="clear"/>
            <w:vAlign w:val="bottom"/>
          </w:tcPr>
          <w:p>
            <w:pPr>
              <w:pStyle w:val="TableContents"/>
              <w:spacing w:before="0" w:after="283"/>
              <w:jc w:val="left"/>
              <w:rPr/>
            </w:pPr>
            <w:r>
              <w:rPr/>
              <w:t> </w:t>
            </w:r>
          </w:p>
        </w:tc>
        <w:tc>
          <w:tcPr>
            <w:tcW w:w="106" w:type="dxa"/>
            <w:tcBorders/>
            <w:shd w:fill="FFFFFF" w:val="clear"/>
            <w:vAlign w:val="bottom"/>
          </w:tcPr>
          <w:p>
            <w:pPr>
              <w:pStyle w:val="TableContents"/>
              <w:spacing w:before="0" w:after="283"/>
              <w:rPr/>
            </w:pPr>
            <w:r>
              <w:rPr/>
              <w:t> </w:t>
            </w:r>
          </w:p>
        </w:tc>
        <w:tc>
          <w:tcPr>
            <w:tcW w:w="126" w:type="dxa"/>
            <w:tcBorders/>
            <w:shd w:fill="FFFFFF" w:val="clear"/>
            <w:vAlign w:val="bottom"/>
          </w:tcPr>
          <w:p>
            <w:pPr>
              <w:pStyle w:val="TableContents"/>
              <w:spacing w:before="0" w:after="283"/>
              <w:jc w:val="left"/>
              <w:rPr/>
            </w:pPr>
            <w:r>
              <w:rPr/>
              <w:t> </w:t>
            </w:r>
          </w:p>
        </w:tc>
        <w:tc>
          <w:tcPr>
            <w:tcW w:w="1112" w:type="dxa"/>
            <w:tcBorders/>
            <w:shd w:fill="FFFFFF" w:val="clear"/>
            <w:vAlign w:val="bottom"/>
          </w:tcPr>
          <w:p>
            <w:pPr>
              <w:pStyle w:val="TableContents"/>
              <w:spacing w:before="0" w:after="283"/>
              <w:jc w:val="right"/>
              <w:rPr/>
            </w:pPr>
            <w:r>
              <w:rPr/>
              <w:t> </w:t>
            </w:r>
          </w:p>
        </w:tc>
        <w:tc>
          <w:tcPr>
            <w:tcW w:w="124" w:type="dxa"/>
            <w:tcBorders/>
            <w:shd w:fill="FFFFFF" w:val="clear"/>
            <w:vAlign w:val="bottom"/>
          </w:tcPr>
          <w:p>
            <w:pPr>
              <w:pStyle w:val="TableContents"/>
              <w:spacing w:before="0" w:after="283"/>
              <w:jc w:val="left"/>
              <w:rPr/>
            </w:pPr>
            <w:r>
              <w:rPr/>
              <w:t> </w:t>
            </w:r>
          </w:p>
        </w:tc>
      </w:tr>
      <w:tr>
        <w:trPr/>
        <w:tc>
          <w:tcPr>
            <w:tcW w:w="7281" w:type="dxa"/>
            <w:tcBorders/>
            <w:shd w:fill="FFFFFF" w:val="clear"/>
            <w:vAlign w:val="bottom"/>
          </w:tcPr>
          <w:p>
            <w:pPr>
              <w:pStyle w:val="TableContents"/>
              <w:spacing w:before="0" w:after="0"/>
              <w:ind w:left="0" w:right="0" w:hanging="0"/>
              <w:jc w:val="left"/>
              <w:rPr>
                <w:rFonts w:ascii="helvetica" w:hAnsi="helvetica"/>
                <w:b/>
                <w:sz w:val="20"/>
              </w:rPr>
            </w:pPr>
            <w:r>
              <w:rPr>
                <w:rFonts w:ascii="helvetica" w:hAnsi="helvetica"/>
                <w:b/>
                <w:sz w:val="20"/>
              </w:rPr>
              <w:t>LIABILITIES AND STOCKHOLDERS' (DEFICIT)</w:t>
            </w:r>
          </w:p>
        </w:tc>
        <w:tc>
          <w:tcPr>
            <w:tcW w:w="106" w:type="dxa"/>
            <w:tcBorders/>
            <w:shd w:fill="FFFFFF" w:val="clear"/>
            <w:vAlign w:val="bottom"/>
          </w:tcPr>
          <w:p>
            <w:pPr>
              <w:pStyle w:val="TableContents"/>
              <w:spacing w:before="0" w:after="283"/>
              <w:rPr/>
            </w:pPr>
            <w:r>
              <w:rPr/>
              <w:t> </w:t>
            </w:r>
          </w:p>
        </w:tc>
        <w:tc>
          <w:tcPr>
            <w:tcW w:w="126" w:type="dxa"/>
            <w:tcBorders/>
            <w:shd w:fill="FFFFFF" w:val="clear"/>
            <w:vAlign w:val="bottom"/>
          </w:tcPr>
          <w:p>
            <w:pPr>
              <w:pStyle w:val="TableContents"/>
              <w:spacing w:before="0" w:after="283"/>
              <w:jc w:val="left"/>
              <w:rPr/>
            </w:pPr>
            <w:r>
              <w:rPr/>
              <w:t> </w:t>
            </w:r>
          </w:p>
        </w:tc>
        <w:tc>
          <w:tcPr>
            <w:tcW w:w="1112" w:type="dxa"/>
            <w:tcBorders/>
            <w:shd w:fill="FFFFFF" w:val="clear"/>
            <w:vAlign w:val="bottom"/>
          </w:tcPr>
          <w:p>
            <w:pPr>
              <w:pStyle w:val="TableContents"/>
              <w:spacing w:before="0" w:after="283"/>
              <w:jc w:val="right"/>
              <w:rPr/>
            </w:pPr>
            <w:r>
              <w:rPr/>
              <w:t> </w:t>
            </w:r>
          </w:p>
        </w:tc>
        <w:tc>
          <w:tcPr>
            <w:tcW w:w="112" w:type="dxa"/>
            <w:tcBorders/>
            <w:shd w:fill="FFFFFF" w:val="clear"/>
            <w:vAlign w:val="bottom"/>
          </w:tcPr>
          <w:p>
            <w:pPr>
              <w:pStyle w:val="TableContents"/>
              <w:spacing w:before="0" w:after="283"/>
              <w:jc w:val="left"/>
              <w:rPr/>
            </w:pPr>
            <w:r>
              <w:rPr/>
              <w:t> </w:t>
            </w:r>
          </w:p>
        </w:tc>
        <w:tc>
          <w:tcPr>
            <w:tcW w:w="106" w:type="dxa"/>
            <w:tcBorders/>
            <w:shd w:fill="FFFFFF" w:val="clear"/>
            <w:vAlign w:val="bottom"/>
          </w:tcPr>
          <w:p>
            <w:pPr>
              <w:pStyle w:val="TableContents"/>
              <w:spacing w:before="0" w:after="283"/>
              <w:rPr/>
            </w:pPr>
            <w:r>
              <w:rPr/>
              <w:t> </w:t>
            </w:r>
          </w:p>
        </w:tc>
        <w:tc>
          <w:tcPr>
            <w:tcW w:w="126" w:type="dxa"/>
            <w:tcBorders/>
            <w:shd w:fill="FFFFFF" w:val="clear"/>
            <w:vAlign w:val="bottom"/>
          </w:tcPr>
          <w:p>
            <w:pPr>
              <w:pStyle w:val="TableContents"/>
              <w:spacing w:before="0" w:after="283"/>
              <w:jc w:val="left"/>
              <w:rPr/>
            </w:pPr>
            <w:r>
              <w:rPr/>
              <w:t> </w:t>
            </w:r>
          </w:p>
        </w:tc>
        <w:tc>
          <w:tcPr>
            <w:tcW w:w="1112" w:type="dxa"/>
            <w:tcBorders/>
            <w:shd w:fill="FFFFFF" w:val="clear"/>
            <w:vAlign w:val="bottom"/>
          </w:tcPr>
          <w:p>
            <w:pPr>
              <w:pStyle w:val="TableContents"/>
              <w:spacing w:before="0" w:after="283"/>
              <w:jc w:val="right"/>
              <w:rPr/>
            </w:pPr>
            <w:r>
              <w:rPr/>
              <w:t> </w:t>
            </w:r>
          </w:p>
        </w:tc>
        <w:tc>
          <w:tcPr>
            <w:tcW w:w="124" w:type="dxa"/>
            <w:tcBorders/>
            <w:shd w:fill="FFFFFF" w:val="clear"/>
            <w:vAlign w:val="bottom"/>
          </w:tcPr>
          <w:p>
            <w:pPr>
              <w:pStyle w:val="TableContents"/>
              <w:spacing w:before="0" w:after="283"/>
              <w:jc w:val="left"/>
              <w:rPr/>
            </w:pPr>
            <w:r>
              <w:rPr/>
              <w:t> </w:t>
            </w:r>
          </w:p>
        </w:tc>
      </w:tr>
      <w:tr>
        <w:trPr/>
        <w:tc>
          <w:tcPr>
            <w:tcW w:w="7281" w:type="dxa"/>
            <w:tcBorders/>
            <w:shd w:fill="FFFFFF" w:val="clear"/>
            <w:vAlign w:val="bottom"/>
          </w:tcPr>
          <w:p>
            <w:pPr>
              <w:pStyle w:val="TableContents"/>
              <w:spacing w:before="0" w:after="283"/>
              <w:rPr/>
            </w:pPr>
            <w:r>
              <w:rPr/>
              <w:t xml:space="preserve">  </w:t>
            </w:r>
          </w:p>
        </w:tc>
        <w:tc>
          <w:tcPr>
            <w:tcW w:w="106" w:type="dxa"/>
            <w:tcBorders/>
            <w:shd w:fill="FFFFFF" w:val="clear"/>
            <w:vAlign w:val="bottom"/>
          </w:tcPr>
          <w:p>
            <w:pPr>
              <w:pStyle w:val="TableContents"/>
              <w:spacing w:before="0" w:after="283"/>
              <w:rPr/>
            </w:pPr>
            <w:r>
              <w:rPr/>
              <w:t> </w:t>
            </w:r>
          </w:p>
        </w:tc>
        <w:tc>
          <w:tcPr>
            <w:tcW w:w="126" w:type="dxa"/>
            <w:tcBorders/>
            <w:shd w:fill="FFFFFF" w:val="clear"/>
            <w:vAlign w:val="bottom"/>
          </w:tcPr>
          <w:p>
            <w:pPr>
              <w:pStyle w:val="TableContents"/>
              <w:spacing w:before="0" w:after="283"/>
              <w:jc w:val="left"/>
              <w:rPr/>
            </w:pPr>
            <w:r>
              <w:rPr/>
              <w:t> </w:t>
            </w:r>
          </w:p>
        </w:tc>
        <w:tc>
          <w:tcPr>
            <w:tcW w:w="1112" w:type="dxa"/>
            <w:tcBorders/>
            <w:shd w:fill="FFFFFF" w:val="clear"/>
            <w:vAlign w:val="bottom"/>
          </w:tcPr>
          <w:p>
            <w:pPr>
              <w:pStyle w:val="TableContents"/>
              <w:spacing w:before="0" w:after="283"/>
              <w:jc w:val="right"/>
              <w:rPr/>
            </w:pPr>
            <w:r>
              <w:rPr/>
              <w:t> </w:t>
            </w:r>
          </w:p>
        </w:tc>
        <w:tc>
          <w:tcPr>
            <w:tcW w:w="112" w:type="dxa"/>
            <w:tcBorders/>
            <w:shd w:fill="FFFFFF" w:val="clear"/>
            <w:vAlign w:val="bottom"/>
          </w:tcPr>
          <w:p>
            <w:pPr>
              <w:pStyle w:val="TableContents"/>
              <w:spacing w:before="0" w:after="283"/>
              <w:jc w:val="left"/>
              <w:rPr/>
            </w:pPr>
            <w:r>
              <w:rPr/>
              <w:t> </w:t>
            </w:r>
          </w:p>
        </w:tc>
        <w:tc>
          <w:tcPr>
            <w:tcW w:w="106" w:type="dxa"/>
            <w:tcBorders/>
            <w:shd w:fill="FFFFFF" w:val="clear"/>
            <w:vAlign w:val="bottom"/>
          </w:tcPr>
          <w:p>
            <w:pPr>
              <w:pStyle w:val="TableContents"/>
              <w:spacing w:before="0" w:after="283"/>
              <w:rPr/>
            </w:pPr>
            <w:r>
              <w:rPr/>
              <w:t> </w:t>
            </w:r>
          </w:p>
        </w:tc>
        <w:tc>
          <w:tcPr>
            <w:tcW w:w="126" w:type="dxa"/>
            <w:tcBorders/>
            <w:shd w:fill="FFFFFF" w:val="clear"/>
            <w:vAlign w:val="bottom"/>
          </w:tcPr>
          <w:p>
            <w:pPr>
              <w:pStyle w:val="TableContents"/>
              <w:spacing w:before="0" w:after="283"/>
              <w:jc w:val="left"/>
              <w:rPr/>
            </w:pPr>
            <w:r>
              <w:rPr/>
              <w:t> </w:t>
            </w:r>
          </w:p>
        </w:tc>
        <w:tc>
          <w:tcPr>
            <w:tcW w:w="1112" w:type="dxa"/>
            <w:tcBorders/>
            <w:shd w:fill="FFFFFF" w:val="clear"/>
            <w:vAlign w:val="bottom"/>
          </w:tcPr>
          <w:p>
            <w:pPr>
              <w:pStyle w:val="TableContents"/>
              <w:spacing w:before="0" w:after="283"/>
              <w:jc w:val="right"/>
              <w:rPr/>
            </w:pPr>
            <w:r>
              <w:rPr/>
              <w:t> </w:t>
            </w:r>
          </w:p>
        </w:tc>
        <w:tc>
          <w:tcPr>
            <w:tcW w:w="124" w:type="dxa"/>
            <w:tcBorders/>
            <w:shd w:fill="FFFFFF" w:val="clear"/>
            <w:vAlign w:val="bottom"/>
          </w:tcPr>
          <w:p>
            <w:pPr>
              <w:pStyle w:val="TableContents"/>
              <w:spacing w:before="0" w:after="283"/>
              <w:jc w:val="left"/>
              <w:rPr/>
            </w:pPr>
            <w:r>
              <w:rPr/>
              <w:t> </w:t>
            </w:r>
          </w:p>
        </w:tc>
      </w:tr>
      <w:tr>
        <w:trPr/>
        <w:tc>
          <w:tcPr>
            <w:tcW w:w="7281" w:type="dxa"/>
            <w:tcBorders/>
            <w:shd w:fill="CCEEFF" w:val="clear"/>
            <w:vAlign w:val="bottom"/>
          </w:tcPr>
          <w:p>
            <w:pPr>
              <w:pStyle w:val="TableContents"/>
              <w:spacing w:before="0" w:after="0"/>
              <w:ind w:left="0" w:right="0" w:hanging="0"/>
              <w:jc w:val="left"/>
              <w:rPr>
                <w:rFonts w:ascii="helvetica" w:hAnsi="helvetica"/>
                <w:sz w:val="20"/>
              </w:rPr>
            </w:pPr>
            <w:r>
              <w:rPr>
                <w:rFonts w:ascii="helvetica" w:hAnsi="helvetica"/>
                <w:sz w:val="20"/>
              </w:rPr>
              <w:t>Current liabilities</w:t>
            </w:r>
          </w:p>
        </w:tc>
        <w:tc>
          <w:tcPr>
            <w:tcW w:w="106"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jc w:val="left"/>
              <w:rPr/>
            </w:pPr>
            <w:r>
              <w:rPr/>
              <w:t> </w:t>
            </w:r>
          </w:p>
        </w:tc>
        <w:tc>
          <w:tcPr>
            <w:tcW w:w="1112" w:type="dxa"/>
            <w:tcBorders/>
            <w:shd w:fill="CCEEFF" w:val="clear"/>
            <w:vAlign w:val="bottom"/>
          </w:tcPr>
          <w:p>
            <w:pPr>
              <w:pStyle w:val="TableContents"/>
              <w:spacing w:before="0" w:after="283"/>
              <w:jc w:val="right"/>
              <w:rPr/>
            </w:pPr>
            <w:r>
              <w:rPr/>
              <w:t> </w:t>
            </w:r>
          </w:p>
        </w:tc>
        <w:tc>
          <w:tcPr>
            <w:tcW w:w="112" w:type="dxa"/>
            <w:tcBorders/>
            <w:shd w:fill="CCEEFF" w:val="clear"/>
            <w:vAlign w:val="bottom"/>
          </w:tcPr>
          <w:p>
            <w:pPr>
              <w:pStyle w:val="TableContents"/>
              <w:spacing w:before="0" w:after="283"/>
              <w:jc w:val="left"/>
              <w:rPr/>
            </w:pPr>
            <w:r>
              <w:rPr/>
              <w:t> </w:t>
            </w:r>
          </w:p>
        </w:tc>
        <w:tc>
          <w:tcPr>
            <w:tcW w:w="106"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jc w:val="left"/>
              <w:rPr/>
            </w:pPr>
            <w:r>
              <w:rPr/>
              <w:t> </w:t>
            </w:r>
          </w:p>
        </w:tc>
        <w:tc>
          <w:tcPr>
            <w:tcW w:w="1112" w:type="dxa"/>
            <w:tcBorders/>
            <w:shd w:fill="CCEEFF" w:val="clear"/>
            <w:vAlign w:val="bottom"/>
          </w:tcPr>
          <w:p>
            <w:pPr>
              <w:pStyle w:val="TableContents"/>
              <w:spacing w:before="0" w:after="283"/>
              <w:jc w:val="right"/>
              <w:rPr/>
            </w:pPr>
            <w:r>
              <w:rPr/>
              <w:t> </w:t>
            </w:r>
          </w:p>
        </w:tc>
        <w:tc>
          <w:tcPr>
            <w:tcW w:w="124" w:type="dxa"/>
            <w:tcBorders/>
            <w:shd w:fill="CCEEFF" w:val="clear"/>
            <w:vAlign w:val="bottom"/>
          </w:tcPr>
          <w:p>
            <w:pPr>
              <w:pStyle w:val="TableContents"/>
              <w:spacing w:before="0" w:after="283"/>
              <w:jc w:val="left"/>
              <w:rPr/>
            </w:pPr>
            <w:r>
              <w:rPr/>
              <w:t> </w:t>
            </w:r>
          </w:p>
        </w:tc>
      </w:tr>
      <w:tr>
        <w:trPr/>
        <w:tc>
          <w:tcPr>
            <w:tcW w:w="7281" w:type="dxa"/>
            <w:tcBorders/>
            <w:shd w:fill="FFFFFF" w:val="clear"/>
            <w:vAlign w:val="bottom"/>
          </w:tcPr>
          <w:p>
            <w:pPr>
              <w:pStyle w:val="TableContents"/>
              <w:spacing w:before="0" w:after="0"/>
              <w:ind w:left="0" w:right="0" w:hanging="0"/>
              <w:jc w:val="left"/>
              <w:rPr>
                <w:rFonts w:ascii="helvetica" w:hAnsi="helvetica"/>
                <w:sz w:val="20"/>
              </w:rPr>
            </w:pPr>
            <w:r>
              <w:rPr>
                <w:rFonts w:ascii="helvetica" w:hAnsi="helvetica"/>
                <w:sz w:val="20"/>
              </w:rPr>
              <w:t>Accounts payable</w:t>
            </w:r>
          </w:p>
        </w:tc>
        <w:tc>
          <w:tcPr>
            <w:tcW w:w="106" w:type="dxa"/>
            <w:tcBorders/>
            <w:shd w:fill="FFFFFF" w:val="clear"/>
            <w:vAlign w:val="bottom"/>
          </w:tcPr>
          <w:p>
            <w:pPr>
              <w:pStyle w:val="TableContents"/>
              <w:spacing w:before="0" w:after="283"/>
              <w:rPr/>
            </w:pPr>
            <w:r>
              <w:rPr/>
              <w:t> </w:t>
            </w:r>
          </w:p>
        </w:tc>
        <w:tc>
          <w:tcPr>
            <w:tcW w:w="126" w:type="dxa"/>
            <w:tcBorders/>
            <w:shd w:fill="FFFFFF" w:val="clear"/>
            <w:vAlign w:val="bottom"/>
          </w:tcPr>
          <w:p>
            <w:pPr>
              <w:pStyle w:val="TableContents"/>
              <w:spacing w:before="0" w:after="283"/>
              <w:jc w:val="left"/>
              <w:rPr>
                <w:rFonts w:ascii="helvetica" w:hAnsi="helvetica"/>
                <w:sz w:val="20"/>
              </w:rPr>
            </w:pPr>
            <w:r>
              <w:rPr>
                <w:rFonts w:ascii="helvetica" w:hAnsi="helvetica"/>
                <w:sz w:val="20"/>
              </w:rPr>
              <w:t>$</w:t>
            </w:r>
          </w:p>
        </w:tc>
        <w:tc>
          <w:tcPr>
            <w:tcW w:w="1112"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218,612</w:t>
            </w:r>
          </w:p>
        </w:tc>
        <w:tc>
          <w:tcPr>
            <w:tcW w:w="112" w:type="dxa"/>
            <w:tcBorders/>
            <w:shd w:fill="FFFFFF" w:val="clear"/>
            <w:vAlign w:val="bottom"/>
          </w:tcPr>
          <w:p>
            <w:pPr>
              <w:pStyle w:val="TableContents"/>
              <w:spacing w:before="0" w:after="283"/>
              <w:jc w:val="left"/>
              <w:rPr/>
            </w:pPr>
            <w:r>
              <w:rPr/>
              <w:t> </w:t>
            </w:r>
          </w:p>
        </w:tc>
        <w:tc>
          <w:tcPr>
            <w:tcW w:w="106" w:type="dxa"/>
            <w:tcBorders/>
            <w:shd w:fill="FFFFFF" w:val="clear"/>
            <w:vAlign w:val="bottom"/>
          </w:tcPr>
          <w:p>
            <w:pPr>
              <w:pStyle w:val="TableContents"/>
              <w:spacing w:before="0" w:after="283"/>
              <w:rPr/>
            </w:pPr>
            <w:r>
              <w:rPr/>
              <w:t> </w:t>
            </w:r>
          </w:p>
        </w:tc>
        <w:tc>
          <w:tcPr>
            <w:tcW w:w="126" w:type="dxa"/>
            <w:tcBorders/>
            <w:shd w:fill="FFFFFF" w:val="clear"/>
            <w:vAlign w:val="bottom"/>
          </w:tcPr>
          <w:p>
            <w:pPr>
              <w:pStyle w:val="TableContents"/>
              <w:spacing w:before="0" w:after="283"/>
              <w:jc w:val="left"/>
              <w:rPr>
                <w:rFonts w:ascii="helvetica" w:hAnsi="helvetica"/>
                <w:sz w:val="20"/>
              </w:rPr>
            </w:pPr>
            <w:r>
              <w:rPr>
                <w:rFonts w:ascii="helvetica" w:hAnsi="helvetica"/>
                <w:sz w:val="20"/>
              </w:rPr>
              <w:t>$</w:t>
            </w:r>
          </w:p>
        </w:tc>
        <w:tc>
          <w:tcPr>
            <w:tcW w:w="1112"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73,632</w:t>
            </w:r>
          </w:p>
        </w:tc>
        <w:tc>
          <w:tcPr>
            <w:tcW w:w="124" w:type="dxa"/>
            <w:tcBorders/>
            <w:shd w:fill="FFFFFF" w:val="clear"/>
            <w:vAlign w:val="bottom"/>
          </w:tcPr>
          <w:p>
            <w:pPr>
              <w:pStyle w:val="TableContents"/>
              <w:spacing w:before="0" w:after="283"/>
              <w:jc w:val="left"/>
              <w:rPr/>
            </w:pPr>
            <w:r>
              <w:rPr/>
              <w:t> </w:t>
            </w:r>
          </w:p>
        </w:tc>
      </w:tr>
      <w:tr>
        <w:trPr/>
        <w:tc>
          <w:tcPr>
            <w:tcW w:w="7281" w:type="dxa"/>
            <w:tcBorders/>
            <w:shd w:fill="CCEEFF" w:val="clear"/>
            <w:vAlign w:val="bottom"/>
          </w:tcPr>
          <w:p>
            <w:pPr>
              <w:pStyle w:val="TableContents"/>
              <w:spacing w:before="0" w:after="0"/>
              <w:ind w:left="0" w:right="0" w:hanging="0"/>
              <w:jc w:val="left"/>
              <w:rPr>
                <w:rFonts w:ascii="helvetica" w:hAnsi="helvetica"/>
                <w:sz w:val="20"/>
              </w:rPr>
            </w:pPr>
            <w:r>
              <w:rPr>
                <w:rFonts w:ascii="helvetica" w:hAnsi="helvetica"/>
                <w:sz w:val="20"/>
              </w:rPr>
              <w:t>Accounts payable - related party</w:t>
            </w:r>
          </w:p>
        </w:tc>
        <w:tc>
          <w:tcPr>
            <w:tcW w:w="106"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jc w:val="left"/>
              <w:rPr/>
            </w:pPr>
            <w:r>
              <w:rPr/>
              <w:t> </w:t>
            </w:r>
          </w:p>
        </w:tc>
        <w:tc>
          <w:tcPr>
            <w:tcW w:w="1112"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56,087</w:t>
            </w:r>
          </w:p>
        </w:tc>
        <w:tc>
          <w:tcPr>
            <w:tcW w:w="112" w:type="dxa"/>
            <w:tcBorders/>
            <w:shd w:fill="CCEEFF" w:val="clear"/>
            <w:vAlign w:val="bottom"/>
          </w:tcPr>
          <w:p>
            <w:pPr>
              <w:pStyle w:val="TableContents"/>
              <w:spacing w:before="0" w:after="283"/>
              <w:jc w:val="left"/>
              <w:rPr/>
            </w:pPr>
            <w:r>
              <w:rPr/>
              <w:t> </w:t>
            </w:r>
          </w:p>
        </w:tc>
        <w:tc>
          <w:tcPr>
            <w:tcW w:w="106"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jc w:val="left"/>
              <w:rPr/>
            </w:pPr>
            <w:r>
              <w:rPr/>
              <w:t> </w:t>
            </w:r>
          </w:p>
        </w:tc>
        <w:tc>
          <w:tcPr>
            <w:tcW w:w="1112"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w:t>
            </w:r>
          </w:p>
        </w:tc>
        <w:tc>
          <w:tcPr>
            <w:tcW w:w="124" w:type="dxa"/>
            <w:tcBorders/>
            <w:shd w:fill="CCEEFF" w:val="clear"/>
            <w:vAlign w:val="bottom"/>
          </w:tcPr>
          <w:p>
            <w:pPr>
              <w:pStyle w:val="TableContents"/>
              <w:spacing w:before="0" w:after="283"/>
              <w:jc w:val="left"/>
              <w:rPr/>
            </w:pPr>
            <w:r>
              <w:rPr/>
              <w:t> </w:t>
            </w:r>
          </w:p>
        </w:tc>
      </w:tr>
      <w:tr>
        <w:trPr/>
        <w:tc>
          <w:tcPr>
            <w:tcW w:w="7281" w:type="dxa"/>
            <w:tcBorders/>
            <w:shd w:fill="FFFFFF" w:val="clear"/>
            <w:vAlign w:val="bottom"/>
          </w:tcPr>
          <w:p>
            <w:pPr>
              <w:pStyle w:val="TableContents"/>
              <w:spacing w:before="0" w:after="0"/>
              <w:ind w:left="0" w:right="0" w:hanging="0"/>
              <w:jc w:val="left"/>
              <w:rPr>
                <w:rFonts w:ascii="helvetica" w:hAnsi="helvetica"/>
                <w:sz w:val="20"/>
              </w:rPr>
            </w:pPr>
            <w:r>
              <w:rPr>
                <w:rFonts w:ascii="helvetica" w:hAnsi="helvetica"/>
                <w:sz w:val="20"/>
              </w:rPr>
              <w:t>Accrued Phase 3 expenses</w:t>
            </w:r>
          </w:p>
        </w:tc>
        <w:tc>
          <w:tcPr>
            <w:tcW w:w="106" w:type="dxa"/>
            <w:tcBorders/>
            <w:shd w:fill="FFFFFF" w:val="clear"/>
            <w:vAlign w:val="bottom"/>
          </w:tcPr>
          <w:p>
            <w:pPr>
              <w:pStyle w:val="TableContents"/>
              <w:spacing w:before="0" w:after="283"/>
              <w:rPr/>
            </w:pPr>
            <w:r>
              <w:rPr/>
              <w:t> </w:t>
            </w:r>
          </w:p>
        </w:tc>
        <w:tc>
          <w:tcPr>
            <w:tcW w:w="126" w:type="dxa"/>
            <w:tcBorders/>
            <w:shd w:fill="FFFFFF" w:val="clear"/>
            <w:vAlign w:val="bottom"/>
          </w:tcPr>
          <w:p>
            <w:pPr>
              <w:pStyle w:val="TableContents"/>
              <w:spacing w:before="0" w:after="283"/>
              <w:jc w:val="left"/>
              <w:rPr/>
            </w:pPr>
            <w:r>
              <w:rPr/>
              <w:t> </w:t>
            </w:r>
          </w:p>
        </w:tc>
        <w:tc>
          <w:tcPr>
            <w:tcW w:w="1112"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55,784</w:t>
            </w:r>
          </w:p>
        </w:tc>
        <w:tc>
          <w:tcPr>
            <w:tcW w:w="112" w:type="dxa"/>
            <w:tcBorders/>
            <w:shd w:fill="FFFFFF" w:val="clear"/>
            <w:vAlign w:val="bottom"/>
          </w:tcPr>
          <w:p>
            <w:pPr>
              <w:pStyle w:val="TableContents"/>
              <w:spacing w:before="0" w:after="283"/>
              <w:jc w:val="left"/>
              <w:rPr/>
            </w:pPr>
            <w:r>
              <w:rPr/>
              <w:t> </w:t>
            </w:r>
          </w:p>
        </w:tc>
        <w:tc>
          <w:tcPr>
            <w:tcW w:w="106" w:type="dxa"/>
            <w:tcBorders/>
            <w:shd w:fill="FFFFFF" w:val="clear"/>
            <w:vAlign w:val="bottom"/>
          </w:tcPr>
          <w:p>
            <w:pPr>
              <w:pStyle w:val="TableContents"/>
              <w:spacing w:before="0" w:after="283"/>
              <w:rPr/>
            </w:pPr>
            <w:r>
              <w:rPr/>
              <w:t> </w:t>
            </w:r>
          </w:p>
        </w:tc>
        <w:tc>
          <w:tcPr>
            <w:tcW w:w="126" w:type="dxa"/>
            <w:tcBorders/>
            <w:shd w:fill="FFFFFF" w:val="clear"/>
            <w:vAlign w:val="bottom"/>
          </w:tcPr>
          <w:p>
            <w:pPr>
              <w:pStyle w:val="TableContents"/>
              <w:spacing w:before="0" w:after="283"/>
              <w:jc w:val="left"/>
              <w:rPr/>
            </w:pPr>
            <w:r>
              <w:rPr/>
              <w:t> </w:t>
            </w:r>
          </w:p>
        </w:tc>
        <w:tc>
          <w:tcPr>
            <w:tcW w:w="1112"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111,871</w:t>
            </w:r>
          </w:p>
        </w:tc>
        <w:tc>
          <w:tcPr>
            <w:tcW w:w="124" w:type="dxa"/>
            <w:tcBorders/>
            <w:shd w:fill="FFFFFF" w:val="clear"/>
            <w:vAlign w:val="bottom"/>
          </w:tcPr>
          <w:p>
            <w:pPr>
              <w:pStyle w:val="TableContents"/>
              <w:spacing w:before="0" w:after="283"/>
              <w:jc w:val="left"/>
              <w:rPr/>
            </w:pPr>
            <w:r>
              <w:rPr/>
              <w:t> </w:t>
            </w:r>
          </w:p>
        </w:tc>
      </w:tr>
      <w:tr>
        <w:trPr/>
        <w:tc>
          <w:tcPr>
            <w:tcW w:w="7281" w:type="dxa"/>
            <w:tcBorders/>
            <w:shd w:fill="CCEEFF" w:val="clear"/>
            <w:vAlign w:val="bottom"/>
          </w:tcPr>
          <w:p>
            <w:pPr>
              <w:pStyle w:val="TableContents"/>
              <w:spacing w:before="0" w:after="0"/>
              <w:ind w:left="0" w:right="0" w:hanging="0"/>
              <w:jc w:val="left"/>
              <w:rPr>
                <w:rFonts w:ascii="helvetica" w:hAnsi="helvetica"/>
                <w:sz w:val="20"/>
              </w:rPr>
            </w:pPr>
            <w:r>
              <w:rPr>
                <w:rFonts w:ascii="helvetica" w:hAnsi="helvetica"/>
                <w:sz w:val="20"/>
              </w:rPr>
              <w:t>Accrued expenses and payroll liabilities</w:t>
            </w:r>
          </w:p>
        </w:tc>
        <w:tc>
          <w:tcPr>
            <w:tcW w:w="106"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jc w:val="left"/>
              <w:rPr/>
            </w:pPr>
            <w:r>
              <w:rPr/>
              <w:t> </w:t>
            </w:r>
          </w:p>
        </w:tc>
        <w:tc>
          <w:tcPr>
            <w:tcW w:w="1112"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w:t>
            </w:r>
          </w:p>
        </w:tc>
        <w:tc>
          <w:tcPr>
            <w:tcW w:w="112" w:type="dxa"/>
            <w:tcBorders/>
            <w:shd w:fill="CCEEFF" w:val="clear"/>
            <w:vAlign w:val="bottom"/>
          </w:tcPr>
          <w:p>
            <w:pPr>
              <w:pStyle w:val="TableContents"/>
              <w:spacing w:before="0" w:after="283"/>
              <w:jc w:val="left"/>
              <w:rPr/>
            </w:pPr>
            <w:r>
              <w:rPr/>
              <w:t> </w:t>
            </w:r>
          </w:p>
        </w:tc>
        <w:tc>
          <w:tcPr>
            <w:tcW w:w="106"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jc w:val="left"/>
              <w:rPr/>
            </w:pPr>
            <w:r>
              <w:rPr/>
              <w:t> </w:t>
            </w:r>
          </w:p>
        </w:tc>
        <w:tc>
          <w:tcPr>
            <w:tcW w:w="1112"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69,532</w:t>
            </w:r>
          </w:p>
        </w:tc>
        <w:tc>
          <w:tcPr>
            <w:tcW w:w="124" w:type="dxa"/>
            <w:tcBorders/>
            <w:shd w:fill="CCEEFF" w:val="clear"/>
            <w:vAlign w:val="bottom"/>
          </w:tcPr>
          <w:p>
            <w:pPr>
              <w:pStyle w:val="TableContents"/>
              <w:spacing w:before="0" w:after="283"/>
              <w:jc w:val="left"/>
              <w:rPr/>
            </w:pPr>
            <w:r>
              <w:rPr/>
              <w:t> </w:t>
            </w:r>
          </w:p>
        </w:tc>
      </w:tr>
      <w:tr>
        <w:trPr/>
        <w:tc>
          <w:tcPr>
            <w:tcW w:w="7281" w:type="dxa"/>
            <w:tcBorders/>
            <w:shd w:fill="FFFFFF" w:val="clear"/>
            <w:vAlign w:val="bottom"/>
          </w:tcPr>
          <w:p>
            <w:pPr>
              <w:pStyle w:val="TableContents"/>
              <w:spacing w:before="0" w:after="0"/>
              <w:ind w:left="0" w:right="0" w:hanging="0"/>
              <w:jc w:val="left"/>
              <w:rPr>
                <w:rFonts w:ascii="helvetica" w:hAnsi="helvetica"/>
                <w:sz w:val="20"/>
              </w:rPr>
            </w:pPr>
            <w:r>
              <w:rPr>
                <w:rFonts w:ascii="helvetica" w:hAnsi="helvetica"/>
                <w:sz w:val="20"/>
              </w:rPr>
              <w:t>Deferred revenue</w:t>
            </w:r>
          </w:p>
        </w:tc>
        <w:tc>
          <w:tcPr>
            <w:tcW w:w="106" w:type="dxa"/>
            <w:tcBorders/>
            <w:shd w:fill="FFFFFF" w:val="clear"/>
            <w:vAlign w:val="bottom"/>
          </w:tcPr>
          <w:p>
            <w:pPr>
              <w:pStyle w:val="TableContents"/>
              <w:spacing w:before="0" w:after="283"/>
              <w:rPr/>
            </w:pPr>
            <w:r>
              <w:rPr/>
              <w:t> </w:t>
            </w:r>
          </w:p>
        </w:tc>
        <w:tc>
          <w:tcPr>
            <w:tcW w:w="126" w:type="dxa"/>
            <w:tcBorders/>
            <w:shd w:fill="FFFFFF" w:val="clear"/>
            <w:vAlign w:val="bottom"/>
          </w:tcPr>
          <w:p>
            <w:pPr>
              <w:pStyle w:val="TableContents"/>
              <w:spacing w:before="0" w:after="283"/>
              <w:jc w:val="left"/>
              <w:rPr/>
            </w:pPr>
            <w:r>
              <w:rPr/>
              <w:t> </w:t>
            </w:r>
          </w:p>
        </w:tc>
        <w:tc>
          <w:tcPr>
            <w:tcW w:w="1112"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100,000</w:t>
            </w:r>
          </w:p>
        </w:tc>
        <w:tc>
          <w:tcPr>
            <w:tcW w:w="112" w:type="dxa"/>
            <w:tcBorders/>
            <w:shd w:fill="FFFFFF" w:val="clear"/>
            <w:vAlign w:val="bottom"/>
          </w:tcPr>
          <w:p>
            <w:pPr>
              <w:pStyle w:val="TableContents"/>
              <w:spacing w:before="0" w:after="283"/>
              <w:jc w:val="left"/>
              <w:rPr/>
            </w:pPr>
            <w:r>
              <w:rPr/>
              <w:t> </w:t>
            </w:r>
          </w:p>
        </w:tc>
        <w:tc>
          <w:tcPr>
            <w:tcW w:w="106" w:type="dxa"/>
            <w:tcBorders/>
            <w:shd w:fill="FFFFFF" w:val="clear"/>
            <w:vAlign w:val="bottom"/>
          </w:tcPr>
          <w:p>
            <w:pPr>
              <w:pStyle w:val="TableContents"/>
              <w:spacing w:before="0" w:after="283"/>
              <w:rPr/>
            </w:pPr>
            <w:r>
              <w:rPr/>
              <w:t> </w:t>
            </w:r>
          </w:p>
        </w:tc>
        <w:tc>
          <w:tcPr>
            <w:tcW w:w="126" w:type="dxa"/>
            <w:tcBorders/>
            <w:shd w:fill="FFFFFF" w:val="clear"/>
            <w:vAlign w:val="bottom"/>
          </w:tcPr>
          <w:p>
            <w:pPr>
              <w:pStyle w:val="TableContents"/>
              <w:spacing w:before="0" w:after="283"/>
              <w:jc w:val="left"/>
              <w:rPr/>
            </w:pPr>
            <w:r>
              <w:rPr/>
              <w:t> </w:t>
            </w:r>
          </w:p>
        </w:tc>
        <w:tc>
          <w:tcPr>
            <w:tcW w:w="1112"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80,000</w:t>
            </w:r>
          </w:p>
        </w:tc>
        <w:tc>
          <w:tcPr>
            <w:tcW w:w="124" w:type="dxa"/>
            <w:tcBorders/>
            <w:shd w:fill="FFFFFF" w:val="clear"/>
            <w:vAlign w:val="bottom"/>
          </w:tcPr>
          <w:p>
            <w:pPr>
              <w:pStyle w:val="TableContents"/>
              <w:spacing w:before="0" w:after="283"/>
              <w:jc w:val="left"/>
              <w:rPr/>
            </w:pPr>
            <w:r>
              <w:rPr/>
              <w:t> </w:t>
            </w:r>
          </w:p>
        </w:tc>
      </w:tr>
      <w:tr>
        <w:trPr/>
        <w:tc>
          <w:tcPr>
            <w:tcW w:w="7281" w:type="dxa"/>
            <w:tcBorders/>
            <w:shd w:fill="CCEEFF" w:val="clear"/>
            <w:vAlign w:val="bottom"/>
          </w:tcPr>
          <w:p>
            <w:pPr>
              <w:pStyle w:val="TableContents"/>
              <w:spacing w:before="0" w:after="0"/>
              <w:ind w:left="0" w:right="0" w:hanging="0"/>
              <w:jc w:val="left"/>
              <w:rPr>
                <w:rFonts w:ascii="helvetica" w:hAnsi="helvetica"/>
                <w:sz w:val="20"/>
              </w:rPr>
            </w:pPr>
            <w:r>
              <w:rPr>
                <w:rFonts w:ascii="helvetica" w:hAnsi="helvetica"/>
                <w:sz w:val="20"/>
              </w:rPr>
              <w:t>Notes payable - related party</w:t>
            </w:r>
          </w:p>
        </w:tc>
        <w:tc>
          <w:tcPr>
            <w:tcW w:w="106"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jc w:val="left"/>
              <w:rPr/>
            </w:pPr>
            <w:r>
              <w:rPr/>
              <w:t> </w:t>
            </w:r>
          </w:p>
        </w:tc>
        <w:tc>
          <w:tcPr>
            <w:tcW w:w="1112"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300,000</w:t>
            </w:r>
          </w:p>
        </w:tc>
        <w:tc>
          <w:tcPr>
            <w:tcW w:w="112" w:type="dxa"/>
            <w:tcBorders/>
            <w:shd w:fill="CCEEFF" w:val="clear"/>
            <w:vAlign w:val="bottom"/>
          </w:tcPr>
          <w:p>
            <w:pPr>
              <w:pStyle w:val="TableContents"/>
              <w:spacing w:before="0" w:after="283"/>
              <w:jc w:val="left"/>
              <w:rPr/>
            </w:pPr>
            <w:r>
              <w:rPr/>
              <w:t> </w:t>
            </w:r>
          </w:p>
        </w:tc>
        <w:tc>
          <w:tcPr>
            <w:tcW w:w="106"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jc w:val="left"/>
              <w:rPr/>
            </w:pPr>
            <w:r>
              <w:rPr/>
              <w:t> </w:t>
            </w:r>
          </w:p>
        </w:tc>
        <w:tc>
          <w:tcPr>
            <w:tcW w:w="1112"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w:t>
            </w:r>
          </w:p>
        </w:tc>
        <w:tc>
          <w:tcPr>
            <w:tcW w:w="124" w:type="dxa"/>
            <w:tcBorders/>
            <w:shd w:fill="CCEEFF" w:val="clear"/>
            <w:vAlign w:val="bottom"/>
          </w:tcPr>
          <w:p>
            <w:pPr>
              <w:pStyle w:val="TableContents"/>
              <w:spacing w:before="0" w:after="283"/>
              <w:jc w:val="left"/>
              <w:rPr/>
            </w:pPr>
            <w:r>
              <w:rPr/>
              <w:t> </w:t>
            </w:r>
          </w:p>
        </w:tc>
      </w:tr>
      <w:tr>
        <w:trPr/>
        <w:tc>
          <w:tcPr>
            <w:tcW w:w="7281" w:type="dxa"/>
            <w:tcBorders/>
            <w:shd w:fill="FFFFFF" w:val="clear"/>
            <w:vAlign w:val="bottom"/>
          </w:tcPr>
          <w:p>
            <w:pPr>
              <w:pStyle w:val="TableContents"/>
              <w:spacing w:before="0" w:after="0"/>
              <w:ind w:left="0" w:right="0" w:hanging="0"/>
              <w:jc w:val="left"/>
              <w:rPr>
                <w:rFonts w:ascii="helvetica" w:hAnsi="helvetica"/>
                <w:sz w:val="20"/>
              </w:rPr>
            </w:pPr>
            <w:r>
              <w:rPr>
                <w:rFonts w:ascii="helvetica" w:hAnsi="helvetica"/>
                <w:sz w:val="20"/>
              </w:rPr>
              <w:t>Convertible note payable and accrued interest</w:t>
            </w:r>
          </w:p>
        </w:tc>
        <w:tc>
          <w:tcPr>
            <w:tcW w:w="106" w:type="dxa"/>
            <w:tcBorders/>
            <w:shd w:fill="FFFFFF" w:val="clear"/>
            <w:vAlign w:val="bottom"/>
          </w:tcPr>
          <w:p>
            <w:pPr>
              <w:pStyle w:val="TableContents"/>
              <w:spacing w:before="0" w:after="283"/>
              <w:rPr/>
            </w:pPr>
            <w:r>
              <w:rPr/>
              <w:t> </w:t>
            </w:r>
          </w:p>
        </w:tc>
        <w:tc>
          <w:tcPr>
            <w:tcW w:w="126"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112" w:type="dxa"/>
            <w:tcBorders>
              <w:bottom w:val="single" w:sz="12" w:space="0" w:color="000000"/>
            </w:tcBorders>
            <w:shd w:fill="FFFF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1,130,479</w:t>
            </w:r>
          </w:p>
        </w:tc>
        <w:tc>
          <w:tcPr>
            <w:tcW w:w="112" w:type="dxa"/>
            <w:tcBorders/>
            <w:shd w:fill="FFFFFF" w:val="clear"/>
            <w:vAlign w:val="bottom"/>
          </w:tcPr>
          <w:p>
            <w:pPr>
              <w:pStyle w:val="TableContents"/>
              <w:spacing w:before="0" w:after="283"/>
              <w:jc w:val="left"/>
              <w:rPr/>
            </w:pPr>
            <w:r>
              <w:rPr/>
              <w:t> </w:t>
            </w:r>
          </w:p>
        </w:tc>
        <w:tc>
          <w:tcPr>
            <w:tcW w:w="106" w:type="dxa"/>
            <w:tcBorders/>
            <w:shd w:fill="FFFFFF" w:val="clear"/>
            <w:vAlign w:val="bottom"/>
          </w:tcPr>
          <w:p>
            <w:pPr>
              <w:pStyle w:val="TableContents"/>
              <w:spacing w:before="0" w:after="283"/>
              <w:rPr/>
            </w:pPr>
            <w:r>
              <w:rPr/>
              <w:t> </w:t>
            </w:r>
          </w:p>
        </w:tc>
        <w:tc>
          <w:tcPr>
            <w:tcW w:w="126"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112" w:type="dxa"/>
            <w:tcBorders>
              <w:bottom w:val="single" w:sz="12" w:space="0" w:color="000000"/>
            </w:tcBorders>
            <w:shd w:fill="FFFF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w:t>
            </w:r>
          </w:p>
        </w:tc>
        <w:tc>
          <w:tcPr>
            <w:tcW w:w="124" w:type="dxa"/>
            <w:tcBorders/>
            <w:shd w:fill="FFFFFF" w:val="clear"/>
            <w:vAlign w:val="bottom"/>
          </w:tcPr>
          <w:p>
            <w:pPr>
              <w:pStyle w:val="TableContents"/>
              <w:spacing w:before="0" w:after="283"/>
              <w:jc w:val="left"/>
              <w:rPr/>
            </w:pPr>
            <w:r>
              <w:rPr/>
              <w:t> </w:t>
            </w:r>
          </w:p>
        </w:tc>
      </w:tr>
      <w:tr>
        <w:trPr/>
        <w:tc>
          <w:tcPr>
            <w:tcW w:w="7281" w:type="dxa"/>
            <w:tcBorders/>
            <w:shd w:fill="CCEEFF" w:val="clear"/>
            <w:vAlign w:val="bottom"/>
          </w:tcPr>
          <w:p>
            <w:pPr>
              <w:pStyle w:val="TableContents"/>
              <w:spacing w:before="0" w:after="0"/>
              <w:ind w:left="0" w:right="0" w:hanging="0"/>
              <w:jc w:val="left"/>
              <w:rPr>
                <w:rFonts w:ascii="helvetica" w:hAnsi="helvetica"/>
                <w:sz w:val="20"/>
              </w:rPr>
            </w:pPr>
            <w:r>
              <w:rPr>
                <w:rFonts w:ascii="helvetica" w:hAnsi="helvetica"/>
                <w:sz w:val="20"/>
              </w:rPr>
              <w:t>Total current liabilities</w:t>
            </w:r>
          </w:p>
        </w:tc>
        <w:tc>
          <w:tcPr>
            <w:tcW w:w="106"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jc w:val="left"/>
              <w:rPr/>
            </w:pPr>
            <w:r>
              <w:rPr/>
              <w:t> </w:t>
            </w:r>
          </w:p>
        </w:tc>
        <w:tc>
          <w:tcPr>
            <w:tcW w:w="1112"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1,860,962</w:t>
            </w:r>
          </w:p>
        </w:tc>
        <w:tc>
          <w:tcPr>
            <w:tcW w:w="112" w:type="dxa"/>
            <w:tcBorders/>
            <w:shd w:fill="CCEEFF" w:val="clear"/>
            <w:vAlign w:val="bottom"/>
          </w:tcPr>
          <w:p>
            <w:pPr>
              <w:pStyle w:val="TableContents"/>
              <w:spacing w:before="0" w:after="283"/>
              <w:jc w:val="left"/>
              <w:rPr/>
            </w:pPr>
            <w:r>
              <w:rPr/>
              <w:t> </w:t>
            </w:r>
          </w:p>
        </w:tc>
        <w:tc>
          <w:tcPr>
            <w:tcW w:w="106"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jc w:val="left"/>
              <w:rPr/>
            </w:pPr>
            <w:r>
              <w:rPr/>
              <w:t> </w:t>
            </w:r>
          </w:p>
        </w:tc>
        <w:tc>
          <w:tcPr>
            <w:tcW w:w="1112"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335,035</w:t>
            </w:r>
          </w:p>
        </w:tc>
        <w:tc>
          <w:tcPr>
            <w:tcW w:w="124" w:type="dxa"/>
            <w:tcBorders/>
            <w:shd w:fill="CCEEFF" w:val="clear"/>
            <w:vAlign w:val="bottom"/>
          </w:tcPr>
          <w:p>
            <w:pPr>
              <w:pStyle w:val="TableContents"/>
              <w:spacing w:before="0" w:after="283"/>
              <w:jc w:val="left"/>
              <w:rPr/>
            </w:pPr>
            <w:r>
              <w:rPr/>
              <w:t> </w:t>
            </w:r>
          </w:p>
        </w:tc>
      </w:tr>
      <w:tr>
        <w:trPr/>
        <w:tc>
          <w:tcPr>
            <w:tcW w:w="7281" w:type="dxa"/>
            <w:tcBorders/>
            <w:shd w:fill="FFFFFF" w:val="clear"/>
            <w:vAlign w:val="bottom"/>
          </w:tcPr>
          <w:p>
            <w:pPr>
              <w:pStyle w:val="TableContents"/>
              <w:spacing w:before="0" w:after="283"/>
              <w:rPr/>
            </w:pPr>
            <w:r>
              <w:rPr/>
              <w:t xml:space="preserve">  </w:t>
            </w:r>
          </w:p>
        </w:tc>
        <w:tc>
          <w:tcPr>
            <w:tcW w:w="106" w:type="dxa"/>
            <w:tcBorders/>
            <w:shd w:fill="FFFFFF" w:val="clear"/>
            <w:vAlign w:val="bottom"/>
          </w:tcPr>
          <w:p>
            <w:pPr>
              <w:pStyle w:val="TableContents"/>
              <w:spacing w:before="0" w:after="283"/>
              <w:rPr/>
            </w:pPr>
            <w:r>
              <w:rPr/>
              <w:t> </w:t>
            </w:r>
          </w:p>
        </w:tc>
        <w:tc>
          <w:tcPr>
            <w:tcW w:w="126" w:type="dxa"/>
            <w:tcBorders/>
            <w:shd w:fill="FFFFFF" w:val="clear"/>
            <w:vAlign w:val="bottom"/>
          </w:tcPr>
          <w:p>
            <w:pPr>
              <w:pStyle w:val="TableContents"/>
              <w:spacing w:before="0" w:after="283"/>
              <w:jc w:val="left"/>
              <w:rPr/>
            </w:pPr>
            <w:r>
              <w:rPr/>
              <w:t> </w:t>
            </w:r>
          </w:p>
        </w:tc>
        <w:tc>
          <w:tcPr>
            <w:tcW w:w="1112" w:type="dxa"/>
            <w:tcBorders/>
            <w:shd w:fill="FFFFFF" w:val="clear"/>
            <w:vAlign w:val="bottom"/>
          </w:tcPr>
          <w:p>
            <w:pPr>
              <w:pStyle w:val="TableContents"/>
              <w:spacing w:before="0" w:after="283"/>
              <w:jc w:val="right"/>
              <w:rPr/>
            </w:pPr>
            <w:r>
              <w:rPr/>
              <w:t> </w:t>
            </w:r>
          </w:p>
        </w:tc>
        <w:tc>
          <w:tcPr>
            <w:tcW w:w="112" w:type="dxa"/>
            <w:tcBorders/>
            <w:shd w:fill="FFFFFF" w:val="clear"/>
            <w:vAlign w:val="bottom"/>
          </w:tcPr>
          <w:p>
            <w:pPr>
              <w:pStyle w:val="TableContents"/>
              <w:spacing w:before="0" w:after="283"/>
              <w:jc w:val="left"/>
              <w:rPr/>
            </w:pPr>
            <w:r>
              <w:rPr/>
              <w:t> </w:t>
            </w:r>
          </w:p>
        </w:tc>
        <w:tc>
          <w:tcPr>
            <w:tcW w:w="106" w:type="dxa"/>
            <w:tcBorders/>
            <w:shd w:fill="FFFFFF" w:val="clear"/>
            <w:vAlign w:val="bottom"/>
          </w:tcPr>
          <w:p>
            <w:pPr>
              <w:pStyle w:val="TableContents"/>
              <w:spacing w:before="0" w:after="283"/>
              <w:rPr/>
            </w:pPr>
            <w:r>
              <w:rPr/>
              <w:t> </w:t>
            </w:r>
          </w:p>
        </w:tc>
        <w:tc>
          <w:tcPr>
            <w:tcW w:w="126" w:type="dxa"/>
            <w:tcBorders/>
            <w:shd w:fill="FFFFFF" w:val="clear"/>
            <w:vAlign w:val="bottom"/>
          </w:tcPr>
          <w:p>
            <w:pPr>
              <w:pStyle w:val="TableContents"/>
              <w:spacing w:before="0" w:after="283"/>
              <w:jc w:val="left"/>
              <w:rPr/>
            </w:pPr>
            <w:r>
              <w:rPr/>
              <w:t> </w:t>
            </w:r>
          </w:p>
        </w:tc>
        <w:tc>
          <w:tcPr>
            <w:tcW w:w="1112" w:type="dxa"/>
            <w:tcBorders/>
            <w:shd w:fill="FFFFFF" w:val="clear"/>
            <w:vAlign w:val="bottom"/>
          </w:tcPr>
          <w:p>
            <w:pPr>
              <w:pStyle w:val="TableContents"/>
              <w:spacing w:before="0" w:after="283"/>
              <w:jc w:val="right"/>
              <w:rPr/>
            </w:pPr>
            <w:r>
              <w:rPr/>
              <w:t> </w:t>
            </w:r>
          </w:p>
        </w:tc>
        <w:tc>
          <w:tcPr>
            <w:tcW w:w="124" w:type="dxa"/>
            <w:tcBorders/>
            <w:shd w:fill="FFFFFF" w:val="clear"/>
            <w:vAlign w:val="bottom"/>
          </w:tcPr>
          <w:p>
            <w:pPr>
              <w:pStyle w:val="TableContents"/>
              <w:spacing w:before="0" w:after="283"/>
              <w:jc w:val="left"/>
              <w:rPr/>
            </w:pPr>
            <w:r>
              <w:rPr/>
              <w:t> </w:t>
            </w:r>
          </w:p>
        </w:tc>
      </w:tr>
      <w:tr>
        <w:trPr/>
        <w:tc>
          <w:tcPr>
            <w:tcW w:w="7281" w:type="dxa"/>
            <w:tcBorders/>
            <w:shd w:fill="CCEEFF" w:val="clear"/>
            <w:vAlign w:val="bottom"/>
          </w:tcPr>
          <w:p>
            <w:pPr>
              <w:pStyle w:val="TableContents"/>
              <w:spacing w:before="0" w:after="0"/>
              <w:ind w:left="0" w:right="0" w:hanging="0"/>
              <w:jc w:val="left"/>
              <w:rPr>
                <w:rFonts w:ascii="helvetica" w:hAnsi="helvetica"/>
                <w:sz w:val="20"/>
              </w:rPr>
            </w:pPr>
            <w:r>
              <w:rPr>
                <w:rFonts w:ascii="helvetica" w:hAnsi="helvetica"/>
                <w:sz w:val="20"/>
              </w:rPr>
              <w:t>Convertible note payable and accrued interest</w:t>
            </w:r>
          </w:p>
        </w:tc>
        <w:tc>
          <w:tcPr>
            <w:tcW w:w="106" w:type="dxa"/>
            <w:tcBorders/>
            <w:shd w:fill="CCEEFF" w:val="clear"/>
            <w:vAlign w:val="bottom"/>
          </w:tcPr>
          <w:p>
            <w:pPr>
              <w:pStyle w:val="TableContents"/>
              <w:spacing w:before="0" w:after="283"/>
              <w:rPr/>
            </w:pPr>
            <w:r>
              <w:rPr/>
              <w:t> </w:t>
            </w:r>
          </w:p>
        </w:tc>
        <w:tc>
          <w:tcPr>
            <w:tcW w:w="126"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112" w:type="dxa"/>
            <w:tcBorders>
              <w:bottom w:val="single" w:sz="12" w:space="0" w:color="000000"/>
            </w:tcBorders>
            <w:shd w:fill="CCEE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w:t>
            </w:r>
          </w:p>
        </w:tc>
        <w:tc>
          <w:tcPr>
            <w:tcW w:w="112" w:type="dxa"/>
            <w:tcBorders/>
            <w:shd w:fill="CCEEFF" w:val="clear"/>
            <w:vAlign w:val="bottom"/>
          </w:tcPr>
          <w:p>
            <w:pPr>
              <w:pStyle w:val="TableContents"/>
              <w:spacing w:before="0" w:after="283"/>
              <w:jc w:val="left"/>
              <w:rPr/>
            </w:pPr>
            <w:r>
              <w:rPr/>
              <w:t> </w:t>
            </w:r>
          </w:p>
        </w:tc>
        <w:tc>
          <w:tcPr>
            <w:tcW w:w="106" w:type="dxa"/>
            <w:tcBorders/>
            <w:shd w:fill="CCEEFF" w:val="clear"/>
            <w:vAlign w:val="bottom"/>
          </w:tcPr>
          <w:p>
            <w:pPr>
              <w:pStyle w:val="TableContents"/>
              <w:spacing w:before="0" w:after="283"/>
              <w:rPr/>
            </w:pPr>
            <w:r>
              <w:rPr/>
              <w:t> </w:t>
            </w:r>
          </w:p>
        </w:tc>
        <w:tc>
          <w:tcPr>
            <w:tcW w:w="126"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112" w:type="dxa"/>
            <w:tcBorders>
              <w:bottom w:val="single" w:sz="12" w:space="0" w:color="000000"/>
            </w:tcBorders>
            <w:shd w:fill="CCEE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1,055,479</w:t>
            </w:r>
          </w:p>
        </w:tc>
        <w:tc>
          <w:tcPr>
            <w:tcW w:w="124" w:type="dxa"/>
            <w:tcBorders/>
            <w:shd w:fill="CCEEFF" w:val="clear"/>
            <w:vAlign w:val="bottom"/>
          </w:tcPr>
          <w:p>
            <w:pPr>
              <w:pStyle w:val="TableContents"/>
              <w:spacing w:before="0" w:after="283"/>
              <w:jc w:val="left"/>
              <w:rPr/>
            </w:pPr>
            <w:r>
              <w:rPr/>
              <w:t> </w:t>
            </w:r>
          </w:p>
        </w:tc>
      </w:tr>
      <w:tr>
        <w:trPr/>
        <w:tc>
          <w:tcPr>
            <w:tcW w:w="7281" w:type="dxa"/>
            <w:tcBorders/>
            <w:shd w:fill="FFFFFF" w:val="clear"/>
            <w:vAlign w:val="bottom"/>
          </w:tcPr>
          <w:p>
            <w:pPr>
              <w:pStyle w:val="TableContents"/>
              <w:spacing w:before="0" w:after="0"/>
              <w:ind w:left="0" w:right="0" w:hanging="0"/>
              <w:jc w:val="left"/>
              <w:rPr>
                <w:rFonts w:ascii="helvetica" w:hAnsi="helvetica"/>
                <w:sz w:val="20"/>
              </w:rPr>
            </w:pPr>
            <w:r>
              <w:rPr>
                <w:rFonts w:ascii="helvetica" w:hAnsi="helvetica"/>
                <w:sz w:val="20"/>
              </w:rPr>
              <w:t>TOTAL LIABILITIES</w:t>
            </w:r>
          </w:p>
        </w:tc>
        <w:tc>
          <w:tcPr>
            <w:tcW w:w="106" w:type="dxa"/>
            <w:tcBorders/>
            <w:shd w:fill="FFFFFF" w:val="clear"/>
            <w:vAlign w:val="bottom"/>
          </w:tcPr>
          <w:p>
            <w:pPr>
              <w:pStyle w:val="TableContents"/>
              <w:spacing w:before="0" w:after="283"/>
              <w:rPr/>
            </w:pPr>
            <w:r>
              <w:rPr/>
              <w:t> </w:t>
            </w:r>
          </w:p>
        </w:tc>
        <w:tc>
          <w:tcPr>
            <w:tcW w:w="126"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112" w:type="dxa"/>
            <w:tcBorders>
              <w:bottom w:val="single" w:sz="12" w:space="0" w:color="000000"/>
            </w:tcBorders>
            <w:shd w:fill="FFFF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1,860,962</w:t>
            </w:r>
          </w:p>
        </w:tc>
        <w:tc>
          <w:tcPr>
            <w:tcW w:w="112" w:type="dxa"/>
            <w:tcBorders/>
            <w:shd w:fill="FFFFFF" w:val="clear"/>
            <w:vAlign w:val="bottom"/>
          </w:tcPr>
          <w:p>
            <w:pPr>
              <w:pStyle w:val="TableContents"/>
              <w:spacing w:before="0" w:after="283"/>
              <w:jc w:val="left"/>
              <w:rPr/>
            </w:pPr>
            <w:r>
              <w:rPr/>
              <w:t> </w:t>
            </w:r>
          </w:p>
        </w:tc>
        <w:tc>
          <w:tcPr>
            <w:tcW w:w="106" w:type="dxa"/>
            <w:tcBorders/>
            <w:shd w:fill="FFFFFF" w:val="clear"/>
            <w:vAlign w:val="bottom"/>
          </w:tcPr>
          <w:p>
            <w:pPr>
              <w:pStyle w:val="TableContents"/>
              <w:spacing w:before="0" w:after="283"/>
              <w:rPr/>
            </w:pPr>
            <w:r>
              <w:rPr/>
              <w:t> </w:t>
            </w:r>
          </w:p>
        </w:tc>
        <w:tc>
          <w:tcPr>
            <w:tcW w:w="126"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112" w:type="dxa"/>
            <w:tcBorders>
              <w:bottom w:val="single" w:sz="12" w:space="0" w:color="000000"/>
            </w:tcBorders>
            <w:shd w:fill="FFFF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1,390,514</w:t>
            </w:r>
          </w:p>
        </w:tc>
        <w:tc>
          <w:tcPr>
            <w:tcW w:w="124" w:type="dxa"/>
            <w:tcBorders/>
            <w:shd w:fill="FFFFFF" w:val="clear"/>
            <w:vAlign w:val="bottom"/>
          </w:tcPr>
          <w:p>
            <w:pPr>
              <w:pStyle w:val="TableContents"/>
              <w:spacing w:before="0" w:after="283"/>
              <w:jc w:val="left"/>
              <w:rPr/>
            </w:pPr>
            <w:r>
              <w:rPr/>
              <w:t> </w:t>
            </w:r>
          </w:p>
        </w:tc>
      </w:tr>
      <w:tr>
        <w:trPr/>
        <w:tc>
          <w:tcPr>
            <w:tcW w:w="7281" w:type="dxa"/>
            <w:tcBorders/>
            <w:shd w:fill="CCEEFF" w:val="clear"/>
            <w:vAlign w:val="bottom"/>
          </w:tcPr>
          <w:p>
            <w:pPr>
              <w:pStyle w:val="TableContents"/>
              <w:spacing w:before="0" w:after="283"/>
              <w:rPr/>
            </w:pPr>
            <w:r>
              <w:rPr/>
              <w:t xml:space="preserve">  </w:t>
            </w:r>
          </w:p>
        </w:tc>
        <w:tc>
          <w:tcPr>
            <w:tcW w:w="106"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jc w:val="left"/>
              <w:rPr/>
            </w:pPr>
            <w:r>
              <w:rPr/>
              <w:t> </w:t>
            </w:r>
          </w:p>
        </w:tc>
        <w:tc>
          <w:tcPr>
            <w:tcW w:w="1112" w:type="dxa"/>
            <w:tcBorders/>
            <w:shd w:fill="CCEEFF" w:val="clear"/>
            <w:vAlign w:val="bottom"/>
          </w:tcPr>
          <w:p>
            <w:pPr>
              <w:pStyle w:val="TableContents"/>
              <w:spacing w:before="0" w:after="283"/>
              <w:jc w:val="right"/>
              <w:rPr/>
            </w:pPr>
            <w:r>
              <w:rPr/>
              <w:t> </w:t>
            </w:r>
          </w:p>
        </w:tc>
        <w:tc>
          <w:tcPr>
            <w:tcW w:w="112" w:type="dxa"/>
            <w:tcBorders/>
            <w:shd w:fill="CCEEFF" w:val="clear"/>
            <w:vAlign w:val="bottom"/>
          </w:tcPr>
          <w:p>
            <w:pPr>
              <w:pStyle w:val="TableContents"/>
              <w:spacing w:before="0" w:after="283"/>
              <w:jc w:val="left"/>
              <w:rPr/>
            </w:pPr>
            <w:r>
              <w:rPr/>
              <w:t> </w:t>
            </w:r>
          </w:p>
        </w:tc>
        <w:tc>
          <w:tcPr>
            <w:tcW w:w="106"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jc w:val="left"/>
              <w:rPr/>
            </w:pPr>
            <w:r>
              <w:rPr/>
              <w:t> </w:t>
            </w:r>
          </w:p>
        </w:tc>
        <w:tc>
          <w:tcPr>
            <w:tcW w:w="1112" w:type="dxa"/>
            <w:tcBorders/>
            <w:shd w:fill="CCEEFF" w:val="clear"/>
            <w:vAlign w:val="bottom"/>
          </w:tcPr>
          <w:p>
            <w:pPr>
              <w:pStyle w:val="TableContents"/>
              <w:spacing w:before="0" w:after="283"/>
              <w:jc w:val="right"/>
              <w:rPr/>
            </w:pPr>
            <w:r>
              <w:rPr/>
              <w:t> </w:t>
            </w:r>
          </w:p>
        </w:tc>
        <w:tc>
          <w:tcPr>
            <w:tcW w:w="124" w:type="dxa"/>
            <w:tcBorders/>
            <w:shd w:fill="CCEEFF" w:val="clear"/>
            <w:vAlign w:val="bottom"/>
          </w:tcPr>
          <w:p>
            <w:pPr>
              <w:pStyle w:val="TableContents"/>
              <w:spacing w:before="0" w:after="283"/>
              <w:jc w:val="left"/>
              <w:rPr/>
            </w:pPr>
            <w:r>
              <w:rPr/>
              <w:t> </w:t>
            </w:r>
          </w:p>
        </w:tc>
      </w:tr>
      <w:tr>
        <w:trPr/>
        <w:tc>
          <w:tcPr>
            <w:tcW w:w="7281" w:type="dxa"/>
            <w:tcBorders/>
            <w:shd w:fill="FFFFFF" w:val="clear"/>
            <w:vAlign w:val="bottom"/>
          </w:tcPr>
          <w:p>
            <w:pPr>
              <w:pStyle w:val="TableContents"/>
              <w:spacing w:before="0" w:after="0"/>
              <w:ind w:left="0" w:right="0" w:hanging="0"/>
              <w:jc w:val="left"/>
              <w:rPr>
                <w:rFonts w:ascii="helvetica" w:hAnsi="helvetica"/>
                <w:sz w:val="20"/>
              </w:rPr>
            </w:pPr>
            <w:r>
              <w:rPr>
                <w:rFonts w:ascii="helvetica" w:hAnsi="helvetica"/>
                <w:sz w:val="20"/>
              </w:rPr>
              <w:t>Commitments and contingencies</w:t>
            </w:r>
          </w:p>
        </w:tc>
        <w:tc>
          <w:tcPr>
            <w:tcW w:w="106" w:type="dxa"/>
            <w:tcBorders/>
            <w:shd w:fill="FFFFFF" w:val="clear"/>
            <w:vAlign w:val="bottom"/>
          </w:tcPr>
          <w:p>
            <w:pPr>
              <w:pStyle w:val="TableContents"/>
              <w:spacing w:before="0" w:after="283"/>
              <w:rPr/>
            </w:pPr>
            <w:r>
              <w:rPr/>
              <w:t> </w:t>
            </w:r>
          </w:p>
        </w:tc>
        <w:tc>
          <w:tcPr>
            <w:tcW w:w="126" w:type="dxa"/>
            <w:tcBorders/>
            <w:shd w:fill="FFFFFF" w:val="clear"/>
            <w:vAlign w:val="bottom"/>
          </w:tcPr>
          <w:p>
            <w:pPr>
              <w:pStyle w:val="TableContents"/>
              <w:spacing w:before="0" w:after="283"/>
              <w:jc w:val="left"/>
              <w:rPr/>
            </w:pPr>
            <w:r>
              <w:rPr/>
              <w:t> </w:t>
            </w:r>
          </w:p>
        </w:tc>
        <w:tc>
          <w:tcPr>
            <w:tcW w:w="1112" w:type="dxa"/>
            <w:tcBorders/>
            <w:shd w:fill="FFFFFF" w:val="clear"/>
            <w:vAlign w:val="bottom"/>
          </w:tcPr>
          <w:p>
            <w:pPr>
              <w:pStyle w:val="TableContents"/>
              <w:spacing w:before="0" w:after="283"/>
              <w:jc w:val="right"/>
              <w:rPr/>
            </w:pPr>
            <w:r>
              <w:rPr/>
              <w:t> </w:t>
            </w:r>
          </w:p>
        </w:tc>
        <w:tc>
          <w:tcPr>
            <w:tcW w:w="112" w:type="dxa"/>
            <w:tcBorders/>
            <w:shd w:fill="FFFFFF" w:val="clear"/>
            <w:vAlign w:val="bottom"/>
          </w:tcPr>
          <w:p>
            <w:pPr>
              <w:pStyle w:val="TableContents"/>
              <w:spacing w:before="0" w:after="283"/>
              <w:jc w:val="left"/>
              <w:rPr/>
            </w:pPr>
            <w:r>
              <w:rPr/>
              <w:t> </w:t>
            </w:r>
          </w:p>
        </w:tc>
        <w:tc>
          <w:tcPr>
            <w:tcW w:w="106" w:type="dxa"/>
            <w:tcBorders/>
            <w:shd w:fill="FFFFFF" w:val="clear"/>
            <w:vAlign w:val="bottom"/>
          </w:tcPr>
          <w:p>
            <w:pPr>
              <w:pStyle w:val="TableContents"/>
              <w:spacing w:before="0" w:after="283"/>
              <w:rPr/>
            </w:pPr>
            <w:r>
              <w:rPr/>
              <w:t> </w:t>
            </w:r>
          </w:p>
        </w:tc>
        <w:tc>
          <w:tcPr>
            <w:tcW w:w="126" w:type="dxa"/>
            <w:tcBorders/>
            <w:shd w:fill="FFFFFF" w:val="clear"/>
            <w:vAlign w:val="bottom"/>
          </w:tcPr>
          <w:p>
            <w:pPr>
              <w:pStyle w:val="TableContents"/>
              <w:spacing w:before="0" w:after="283"/>
              <w:jc w:val="left"/>
              <w:rPr/>
            </w:pPr>
            <w:r>
              <w:rPr/>
              <w:t> </w:t>
            </w:r>
          </w:p>
        </w:tc>
        <w:tc>
          <w:tcPr>
            <w:tcW w:w="1112" w:type="dxa"/>
            <w:tcBorders/>
            <w:shd w:fill="FFFFFF" w:val="clear"/>
            <w:vAlign w:val="bottom"/>
          </w:tcPr>
          <w:p>
            <w:pPr>
              <w:pStyle w:val="TableContents"/>
              <w:spacing w:before="0" w:after="283"/>
              <w:jc w:val="right"/>
              <w:rPr/>
            </w:pPr>
            <w:r>
              <w:rPr/>
              <w:t> </w:t>
            </w:r>
          </w:p>
        </w:tc>
        <w:tc>
          <w:tcPr>
            <w:tcW w:w="124" w:type="dxa"/>
            <w:tcBorders/>
            <w:shd w:fill="FFFFFF" w:val="clear"/>
            <w:vAlign w:val="bottom"/>
          </w:tcPr>
          <w:p>
            <w:pPr>
              <w:pStyle w:val="TableContents"/>
              <w:spacing w:before="0" w:after="283"/>
              <w:jc w:val="left"/>
              <w:rPr/>
            </w:pPr>
            <w:r>
              <w:rPr/>
              <w:t> </w:t>
            </w:r>
          </w:p>
        </w:tc>
      </w:tr>
      <w:tr>
        <w:trPr/>
        <w:tc>
          <w:tcPr>
            <w:tcW w:w="7281" w:type="dxa"/>
            <w:tcBorders/>
            <w:shd w:fill="CCEEFF" w:val="clear"/>
            <w:vAlign w:val="bottom"/>
          </w:tcPr>
          <w:p>
            <w:pPr>
              <w:pStyle w:val="TableContents"/>
              <w:spacing w:before="0" w:after="283"/>
              <w:rPr/>
            </w:pPr>
            <w:r>
              <w:rPr/>
              <w:t xml:space="preserve">  </w:t>
            </w:r>
          </w:p>
        </w:tc>
        <w:tc>
          <w:tcPr>
            <w:tcW w:w="106"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jc w:val="left"/>
              <w:rPr/>
            </w:pPr>
            <w:r>
              <w:rPr/>
              <w:t> </w:t>
            </w:r>
          </w:p>
        </w:tc>
        <w:tc>
          <w:tcPr>
            <w:tcW w:w="1112" w:type="dxa"/>
            <w:tcBorders/>
            <w:shd w:fill="CCEEFF" w:val="clear"/>
            <w:vAlign w:val="bottom"/>
          </w:tcPr>
          <w:p>
            <w:pPr>
              <w:pStyle w:val="TableContents"/>
              <w:spacing w:before="0" w:after="283"/>
              <w:jc w:val="right"/>
              <w:rPr/>
            </w:pPr>
            <w:r>
              <w:rPr/>
              <w:t> </w:t>
            </w:r>
          </w:p>
        </w:tc>
        <w:tc>
          <w:tcPr>
            <w:tcW w:w="112" w:type="dxa"/>
            <w:tcBorders/>
            <w:shd w:fill="CCEEFF" w:val="clear"/>
            <w:vAlign w:val="bottom"/>
          </w:tcPr>
          <w:p>
            <w:pPr>
              <w:pStyle w:val="TableContents"/>
              <w:spacing w:before="0" w:after="283"/>
              <w:jc w:val="left"/>
              <w:rPr/>
            </w:pPr>
            <w:r>
              <w:rPr/>
              <w:t> </w:t>
            </w:r>
          </w:p>
        </w:tc>
        <w:tc>
          <w:tcPr>
            <w:tcW w:w="106"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jc w:val="left"/>
              <w:rPr/>
            </w:pPr>
            <w:r>
              <w:rPr/>
              <w:t> </w:t>
            </w:r>
          </w:p>
        </w:tc>
        <w:tc>
          <w:tcPr>
            <w:tcW w:w="1112" w:type="dxa"/>
            <w:tcBorders/>
            <w:shd w:fill="CCEEFF" w:val="clear"/>
            <w:vAlign w:val="bottom"/>
          </w:tcPr>
          <w:p>
            <w:pPr>
              <w:pStyle w:val="TableContents"/>
              <w:spacing w:before="0" w:after="283"/>
              <w:jc w:val="right"/>
              <w:rPr/>
            </w:pPr>
            <w:r>
              <w:rPr/>
              <w:t> </w:t>
            </w:r>
          </w:p>
        </w:tc>
        <w:tc>
          <w:tcPr>
            <w:tcW w:w="124" w:type="dxa"/>
            <w:tcBorders/>
            <w:shd w:fill="CCEEFF" w:val="clear"/>
            <w:vAlign w:val="bottom"/>
          </w:tcPr>
          <w:p>
            <w:pPr>
              <w:pStyle w:val="TableContents"/>
              <w:spacing w:before="0" w:after="283"/>
              <w:jc w:val="left"/>
              <w:rPr/>
            </w:pPr>
            <w:r>
              <w:rPr/>
              <w:t> </w:t>
            </w:r>
          </w:p>
        </w:tc>
      </w:tr>
      <w:tr>
        <w:trPr/>
        <w:tc>
          <w:tcPr>
            <w:tcW w:w="7281" w:type="dxa"/>
            <w:tcBorders/>
            <w:shd w:fill="FFFFFF" w:val="clear"/>
            <w:vAlign w:val="bottom"/>
          </w:tcPr>
          <w:p>
            <w:pPr>
              <w:pStyle w:val="TableContents"/>
              <w:spacing w:before="0" w:after="0"/>
              <w:ind w:left="0" w:right="0" w:hanging="0"/>
              <w:jc w:val="left"/>
              <w:rPr>
                <w:rFonts w:ascii="helvetica" w:hAnsi="helvetica"/>
                <w:sz w:val="20"/>
              </w:rPr>
            </w:pPr>
            <w:r>
              <w:rPr>
                <w:rFonts w:ascii="helvetica" w:hAnsi="helvetica"/>
                <w:sz w:val="20"/>
              </w:rPr>
              <w:t>STOCKHOLDERS' DEFICIT</w:t>
            </w:r>
          </w:p>
        </w:tc>
        <w:tc>
          <w:tcPr>
            <w:tcW w:w="106" w:type="dxa"/>
            <w:tcBorders/>
            <w:shd w:fill="FFFFFF" w:val="clear"/>
            <w:vAlign w:val="bottom"/>
          </w:tcPr>
          <w:p>
            <w:pPr>
              <w:pStyle w:val="TableContents"/>
              <w:spacing w:before="0" w:after="283"/>
              <w:rPr/>
            </w:pPr>
            <w:r>
              <w:rPr/>
              <w:t> </w:t>
            </w:r>
          </w:p>
        </w:tc>
        <w:tc>
          <w:tcPr>
            <w:tcW w:w="126" w:type="dxa"/>
            <w:tcBorders/>
            <w:shd w:fill="FFFFFF" w:val="clear"/>
            <w:vAlign w:val="bottom"/>
          </w:tcPr>
          <w:p>
            <w:pPr>
              <w:pStyle w:val="TableContents"/>
              <w:spacing w:before="0" w:after="283"/>
              <w:jc w:val="left"/>
              <w:rPr/>
            </w:pPr>
            <w:r>
              <w:rPr/>
              <w:t> </w:t>
            </w:r>
          </w:p>
        </w:tc>
        <w:tc>
          <w:tcPr>
            <w:tcW w:w="1112" w:type="dxa"/>
            <w:tcBorders/>
            <w:shd w:fill="FFFFFF" w:val="clear"/>
            <w:vAlign w:val="bottom"/>
          </w:tcPr>
          <w:p>
            <w:pPr>
              <w:pStyle w:val="TableContents"/>
              <w:spacing w:before="0" w:after="283"/>
              <w:jc w:val="right"/>
              <w:rPr/>
            </w:pPr>
            <w:r>
              <w:rPr/>
              <w:t> </w:t>
            </w:r>
          </w:p>
        </w:tc>
        <w:tc>
          <w:tcPr>
            <w:tcW w:w="112" w:type="dxa"/>
            <w:tcBorders/>
            <w:shd w:fill="FFFFFF" w:val="clear"/>
            <w:vAlign w:val="bottom"/>
          </w:tcPr>
          <w:p>
            <w:pPr>
              <w:pStyle w:val="TableContents"/>
              <w:spacing w:before="0" w:after="283"/>
              <w:jc w:val="left"/>
              <w:rPr/>
            </w:pPr>
            <w:r>
              <w:rPr/>
              <w:t> </w:t>
            </w:r>
          </w:p>
        </w:tc>
        <w:tc>
          <w:tcPr>
            <w:tcW w:w="106" w:type="dxa"/>
            <w:tcBorders/>
            <w:shd w:fill="FFFFFF" w:val="clear"/>
            <w:vAlign w:val="bottom"/>
          </w:tcPr>
          <w:p>
            <w:pPr>
              <w:pStyle w:val="TableContents"/>
              <w:spacing w:before="0" w:after="283"/>
              <w:rPr/>
            </w:pPr>
            <w:r>
              <w:rPr/>
              <w:t> </w:t>
            </w:r>
          </w:p>
        </w:tc>
        <w:tc>
          <w:tcPr>
            <w:tcW w:w="126" w:type="dxa"/>
            <w:tcBorders/>
            <w:shd w:fill="FFFFFF" w:val="clear"/>
            <w:vAlign w:val="bottom"/>
          </w:tcPr>
          <w:p>
            <w:pPr>
              <w:pStyle w:val="TableContents"/>
              <w:spacing w:before="0" w:after="283"/>
              <w:jc w:val="left"/>
              <w:rPr/>
            </w:pPr>
            <w:r>
              <w:rPr/>
              <w:t> </w:t>
            </w:r>
          </w:p>
        </w:tc>
        <w:tc>
          <w:tcPr>
            <w:tcW w:w="1112" w:type="dxa"/>
            <w:tcBorders/>
            <w:shd w:fill="FFFFFF" w:val="clear"/>
            <w:vAlign w:val="bottom"/>
          </w:tcPr>
          <w:p>
            <w:pPr>
              <w:pStyle w:val="TableContents"/>
              <w:spacing w:before="0" w:after="283"/>
              <w:jc w:val="right"/>
              <w:rPr/>
            </w:pPr>
            <w:r>
              <w:rPr/>
              <w:t> </w:t>
            </w:r>
          </w:p>
        </w:tc>
        <w:tc>
          <w:tcPr>
            <w:tcW w:w="124" w:type="dxa"/>
            <w:tcBorders/>
            <w:shd w:fill="FFFFFF" w:val="clear"/>
            <w:vAlign w:val="bottom"/>
          </w:tcPr>
          <w:p>
            <w:pPr>
              <w:pStyle w:val="TableContents"/>
              <w:spacing w:before="0" w:after="283"/>
              <w:jc w:val="left"/>
              <w:rPr/>
            </w:pPr>
            <w:r>
              <w:rPr/>
              <w:t> </w:t>
            </w:r>
          </w:p>
        </w:tc>
      </w:tr>
      <w:tr>
        <w:trPr/>
        <w:tc>
          <w:tcPr>
            <w:tcW w:w="8625" w:type="dxa"/>
            <w:gridSpan w:val="4"/>
            <w:tcBorders/>
            <w:shd w:fill="CCEEFF" w:val="clear"/>
            <w:vAlign w:val="bottom"/>
          </w:tcPr>
          <w:p>
            <w:pPr>
              <w:pStyle w:val="TableContents"/>
              <w:spacing w:before="0" w:after="0"/>
              <w:ind w:left="0" w:right="0" w:hanging="0"/>
              <w:jc w:val="left"/>
              <w:rPr>
                <w:rFonts w:ascii="helvetica" w:hAnsi="helvetica"/>
                <w:sz w:val="20"/>
              </w:rPr>
            </w:pPr>
            <w:r>
              <w:rPr>
                <w:rFonts w:ascii="helvetica" w:hAnsi="helvetica"/>
                <w:sz w:val="20"/>
              </w:rPr>
              <w:t>Series A Convertible preferred stock, $0.001 par value, 10 shares authorized,</w:t>
            </w:r>
          </w:p>
        </w:tc>
        <w:tc>
          <w:tcPr>
            <w:tcW w:w="112" w:type="dxa"/>
            <w:tcBorders/>
            <w:shd w:fill="CCEEFF" w:val="clear"/>
            <w:vAlign w:val="bottom"/>
          </w:tcPr>
          <w:p>
            <w:pPr>
              <w:pStyle w:val="TableContents"/>
              <w:spacing w:before="0" w:after="283"/>
              <w:jc w:val="left"/>
              <w:rPr/>
            </w:pPr>
            <w:r>
              <w:rPr/>
              <w:t> </w:t>
            </w:r>
          </w:p>
        </w:tc>
        <w:tc>
          <w:tcPr>
            <w:tcW w:w="106"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jc w:val="left"/>
              <w:rPr/>
            </w:pPr>
            <w:r>
              <w:rPr/>
              <w:t> </w:t>
            </w:r>
          </w:p>
        </w:tc>
        <w:tc>
          <w:tcPr>
            <w:tcW w:w="1112" w:type="dxa"/>
            <w:tcBorders/>
            <w:shd w:fill="CCEEFF" w:val="clear"/>
            <w:vAlign w:val="bottom"/>
          </w:tcPr>
          <w:p>
            <w:pPr>
              <w:pStyle w:val="TableContents"/>
              <w:spacing w:before="0" w:after="283"/>
              <w:jc w:val="right"/>
              <w:rPr/>
            </w:pPr>
            <w:r>
              <w:rPr/>
              <w:t> </w:t>
            </w:r>
          </w:p>
        </w:tc>
        <w:tc>
          <w:tcPr>
            <w:tcW w:w="124" w:type="dxa"/>
            <w:tcBorders/>
            <w:shd w:fill="CCEEFF" w:val="clear"/>
            <w:vAlign w:val="bottom"/>
          </w:tcPr>
          <w:p>
            <w:pPr>
              <w:pStyle w:val="TableContents"/>
              <w:spacing w:before="0" w:after="283"/>
              <w:jc w:val="left"/>
              <w:rPr/>
            </w:pPr>
            <w:r>
              <w:rPr/>
              <w:t> </w:t>
            </w:r>
          </w:p>
        </w:tc>
      </w:tr>
      <w:tr>
        <w:trPr/>
        <w:tc>
          <w:tcPr>
            <w:tcW w:w="7281" w:type="dxa"/>
            <w:tcBorders/>
            <w:shd w:fill="FFFFFF" w:val="clear"/>
            <w:vAlign w:val="bottom"/>
          </w:tcPr>
          <w:p>
            <w:pPr>
              <w:pStyle w:val="TableContents"/>
              <w:spacing w:before="0" w:after="0"/>
              <w:ind w:left="0" w:right="0" w:hanging="0"/>
              <w:jc w:val="left"/>
              <w:rPr>
                <w:rFonts w:ascii="helvetica" w:hAnsi="helvetica"/>
                <w:sz w:val="20"/>
              </w:rPr>
            </w:pPr>
            <w:r>
              <w:rPr>
                <w:rFonts w:ascii="helvetica" w:hAnsi="helvetica"/>
                <w:sz w:val="20"/>
              </w:rPr>
              <w:t>10 and 0 shares issued and outstanding</w:t>
            </w:r>
          </w:p>
        </w:tc>
        <w:tc>
          <w:tcPr>
            <w:tcW w:w="106" w:type="dxa"/>
            <w:tcBorders/>
            <w:shd w:fill="FFFFFF" w:val="clear"/>
            <w:vAlign w:val="bottom"/>
          </w:tcPr>
          <w:p>
            <w:pPr>
              <w:pStyle w:val="TableContents"/>
              <w:spacing w:before="0" w:after="283"/>
              <w:rPr/>
            </w:pPr>
            <w:r>
              <w:rPr/>
              <w:t> </w:t>
            </w:r>
          </w:p>
        </w:tc>
        <w:tc>
          <w:tcPr>
            <w:tcW w:w="126" w:type="dxa"/>
            <w:tcBorders/>
            <w:shd w:fill="FFFFFF" w:val="clear"/>
            <w:vAlign w:val="bottom"/>
          </w:tcPr>
          <w:p>
            <w:pPr>
              <w:pStyle w:val="TableContents"/>
              <w:spacing w:before="0" w:after="283"/>
              <w:jc w:val="left"/>
              <w:rPr/>
            </w:pPr>
            <w:r>
              <w:rPr/>
              <w:t> </w:t>
            </w:r>
          </w:p>
        </w:tc>
        <w:tc>
          <w:tcPr>
            <w:tcW w:w="1112" w:type="dxa"/>
            <w:tcBorders/>
            <w:shd w:fill="FFFFFF" w:val="clear"/>
            <w:vAlign w:val="bottom"/>
          </w:tcPr>
          <w:p>
            <w:pPr>
              <w:pStyle w:val="TableContents"/>
              <w:spacing w:before="0" w:after="283"/>
              <w:jc w:val="right"/>
              <w:rPr/>
            </w:pPr>
            <w:r>
              <w:rPr/>
              <w:t> </w:t>
            </w:r>
          </w:p>
        </w:tc>
        <w:tc>
          <w:tcPr>
            <w:tcW w:w="112" w:type="dxa"/>
            <w:tcBorders/>
            <w:shd w:fill="FFFFFF" w:val="clear"/>
            <w:vAlign w:val="bottom"/>
          </w:tcPr>
          <w:p>
            <w:pPr>
              <w:pStyle w:val="TableContents"/>
              <w:spacing w:before="0" w:after="283"/>
              <w:jc w:val="left"/>
              <w:rPr/>
            </w:pPr>
            <w:r>
              <w:rPr/>
              <w:t> </w:t>
            </w:r>
          </w:p>
        </w:tc>
        <w:tc>
          <w:tcPr>
            <w:tcW w:w="106" w:type="dxa"/>
            <w:tcBorders/>
            <w:shd w:fill="FFFFFF" w:val="clear"/>
            <w:vAlign w:val="bottom"/>
          </w:tcPr>
          <w:p>
            <w:pPr>
              <w:pStyle w:val="TableContents"/>
              <w:spacing w:before="0" w:after="283"/>
              <w:rPr/>
            </w:pPr>
            <w:r>
              <w:rPr/>
              <w:t> </w:t>
            </w:r>
          </w:p>
        </w:tc>
        <w:tc>
          <w:tcPr>
            <w:tcW w:w="126" w:type="dxa"/>
            <w:tcBorders/>
            <w:shd w:fill="FFFFFF" w:val="clear"/>
            <w:vAlign w:val="bottom"/>
          </w:tcPr>
          <w:p>
            <w:pPr>
              <w:pStyle w:val="TableContents"/>
              <w:spacing w:before="0" w:after="283"/>
              <w:jc w:val="left"/>
              <w:rPr/>
            </w:pPr>
            <w:r>
              <w:rPr/>
              <w:t> </w:t>
            </w:r>
          </w:p>
        </w:tc>
        <w:tc>
          <w:tcPr>
            <w:tcW w:w="1112" w:type="dxa"/>
            <w:tcBorders/>
            <w:shd w:fill="FFFFFF" w:val="clear"/>
            <w:vAlign w:val="bottom"/>
          </w:tcPr>
          <w:p>
            <w:pPr>
              <w:pStyle w:val="TableContents"/>
              <w:spacing w:before="0" w:after="283"/>
              <w:jc w:val="right"/>
              <w:rPr/>
            </w:pPr>
            <w:r>
              <w:rPr/>
              <w:t> </w:t>
            </w:r>
          </w:p>
        </w:tc>
        <w:tc>
          <w:tcPr>
            <w:tcW w:w="124" w:type="dxa"/>
            <w:tcBorders/>
            <w:shd w:fill="FFFFFF" w:val="clear"/>
            <w:vAlign w:val="bottom"/>
          </w:tcPr>
          <w:p>
            <w:pPr>
              <w:pStyle w:val="TableContents"/>
              <w:spacing w:before="0" w:after="283"/>
              <w:jc w:val="left"/>
              <w:rPr/>
            </w:pPr>
            <w:r>
              <w:rPr/>
              <w:t> </w:t>
            </w:r>
          </w:p>
        </w:tc>
      </w:tr>
      <w:tr>
        <w:trPr/>
        <w:tc>
          <w:tcPr>
            <w:tcW w:w="7281" w:type="dxa"/>
            <w:tcBorders/>
            <w:shd w:fill="CCEEFF" w:val="clear"/>
            <w:vAlign w:val="bottom"/>
          </w:tcPr>
          <w:p>
            <w:pPr>
              <w:pStyle w:val="TableContents"/>
              <w:spacing w:before="0" w:after="0"/>
              <w:ind w:left="0" w:right="0" w:hanging="0"/>
              <w:jc w:val="left"/>
              <w:rPr>
                <w:rFonts w:ascii="helvetica" w:hAnsi="helvetica"/>
                <w:sz w:val="20"/>
              </w:rPr>
            </w:pPr>
            <w:r>
              <w:rPr>
                <w:rFonts w:ascii="helvetica" w:hAnsi="helvetica"/>
                <w:sz w:val="20"/>
              </w:rPr>
              <w:t>at December 31, 2011 and 2010, respectively</w:t>
            </w:r>
          </w:p>
        </w:tc>
        <w:tc>
          <w:tcPr>
            <w:tcW w:w="106"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jc w:val="left"/>
              <w:rPr/>
            </w:pPr>
            <w:r>
              <w:rPr/>
              <w:t> </w:t>
            </w:r>
          </w:p>
        </w:tc>
        <w:tc>
          <w:tcPr>
            <w:tcW w:w="1112"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w:t>
            </w:r>
          </w:p>
        </w:tc>
        <w:tc>
          <w:tcPr>
            <w:tcW w:w="112" w:type="dxa"/>
            <w:tcBorders/>
            <w:shd w:fill="CCEEFF" w:val="clear"/>
            <w:vAlign w:val="bottom"/>
          </w:tcPr>
          <w:p>
            <w:pPr>
              <w:pStyle w:val="TableContents"/>
              <w:spacing w:before="0" w:after="283"/>
              <w:jc w:val="left"/>
              <w:rPr/>
            </w:pPr>
            <w:r>
              <w:rPr/>
              <w:t> </w:t>
            </w:r>
          </w:p>
        </w:tc>
        <w:tc>
          <w:tcPr>
            <w:tcW w:w="106"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jc w:val="left"/>
              <w:rPr/>
            </w:pPr>
            <w:r>
              <w:rPr/>
              <w:t> </w:t>
            </w:r>
          </w:p>
        </w:tc>
        <w:tc>
          <w:tcPr>
            <w:tcW w:w="1112"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w:t>
            </w:r>
          </w:p>
        </w:tc>
        <w:tc>
          <w:tcPr>
            <w:tcW w:w="124" w:type="dxa"/>
            <w:tcBorders/>
            <w:shd w:fill="CCEEFF" w:val="clear"/>
            <w:vAlign w:val="bottom"/>
          </w:tcPr>
          <w:p>
            <w:pPr>
              <w:pStyle w:val="TableContents"/>
              <w:spacing w:before="0" w:after="283"/>
              <w:jc w:val="left"/>
              <w:rPr/>
            </w:pPr>
            <w:r>
              <w:rPr/>
              <w:t> </w:t>
            </w:r>
          </w:p>
        </w:tc>
      </w:tr>
      <w:tr>
        <w:trPr/>
        <w:tc>
          <w:tcPr>
            <w:tcW w:w="7281" w:type="dxa"/>
            <w:tcBorders/>
            <w:shd w:fill="FFFFFF" w:val="clear"/>
            <w:vAlign w:val="bottom"/>
          </w:tcPr>
          <w:p>
            <w:pPr>
              <w:pStyle w:val="TableContents"/>
              <w:spacing w:before="0" w:after="0"/>
              <w:ind w:left="0" w:right="0" w:hanging="0"/>
              <w:jc w:val="left"/>
              <w:rPr>
                <w:rFonts w:ascii="helvetica" w:hAnsi="helvetica"/>
                <w:sz w:val="20"/>
              </w:rPr>
            </w:pPr>
            <w:r>
              <w:rPr>
                <w:rFonts w:ascii="helvetica" w:hAnsi="helvetica"/>
                <w:sz w:val="20"/>
              </w:rPr>
              <w:t>Common stock, $0.001 par value, 50,000,000 shares authorized,</w:t>
            </w:r>
          </w:p>
        </w:tc>
        <w:tc>
          <w:tcPr>
            <w:tcW w:w="106" w:type="dxa"/>
            <w:tcBorders/>
            <w:shd w:fill="FFFFFF" w:val="clear"/>
            <w:vAlign w:val="bottom"/>
          </w:tcPr>
          <w:p>
            <w:pPr>
              <w:pStyle w:val="TableContents"/>
              <w:spacing w:before="0" w:after="283"/>
              <w:rPr/>
            </w:pPr>
            <w:r>
              <w:rPr/>
              <w:t> </w:t>
            </w:r>
          </w:p>
        </w:tc>
        <w:tc>
          <w:tcPr>
            <w:tcW w:w="126" w:type="dxa"/>
            <w:tcBorders/>
            <w:shd w:fill="FFFFFF" w:val="clear"/>
            <w:vAlign w:val="bottom"/>
          </w:tcPr>
          <w:p>
            <w:pPr>
              <w:pStyle w:val="TableContents"/>
              <w:spacing w:before="0" w:after="283"/>
              <w:jc w:val="left"/>
              <w:rPr/>
            </w:pPr>
            <w:r>
              <w:rPr/>
              <w:t> </w:t>
            </w:r>
          </w:p>
        </w:tc>
        <w:tc>
          <w:tcPr>
            <w:tcW w:w="1112" w:type="dxa"/>
            <w:tcBorders/>
            <w:shd w:fill="FFFFFF" w:val="clear"/>
            <w:vAlign w:val="bottom"/>
          </w:tcPr>
          <w:p>
            <w:pPr>
              <w:pStyle w:val="TableContents"/>
              <w:spacing w:before="0" w:after="283"/>
              <w:jc w:val="right"/>
              <w:rPr/>
            </w:pPr>
            <w:r>
              <w:rPr/>
              <w:t> </w:t>
            </w:r>
          </w:p>
        </w:tc>
        <w:tc>
          <w:tcPr>
            <w:tcW w:w="112" w:type="dxa"/>
            <w:tcBorders/>
            <w:shd w:fill="FFFFFF" w:val="clear"/>
            <w:vAlign w:val="bottom"/>
          </w:tcPr>
          <w:p>
            <w:pPr>
              <w:pStyle w:val="TableContents"/>
              <w:spacing w:before="0" w:after="283"/>
              <w:jc w:val="left"/>
              <w:rPr/>
            </w:pPr>
            <w:r>
              <w:rPr/>
              <w:t> </w:t>
            </w:r>
          </w:p>
        </w:tc>
        <w:tc>
          <w:tcPr>
            <w:tcW w:w="106" w:type="dxa"/>
            <w:tcBorders/>
            <w:shd w:fill="FFFFFF" w:val="clear"/>
            <w:vAlign w:val="bottom"/>
          </w:tcPr>
          <w:p>
            <w:pPr>
              <w:pStyle w:val="TableContents"/>
              <w:spacing w:before="0" w:after="283"/>
              <w:rPr/>
            </w:pPr>
            <w:r>
              <w:rPr/>
              <w:t> </w:t>
            </w:r>
          </w:p>
        </w:tc>
        <w:tc>
          <w:tcPr>
            <w:tcW w:w="126" w:type="dxa"/>
            <w:tcBorders/>
            <w:shd w:fill="FFFFFF" w:val="clear"/>
            <w:vAlign w:val="bottom"/>
          </w:tcPr>
          <w:p>
            <w:pPr>
              <w:pStyle w:val="TableContents"/>
              <w:spacing w:before="0" w:after="283"/>
              <w:jc w:val="left"/>
              <w:rPr/>
            </w:pPr>
            <w:r>
              <w:rPr/>
              <w:t> </w:t>
            </w:r>
          </w:p>
        </w:tc>
        <w:tc>
          <w:tcPr>
            <w:tcW w:w="1112" w:type="dxa"/>
            <w:tcBorders/>
            <w:shd w:fill="FFFFFF" w:val="clear"/>
            <w:vAlign w:val="bottom"/>
          </w:tcPr>
          <w:p>
            <w:pPr>
              <w:pStyle w:val="TableContents"/>
              <w:spacing w:before="0" w:after="283"/>
              <w:jc w:val="right"/>
              <w:rPr/>
            </w:pPr>
            <w:r>
              <w:rPr/>
              <w:t> </w:t>
            </w:r>
          </w:p>
        </w:tc>
        <w:tc>
          <w:tcPr>
            <w:tcW w:w="124" w:type="dxa"/>
            <w:tcBorders/>
            <w:shd w:fill="FFFFFF" w:val="clear"/>
            <w:vAlign w:val="bottom"/>
          </w:tcPr>
          <w:p>
            <w:pPr>
              <w:pStyle w:val="TableContents"/>
              <w:spacing w:before="0" w:after="283"/>
              <w:jc w:val="left"/>
              <w:rPr/>
            </w:pPr>
            <w:r>
              <w:rPr/>
              <w:t> </w:t>
            </w:r>
          </w:p>
        </w:tc>
      </w:tr>
      <w:tr>
        <w:trPr/>
        <w:tc>
          <w:tcPr>
            <w:tcW w:w="7281" w:type="dxa"/>
            <w:tcBorders/>
            <w:shd w:fill="CCEEFF" w:val="clear"/>
            <w:vAlign w:val="bottom"/>
          </w:tcPr>
          <w:p>
            <w:pPr>
              <w:pStyle w:val="TableContents"/>
              <w:spacing w:before="0" w:after="0"/>
              <w:ind w:left="0" w:right="0" w:hanging="0"/>
              <w:jc w:val="left"/>
              <w:rPr>
                <w:rFonts w:ascii="helvetica" w:hAnsi="helvetica"/>
                <w:sz w:val="20"/>
              </w:rPr>
            </w:pPr>
            <w:r>
              <w:rPr>
                <w:rFonts w:ascii="helvetica" w:hAnsi="helvetica"/>
                <w:sz w:val="20"/>
              </w:rPr>
              <w:t>1,987,601 and  1,991,508 issued and outstanding</w:t>
            </w:r>
          </w:p>
        </w:tc>
        <w:tc>
          <w:tcPr>
            <w:tcW w:w="106"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jc w:val="left"/>
              <w:rPr/>
            </w:pPr>
            <w:r>
              <w:rPr/>
              <w:t> </w:t>
            </w:r>
          </w:p>
        </w:tc>
        <w:tc>
          <w:tcPr>
            <w:tcW w:w="1112" w:type="dxa"/>
            <w:tcBorders/>
            <w:shd w:fill="CCEEFF" w:val="clear"/>
            <w:vAlign w:val="bottom"/>
          </w:tcPr>
          <w:p>
            <w:pPr>
              <w:pStyle w:val="TableContents"/>
              <w:spacing w:before="0" w:after="283"/>
              <w:jc w:val="right"/>
              <w:rPr/>
            </w:pPr>
            <w:r>
              <w:rPr/>
              <w:t> </w:t>
            </w:r>
          </w:p>
        </w:tc>
        <w:tc>
          <w:tcPr>
            <w:tcW w:w="112" w:type="dxa"/>
            <w:tcBorders/>
            <w:shd w:fill="CCEEFF" w:val="clear"/>
            <w:vAlign w:val="bottom"/>
          </w:tcPr>
          <w:p>
            <w:pPr>
              <w:pStyle w:val="TableContents"/>
              <w:spacing w:before="0" w:after="283"/>
              <w:jc w:val="left"/>
              <w:rPr/>
            </w:pPr>
            <w:r>
              <w:rPr/>
              <w:t> </w:t>
            </w:r>
          </w:p>
        </w:tc>
        <w:tc>
          <w:tcPr>
            <w:tcW w:w="106"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jc w:val="left"/>
              <w:rPr/>
            </w:pPr>
            <w:r>
              <w:rPr/>
              <w:t> </w:t>
            </w:r>
          </w:p>
        </w:tc>
        <w:tc>
          <w:tcPr>
            <w:tcW w:w="1112" w:type="dxa"/>
            <w:tcBorders/>
            <w:shd w:fill="CCEEFF" w:val="clear"/>
            <w:vAlign w:val="bottom"/>
          </w:tcPr>
          <w:p>
            <w:pPr>
              <w:pStyle w:val="TableContents"/>
              <w:spacing w:before="0" w:after="283"/>
              <w:jc w:val="right"/>
              <w:rPr/>
            </w:pPr>
            <w:r>
              <w:rPr/>
              <w:t> </w:t>
            </w:r>
          </w:p>
        </w:tc>
        <w:tc>
          <w:tcPr>
            <w:tcW w:w="124" w:type="dxa"/>
            <w:tcBorders/>
            <w:shd w:fill="CCEEFF" w:val="clear"/>
            <w:vAlign w:val="bottom"/>
          </w:tcPr>
          <w:p>
            <w:pPr>
              <w:pStyle w:val="TableContents"/>
              <w:spacing w:before="0" w:after="283"/>
              <w:jc w:val="left"/>
              <w:rPr/>
            </w:pPr>
            <w:r>
              <w:rPr/>
              <w:t> </w:t>
            </w:r>
          </w:p>
        </w:tc>
      </w:tr>
      <w:tr>
        <w:trPr/>
        <w:tc>
          <w:tcPr>
            <w:tcW w:w="7281" w:type="dxa"/>
            <w:tcBorders/>
            <w:shd w:fill="FFFFFF" w:val="clear"/>
            <w:vAlign w:val="bottom"/>
          </w:tcPr>
          <w:p>
            <w:pPr>
              <w:pStyle w:val="TableContents"/>
              <w:spacing w:before="0" w:after="0"/>
              <w:ind w:left="0" w:right="0" w:hanging="0"/>
              <w:jc w:val="left"/>
              <w:rPr>
                <w:rFonts w:ascii="helvetica" w:hAnsi="helvetica"/>
                <w:sz w:val="20"/>
              </w:rPr>
            </w:pPr>
            <w:r>
              <w:rPr>
                <w:rFonts w:ascii="helvetica" w:hAnsi="helvetica"/>
                <w:sz w:val="20"/>
              </w:rPr>
              <w:t>at December 31, 2011 and 2010, respectively</w:t>
            </w:r>
          </w:p>
        </w:tc>
        <w:tc>
          <w:tcPr>
            <w:tcW w:w="106" w:type="dxa"/>
            <w:tcBorders/>
            <w:shd w:fill="FFFFFF" w:val="clear"/>
            <w:vAlign w:val="bottom"/>
          </w:tcPr>
          <w:p>
            <w:pPr>
              <w:pStyle w:val="TableContents"/>
              <w:spacing w:before="0" w:after="283"/>
              <w:rPr/>
            </w:pPr>
            <w:r>
              <w:rPr/>
              <w:t> </w:t>
            </w:r>
          </w:p>
        </w:tc>
        <w:tc>
          <w:tcPr>
            <w:tcW w:w="126" w:type="dxa"/>
            <w:tcBorders/>
            <w:shd w:fill="FFFFFF" w:val="clear"/>
            <w:vAlign w:val="bottom"/>
          </w:tcPr>
          <w:p>
            <w:pPr>
              <w:pStyle w:val="TableContents"/>
              <w:spacing w:before="0" w:after="283"/>
              <w:jc w:val="left"/>
              <w:rPr/>
            </w:pPr>
            <w:r>
              <w:rPr/>
              <w:t> </w:t>
            </w:r>
          </w:p>
        </w:tc>
        <w:tc>
          <w:tcPr>
            <w:tcW w:w="1112"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1,988</w:t>
            </w:r>
          </w:p>
        </w:tc>
        <w:tc>
          <w:tcPr>
            <w:tcW w:w="112" w:type="dxa"/>
            <w:tcBorders/>
            <w:shd w:fill="FFFFFF" w:val="clear"/>
            <w:vAlign w:val="bottom"/>
          </w:tcPr>
          <w:p>
            <w:pPr>
              <w:pStyle w:val="TableContents"/>
              <w:spacing w:before="0" w:after="283"/>
              <w:jc w:val="left"/>
              <w:rPr/>
            </w:pPr>
            <w:r>
              <w:rPr/>
              <w:t> </w:t>
            </w:r>
          </w:p>
        </w:tc>
        <w:tc>
          <w:tcPr>
            <w:tcW w:w="106" w:type="dxa"/>
            <w:tcBorders/>
            <w:shd w:fill="FFFFFF" w:val="clear"/>
            <w:vAlign w:val="bottom"/>
          </w:tcPr>
          <w:p>
            <w:pPr>
              <w:pStyle w:val="TableContents"/>
              <w:spacing w:before="0" w:after="283"/>
              <w:rPr/>
            </w:pPr>
            <w:r>
              <w:rPr/>
              <w:t> </w:t>
            </w:r>
          </w:p>
        </w:tc>
        <w:tc>
          <w:tcPr>
            <w:tcW w:w="126" w:type="dxa"/>
            <w:tcBorders/>
            <w:shd w:fill="FFFFFF" w:val="clear"/>
            <w:vAlign w:val="bottom"/>
          </w:tcPr>
          <w:p>
            <w:pPr>
              <w:pStyle w:val="TableContents"/>
              <w:spacing w:before="0" w:after="283"/>
              <w:jc w:val="left"/>
              <w:rPr/>
            </w:pPr>
            <w:r>
              <w:rPr/>
              <w:t> </w:t>
            </w:r>
          </w:p>
        </w:tc>
        <w:tc>
          <w:tcPr>
            <w:tcW w:w="1112"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1,992</w:t>
            </w:r>
          </w:p>
        </w:tc>
        <w:tc>
          <w:tcPr>
            <w:tcW w:w="124" w:type="dxa"/>
            <w:tcBorders/>
            <w:shd w:fill="FFFFFF" w:val="clear"/>
            <w:vAlign w:val="bottom"/>
          </w:tcPr>
          <w:p>
            <w:pPr>
              <w:pStyle w:val="TableContents"/>
              <w:spacing w:before="0" w:after="283"/>
              <w:jc w:val="left"/>
              <w:rPr/>
            </w:pPr>
            <w:r>
              <w:rPr/>
              <w:t> </w:t>
            </w:r>
          </w:p>
        </w:tc>
      </w:tr>
      <w:tr>
        <w:trPr/>
        <w:tc>
          <w:tcPr>
            <w:tcW w:w="7281" w:type="dxa"/>
            <w:tcBorders/>
            <w:shd w:fill="CCEEFF" w:val="clear"/>
            <w:vAlign w:val="bottom"/>
          </w:tcPr>
          <w:p>
            <w:pPr>
              <w:pStyle w:val="TableContents"/>
              <w:spacing w:before="0" w:after="0"/>
              <w:ind w:left="0" w:right="0" w:hanging="0"/>
              <w:jc w:val="left"/>
              <w:rPr>
                <w:rFonts w:ascii="helvetica" w:hAnsi="helvetica"/>
                <w:sz w:val="20"/>
              </w:rPr>
            </w:pPr>
            <w:r>
              <w:rPr>
                <w:rFonts w:ascii="helvetica" w:hAnsi="helvetica"/>
                <w:sz w:val="20"/>
              </w:rPr>
              <w:t>Additional paid in capital</w:t>
            </w:r>
          </w:p>
        </w:tc>
        <w:tc>
          <w:tcPr>
            <w:tcW w:w="106"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jc w:val="left"/>
              <w:rPr/>
            </w:pPr>
            <w:r>
              <w:rPr/>
              <w:t> </w:t>
            </w:r>
          </w:p>
        </w:tc>
        <w:tc>
          <w:tcPr>
            <w:tcW w:w="1112"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16,818,740</w:t>
            </w:r>
          </w:p>
        </w:tc>
        <w:tc>
          <w:tcPr>
            <w:tcW w:w="112" w:type="dxa"/>
            <w:tcBorders/>
            <w:shd w:fill="CCEEFF" w:val="clear"/>
            <w:vAlign w:val="bottom"/>
          </w:tcPr>
          <w:p>
            <w:pPr>
              <w:pStyle w:val="TableContents"/>
              <w:spacing w:before="0" w:after="283"/>
              <w:jc w:val="left"/>
              <w:rPr/>
            </w:pPr>
            <w:r>
              <w:rPr/>
              <w:t> </w:t>
            </w:r>
          </w:p>
        </w:tc>
        <w:tc>
          <w:tcPr>
            <w:tcW w:w="106"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jc w:val="left"/>
              <w:rPr/>
            </w:pPr>
            <w:r>
              <w:rPr/>
              <w:t> </w:t>
            </w:r>
          </w:p>
        </w:tc>
        <w:tc>
          <w:tcPr>
            <w:tcW w:w="1112"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16,426,583</w:t>
            </w:r>
          </w:p>
        </w:tc>
        <w:tc>
          <w:tcPr>
            <w:tcW w:w="124" w:type="dxa"/>
            <w:tcBorders/>
            <w:shd w:fill="CCEEFF" w:val="clear"/>
            <w:vAlign w:val="bottom"/>
          </w:tcPr>
          <w:p>
            <w:pPr>
              <w:pStyle w:val="TableContents"/>
              <w:spacing w:before="0" w:after="283"/>
              <w:jc w:val="left"/>
              <w:rPr/>
            </w:pPr>
            <w:r>
              <w:rPr/>
              <w:t> </w:t>
            </w:r>
          </w:p>
        </w:tc>
      </w:tr>
      <w:tr>
        <w:trPr/>
        <w:tc>
          <w:tcPr>
            <w:tcW w:w="7281" w:type="dxa"/>
            <w:tcBorders/>
            <w:shd w:fill="FFFFFF" w:val="clear"/>
            <w:vAlign w:val="bottom"/>
          </w:tcPr>
          <w:p>
            <w:pPr>
              <w:pStyle w:val="TableContents"/>
              <w:spacing w:before="0" w:after="0"/>
              <w:ind w:left="0" w:right="0" w:hanging="0"/>
              <w:jc w:val="left"/>
              <w:rPr>
                <w:rFonts w:ascii="helvetica" w:hAnsi="helvetica"/>
                <w:sz w:val="20"/>
              </w:rPr>
            </w:pPr>
            <w:r>
              <w:rPr>
                <w:rFonts w:ascii="helvetica" w:hAnsi="helvetica"/>
                <w:sz w:val="20"/>
              </w:rPr>
              <w:t>Deficit accumulated during the development stage</w:t>
            </w:r>
          </w:p>
        </w:tc>
        <w:tc>
          <w:tcPr>
            <w:tcW w:w="106" w:type="dxa"/>
            <w:tcBorders/>
            <w:shd w:fill="FFFFFF" w:val="clear"/>
            <w:vAlign w:val="bottom"/>
          </w:tcPr>
          <w:p>
            <w:pPr>
              <w:pStyle w:val="TableContents"/>
              <w:spacing w:before="0" w:after="283"/>
              <w:rPr/>
            </w:pPr>
            <w:r>
              <w:rPr/>
              <w:t> </w:t>
            </w:r>
          </w:p>
        </w:tc>
        <w:tc>
          <w:tcPr>
            <w:tcW w:w="126"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112" w:type="dxa"/>
            <w:tcBorders>
              <w:bottom w:val="single" w:sz="12" w:space="0" w:color="000000"/>
            </w:tcBorders>
            <w:shd w:fill="FFFF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(18,520,733</w:t>
            </w:r>
          </w:p>
        </w:tc>
        <w:tc>
          <w:tcPr>
            <w:tcW w:w="112" w:type="dxa"/>
            <w:tcBorders/>
            <w:shd w:fill="FFFFFF" w:val="clear"/>
            <w:vAlign w:val="bottom"/>
          </w:tcPr>
          <w:p>
            <w:pPr>
              <w:pStyle w:val="TableContents"/>
              <w:spacing w:before="0" w:after="283"/>
              <w:jc w:val="left"/>
              <w:rPr>
                <w:rFonts w:ascii="helvetica" w:hAnsi="helvetica"/>
                <w:sz w:val="20"/>
              </w:rPr>
            </w:pPr>
            <w:r>
              <w:rPr>
                <w:rFonts w:ascii="helvetica" w:hAnsi="helvetica"/>
                <w:sz w:val="20"/>
              </w:rPr>
              <w:t>)</w:t>
            </w:r>
          </w:p>
        </w:tc>
        <w:tc>
          <w:tcPr>
            <w:tcW w:w="106" w:type="dxa"/>
            <w:tcBorders/>
            <w:shd w:fill="FFFFFF" w:val="clear"/>
            <w:vAlign w:val="bottom"/>
          </w:tcPr>
          <w:p>
            <w:pPr>
              <w:pStyle w:val="TableContents"/>
              <w:spacing w:before="0" w:after="283"/>
              <w:rPr/>
            </w:pPr>
            <w:r>
              <w:rPr/>
              <w:t> </w:t>
            </w:r>
          </w:p>
        </w:tc>
        <w:tc>
          <w:tcPr>
            <w:tcW w:w="126"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112" w:type="dxa"/>
            <w:tcBorders>
              <w:bottom w:val="single" w:sz="12" w:space="0" w:color="000000"/>
            </w:tcBorders>
            <w:shd w:fill="FFFF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(17,466,797</w:t>
            </w:r>
          </w:p>
        </w:tc>
        <w:tc>
          <w:tcPr>
            <w:tcW w:w="124" w:type="dxa"/>
            <w:tcBorders/>
            <w:shd w:fill="FFFFFF" w:val="clear"/>
            <w:vAlign w:val="bottom"/>
          </w:tcPr>
          <w:p>
            <w:pPr>
              <w:pStyle w:val="TableContents"/>
              <w:spacing w:before="0" w:after="283"/>
              <w:jc w:val="left"/>
              <w:rPr>
                <w:rFonts w:ascii="helvetica" w:hAnsi="helvetica"/>
                <w:sz w:val="20"/>
              </w:rPr>
            </w:pPr>
            <w:r>
              <w:rPr>
                <w:rFonts w:ascii="helvetica" w:hAnsi="helvetica"/>
                <w:sz w:val="20"/>
              </w:rPr>
              <w:t>)</w:t>
            </w:r>
          </w:p>
        </w:tc>
      </w:tr>
      <w:tr>
        <w:trPr/>
        <w:tc>
          <w:tcPr>
            <w:tcW w:w="7281" w:type="dxa"/>
            <w:tcBorders/>
            <w:shd w:fill="CCEEFF" w:val="clear"/>
            <w:vAlign w:val="bottom"/>
          </w:tcPr>
          <w:p>
            <w:pPr>
              <w:pStyle w:val="TableContents"/>
              <w:spacing w:before="0" w:after="0"/>
              <w:ind w:left="0" w:right="0" w:hanging="0"/>
              <w:jc w:val="left"/>
              <w:rPr>
                <w:rFonts w:ascii="helvetica" w:hAnsi="helvetica"/>
                <w:sz w:val="20"/>
              </w:rPr>
            </w:pPr>
            <w:r>
              <w:rPr>
                <w:rFonts w:ascii="helvetica" w:hAnsi="helvetica"/>
                <w:sz w:val="20"/>
              </w:rPr>
              <w:t>TOTAL STOCKHOLDERS' DEFICIT)</w:t>
            </w:r>
          </w:p>
        </w:tc>
        <w:tc>
          <w:tcPr>
            <w:tcW w:w="106" w:type="dxa"/>
            <w:tcBorders/>
            <w:shd w:fill="CCEEFF" w:val="clear"/>
            <w:vAlign w:val="bottom"/>
          </w:tcPr>
          <w:p>
            <w:pPr>
              <w:pStyle w:val="TableContents"/>
              <w:spacing w:before="0" w:after="283"/>
              <w:rPr/>
            </w:pPr>
            <w:r>
              <w:rPr/>
              <w:t> </w:t>
            </w:r>
          </w:p>
        </w:tc>
        <w:tc>
          <w:tcPr>
            <w:tcW w:w="126"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112" w:type="dxa"/>
            <w:tcBorders>
              <w:bottom w:val="single" w:sz="12" w:space="0" w:color="000000"/>
            </w:tcBorders>
            <w:shd w:fill="CCEE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(1,700,005</w:t>
            </w:r>
          </w:p>
        </w:tc>
        <w:tc>
          <w:tcPr>
            <w:tcW w:w="112" w:type="dxa"/>
            <w:tcBorders/>
            <w:shd w:fill="CCEEFF" w:val="clear"/>
            <w:vAlign w:val="bottom"/>
          </w:tcPr>
          <w:p>
            <w:pPr>
              <w:pStyle w:val="TableContents"/>
              <w:spacing w:before="0" w:after="283"/>
              <w:jc w:val="left"/>
              <w:rPr>
                <w:rFonts w:ascii="helvetica" w:hAnsi="helvetica"/>
                <w:sz w:val="20"/>
              </w:rPr>
            </w:pPr>
            <w:r>
              <w:rPr>
                <w:rFonts w:ascii="helvetica" w:hAnsi="helvetica"/>
                <w:sz w:val="20"/>
              </w:rPr>
              <w:t>)</w:t>
            </w:r>
          </w:p>
        </w:tc>
        <w:tc>
          <w:tcPr>
            <w:tcW w:w="106" w:type="dxa"/>
            <w:tcBorders/>
            <w:shd w:fill="CCEEFF" w:val="clear"/>
            <w:vAlign w:val="bottom"/>
          </w:tcPr>
          <w:p>
            <w:pPr>
              <w:pStyle w:val="TableContents"/>
              <w:spacing w:before="0" w:after="283"/>
              <w:rPr/>
            </w:pPr>
            <w:r>
              <w:rPr/>
              <w:t> </w:t>
            </w:r>
          </w:p>
        </w:tc>
        <w:tc>
          <w:tcPr>
            <w:tcW w:w="126"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112" w:type="dxa"/>
            <w:tcBorders>
              <w:bottom w:val="single" w:sz="12" w:space="0" w:color="000000"/>
            </w:tcBorders>
            <w:shd w:fill="CCEE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(1,038,222</w:t>
            </w:r>
          </w:p>
        </w:tc>
        <w:tc>
          <w:tcPr>
            <w:tcW w:w="124" w:type="dxa"/>
            <w:tcBorders/>
            <w:shd w:fill="CCEEFF" w:val="clear"/>
            <w:vAlign w:val="bottom"/>
          </w:tcPr>
          <w:p>
            <w:pPr>
              <w:pStyle w:val="TableContents"/>
              <w:spacing w:before="0" w:after="283"/>
              <w:jc w:val="left"/>
              <w:rPr>
                <w:rFonts w:ascii="helvetica" w:hAnsi="helvetica"/>
                <w:sz w:val="20"/>
              </w:rPr>
            </w:pPr>
            <w:r>
              <w:rPr>
                <w:rFonts w:ascii="helvetica" w:hAnsi="helvetica"/>
                <w:sz w:val="20"/>
              </w:rPr>
              <w:t>)</w:t>
            </w:r>
          </w:p>
        </w:tc>
      </w:tr>
      <w:tr>
        <w:trPr/>
        <w:tc>
          <w:tcPr>
            <w:tcW w:w="7281" w:type="dxa"/>
            <w:tcBorders/>
            <w:shd w:fill="FFFFFF" w:val="clear"/>
            <w:vAlign w:val="bottom"/>
          </w:tcPr>
          <w:p>
            <w:pPr>
              <w:pStyle w:val="TableContents"/>
              <w:spacing w:before="0" w:after="283"/>
              <w:rPr/>
            </w:pPr>
            <w:r>
              <w:rPr/>
              <w:t xml:space="preserve">  </w:t>
            </w:r>
          </w:p>
        </w:tc>
        <w:tc>
          <w:tcPr>
            <w:tcW w:w="106" w:type="dxa"/>
            <w:tcBorders/>
            <w:shd w:fill="FFFFFF" w:val="clear"/>
            <w:vAlign w:val="bottom"/>
          </w:tcPr>
          <w:p>
            <w:pPr>
              <w:pStyle w:val="TableContents"/>
              <w:spacing w:before="0" w:after="283"/>
              <w:rPr/>
            </w:pPr>
            <w:r>
              <w:rPr/>
              <w:t> </w:t>
            </w:r>
          </w:p>
        </w:tc>
        <w:tc>
          <w:tcPr>
            <w:tcW w:w="126" w:type="dxa"/>
            <w:tcBorders/>
            <w:shd w:fill="FFFFFF" w:val="clear"/>
            <w:vAlign w:val="bottom"/>
          </w:tcPr>
          <w:p>
            <w:pPr>
              <w:pStyle w:val="TableContents"/>
              <w:spacing w:before="0" w:after="283"/>
              <w:jc w:val="left"/>
              <w:rPr/>
            </w:pPr>
            <w:r>
              <w:rPr/>
              <w:t> </w:t>
            </w:r>
          </w:p>
        </w:tc>
        <w:tc>
          <w:tcPr>
            <w:tcW w:w="1112" w:type="dxa"/>
            <w:tcBorders/>
            <w:shd w:fill="FFFFFF" w:val="clear"/>
            <w:vAlign w:val="bottom"/>
          </w:tcPr>
          <w:p>
            <w:pPr>
              <w:pStyle w:val="TableContents"/>
              <w:spacing w:before="0" w:after="283"/>
              <w:jc w:val="right"/>
              <w:rPr/>
            </w:pPr>
            <w:r>
              <w:rPr/>
              <w:t> </w:t>
            </w:r>
          </w:p>
        </w:tc>
        <w:tc>
          <w:tcPr>
            <w:tcW w:w="112" w:type="dxa"/>
            <w:tcBorders/>
            <w:shd w:fill="FFFFFF" w:val="clear"/>
            <w:vAlign w:val="bottom"/>
          </w:tcPr>
          <w:p>
            <w:pPr>
              <w:pStyle w:val="TableContents"/>
              <w:spacing w:before="0" w:after="283"/>
              <w:jc w:val="left"/>
              <w:rPr/>
            </w:pPr>
            <w:r>
              <w:rPr/>
              <w:t> </w:t>
            </w:r>
          </w:p>
        </w:tc>
        <w:tc>
          <w:tcPr>
            <w:tcW w:w="106" w:type="dxa"/>
            <w:tcBorders/>
            <w:shd w:fill="FFFFFF" w:val="clear"/>
            <w:vAlign w:val="bottom"/>
          </w:tcPr>
          <w:p>
            <w:pPr>
              <w:pStyle w:val="TableContents"/>
              <w:spacing w:before="0" w:after="283"/>
              <w:rPr/>
            </w:pPr>
            <w:r>
              <w:rPr/>
              <w:t> </w:t>
            </w:r>
          </w:p>
        </w:tc>
        <w:tc>
          <w:tcPr>
            <w:tcW w:w="126" w:type="dxa"/>
            <w:tcBorders/>
            <w:shd w:fill="FFFFFF" w:val="clear"/>
            <w:vAlign w:val="bottom"/>
          </w:tcPr>
          <w:p>
            <w:pPr>
              <w:pStyle w:val="TableContents"/>
              <w:spacing w:before="0" w:after="283"/>
              <w:jc w:val="left"/>
              <w:rPr/>
            </w:pPr>
            <w:r>
              <w:rPr/>
              <w:t> </w:t>
            </w:r>
          </w:p>
        </w:tc>
        <w:tc>
          <w:tcPr>
            <w:tcW w:w="1112" w:type="dxa"/>
            <w:tcBorders/>
            <w:shd w:fill="FFFFFF" w:val="clear"/>
            <w:vAlign w:val="bottom"/>
          </w:tcPr>
          <w:p>
            <w:pPr>
              <w:pStyle w:val="TableContents"/>
              <w:spacing w:before="0" w:after="283"/>
              <w:jc w:val="right"/>
              <w:rPr/>
            </w:pPr>
            <w:r>
              <w:rPr/>
              <w:t> </w:t>
            </w:r>
          </w:p>
        </w:tc>
        <w:tc>
          <w:tcPr>
            <w:tcW w:w="124" w:type="dxa"/>
            <w:tcBorders/>
            <w:shd w:fill="FFFFFF" w:val="clear"/>
            <w:vAlign w:val="bottom"/>
          </w:tcPr>
          <w:p>
            <w:pPr>
              <w:pStyle w:val="TableContents"/>
              <w:spacing w:before="0" w:after="283"/>
              <w:jc w:val="left"/>
              <w:rPr/>
            </w:pPr>
            <w:r>
              <w:rPr/>
              <w:t> </w:t>
            </w:r>
          </w:p>
        </w:tc>
      </w:tr>
      <w:tr>
        <w:trPr/>
        <w:tc>
          <w:tcPr>
            <w:tcW w:w="7281" w:type="dxa"/>
            <w:tcBorders/>
            <w:shd w:fill="CCEEFF" w:val="clear"/>
            <w:vAlign w:val="bottom"/>
          </w:tcPr>
          <w:p>
            <w:pPr>
              <w:pStyle w:val="TableContents"/>
              <w:spacing w:before="0" w:after="0"/>
              <w:ind w:left="0" w:right="0" w:hanging="0"/>
              <w:jc w:val="left"/>
              <w:rPr>
                <w:rFonts w:ascii="helvetica" w:hAnsi="helvetica"/>
                <w:sz w:val="20"/>
              </w:rPr>
            </w:pPr>
            <w:r>
              <w:rPr>
                <w:rFonts w:ascii="helvetica" w:hAnsi="helvetica"/>
                <w:sz w:val="20"/>
              </w:rPr>
              <w:t>TOTAL LIABILITIES AND STOCKHOLDERS' DEFICIT</w:t>
            </w:r>
          </w:p>
        </w:tc>
        <w:tc>
          <w:tcPr>
            <w:tcW w:w="106" w:type="dxa"/>
            <w:tcBorders/>
            <w:shd w:fill="CCEEFF" w:val="clear"/>
            <w:vAlign w:val="bottom"/>
          </w:tcPr>
          <w:p>
            <w:pPr>
              <w:pStyle w:val="TableContents"/>
              <w:spacing w:before="0" w:after="283"/>
              <w:rPr/>
            </w:pPr>
            <w:r>
              <w:rPr/>
              <w:t> </w:t>
            </w:r>
          </w:p>
        </w:tc>
        <w:tc>
          <w:tcPr>
            <w:tcW w:w="126" w:type="dxa"/>
            <w:tcBorders>
              <w:bottom w:val="double" w:sz="8" w:space="0" w:color="000000"/>
            </w:tcBorders>
            <w:shd w:fill="CCEEFF" w:val="clear"/>
            <w:tcMar>
              <w:bottom w:w="28" w:type="dxa"/>
            </w:tcMar>
            <w:vAlign w:val="bottom"/>
          </w:tcPr>
          <w:p>
            <w:pPr>
              <w:pStyle w:val="TableContents"/>
              <w:spacing w:before="0" w:after="283"/>
              <w:jc w:val="left"/>
              <w:rPr>
                <w:rFonts w:ascii="helvetica" w:hAnsi="helvetica"/>
                <w:sz w:val="20"/>
              </w:rPr>
            </w:pPr>
            <w:r>
              <w:rPr>
                <w:rFonts w:ascii="helvetica" w:hAnsi="helvetica"/>
                <w:sz w:val="20"/>
              </w:rPr>
              <w:t>$</w:t>
            </w:r>
          </w:p>
        </w:tc>
        <w:tc>
          <w:tcPr>
            <w:tcW w:w="1112" w:type="dxa"/>
            <w:tcBorders>
              <w:bottom w:val="double" w:sz="8" w:space="0" w:color="000000"/>
            </w:tcBorders>
            <w:shd w:fill="CCEE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160,957</w:t>
            </w:r>
          </w:p>
        </w:tc>
        <w:tc>
          <w:tcPr>
            <w:tcW w:w="112" w:type="dxa"/>
            <w:tcBorders/>
            <w:shd w:fill="CCEEFF" w:val="clear"/>
            <w:vAlign w:val="bottom"/>
          </w:tcPr>
          <w:p>
            <w:pPr>
              <w:pStyle w:val="TableContents"/>
              <w:spacing w:before="0" w:after="283"/>
              <w:jc w:val="left"/>
              <w:rPr/>
            </w:pPr>
            <w:r>
              <w:rPr/>
              <w:t> </w:t>
            </w:r>
          </w:p>
        </w:tc>
        <w:tc>
          <w:tcPr>
            <w:tcW w:w="106" w:type="dxa"/>
            <w:tcBorders/>
            <w:shd w:fill="CCEEFF" w:val="clear"/>
            <w:vAlign w:val="bottom"/>
          </w:tcPr>
          <w:p>
            <w:pPr>
              <w:pStyle w:val="TableContents"/>
              <w:spacing w:before="0" w:after="283"/>
              <w:rPr/>
            </w:pPr>
            <w:r>
              <w:rPr/>
              <w:t> </w:t>
            </w:r>
          </w:p>
        </w:tc>
        <w:tc>
          <w:tcPr>
            <w:tcW w:w="126" w:type="dxa"/>
            <w:tcBorders>
              <w:bottom w:val="double" w:sz="8" w:space="0" w:color="000000"/>
            </w:tcBorders>
            <w:shd w:fill="CCEEFF" w:val="clear"/>
            <w:tcMar>
              <w:bottom w:w="28" w:type="dxa"/>
            </w:tcMar>
            <w:vAlign w:val="bottom"/>
          </w:tcPr>
          <w:p>
            <w:pPr>
              <w:pStyle w:val="TableContents"/>
              <w:spacing w:before="0" w:after="283"/>
              <w:jc w:val="left"/>
              <w:rPr>
                <w:rFonts w:ascii="helvetica" w:hAnsi="helvetica"/>
                <w:sz w:val="20"/>
              </w:rPr>
            </w:pPr>
            <w:r>
              <w:rPr>
                <w:rFonts w:ascii="helvetica" w:hAnsi="helvetica"/>
                <w:sz w:val="20"/>
              </w:rPr>
              <w:t>$</w:t>
            </w:r>
          </w:p>
        </w:tc>
        <w:tc>
          <w:tcPr>
            <w:tcW w:w="1112" w:type="dxa"/>
            <w:tcBorders>
              <w:bottom w:val="double" w:sz="8" w:space="0" w:color="000000"/>
            </w:tcBorders>
            <w:shd w:fill="CCEE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352,292</w:t>
            </w:r>
          </w:p>
        </w:tc>
        <w:tc>
          <w:tcPr>
            <w:tcW w:w="124" w:type="dxa"/>
            <w:tcBorders/>
            <w:shd w:fill="CCEEFF" w:val="clear"/>
            <w:vAlign w:val="bottom"/>
          </w:tcPr>
          <w:p>
            <w:pPr>
              <w:pStyle w:val="TableContents"/>
              <w:spacing w:before="0" w:after="283"/>
              <w:jc w:val="left"/>
              <w:rPr/>
            </w:pPr>
            <w:r>
              <w:rPr/>
              <w:t> </w:t>
            </w:r>
          </w:p>
        </w:tc>
      </w:tr>
    </w:tbl>
    <w:p>
      <w:pPr>
        <w:pStyle w:val="TextBody"/>
        <w:spacing w:before="0" w:after="0"/>
        <w:jc w:val="left"/>
        <w:rPr/>
      </w:pPr>
      <w:r>
        <w:rPr/>
        <w:t> </w:t>
      </w:r>
    </w:p>
    <w:p>
      <w:pPr>
        <w:pStyle w:val="TextBody"/>
        <w:spacing w:before="0" w:after="0"/>
        <w:ind w:left="0" w:right="0" w:hanging="0"/>
        <w:jc w:val="center"/>
        <w:rPr>
          <w:rFonts w:ascii="helvetica" w:hAnsi="helvetica"/>
          <w:sz w:val="20"/>
        </w:rPr>
      </w:pPr>
      <w:r>
        <w:rPr>
          <w:rFonts w:ascii="helvetica" w:hAnsi="helvetica"/>
          <w:sz w:val="20"/>
        </w:rPr>
        <w:t>The accompanying notes are an integral part of these consolidated financial statements</w:t>
      </w:r>
    </w:p>
    <w:p>
      <w:pPr>
        <w:pStyle w:val="TextBody"/>
        <w:spacing w:before="0" w:after="0"/>
        <w:ind w:left="0" w:right="0" w:hanging="0"/>
        <w:jc w:val="center"/>
        <w:rPr/>
      </w:pPr>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r>
      <w:bookmarkStart w:id="1085" w:name="PGBRK92"/>
      <w:bookmarkStart w:id="1086" w:name="PGBRK92"/>
      <w:bookmarkEnd w:id="108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087" w:name="FTR92"/>
      <w:bookmarkStart w:id="1088" w:name="FTR92"/>
      <w:bookmarkEnd w:id="108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1089" w:name="GLFTR91"/>
      <w:bookmarkEnd w:id="1089"/>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helvetica" w:hAnsi="helvetica"/>
          <w:sz w:val="20"/>
        </w:rPr>
      </w:pPr>
      <w:bookmarkStart w:id="1090" w:name="PN91"/>
      <w:bookmarkEnd w:id="1090"/>
      <w:r>
        <w:rPr>
          <w:rFonts w:ascii="helvetica" w:hAnsi="helvetica"/>
          <w:sz w:val="20"/>
        </w:rPr>
        <w:t>F-21</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091" w:name="HDR91"/>
      <w:bookmarkStart w:id="1092" w:name="HDR91"/>
      <w:bookmarkEnd w:id="109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1093" w:name="GLHDR91"/>
      <w:bookmarkEnd w:id="1093"/>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10205"/>
      </w:tblGrid>
      <w:tr>
        <w:trPr/>
        <w:tc>
          <w:tcPr>
            <w:tcW w:w="10205" w:type="dxa"/>
            <w:tcBorders/>
            <w:shd w:fill="auto" w:val="clear"/>
            <w:vAlign w:val="bottom"/>
          </w:tcPr>
          <w:p>
            <w:pPr>
              <w:pStyle w:val="TableContents"/>
              <w:spacing w:before="0" w:after="0"/>
              <w:ind w:left="0" w:right="0" w:hanging="0"/>
              <w:jc w:val="center"/>
              <w:rPr>
                <w:rFonts w:ascii="helvetica" w:hAnsi="helvetica"/>
                <w:b/>
                <w:sz w:val="20"/>
              </w:rPr>
            </w:pPr>
            <w:r>
              <w:rPr>
                <w:rFonts w:ascii="helvetica" w:hAnsi="helvetica"/>
                <w:b/>
                <w:sz w:val="20"/>
              </w:rPr>
              <w:t>IMPRIMIS PHARMACEUTICALS, INC.</w:t>
            </w:r>
          </w:p>
        </w:tc>
      </w:tr>
      <w:tr>
        <w:trPr/>
        <w:tc>
          <w:tcPr>
            <w:tcW w:w="10205" w:type="dxa"/>
            <w:tcBorders/>
            <w:shd w:fill="auto" w:val="clear"/>
            <w:vAlign w:val="bottom"/>
          </w:tcPr>
          <w:p>
            <w:pPr>
              <w:pStyle w:val="TableContents"/>
              <w:spacing w:before="0" w:after="0"/>
              <w:ind w:left="0" w:right="0" w:hanging="0"/>
              <w:jc w:val="center"/>
              <w:rPr>
                <w:rFonts w:ascii="helvetica" w:hAnsi="helvetica"/>
                <w:b/>
                <w:sz w:val="20"/>
              </w:rPr>
            </w:pPr>
            <w:r>
              <w:rPr>
                <w:rFonts w:ascii="helvetica" w:hAnsi="helvetica"/>
                <w:b/>
                <w:sz w:val="20"/>
              </w:rPr>
              <w:t>(A Development Stage Company)</w:t>
            </w:r>
          </w:p>
        </w:tc>
      </w:tr>
      <w:tr>
        <w:trPr/>
        <w:tc>
          <w:tcPr>
            <w:tcW w:w="10205" w:type="dxa"/>
            <w:tcBorders/>
            <w:shd w:fill="auto" w:val="clear"/>
            <w:vAlign w:val="bottom"/>
          </w:tcPr>
          <w:p>
            <w:pPr>
              <w:pStyle w:val="TableContents"/>
              <w:spacing w:before="0" w:after="0"/>
              <w:ind w:left="0" w:right="0" w:hanging="0"/>
              <w:jc w:val="center"/>
              <w:rPr>
                <w:rFonts w:ascii="helvetica" w:hAnsi="helvetica"/>
                <w:b/>
                <w:sz w:val="20"/>
              </w:rPr>
            </w:pPr>
            <w:r>
              <w:rPr>
                <w:rFonts w:ascii="helvetica" w:hAnsi="helvetica"/>
                <w:b/>
                <w:sz w:val="20"/>
              </w:rPr>
              <w:t>CONSOLIDATED STATEMENTS OF OPERATIONS</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903"/>
        <w:gridCol w:w="105"/>
        <w:gridCol w:w="126"/>
        <w:gridCol w:w="1077"/>
        <w:gridCol w:w="111"/>
        <w:gridCol w:w="105"/>
        <w:gridCol w:w="126"/>
        <w:gridCol w:w="1077"/>
        <w:gridCol w:w="111"/>
        <w:gridCol w:w="105"/>
        <w:gridCol w:w="126"/>
        <w:gridCol w:w="1111"/>
        <w:gridCol w:w="122"/>
      </w:tblGrid>
      <w:tr>
        <w:trPr/>
        <w:tc>
          <w:tcPr>
            <w:tcW w:w="5903" w:type="dxa"/>
            <w:tcBorders/>
            <w:shd w:fill="auto" w:val="clear"/>
            <w:vAlign w:val="bottom"/>
          </w:tcPr>
          <w:p>
            <w:pPr>
              <w:pStyle w:val="TableContents"/>
              <w:spacing w:before="0" w:after="283"/>
              <w:rPr/>
            </w:pPr>
            <w:r>
              <w:rPr/>
              <w:t xml:space="preserve">  </w:t>
            </w:r>
          </w:p>
        </w:tc>
        <w:tc>
          <w:tcPr>
            <w:tcW w:w="105" w:type="dxa"/>
            <w:tcBorders/>
            <w:shd w:fill="auto" w:val="clear"/>
            <w:vAlign w:val="bottom"/>
          </w:tcPr>
          <w:p>
            <w:pPr>
              <w:pStyle w:val="TableContents"/>
              <w:spacing w:before="0" w:after="283"/>
              <w:rPr/>
            </w:pPr>
            <w:r>
              <w:rPr/>
              <w:t> </w:t>
            </w:r>
          </w:p>
        </w:tc>
        <w:tc>
          <w:tcPr>
            <w:tcW w:w="1203" w:type="dxa"/>
            <w:gridSpan w:val="2"/>
            <w:tcBorders/>
            <w:shd w:fill="auto" w:val="clear"/>
            <w:vAlign w:val="bottom"/>
          </w:tcPr>
          <w:p>
            <w:pPr>
              <w:pStyle w:val="TableContents"/>
              <w:spacing w:before="0" w:after="0"/>
              <w:ind w:left="0" w:right="0" w:hanging="0"/>
              <w:jc w:val="center"/>
              <w:rPr>
                <w:rFonts w:ascii="helvetica" w:hAnsi="helvetica"/>
                <w:b/>
                <w:sz w:val="16"/>
              </w:rPr>
            </w:pPr>
            <w:r>
              <w:rPr>
                <w:rFonts w:ascii="helvetica" w:hAnsi="helvetica"/>
                <w:b/>
                <w:sz w:val="16"/>
              </w:rPr>
              <w:t>For The</w:t>
            </w:r>
          </w:p>
        </w:tc>
        <w:tc>
          <w:tcPr>
            <w:tcW w:w="111" w:type="dxa"/>
            <w:tcBorders/>
            <w:shd w:fill="auto" w:val="clear"/>
            <w:vAlign w:val="bottom"/>
          </w:tcPr>
          <w:p>
            <w:pPr>
              <w:pStyle w:val="TableContents"/>
              <w:spacing w:before="0" w:after="283"/>
              <w:jc w:val="left"/>
              <w:rPr/>
            </w:pPr>
            <w:r>
              <w:rPr/>
              <w:t> </w:t>
            </w:r>
          </w:p>
        </w:tc>
        <w:tc>
          <w:tcPr>
            <w:tcW w:w="105" w:type="dxa"/>
            <w:tcBorders/>
            <w:shd w:fill="auto" w:val="clear"/>
            <w:vAlign w:val="bottom"/>
          </w:tcPr>
          <w:p>
            <w:pPr>
              <w:pStyle w:val="TableContents"/>
              <w:spacing w:before="0" w:after="283"/>
              <w:rPr/>
            </w:pPr>
            <w:r>
              <w:rPr/>
              <w:t> </w:t>
            </w:r>
          </w:p>
        </w:tc>
        <w:tc>
          <w:tcPr>
            <w:tcW w:w="1203" w:type="dxa"/>
            <w:gridSpan w:val="2"/>
            <w:tcBorders/>
            <w:shd w:fill="auto" w:val="clear"/>
            <w:vAlign w:val="bottom"/>
          </w:tcPr>
          <w:p>
            <w:pPr>
              <w:pStyle w:val="TableContents"/>
              <w:spacing w:before="0" w:after="0"/>
              <w:ind w:left="0" w:right="0" w:hanging="0"/>
              <w:jc w:val="center"/>
              <w:rPr>
                <w:rFonts w:ascii="helvetica" w:hAnsi="helvetica"/>
                <w:b/>
                <w:sz w:val="16"/>
              </w:rPr>
            </w:pPr>
            <w:r>
              <w:rPr>
                <w:rFonts w:ascii="helvetica" w:hAnsi="helvetica"/>
                <w:b/>
                <w:sz w:val="16"/>
              </w:rPr>
              <w:t>For The</w:t>
            </w:r>
          </w:p>
        </w:tc>
        <w:tc>
          <w:tcPr>
            <w:tcW w:w="111" w:type="dxa"/>
            <w:tcBorders/>
            <w:shd w:fill="auto" w:val="clear"/>
            <w:vAlign w:val="bottom"/>
          </w:tcPr>
          <w:p>
            <w:pPr>
              <w:pStyle w:val="TableContents"/>
              <w:spacing w:before="0" w:after="283"/>
              <w:jc w:val="left"/>
              <w:rPr/>
            </w:pPr>
            <w:r>
              <w:rPr/>
              <w:t> </w:t>
            </w:r>
          </w:p>
        </w:tc>
        <w:tc>
          <w:tcPr>
            <w:tcW w:w="105" w:type="dxa"/>
            <w:tcBorders/>
            <w:shd w:fill="auto" w:val="clear"/>
            <w:vAlign w:val="bottom"/>
          </w:tcPr>
          <w:p>
            <w:pPr>
              <w:pStyle w:val="TableContents"/>
              <w:spacing w:before="0" w:after="283"/>
              <w:rPr/>
            </w:pPr>
            <w:r>
              <w:rPr/>
              <w:t> </w:t>
            </w:r>
          </w:p>
        </w:tc>
        <w:tc>
          <w:tcPr>
            <w:tcW w:w="1237" w:type="dxa"/>
            <w:gridSpan w:val="2"/>
            <w:tcBorders/>
            <w:shd w:fill="auto" w:val="clear"/>
            <w:vAlign w:val="bottom"/>
          </w:tcPr>
          <w:p>
            <w:pPr>
              <w:pStyle w:val="TableContents"/>
              <w:spacing w:before="0" w:after="0"/>
              <w:ind w:left="0" w:right="0" w:hanging="0"/>
              <w:jc w:val="center"/>
              <w:rPr>
                <w:rFonts w:ascii="helvetica" w:hAnsi="helvetica"/>
                <w:b/>
                <w:sz w:val="16"/>
              </w:rPr>
            </w:pPr>
            <w:r>
              <w:rPr>
                <w:rFonts w:ascii="helvetica" w:hAnsi="helvetica"/>
                <w:b/>
                <w:sz w:val="16"/>
              </w:rPr>
              <w:t>For the Period From</w:t>
            </w:r>
          </w:p>
        </w:tc>
        <w:tc>
          <w:tcPr>
            <w:tcW w:w="122" w:type="dxa"/>
            <w:tcBorders/>
            <w:shd w:fill="auto" w:val="clear"/>
            <w:vAlign w:val="bottom"/>
          </w:tcPr>
          <w:p>
            <w:pPr>
              <w:pStyle w:val="TableContents"/>
              <w:spacing w:before="0" w:after="283"/>
              <w:jc w:val="left"/>
              <w:rPr/>
            </w:pPr>
            <w:r>
              <w:rPr/>
              <w:t> </w:t>
            </w:r>
          </w:p>
        </w:tc>
      </w:tr>
      <w:tr>
        <w:trPr/>
        <w:tc>
          <w:tcPr>
            <w:tcW w:w="5903" w:type="dxa"/>
            <w:tcBorders/>
            <w:shd w:fill="auto" w:val="clear"/>
            <w:vAlign w:val="bottom"/>
          </w:tcPr>
          <w:p>
            <w:pPr>
              <w:pStyle w:val="TableContents"/>
              <w:spacing w:before="0" w:after="283"/>
              <w:rPr/>
            </w:pPr>
            <w:r>
              <w:rPr/>
              <w:t xml:space="preserve">  </w:t>
            </w:r>
          </w:p>
        </w:tc>
        <w:tc>
          <w:tcPr>
            <w:tcW w:w="105" w:type="dxa"/>
            <w:tcBorders/>
            <w:shd w:fill="auto" w:val="clear"/>
            <w:vAlign w:val="bottom"/>
          </w:tcPr>
          <w:p>
            <w:pPr>
              <w:pStyle w:val="TableContents"/>
              <w:spacing w:before="0" w:after="283"/>
              <w:rPr/>
            </w:pPr>
            <w:r>
              <w:rPr/>
              <w:t> </w:t>
            </w:r>
          </w:p>
        </w:tc>
        <w:tc>
          <w:tcPr>
            <w:tcW w:w="1203" w:type="dxa"/>
            <w:gridSpan w:val="2"/>
            <w:tcBorders/>
            <w:shd w:fill="auto" w:val="clear"/>
            <w:vAlign w:val="bottom"/>
          </w:tcPr>
          <w:p>
            <w:pPr>
              <w:pStyle w:val="TableContents"/>
              <w:spacing w:before="0" w:after="0"/>
              <w:ind w:left="0" w:right="0" w:hanging="0"/>
              <w:jc w:val="center"/>
              <w:rPr>
                <w:rFonts w:ascii="helvetica" w:hAnsi="helvetica"/>
                <w:b/>
                <w:sz w:val="16"/>
              </w:rPr>
            </w:pPr>
            <w:r>
              <w:rPr>
                <w:rFonts w:ascii="helvetica" w:hAnsi="helvetica"/>
                <w:b/>
                <w:sz w:val="16"/>
              </w:rPr>
              <w:t>Year Ended</w:t>
            </w:r>
          </w:p>
        </w:tc>
        <w:tc>
          <w:tcPr>
            <w:tcW w:w="111" w:type="dxa"/>
            <w:tcBorders/>
            <w:shd w:fill="auto" w:val="clear"/>
            <w:vAlign w:val="bottom"/>
          </w:tcPr>
          <w:p>
            <w:pPr>
              <w:pStyle w:val="TableContents"/>
              <w:spacing w:before="0" w:after="283"/>
              <w:jc w:val="left"/>
              <w:rPr/>
            </w:pPr>
            <w:r>
              <w:rPr/>
              <w:t> </w:t>
            </w:r>
          </w:p>
        </w:tc>
        <w:tc>
          <w:tcPr>
            <w:tcW w:w="105" w:type="dxa"/>
            <w:tcBorders/>
            <w:shd w:fill="auto" w:val="clear"/>
            <w:vAlign w:val="bottom"/>
          </w:tcPr>
          <w:p>
            <w:pPr>
              <w:pStyle w:val="TableContents"/>
              <w:spacing w:before="0" w:after="283"/>
              <w:rPr/>
            </w:pPr>
            <w:r>
              <w:rPr/>
              <w:t> </w:t>
            </w:r>
          </w:p>
        </w:tc>
        <w:tc>
          <w:tcPr>
            <w:tcW w:w="1203" w:type="dxa"/>
            <w:gridSpan w:val="2"/>
            <w:tcBorders/>
            <w:shd w:fill="auto" w:val="clear"/>
            <w:vAlign w:val="bottom"/>
          </w:tcPr>
          <w:p>
            <w:pPr>
              <w:pStyle w:val="TableContents"/>
              <w:spacing w:before="0" w:after="0"/>
              <w:ind w:left="0" w:right="0" w:hanging="0"/>
              <w:jc w:val="center"/>
              <w:rPr>
                <w:rFonts w:ascii="helvetica" w:hAnsi="helvetica"/>
                <w:b/>
                <w:sz w:val="16"/>
              </w:rPr>
            </w:pPr>
            <w:r>
              <w:rPr>
                <w:rFonts w:ascii="helvetica" w:hAnsi="helvetica"/>
                <w:b/>
                <w:sz w:val="16"/>
              </w:rPr>
              <w:t>Year Ended</w:t>
            </w:r>
          </w:p>
        </w:tc>
        <w:tc>
          <w:tcPr>
            <w:tcW w:w="111" w:type="dxa"/>
            <w:tcBorders/>
            <w:shd w:fill="auto" w:val="clear"/>
            <w:vAlign w:val="bottom"/>
          </w:tcPr>
          <w:p>
            <w:pPr>
              <w:pStyle w:val="TableContents"/>
              <w:spacing w:before="0" w:after="283"/>
              <w:jc w:val="left"/>
              <w:rPr/>
            </w:pPr>
            <w:r>
              <w:rPr/>
              <w:t> </w:t>
            </w:r>
          </w:p>
        </w:tc>
        <w:tc>
          <w:tcPr>
            <w:tcW w:w="105" w:type="dxa"/>
            <w:tcBorders/>
            <w:shd w:fill="auto" w:val="clear"/>
            <w:vAlign w:val="bottom"/>
          </w:tcPr>
          <w:p>
            <w:pPr>
              <w:pStyle w:val="TableContents"/>
              <w:spacing w:before="0" w:after="283"/>
              <w:rPr/>
            </w:pPr>
            <w:r>
              <w:rPr/>
              <w:t> </w:t>
            </w:r>
          </w:p>
        </w:tc>
        <w:tc>
          <w:tcPr>
            <w:tcW w:w="1237" w:type="dxa"/>
            <w:gridSpan w:val="2"/>
            <w:tcBorders/>
            <w:shd w:fill="auto" w:val="clear"/>
            <w:vAlign w:val="bottom"/>
          </w:tcPr>
          <w:p>
            <w:pPr>
              <w:pStyle w:val="TableContents"/>
              <w:spacing w:before="0" w:after="0"/>
              <w:ind w:left="0" w:right="0" w:hanging="0"/>
              <w:jc w:val="center"/>
              <w:rPr>
                <w:rFonts w:ascii="helvetica" w:hAnsi="helvetica"/>
                <w:b/>
                <w:sz w:val="16"/>
              </w:rPr>
            </w:pPr>
            <w:r>
              <w:rPr>
                <w:rFonts w:ascii="helvetica" w:hAnsi="helvetica"/>
                <w:b/>
                <w:sz w:val="16"/>
              </w:rPr>
              <w:t>July 24, 1998 (Inception)</w:t>
            </w:r>
          </w:p>
        </w:tc>
        <w:tc>
          <w:tcPr>
            <w:tcW w:w="122" w:type="dxa"/>
            <w:tcBorders/>
            <w:shd w:fill="auto" w:val="clear"/>
            <w:vAlign w:val="bottom"/>
          </w:tcPr>
          <w:p>
            <w:pPr>
              <w:pStyle w:val="TableContents"/>
              <w:spacing w:before="0" w:after="283"/>
              <w:jc w:val="left"/>
              <w:rPr/>
            </w:pPr>
            <w:r>
              <w:rPr/>
              <w:t> </w:t>
            </w:r>
          </w:p>
        </w:tc>
      </w:tr>
      <w:tr>
        <w:trPr/>
        <w:tc>
          <w:tcPr>
            <w:tcW w:w="5903" w:type="dxa"/>
            <w:tcBorders/>
            <w:shd w:fill="auto" w:val="clear"/>
            <w:vAlign w:val="bottom"/>
          </w:tcPr>
          <w:p>
            <w:pPr>
              <w:pStyle w:val="TableContents"/>
              <w:spacing w:before="0" w:after="283"/>
              <w:rPr/>
            </w:pPr>
            <w:r>
              <w:rPr/>
              <w:t xml:space="preserve">  </w:t>
            </w:r>
          </w:p>
        </w:tc>
        <w:tc>
          <w:tcPr>
            <w:tcW w:w="105" w:type="dxa"/>
            <w:tcBorders/>
            <w:shd w:fill="auto" w:val="clear"/>
            <w:vAlign w:val="bottom"/>
          </w:tcPr>
          <w:p>
            <w:pPr>
              <w:pStyle w:val="TableContents"/>
              <w:spacing w:before="0" w:after="283"/>
              <w:rPr/>
            </w:pPr>
            <w:r>
              <w:rPr/>
              <w:t> </w:t>
            </w:r>
          </w:p>
        </w:tc>
        <w:tc>
          <w:tcPr>
            <w:tcW w:w="1203" w:type="dxa"/>
            <w:gridSpan w:val="2"/>
            <w:tcBorders/>
            <w:shd w:fill="auto" w:val="clear"/>
            <w:vAlign w:val="bottom"/>
          </w:tcPr>
          <w:p>
            <w:pPr>
              <w:pStyle w:val="TableContents"/>
              <w:spacing w:before="0" w:after="0"/>
              <w:ind w:left="0" w:right="0" w:hanging="0"/>
              <w:jc w:val="center"/>
              <w:rPr>
                <w:rFonts w:ascii="helvetica" w:hAnsi="helvetica"/>
                <w:b/>
                <w:sz w:val="16"/>
              </w:rPr>
            </w:pPr>
            <w:r>
              <w:rPr>
                <w:rFonts w:ascii="helvetica" w:hAnsi="helvetica"/>
                <w:b/>
                <w:sz w:val="16"/>
              </w:rPr>
              <w:t>December 31,</w:t>
            </w:r>
          </w:p>
        </w:tc>
        <w:tc>
          <w:tcPr>
            <w:tcW w:w="111" w:type="dxa"/>
            <w:tcBorders/>
            <w:shd w:fill="auto" w:val="clear"/>
            <w:vAlign w:val="bottom"/>
          </w:tcPr>
          <w:p>
            <w:pPr>
              <w:pStyle w:val="TableContents"/>
              <w:spacing w:before="0" w:after="283"/>
              <w:jc w:val="left"/>
              <w:rPr/>
            </w:pPr>
            <w:r>
              <w:rPr/>
              <w:t> </w:t>
            </w:r>
          </w:p>
        </w:tc>
        <w:tc>
          <w:tcPr>
            <w:tcW w:w="105" w:type="dxa"/>
            <w:tcBorders/>
            <w:shd w:fill="auto" w:val="clear"/>
            <w:vAlign w:val="bottom"/>
          </w:tcPr>
          <w:p>
            <w:pPr>
              <w:pStyle w:val="TableContents"/>
              <w:spacing w:before="0" w:after="283"/>
              <w:rPr/>
            </w:pPr>
            <w:r>
              <w:rPr/>
              <w:t> </w:t>
            </w:r>
          </w:p>
        </w:tc>
        <w:tc>
          <w:tcPr>
            <w:tcW w:w="1203" w:type="dxa"/>
            <w:gridSpan w:val="2"/>
            <w:tcBorders/>
            <w:shd w:fill="auto" w:val="clear"/>
            <w:vAlign w:val="bottom"/>
          </w:tcPr>
          <w:p>
            <w:pPr>
              <w:pStyle w:val="TableContents"/>
              <w:spacing w:before="0" w:after="0"/>
              <w:ind w:left="0" w:right="0" w:hanging="0"/>
              <w:jc w:val="center"/>
              <w:rPr>
                <w:rFonts w:ascii="helvetica" w:hAnsi="helvetica"/>
                <w:b/>
                <w:sz w:val="16"/>
              </w:rPr>
            </w:pPr>
            <w:r>
              <w:rPr>
                <w:rFonts w:ascii="helvetica" w:hAnsi="helvetica"/>
                <w:b/>
                <w:sz w:val="16"/>
              </w:rPr>
              <w:t>December 31,</w:t>
            </w:r>
          </w:p>
        </w:tc>
        <w:tc>
          <w:tcPr>
            <w:tcW w:w="111" w:type="dxa"/>
            <w:tcBorders/>
            <w:shd w:fill="auto" w:val="clear"/>
            <w:vAlign w:val="bottom"/>
          </w:tcPr>
          <w:p>
            <w:pPr>
              <w:pStyle w:val="TableContents"/>
              <w:spacing w:before="0" w:after="283"/>
              <w:jc w:val="left"/>
              <w:rPr/>
            </w:pPr>
            <w:r>
              <w:rPr/>
              <w:t> </w:t>
            </w:r>
          </w:p>
        </w:tc>
        <w:tc>
          <w:tcPr>
            <w:tcW w:w="105" w:type="dxa"/>
            <w:tcBorders/>
            <w:shd w:fill="auto" w:val="clear"/>
            <w:vAlign w:val="bottom"/>
          </w:tcPr>
          <w:p>
            <w:pPr>
              <w:pStyle w:val="TableContents"/>
              <w:spacing w:before="0" w:after="283"/>
              <w:rPr/>
            </w:pPr>
            <w:r>
              <w:rPr/>
              <w:t> </w:t>
            </w:r>
          </w:p>
        </w:tc>
        <w:tc>
          <w:tcPr>
            <w:tcW w:w="1237" w:type="dxa"/>
            <w:gridSpan w:val="2"/>
            <w:tcBorders/>
            <w:shd w:fill="auto" w:val="clear"/>
            <w:vAlign w:val="bottom"/>
          </w:tcPr>
          <w:p>
            <w:pPr>
              <w:pStyle w:val="TableContents"/>
              <w:spacing w:before="0" w:after="0"/>
              <w:ind w:left="0" w:right="0" w:hanging="0"/>
              <w:jc w:val="center"/>
              <w:rPr>
                <w:rFonts w:ascii="helvetica" w:hAnsi="helvetica"/>
                <w:b/>
                <w:sz w:val="16"/>
              </w:rPr>
            </w:pPr>
            <w:r>
              <w:rPr>
                <w:rFonts w:ascii="helvetica" w:hAnsi="helvetica"/>
                <w:b/>
                <w:sz w:val="16"/>
              </w:rPr>
              <w:t>through December 31,</w:t>
            </w:r>
          </w:p>
        </w:tc>
        <w:tc>
          <w:tcPr>
            <w:tcW w:w="122" w:type="dxa"/>
            <w:tcBorders/>
            <w:shd w:fill="auto" w:val="clear"/>
            <w:vAlign w:val="bottom"/>
          </w:tcPr>
          <w:p>
            <w:pPr>
              <w:pStyle w:val="TableContents"/>
              <w:spacing w:before="0" w:after="283"/>
              <w:jc w:val="left"/>
              <w:rPr/>
            </w:pPr>
            <w:r>
              <w:rPr/>
              <w:t> </w:t>
            </w:r>
          </w:p>
        </w:tc>
      </w:tr>
      <w:tr>
        <w:trPr/>
        <w:tc>
          <w:tcPr>
            <w:tcW w:w="5903" w:type="dxa"/>
            <w:tcBorders/>
            <w:shd w:fill="auto" w:val="clear"/>
            <w:vAlign w:val="bottom"/>
          </w:tcPr>
          <w:p>
            <w:pPr>
              <w:pStyle w:val="TableContents"/>
              <w:spacing w:before="0" w:after="283"/>
              <w:rPr/>
            </w:pPr>
            <w:r>
              <w:rPr/>
              <w:t xml:space="preserve">  </w:t>
            </w:r>
          </w:p>
        </w:tc>
        <w:tc>
          <w:tcPr>
            <w:tcW w:w="105" w:type="dxa"/>
            <w:tcBorders/>
            <w:shd w:fill="auto" w:val="clear"/>
            <w:vAlign w:val="bottom"/>
          </w:tcPr>
          <w:p>
            <w:pPr>
              <w:pStyle w:val="TableContents"/>
              <w:spacing w:before="0" w:after="283"/>
              <w:rPr/>
            </w:pPr>
            <w:r>
              <w:rPr/>
              <w:t> </w:t>
            </w:r>
          </w:p>
        </w:tc>
        <w:tc>
          <w:tcPr>
            <w:tcW w:w="1203"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helvetica" w:hAnsi="helvetica"/>
                <w:b/>
                <w:sz w:val="16"/>
              </w:rPr>
            </w:pPr>
            <w:r>
              <w:rPr>
                <w:rFonts w:ascii="helvetica" w:hAnsi="helvetica"/>
                <w:b/>
                <w:sz w:val="16"/>
              </w:rPr>
              <w:t>2011</w:t>
            </w:r>
          </w:p>
        </w:tc>
        <w:tc>
          <w:tcPr>
            <w:tcW w:w="111" w:type="dxa"/>
            <w:tcBorders/>
            <w:shd w:fill="auto" w:val="clear"/>
            <w:vAlign w:val="bottom"/>
          </w:tcPr>
          <w:p>
            <w:pPr>
              <w:pStyle w:val="TableContents"/>
              <w:spacing w:before="0" w:after="283"/>
              <w:jc w:val="left"/>
              <w:rPr/>
            </w:pPr>
            <w:r>
              <w:rPr/>
              <w:t> </w:t>
            </w:r>
          </w:p>
        </w:tc>
        <w:tc>
          <w:tcPr>
            <w:tcW w:w="105" w:type="dxa"/>
            <w:tcBorders/>
            <w:shd w:fill="auto" w:val="clear"/>
            <w:vAlign w:val="bottom"/>
          </w:tcPr>
          <w:p>
            <w:pPr>
              <w:pStyle w:val="TableContents"/>
              <w:spacing w:before="0" w:after="283"/>
              <w:rPr/>
            </w:pPr>
            <w:r>
              <w:rPr/>
              <w:t> </w:t>
            </w:r>
          </w:p>
        </w:tc>
        <w:tc>
          <w:tcPr>
            <w:tcW w:w="1203"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helvetica" w:hAnsi="helvetica"/>
                <w:b/>
                <w:sz w:val="16"/>
              </w:rPr>
            </w:pPr>
            <w:r>
              <w:rPr>
                <w:rFonts w:ascii="helvetica" w:hAnsi="helvetica"/>
                <w:b/>
                <w:sz w:val="16"/>
              </w:rPr>
              <w:t>2010</w:t>
            </w:r>
          </w:p>
        </w:tc>
        <w:tc>
          <w:tcPr>
            <w:tcW w:w="111" w:type="dxa"/>
            <w:tcBorders/>
            <w:shd w:fill="auto" w:val="clear"/>
            <w:vAlign w:val="bottom"/>
          </w:tcPr>
          <w:p>
            <w:pPr>
              <w:pStyle w:val="TableContents"/>
              <w:spacing w:before="0" w:after="283"/>
              <w:jc w:val="left"/>
              <w:rPr/>
            </w:pPr>
            <w:r>
              <w:rPr/>
              <w:t> </w:t>
            </w:r>
          </w:p>
        </w:tc>
        <w:tc>
          <w:tcPr>
            <w:tcW w:w="105" w:type="dxa"/>
            <w:tcBorders/>
            <w:shd w:fill="auto" w:val="clear"/>
            <w:vAlign w:val="bottom"/>
          </w:tcPr>
          <w:p>
            <w:pPr>
              <w:pStyle w:val="TableContents"/>
              <w:spacing w:before="0" w:after="283"/>
              <w:rPr/>
            </w:pPr>
            <w:r>
              <w:rPr/>
              <w:t> </w:t>
            </w:r>
          </w:p>
        </w:tc>
        <w:tc>
          <w:tcPr>
            <w:tcW w:w="1237"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helvetica" w:hAnsi="helvetica"/>
                <w:b/>
                <w:sz w:val="16"/>
              </w:rPr>
            </w:pPr>
            <w:r>
              <w:rPr>
                <w:rFonts w:ascii="helvetica" w:hAnsi="helvetica"/>
                <w:b/>
                <w:sz w:val="16"/>
              </w:rPr>
              <w:t>2011</w:t>
            </w:r>
          </w:p>
        </w:tc>
        <w:tc>
          <w:tcPr>
            <w:tcW w:w="122" w:type="dxa"/>
            <w:tcBorders/>
            <w:shd w:fill="auto" w:val="clear"/>
            <w:vAlign w:val="bottom"/>
          </w:tcPr>
          <w:p>
            <w:pPr>
              <w:pStyle w:val="TableContents"/>
              <w:spacing w:before="0" w:after="283"/>
              <w:jc w:val="left"/>
              <w:rPr/>
            </w:pPr>
            <w:r>
              <w:rPr/>
              <w:t> </w:t>
            </w:r>
          </w:p>
        </w:tc>
      </w:tr>
      <w:tr>
        <w:trPr/>
        <w:tc>
          <w:tcPr>
            <w:tcW w:w="5903" w:type="dxa"/>
            <w:tcBorders/>
            <w:shd w:fill="auto" w:val="clear"/>
            <w:vAlign w:val="bottom"/>
          </w:tcPr>
          <w:p>
            <w:pPr>
              <w:pStyle w:val="TableContents"/>
              <w:spacing w:before="0" w:after="0"/>
              <w:ind w:left="0" w:right="0" w:hanging="0"/>
              <w:jc w:val="left"/>
              <w:rPr>
                <w:rFonts w:ascii="helvetica" w:hAnsi="helvetica"/>
                <w:sz w:val="20"/>
              </w:rPr>
            </w:pPr>
            <w:r>
              <w:rPr>
                <w:rFonts w:ascii="helvetica" w:hAnsi="helvetica"/>
                <w:sz w:val="20"/>
              </w:rPr>
              <w:t>Operating Expenses:</w:t>
            </w:r>
          </w:p>
        </w:tc>
        <w:tc>
          <w:tcPr>
            <w:tcW w:w="105" w:type="dxa"/>
            <w:tcBorders/>
            <w:shd w:fill="auto" w:val="clear"/>
            <w:vAlign w:val="bottom"/>
          </w:tcPr>
          <w:p>
            <w:pPr>
              <w:pStyle w:val="TableContents"/>
              <w:spacing w:before="0" w:after="283"/>
              <w:rPr/>
            </w:pPr>
            <w:r>
              <w:rPr/>
              <w:t> </w:t>
            </w:r>
          </w:p>
        </w:tc>
        <w:tc>
          <w:tcPr>
            <w:tcW w:w="1203" w:type="dxa"/>
            <w:gridSpan w:val="2"/>
            <w:tcBorders/>
            <w:shd w:fill="auto" w:val="clear"/>
            <w:vAlign w:val="bottom"/>
          </w:tcPr>
          <w:p>
            <w:pPr>
              <w:pStyle w:val="TableContents"/>
              <w:spacing w:before="0" w:after="283"/>
              <w:rPr/>
            </w:pPr>
            <w:r>
              <w:rPr/>
              <w:t> </w:t>
            </w:r>
          </w:p>
        </w:tc>
        <w:tc>
          <w:tcPr>
            <w:tcW w:w="111" w:type="dxa"/>
            <w:tcBorders/>
            <w:shd w:fill="auto" w:val="clear"/>
            <w:vAlign w:val="bottom"/>
          </w:tcPr>
          <w:p>
            <w:pPr>
              <w:pStyle w:val="TableContents"/>
              <w:spacing w:before="0" w:after="283"/>
              <w:jc w:val="left"/>
              <w:rPr/>
            </w:pPr>
            <w:r>
              <w:rPr/>
              <w:t> </w:t>
            </w:r>
          </w:p>
        </w:tc>
        <w:tc>
          <w:tcPr>
            <w:tcW w:w="105" w:type="dxa"/>
            <w:tcBorders/>
            <w:shd w:fill="auto" w:val="clear"/>
            <w:vAlign w:val="bottom"/>
          </w:tcPr>
          <w:p>
            <w:pPr>
              <w:pStyle w:val="TableContents"/>
              <w:spacing w:before="0" w:after="283"/>
              <w:rPr/>
            </w:pPr>
            <w:r>
              <w:rPr/>
              <w:t> </w:t>
            </w:r>
          </w:p>
        </w:tc>
        <w:tc>
          <w:tcPr>
            <w:tcW w:w="1203" w:type="dxa"/>
            <w:gridSpan w:val="2"/>
            <w:tcBorders/>
            <w:shd w:fill="auto" w:val="clear"/>
            <w:vAlign w:val="bottom"/>
          </w:tcPr>
          <w:p>
            <w:pPr>
              <w:pStyle w:val="TableContents"/>
              <w:spacing w:before="0" w:after="283"/>
              <w:rPr/>
            </w:pPr>
            <w:r>
              <w:rPr/>
              <w:t> </w:t>
            </w:r>
          </w:p>
        </w:tc>
        <w:tc>
          <w:tcPr>
            <w:tcW w:w="111" w:type="dxa"/>
            <w:tcBorders/>
            <w:shd w:fill="auto" w:val="clear"/>
            <w:vAlign w:val="bottom"/>
          </w:tcPr>
          <w:p>
            <w:pPr>
              <w:pStyle w:val="TableContents"/>
              <w:spacing w:before="0" w:after="283"/>
              <w:jc w:val="left"/>
              <w:rPr/>
            </w:pPr>
            <w:r>
              <w:rPr/>
              <w:t> </w:t>
            </w:r>
          </w:p>
        </w:tc>
        <w:tc>
          <w:tcPr>
            <w:tcW w:w="105" w:type="dxa"/>
            <w:tcBorders/>
            <w:shd w:fill="auto" w:val="clear"/>
            <w:vAlign w:val="bottom"/>
          </w:tcPr>
          <w:p>
            <w:pPr>
              <w:pStyle w:val="TableContents"/>
              <w:spacing w:before="0" w:after="283"/>
              <w:rPr/>
            </w:pPr>
            <w:r>
              <w:rPr/>
              <w:t> </w:t>
            </w:r>
          </w:p>
        </w:tc>
        <w:tc>
          <w:tcPr>
            <w:tcW w:w="1237" w:type="dxa"/>
            <w:gridSpan w:val="2"/>
            <w:tcBorders/>
            <w:shd w:fill="auto" w:val="clear"/>
            <w:vAlign w:val="bottom"/>
          </w:tcPr>
          <w:p>
            <w:pPr>
              <w:pStyle w:val="TableContents"/>
              <w:spacing w:before="0" w:after="283"/>
              <w:rPr/>
            </w:pPr>
            <w:r>
              <w:rPr/>
              <w:t> </w:t>
            </w:r>
          </w:p>
        </w:tc>
        <w:tc>
          <w:tcPr>
            <w:tcW w:w="122" w:type="dxa"/>
            <w:tcBorders/>
            <w:shd w:fill="auto" w:val="clear"/>
            <w:vAlign w:val="bottom"/>
          </w:tcPr>
          <w:p>
            <w:pPr>
              <w:pStyle w:val="TableContents"/>
              <w:spacing w:before="0" w:after="283"/>
              <w:jc w:val="left"/>
              <w:rPr/>
            </w:pPr>
            <w:r>
              <w:rPr/>
              <w:t> </w:t>
            </w:r>
          </w:p>
        </w:tc>
      </w:tr>
      <w:tr>
        <w:trPr/>
        <w:tc>
          <w:tcPr>
            <w:tcW w:w="5903" w:type="dxa"/>
            <w:tcBorders/>
            <w:shd w:fill="CCEEFF" w:val="clear"/>
            <w:vAlign w:val="bottom"/>
          </w:tcPr>
          <w:p>
            <w:pPr>
              <w:pStyle w:val="TableContents"/>
              <w:spacing w:before="0" w:after="0"/>
              <w:ind w:left="0" w:right="0" w:hanging="0"/>
              <w:jc w:val="left"/>
              <w:rPr>
                <w:rFonts w:ascii="helvetica" w:hAnsi="helvetica"/>
                <w:sz w:val="20"/>
              </w:rPr>
            </w:pPr>
            <w:r>
              <w:rPr>
                <w:rFonts w:ascii="helvetica" w:hAnsi="helvetica"/>
                <w:sz w:val="20"/>
              </w:rPr>
              <w:t>Selling, general and administrative</w:t>
            </w:r>
          </w:p>
        </w:tc>
        <w:tc>
          <w:tcPr>
            <w:tcW w:w="105"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jc w:val="left"/>
              <w:rPr/>
            </w:pPr>
            <w:r>
              <w:rPr/>
              <w:t> </w:t>
            </w:r>
          </w:p>
        </w:tc>
        <w:tc>
          <w:tcPr>
            <w:tcW w:w="1077"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827,674</w:t>
            </w:r>
          </w:p>
        </w:tc>
        <w:tc>
          <w:tcPr>
            <w:tcW w:w="111" w:type="dxa"/>
            <w:tcBorders/>
            <w:shd w:fill="CCEEFF" w:val="clear"/>
            <w:vAlign w:val="bottom"/>
          </w:tcPr>
          <w:p>
            <w:pPr>
              <w:pStyle w:val="TableContents"/>
              <w:spacing w:before="0" w:after="283"/>
              <w:jc w:val="left"/>
              <w:rPr/>
            </w:pPr>
            <w:r>
              <w:rPr/>
              <w:t> </w:t>
            </w:r>
          </w:p>
        </w:tc>
        <w:tc>
          <w:tcPr>
            <w:tcW w:w="105"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jc w:val="left"/>
              <w:rPr/>
            </w:pPr>
            <w:r>
              <w:rPr/>
              <w:t> </w:t>
            </w:r>
          </w:p>
        </w:tc>
        <w:tc>
          <w:tcPr>
            <w:tcW w:w="1077"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2,307,972</w:t>
            </w:r>
          </w:p>
        </w:tc>
        <w:tc>
          <w:tcPr>
            <w:tcW w:w="111" w:type="dxa"/>
            <w:tcBorders/>
            <w:shd w:fill="CCEEFF" w:val="clear"/>
            <w:vAlign w:val="bottom"/>
          </w:tcPr>
          <w:p>
            <w:pPr>
              <w:pStyle w:val="TableContents"/>
              <w:spacing w:before="0" w:after="283"/>
              <w:jc w:val="left"/>
              <w:rPr/>
            </w:pPr>
            <w:r>
              <w:rPr/>
              <w:t> </w:t>
            </w:r>
          </w:p>
        </w:tc>
        <w:tc>
          <w:tcPr>
            <w:tcW w:w="105"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jc w:val="left"/>
              <w:rPr/>
            </w:pPr>
            <w:r>
              <w:rPr/>
              <w:t> </w:t>
            </w:r>
          </w:p>
        </w:tc>
        <w:tc>
          <w:tcPr>
            <w:tcW w:w="1111"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9,573,327</w:t>
            </w:r>
          </w:p>
        </w:tc>
        <w:tc>
          <w:tcPr>
            <w:tcW w:w="122" w:type="dxa"/>
            <w:tcBorders/>
            <w:shd w:fill="CCEEFF" w:val="clear"/>
            <w:vAlign w:val="bottom"/>
          </w:tcPr>
          <w:p>
            <w:pPr>
              <w:pStyle w:val="TableContents"/>
              <w:spacing w:before="0" w:after="283"/>
              <w:jc w:val="left"/>
              <w:rPr/>
            </w:pPr>
            <w:r>
              <w:rPr/>
              <w:t> </w:t>
            </w:r>
          </w:p>
        </w:tc>
      </w:tr>
      <w:tr>
        <w:trPr/>
        <w:tc>
          <w:tcPr>
            <w:tcW w:w="5903" w:type="dxa"/>
            <w:tcBorders/>
            <w:shd w:fill="FFFFFF" w:val="clear"/>
            <w:vAlign w:val="bottom"/>
          </w:tcPr>
          <w:p>
            <w:pPr>
              <w:pStyle w:val="TableContents"/>
              <w:spacing w:before="0" w:after="0"/>
              <w:ind w:left="0" w:right="0" w:hanging="0"/>
              <w:jc w:val="left"/>
              <w:rPr>
                <w:rFonts w:ascii="helvetica" w:hAnsi="helvetica"/>
                <w:sz w:val="20"/>
              </w:rPr>
            </w:pPr>
            <w:r>
              <w:rPr>
                <w:rFonts w:ascii="helvetica" w:hAnsi="helvetica"/>
                <w:sz w:val="20"/>
              </w:rPr>
              <w:t>Research and development</w:t>
            </w:r>
          </w:p>
        </w:tc>
        <w:tc>
          <w:tcPr>
            <w:tcW w:w="105" w:type="dxa"/>
            <w:tcBorders/>
            <w:shd w:fill="FFFFFF" w:val="clear"/>
            <w:vAlign w:val="bottom"/>
          </w:tcPr>
          <w:p>
            <w:pPr>
              <w:pStyle w:val="TableContents"/>
              <w:spacing w:before="0" w:after="283"/>
              <w:rPr/>
            </w:pPr>
            <w:r>
              <w:rPr/>
              <w:t> </w:t>
            </w:r>
          </w:p>
        </w:tc>
        <w:tc>
          <w:tcPr>
            <w:tcW w:w="126"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77" w:type="dxa"/>
            <w:tcBorders>
              <w:bottom w:val="single" w:sz="12" w:space="0" w:color="000000"/>
            </w:tcBorders>
            <w:shd w:fill="FFFF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111,554</w:t>
            </w:r>
          </w:p>
        </w:tc>
        <w:tc>
          <w:tcPr>
            <w:tcW w:w="111" w:type="dxa"/>
            <w:tcBorders/>
            <w:shd w:fill="FFFFFF" w:val="clear"/>
            <w:vAlign w:val="bottom"/>
          </w:tcPr>
          <w:p>
            <w:pPr>
              <w:pStyle w:val="TableContents"/>
              <w:spacing w:before="0" w:after="283"/>
              <w:jc w:val="left"/>
              <w:rPr/>
            </w:pPr>
            <w:r>
              <w:rPr/>
              <w:t> </w:t>
            </w:r>
          </w:p>
        </w:tc>
        <w:tc>
          <w:tcPr>
            <w:tcW w:w="105" w:type="dxa"/>
            <w:tcBorders/>
            <w:shd w:fill="FFFFFF" w:val="clear"/>
            <w:vAlign w:val="bottom"/>
          </w:tcPr>
          <w:p>
            <w:pPr>
              <w:pStyle w:val="TableContents"/>
              <w:spacing w:before="0" w:after="283"/>
              <w:rPr/>
            </w:pPr>
            <w:r>
              <w:rPr/>
              <w:t> </w:t>
            </w:r>
          </w:p>
        </w:tc>
        <w:tc>
          <w:tcPr>
            <w:tcW w:w="126"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77" w:type="dxa"/>
            <w:tcBorders>
              <w:bottom w:val="single" w:sz="12" w:space="0" w:color="000000"/>
            </w:tcBorders>
            <w:shd w:fill="FFFF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194,588</w:t>
            </w:r>
          </w:p>
        </w:tc>
        <w:tc>
          <w:tcPr>
            <w:tcW w:w="111" w:type="dxa"/>
            <w:tcBorders/>
            <w:shd w:fill="FFFFFF" w:val="clear"/>
            <w:vAlign w:val="bottom"/>
          </w:tcPr>
          <w:p>
            <w:pPr>
              <w:pStyle w:val="TableContents"/>
              <w:spacing w:before="0" w:after="283"/>
              <w:jc w:val="left"/>
              <w:rPr/>
            </w:pPr>
            <w:r>
              <w:rPr/>
              <w:t> </w:t>
            </w:r>
          </w:p>
        </w:tc>
        <w:tc>
          <w:tcPr>
            <w:tcW w:w="105" w:type="dxa"/>
            <w:tcBorders/>
            <w:shd w:fill="FFFFFF" w:val="clear"/>
            <w:vAlign w:val="bottom"/>
          </w:tcPr>
          <w:p>
            <w:pPr>
              <w:pStyle w:val="TableContents"/>
              <w:spacing w:before="0" w:after="283"/>
              <w:rPr/>
            </w:pPr>
            <w:r>
              <w:rPr/>
              <w:t> </w:t>
            </w:r>
          </w:p>
        </w:tc>
        <w:tc>
          <w:tcPr>
            <w:tcW w:w="126"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111" w:type="dxa"/>
            <w:tcBorders>
              <w:bottom w:val="single" w:sz="12" w:space="0" w:color="000000"/>
            </w:tcBorders>
            <w:shd w:fill="FFFF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7,820,258</w:t>
            </w:r>
          </w:p>
        </w:tc>
        <w:tc>
          <w:tcPr>
            <w:tcW w:w="122" w:type="dxa"/>
            <w:tcBorders/>
            <w:shd w:fill="FFFFFF" w:val="clear"/>
            <w:vAlign w:val="bottom"/>
          </w:tcPr>
          <w:p>
            <w:pPr>
              <w:pStyle w:val="TableContents"/>
              <w:spacing w:before="0" w:after="283"/>
              <w:jc w:val="left"/>
              <w:rPr/>
            </w:pPr>
            <w:r>
              <w:rPr/>
              <w:t> </w:t>
            </w:r>
          </w:p>
        </w:tc>
      </w:tr>
      <w:tr>
        <w:trPr/>
        <w:tc>
          <w:tcPr>
            <w:tcW w:w="5903" w:type="dxa"/>
            <w:tcBorders/>
            <w:shd w:fill="CCEEFF" w:val="clear"/>
            <w:vAlign w:val="bottom"/>
          </w:tcPr>
          <w:p>
            <w:pPr>
              <w:pStyle w:val="TableContents"/>
              <w:spacing w:before="0" w:after="283"/>
              <w:rPr/>
            </w:pPr>
            <w:r>
              <w:rPr/>
              <w:t xml:space="preserve">  </w:t>
            </w:r>
          </w:p>
        </w:tc>
        <w:tc>
          <w:tcPr>
            <w:tcW w:w="105"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jc w:val="left"/>
              <w:rPr/>
            </w:pPr>
            <w:r>
              <w:rPr/>
              <w:t> </w:t>
            </w:r>
          </w:p>
        </w:tc>
        <w:tc>
          <w:tcPr>
            <w:tcW w:w="1077" w:type="dxa"/>
            <w:tcBorders/>
            <w:shd w:fill="CCEEFF" w:val="clear"/>
            <w:vAlign w:val="bottom"/>
          </w:tcPr>
          <w:p>
            <w:pPr>
              <w:pStyle w:val="TableContents"/>
              <w:spacing w:before="0" w:after="283"/>
              <w:jc w:val="right"/>
              <w:rPr/>
            </w:pPr>
            <w:r>
              <w:rPr/>
              <w:t> </w:t>
            </w:r>
          </w:p>
        </w:tc>
        <w:tc>
          <w:tcPr>
            <w:tcW w:w="111" w:type="dxa"/>
            <w:tcBorders/>
            <w:shd w:fill="CCEEFF" w:val="clear"/>
            <w:vAlign w:val="bottom"/>
          </w:tcPr>
          <w:p>
            <w:pPr>
              <w:pStyle w:val="TableContents"/>
              <w:spacing w:before="0" w:after="283"/>
              <w:jc w:val="left"/>
              <w:rPr/>
            </w:pPr>
            <w:r>
              <w:rPr/>
              <w:t> </w:t>
            </w:r>
          </w:p>
        </w:tc>
        <w:tc>
          <w:tcPr>
            <w:tcW w:w="105"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jc w:val="left"/>
              <w:rPr/>
            </w:pPr>
            <w:r>
              <w:rPr/>
              <w:t> </w:t>
            </w:r>
          </w:p>
        </w:tc>
        <w:tc>
          <w:tcPr>
            <w:tcW w:w="1077" w:type="dxa"/>
            <w:tcBorders/>
            <w:shd w:fill="CCEEFF" w:val="clear"/>
            <w:vAlign w:val="bottom"/>
          </w:tcPr>
          <w:p>
            <w:pPr>
              <w:pStyle w:val="TableContents"/>
              <w:spacing w:before="0" w:after="283"/>
              <w:jc w:val="right"/>
              <w:rPr/>
            </w:pPr>
            <w:r>
              <w:rPr/>
              <w:t> </w:t>
            </w:r>
          </w:p>
        </w:tc>
        <w:tc>
          <w:tcPr>
            <w:tcW w:w="111" w:type="dxa"/>
            <w:tcBorders/>
            <w:shd w:fill="CCEEFF" w:val="clear"/>
            <w:vAlign w:val="bottom"/>
          </w:tcPr>
          <w:p>
            <w:pPr>
              <w:pStyle w:val="TableContents"/>
              <w:spacing w:before="0" w:after="283"/>
              <w:jc w:val="left"/>
              <w:rPr/>
            </w:pPr>
            <w:r>
              <w:rPr/>
              <w:t> </w:t>
            </w:r>
          </w:p>
        </w:tc>
        <w:tc>
          <w:tcPr>
            <w:tcW w:w="105"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jc w:val="left"/>
              <w:rPr/>
            </w:pPr>
            <w:r>
              <w:rPr/>
              <w:t> </w:t>
            </w:r>
          </w:p>
        </w:tc>
        <w:tc>
          <w:tcPr>
            <w:tcW w:w="1111" w:type="dxa"/>
            <w:tcBorders/>
            <w:shd w:fill="CCEEFF" w:val="clear"/>
            <w:vAlign w:val="bottom"/>
          </w:tcPr>
          <w:p>
            <w:pPr>
              <w:pStyle w:val="TableContents"/>
              <w:spacing w:before="0" w:after="283"/>
              <w:jc w:val="right"/>
              <w:rPr/>
            </w:pPr>
            <w:r>
              <w:rPr/>
              <w:t> </w:t>
            </w:r>
          </w:p>
        </w:tc>
        <w:tc>
          <w:tcPr>
            <w:tcW w:w="122" w:type="dxa"/>
            <w:tcBorders/>
            <w:shd w:fill="CCEEFF" w:val="clear"/>
            <w:vAlign w:val="bottom"/>
          </w:tcPr>
          <w:p>
            <w:pPr>
              <w:pStyle w:val="TableContents"/>
              <w:spacing w:before="0" w:after="283"/>
              <w:jc w:val="left"/>
              <w:rPr/>
            </w:pPr>
            <w:r>
              <w:rPr/>
              <w:t> </w:t>
            </w:r>
          </w:p>
        </w:tc>
      </w:tr>
      <w:tr>
        <w:trPr/>
        <w:tc>
          <w:tcPr>
            <w:tcW w:w="5903" w:type="dxa"/>
            <w:tcBorders/>
            <w:shd w:fill="FFFFFF" w:val="clear"/>
            <w:vAlign w:val="bottom"/>
          </w:tcPr>
          <w:p>
            <w:pPr>
              <w:pStyle w:val="TableContents"/>
              <w:spacing w:before="0" w:after="0"/>
              <w:ind w:left="0" w:right="0" w:hanging="0"/>
              <w:jc w:val="left"/>
              <w:rPr>
                <w:rFonts w:ascii="helvetica" w:hAnsi="helvetica"/>
                <w:sz w:val="20"/>
              </w:rPr>
            </w:pPr>
            <w:r>
              <w:rPr>
                <w:rFonts w:ascii="helvetica" w:hAnsi="helvetica"/>
                <w:sz w:val="20"/>
              </w:rPr>
              <w:t>Loss from operations</w:t>
            </w:r>
          </w:p>
        </w:tc>
        <w:tc>
          <w:tcPr>
            <w:tcW w:w="105" w:type="dxa"/>
            <w:tcBorders/>
            <w:shd w:fill="FFFFFF" w:val="clear"/>
            <w:vAlign w:val="bottom"/>
          </w:tcPr>
          <w:p>
            <w:pPr>
              <w:pStyle w:val="TableContents"/>
              <w:spacing w:before="0" w:after="283"/>
              <w:rPr/>
            </w:pPr>
            <w:r>
              <w:rPr/>
              <w:t> </w:t>
            </w:r>
          </w:p>
        </w:tc>
        <w:tc>
          <w:tcPr>
            <w:tcW w:w="126" w:type="dxa"/>
            <w:tcBorders/>
            <w:shd w:fill="FFFFFF" w:val="clear"/>
            <w:vAlign w:val="bottom"/>
          </w:tcPr>
          <w:p>
            <w:pPr>
              <w:pStyle w:val="TableContents"/>
              <w:spacing w:before="0" w:after="283"/>
              <w:jc w:val="left"/>
              <w:rPr/>
            </w:pPr>
            <w:r>
              <w:rPr/>
              <w:t> </w:t>
            </w:r>
          </w:p>
        </w:tc>
        <w:tc>
          <w:tcPr>
            <w:tcW w:w="1077"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(939,228</w:t>
            </w:r>
          </w:p>
        </w:tc>
        <w:tc>
          <w:tcPr>
            <w:tcW w:w="111" w:type="dxa"/>
            <w:tcBorders/>
            <w:shd w:fill="FFFFFF" w:val="clear"/>
            <w:vAlign w:val="bottom"/>
          </w:tcPr>
          <w:p>
            <w:pPr>
              <w:pStyle w:val="TableContents"/>
              <w:spacing w:before="0" w:after="283"/>
              <w:jc w:val="left"/>
              <w:rPr>
                <w:rFonts w:ascii="helvetica" w:hAnsi="helvetica"/>
                <w:sz w:val="20"/>
              </w:rPr>
            </w:pPr>
            <w:r>
              <w:rPr>
                <w:rFonts w:ascii="helvetica" w:hAnsi="helvetica"/>
                <w:sz w:val="20"/>
              </w:rPr>
              <w:t>)</w:t>
            </w:r>
          </w:p>
        </w:tc>
        <w:tc>
          <w:tcPr>
            <w:tcW w:w="105" w:type="dxa"/>
            <w:tcBorders/>
            <w:shd w:fill="FFFFFF" w:val="clear"/>
            <w:vAlign w:val="bottom"/>
          </w:tcPr>
          <w:p>
            <w:pPr>
              <w:pStyle w:val="TableContents"/>
              <w:spacing w:before="0" w:after="283"/>
              <w:rPr/>
            </w:pPr>
            <w:r>
              <w:rPr/>
              <w:t> </w:t>
            </w:r>
          </w:p>
        </w:tc>
        <w:tc>
          <w:tcPr>
            <w:tcW w:w="126" w:type="dxa"/>
            <w:tcBorders/>
            <w:shd w:fill="FFFFFF" w:val="clear"/>
            <w:vAlign w:val="bottom"/>
          </w:tcPr>
          <w:p>
            <w:pPr>
              <w:pStyle w:val="TableContents"/>
              <w:spacing w:before="0" w:after="283"/>
              <w:jc w:val="left"/>
              <w:rPr/>
            </w:pPr>
            <w:r>
              <w:rPr/>
              <w:t> </w:t>
            </w:r>
          </w:p>
        </w:tc>
        <w:tc>
          <w:tcPr>
            <w:tcW w:w="1077"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(2,502,560</w:t>
            </w:r>
          </w:p>
        </w:tc>
        <w:tc>
          <w:tcPr>
            <w:tcW w:w="111" w:type="dxa"/>
            <w:tcBorders/>
            <w:shd w:fill="FFFFFF" w:val="clear"/>
            <w:vAlign w:val="bottom"/>
          </w:tcPr>
          <w:p>
            <w:pPr>
              <w:pStyle w:val="TableContents"/>
              <w:spacing w:before="0" w:after="283"/>
              <w:jc w:val="left"/>
              <w:rPr>
                <w:rFonts w:ascii="helvetica" w:hAnsi="helvetica"/>
                <w:sz w:val="20"/>
              </w:rPr>
            </w:pPr>
            <w:r>
              <w:rPr>
                <w:rFonts w:ascii="helvetica" w:hAnsi="helvetica"/>
                <w:sz w:val="20"/>
              </w:rPr>
              <w:t>)</w:t>
            </w:r>
          </w:p>
        </w:tc>
        <w:tc>
          <w:tcPr>
            <w:tcW w:w="105" w:type="dxa"/>
            <w:tcBorders/>
            <w:shd w:fill="FFFFFF" w:val="clear"/>
            <w:vAlign w:val="bottom"/>
          </w:tcPr>
          <w:p>
            <w:pPr>
              <w:pStyle w:val="TableContents"/>
              <w:spacing w:before="0" w:after="283"/>
              <w:rPr/>
            </w:pPr>
            <w:r>
              <w:rPr/>
              <w:t> </w:t>
            </w:r>
          </w:p>
        </w:tc>
        <w:tc>
          <w:tcPr>
            <w:tcW w:w="126" w:type="dxa"/>
            <w:tcBorders/>
            <w:shd w:fill="FFFFFF" w:val="clear"/>
            <w:vAlign w:val="bottom"/>
          </w:tcPr>
          <w:p>
            <w:pPr>
              <w:pStyle w:val="TableContents"/>
              <w:spacing w:before="0" w:after="283"/>
              <w:jc w:val="left"/>
              <w:rPr/>
            </w:pPr>
            <w:r>
              <w:rPr/>
              <w:t> </w:t>
            </w:r>
          </w:p>
        </w:tc>
        <w:tc>
          <w:tcPr>
            <w:tcW w:w="1111"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(17,393,585</w:t>
            </w:r>
          </w:p>
        </w:tc>
        <w:tc>
          <w:tcPr>
            <w:tcW w:w="122" w:type="dxa"/>
            <w:tcBorders/>
            <w:shd w:fill="FFFFFF" w:val="clear"/>
            <w:vAlign w:val="bottom"/>
          </w:tcPr>
          <w:p>
            <w:pPr>
              <w:pStyle w:val="TableContents"/>
              <w:spacing w:before="0" w:after="283"/>
              <w:jc w:val="left"/>
              <w:rPr>
                <w:rFonts w:ascii="helvetica" w:hAnsi="helvetica"/>
                <w:sz w:val="20"/>
              </w:rPr>
            </w:pPr>
            <w:r>
              <w:rPr>
                <w:rFonts w:ascii="helvetica" w:hAnsi="helvetica"/>
                <w:sz w:val="20"/>
              </w:rPr>
              <w:t>)</w:t>
            </w:r>
          </w:p>
        </w:tc>
      </w:tr>
      <w:tr>
        <w:trPr/>
        <w:tc>
          <w:tcPr>
            <w:tcW w:w="5903" w:type="dxa"/>
            <w:tcBorders/>
            <w:shd w:fill="CCEEFF" w:val="clear"/>
            <w:vAlign w:val="bottom"/>
          </w:tcPr>
          <w:p>
            <w:pPr>
              <w:pStyle w:val="TableContents"/>
              <w:spacing w:before="0" w:after="283"/>
              <w:rPr/>
            </w:pPr>
            <w:r>
              <w:rPr/>
              <w:t xml:space="preserve">  </w:t>
            </w:r>
          </w:p>
        </w:tc>
        <w:tc>
          <w:tcPr>
            <w:tcW w:w="105"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jc w:val="left"/>
              <w:rPr/>
            </w:pPr>
            <w:r>
              <w:rPr/>
              <w:t> </w:t>
            </w:r>
          </w:p>
        </w:tc>
        <w:tc>
          <w:tcPr>
            <w:tcW w:w="1077" w:type="dxa"/>
            <w:tcBorders/>
            <w:shd w:fill="CCEEFF" w:val="clear"/>
            <w:vAlign w:val="bottom"/>
          </w:tcPr>
          <w:p>
            <w:pPr>
              <w:pStyle w:val="TableContents"/>
              <w:spacing w:before="0" w:after="283"/>
              <w:jc w:val="right"/>
              <w:rPr/>
            </w:pPr>
            <w:r>
              <w:rPr/>
              <w:t> </w:t>
            </w:r>
          </w:p>
        </w:tc>
        <w:tc>
          <w:tcPr>
            <w:tcW w:w="111" w:type="dxa"/>
            <w:tcBorders/>
            <w:shd w:fill="CCEEFF" w:val="clear"/>
            <w:vAlign w:val="bottom"/>
          </w:tcPr>
          <w:p>
            <w:pPr>
              <w:pStyle w:val="TableContents"/>
              <w:spacing w:before="0" w:after="283"/>
              <w:jc w:val="left"/>
              <w:rPr/>
            </w:pPr>
            <w:r>
              <w:rPr/>
              <w:t> </w:t>
            </w:r>
          </w:p>
        </w:tc>
        <w:tc>
          <w:tcPr>
            <w:tcW w:w="105"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jc w:val="left"/>
              <w:rPr/>
            </w:pPr>
            <w:r>
              <w:rPr/>
              <w:t> </w:t>
            </w:r>
          </w:p>
        </w:tc>
        <w:tc>
          <w:tcPr>
            <w:tcW w:w="1077" w:type="dxa"/>
            <w:tcBorders/>
            <w:shd w:fill="CCEEFF" w:val="clear"/>
            <w:vAlign w:val="bottom"/>
          </w:tcPr>
          <w:p>
            <w:pPr>
              <w:pStyle w:val="TableContents"/>
              <w:spacing w:before="0" w:after="283"/>
              <w:jc w:val="right"/>
              <w:rPr/>
            </w:pPr>
            <w:r>
              <w:rPr/>
              <w:t> </w:t>
            </w:r>
          </w:p>
        </w:tc>
        <w:tc>
          <w:tcPr>
            <w:tcW w:w="111" w:type="dxa"/>
            <w:tcBorders/>
            <w:shd w:fill="CCEEFF" w:val="clear"/>
            <w:vAlign w:val="bottom"/>
          </w:tcPr>
          <w:p>
            <w:pPr>
              <w:pStyle w:val="TableContents"/>
              <w:spacing w:before="0" w:after="283"/>
              <w:jc w:val="left"/>
              <w:rPr/>
            </w:pPr>
            <w:r>
              <w:rPr/>
              <w:t> </w:t>
            </w:r>
          </w:p>
        </w:tc>
        <w:tc>
          <w:tcPr>
            <w:tcW w:w="105"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jc w:val="left"/>
              <w:rPr/>
            </w:pPr>
            <w:r>
              <w:rPr/>
              <w:t> </w:t>
            </w:r>
          </w:p>
        </w:tc>
        <w:tc>
          <w:tcPr>
            <w:tcW w:w="1111" w:type="dxa"/>
            <w:tcBorders/>
            <w:shd w:fill="CCEEFF" w:val="clear"/>
            <w:vAlign w:val="bottom"/>
          </w:tcPr>
          <w:p>
            <w:pPr>
              <w:pStyle w:val="TableContents"/>
              <w:spacing w:before="0" w:after="283"/>
              <w:jc w:val="right"/>
              <w:rPr/>
            </w:pPr>
            <w:r>
              <w:rPr/>
              <w:t> </w:t>
            </w:r>
          </w:p>
        </w:tc>
        <w:tc>
          <w:tcPr>
            <w:tcW w:w="122" w:type="dxa"/>
            <w:tcBorders/>
            <w:shd w:fill="CCEEFF" w:val="clear"/>
            <w:vAlign w:val="bottom"/>
          </w:tcPr>
          <w:p>
            <w:pPr>
              <w:pStyle w:val="TableContents"/>
              <w:spacing w:before="0" w:after="283"/>
              <w:jc w:val="left"/>
              <w:rPr/>
            </w:pPr>
            <w:r>
              <w:rPr/>
              <w:t> </w:t>
            </w:r>
          </w:p>
        </w:tc>
      </w:tr>
      <w:tr>
        <w:trPr/>
        <w:tc>
          <w:tcPr>
            <w:tcW w:w="5903" w:type="dxa"/>
            <w:tcBorders/>
            <w:shd w:fill="FFFFFF" w:val="clear"/>
            <w:vAlign w:val="bottom"/>
          </w:tcPr>
          <w:p>
            <w:pPr>
              <w:pStyle w:val="TableContents"/>
              <w:spacing w:before="0" w:after="0"/>
              <w:ind w:left="0" w:right="0" w:hanging="0"/>
              <w:jc w:val="left"/>
              <w:rPr>
                <w:rFonts w:ascii="helvetica" w:hAnsi="helvetica"/>
                <w:sz w:val="20"/>
              </w:rPr>
            </w:pPr>
            <w:r>
              <w:rPr>
                <w:rFonts w:ascii="helvetica" w:hAnsi="helvetica"/>
                <w:sz w:val="20"/>
              </w:rPr>
              <w:t>Other income (expense)</w:t>
            </w:r>
          </w:p>
        </w:tc>
        <w:tc>
          <w:tcPr>
            <w:tcW w:w="105" w:type="dxa"/>
            <w:tcBorders/>
            <w:shd w:fill="FFFFFF" w:val="clear"/>
            <w:vAlign w:val="bottom"/>
          </w:tcPr>
          <w:p>
            <w:pPr>
              <w:pStyle w:val="TableContents"/>
              <w:spacing w:before="0" w:after="283"/>
              <w:rPr/>
            </w:pPr>
            <w:r>
              <w:rPr/>
              <w:t> </w:t>
            </w:r>
          </w:p>
        </w:tc>
        <w:tc>
          <w:tcPr>
            <w:tcW w:w="126" w:type="dxa"/>
            <w:tcBorders/>
            <w:shd w:fill="FFFFFF" w:val="clear"/>
            <w:vAlign w:val="bottom"/>
          </w:tcPr>
          <w:p>
            <w:pPr>
              <w:pStyle w:val="TableContents"/>
              <w:spacing w:before="0" w:after="283"/>
              <w:jc w:val="left"/>
              <w:rPr/>
            </w:pPr>
            <w:r>
              <w:rPr/>
              <w:t> </w:t>
            </w:r>
          </w:p>
        </w:tc>
        <w:tc>
          <w:tcPr>
            <w:tcW w:w="1077" w:type="dxa"/>
            <w:tcBorders/>
            <w:shd w:fill="FFFFFF" w:val="clear"/>
            <w:vAlign w:val="bottom"/>
          </w:tcPr>
          <w:p>
            <w:pPr>
              <w:pStyle w:val="TableContents"/>
              <w:spacing w:before="0" w:after="283"/>
              <w:jc w:val="right"/>
              <w:rPr/>
            </w:pPr>
            <w:r>
              <w:rPr/>
              <w:t> </w:t>
            </w:r>
          </w:p>
        </w:tc>
        <w:tc>
          <w:tcPr>
            <w:tcW w:w="111" w:type="dxa"/>
            <w:tcBorders/>
            <w:shd w:fill="FFFFFF" w:val="clear"/>
            <w:vAlign w:val="bottom"/>
          </w:tcPr>
          <w:p>
            <w:pPr>
              <w:pStyle w:val="TableContents"/>
              <w:spacing w:before="0" w:after="283"/>
              <w:jc w:val="left"/>
              <w:rPr/>
            </w:pPr>
            <w:r>
              <w:rPr/>
              <w:t> </w:t>
            </w:r>
          </w:p>
        </w:tc>
        <w:tc>
          <w:tcPr>
            <w:tcW w:w="105" w:type="dxa"/>
            <w:tcBorders/>
            <w:shd w:fill="FFFFFF" w:val="clear"/>
            <w:vAlign w:val="bottom"/>
          </w:tcPr>
          <w:p>
            <w:pPr>
              <w:pStyle w:val="TableContents"/>
              <w:spacing w:before="0" w:after="283"/>
              <w:rPr/>
            </w:pPr>
            <w:r>
              <w:rPr/>
              <w:t> </w:t>
            </w:r>
          </w:p>
        </w:tc>
        <w:tc>
          <w:tcPr>
            <w:tcW w:w="126" w:type="dxa"/>
            <w:tcBorders/>
            <w:shd w:fill="FFFFFF" w:val="clear"/>
            <w:vAlign w:val="bottom"/>
          </w:tcPr>
          <w:p>
            <w:pPr>
              <w:pStyle w:val="TableContents"/>
              <w:spacing w:before="0" w:after="283"/>
              <w:jc w:val="left"/>
              <w:rPr/>
            </w:pPr>
            <w:r>
              <w:rPr/>
              <w:t> </w:t>
            </w:r>
          </w:p>
        </w:tc>
        <w:tc>
          <w:tcPr>
            <w:tcW w:w="1077" w:type="dxa"/>
            <w:tcBorders/>
            <w:shd w:fill="FFFFFF" w:val="clear"/>
            <w:vAlign w:val="bottom"/>
          </w:tcPr>
          <w:p>
            <w:pPr>
              <w:pStyle w:val="TableContents"/>
              <w:spacing w:before="0" w:after="283"/>
              <w:jc w:val="right"/>
              <w:rPr/>
            </w:pPr>
            <w:r>
              <w:rPr/>
              <w:t> </w:t>
            </w:r>
          </w:p>
        </w:tc>
        <w:tc>
          <w:tcPr>
            <w:tcW w:w="111" w:type="dxa"/>
            <w:tcBorders/>
            <w:shd w:fill="FFFFFF" w:val="clear"/>
            <w:vAlign w:val="bottom"/>
          </w:tcPr>
          <w:p>
            <w:pPr>
              <w:pStyle w:val="TableContents"/>
              <w:spacing w:before="0" w:after="283"/>
              <w:jc w:val="left"/>
              <w:rPr/>
            </w:pPr>
            <w:r>
              <w:rPr/>
              <w:t> </w:t>
            </w:r>
          </w:p>
        </w:tc>
        <w:tc>
          <w:tcPr>
            <w:tcW w:w="105" w:type="dxa"/>
            <w:tcBorders/>
            <w:shd w:fill="FFFFFF" w:val="clear"/>
            <w:vAlign w:val="bottom"/>
          </w:tcPr>
          <w:p>
            <w:pPr>
              <w:pStyle w:val="TableContents"/>
              <w:spacing w:before="0" w:after="283"/>
              <w:rPr/>
            </w:pPr>
            <w:r>
              <w:rPr/>
              <w:t> </w:t>
            </w:r>
          </w:p>
        </w:tc>
        <w:tc>
          <w:tcPr>
            <w:tcW w:w="126" w:type="dxa"/>
            <w:tcBorders/>
            <w:shd w:fill="FFFFFF" w:val="clear"/>
            <w:vAlign w:val="bottom"/>
          </w:tcPr>
          <w:p>
            <w:pPr>
              <w:pStyle w:val="TableContents"/>
              <w:spacing w:before="0" w:after="283"/>
              <w:jc w:val="left"/>
              <w:rPr/>
            </w:pPr>
            <w:r>
              <w:rPr/>
              <w:t> </w:t>
            </w:r>
          </w:p>
        </w:tc>
        <w:tc>
          <w:tcPr>
            <w:tcW w:w="1111" w:type="dxa"/>
            <w:tcBorders/>
            <w:shd w:fill="FFFFFF" w:val="clear"/>
            <w:vAlign w:val="bottom"/>
          </w:tcPr>
          <w:p>
            <w:pPr>
              <w:pStyle w:val="TableContents"/>
              <w:spacing w:before="0" w:after="283"/>
              <w:jc w:val="right"/>
              <w:rPr/>
            </w:pPr>
            <w:r>
              <w:rPr/>
              <w:t> </w:t>
            </w:r>
          </w:p>
        </w:tc>
        <w:tc>
          <w:tcPr>
            <w:tcW w:w="122" w:type="dxa"/>
            <w:tcBorders/>
            <w:shd w:fill="FFFFFF" w:val="clear"/>
            <w:vAlign w:val="bottom"/>
          </w:tcPr>
          <w:p>
            <w:pPr>
              <w:pStyle w:val="TableContents"/>
              <w:spacing w:before="0" w:after="283"/>
              <w:jc w:val="left"/>
              <w:rPr/>
            </w:pPr>
            <w:r>
              <w:rPr/>
              <w:t> </w:t>
            </w:r>
          </w:p>
        </w:tc>
      </w:tr>
      <w:tr>
        <w:trPr/>
        <w:tc>
          <w:tcPr>
            <w:tcW w:w="5903" w:type="dxa"/>
            <w:tcBorders/>
            <w:shd w:fill="CCEEFF" w:val="clear"/>
            <w:vAlign w:val="bottom"/>
          </w:tcPr>
          <w:p>
            <w:pPr>
              <w:pStyle w:val="TableContents"/>
              <w:spacing w:before="0" w:after="0"/>
              <w:ind w:left="0" w:right="0" w:hanging="0"/>
              <w:jc w:val="left"/>
              <w:rPr>
                <w:rFonts w:ascii="helvetica" w:hAnsi="helvetica"/>
                <w:sz w:val="20"/>
              </w:rPr>
            </w:pPr>
            <w:r>
              <w:rPr>
                <w:rFonts w:ascii="helvetica" w:hAnsi="helvetica"/>
                <w:sz w:val="20"/>
              </w:rPr>
              <w:t>Interest expense</w:t>
            </w:r>
          </w:p>
        </w:tc>
        <w:tc>
          <w:tcPr>
            <w:tcW w:w="105"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jc w:val="left"/>
              <w:rPr/>
            </w:pPr>
            <w:r>
              <w:rPr/>
              <w:t> </w:t>
            </w:r>
          </w:p>
        </w:tc>
        <w:tc>
          <w:tcPr>
            <w:tcW w:w="1077"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(75,000</w:t>
            </w:r>
          </w:p>
        </w:tc>
        <w:tc>
          <w:tcPr>
            <w:tcW w:w="111" w:type="dxa"/>
            <w:tcBorders/>
            <w:shd w:fill="CCEEFF" w:val="clear"/>
            <w:vAlign w:val="bottom"/>
          </w:tcPr>
          <w:p>
            <w:pPr>
              <w:pStyle w:val="TableContents"/>
              <w:spacing w:before="0" w:after="283"/>
              <w:jc w:val="left"/>
              <w:rPr>
                <w:rFonts w:ascii="helvetica" w:hAnsi="helvetica"/>
                <w:sz w:val="20"/>
              </w:rPr>
            </w:pPr>
            <w:r>
              <w:rPr>
                <w:rFonts w:ascii="helvetica" w:hAnsi="helvetica"/>
                <w:sz w:val="20"/>
              </w:rPr>
              <w:t>)</w:t>
            </w:r>
          </w:p>
        </w:tc>
        <w:tc>
          <w:tcPr>
            <w:tcW w:w="105"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jc w:val="left"/>
              <w:rPr/>
            </w:pPr>
            <w:r>
              <w:rPr/>
              <w:t> </w:t>
            </w:r>
          </w:p>
        </w:tc>
        <w:tc>
          <w:tcPr>
            <w:tcW w:w="1077"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(55,479</w:t>
            </w:r>
          </w:p>
        </w:tc>
        <w:tc>
          <w:tcPr>
            <w:tcW w:w="111" w:type="dxa"/>
            <w:tcBorders/>
            <w:shd w:fill="CCEEFF" w:val="clear"/>
            <w:vAlign w:val="bottom"/>
          </w:tcPr>
          <w:p>
            <w:pPr>
              <w:pStyle w:val="TableContents"/>
              <w:spacing w:before="0" w:after="283"/>
              <w:jc w:val="left"/>
              <w:rPr>
                <w:rFonts w:ascii="helvetica" w:hAnsi="helvetica"/>
                <w:sz w:val="20"/>
              </w:rPr>
            </w:pPr>
            <w:r>
              <w:rPr>
                <w:rFonts w:ascii="helvetica" w:hAnsi="helvetica"/>
                <w:sz w:val="20"/>
              </w:rPr>
              <w:t>)</w:t>
            </w:r>
          </w:p>
        </w:tc>
        <w:tc>
          <w:tcPr>
            <w:tcW w:w="105"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jc w:val="left"/>
              <w:rPr/>
            </w:pPr>
            <w:r>
              <w:rPr/>
              <w:t> </w:t>
            </w:r>
          </w:p>
        </w:tc>
        <w:tc>
          <w:tcPr>
            <w:tcW w:w="1111"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(1,706,234</w:t>
            </w:r>
          </w:p>
        </w:tc>
        <w:tc>
          <w:tcPr>
            <w:tcW w:w="122" w:type="dxa"/>
            <w:tcBorders/>
            <w:shd w:fill="CCEEFF" w:val="clear"/>
            <w:vAlign w:val="bottom"/>
          </w:tcPr>
          <w:p>
            <w:pPr>
              <w:pStyle w:val="TableContents"/>
              <w:spacing w:before="0" w:after="283"/>
              <w:jc w:val="left"/>
              <w:rPr>
                <w:rFonts w:ascii="helvetica" w:hAnsi="helvetica"/>
                <w:sz w:val="20"/>
              </w:rPr>
            </w:pPr>
            <w:r>
              <w:rPr>
                <w:rFonts w:ascii="helvetica" w:hAnsi="helvetica"/>
                <w:sz w:val="20"/>
              </w:rPr>
              <w:t>)</w:t>
            </w:r>
          </w:p>
        </w:tc>
      </w:tr>
      <w:tr>
        <w:trPr/>
        <w:tc>
          <w:tcPr>
            <w:tcW w:w="5903" w:type="dxa"/>
            <w:tcBorders/>
            <w:shd w:fill="FFFFFF" w:val="clear"/>
            <w:vAlign w:val="bottom"/>
          </w:tcPr>
          <w:p>
            <w:pPr>
              <w:pStyle w:val="TableContents"/>
              <w:spacing w:before="0" w:after="0"/>
              <w:ind w:left="0" w:right="0" w:hanging="0"/>
              <w:jc w:val="left"/>
              <w:rPr>
                <w:rFonts w:ascii="helvetica" w:hAnsi="helvetica"/>
                <w:sz w:val="20"/>
              </w:rPr>
            </w:pPr>
            <w:r>
              <w:rPr>
                <w:rFonts w:ascii="helvetica" w:hAnsi="helvetica"/>
                <w:sz w:val="20"/>
              </w:rPr>
              <w:t>Interest income</w:t>
            </w:r>
          </w:p>
        </w:tc>
        <w:tc>
          <w:tcPr>
            <w:tcW w:w="105" w:type="dxa"/>
            <w:tcBorders/>
            <w:shd w:fill="FFFFFF" w:val="clear"/>
            <w:vAlign w:val="bottom"/>
          </w:tcPr>
          <w:p>
            <w:pPr>
              <w:pStyle w:val="TableContents"/>
              <w:spacing w:before="0" w:after="283"/>
              <w:rPr/>
            </w:pPr>
            <w:r>
              <w:rPr/>
              <w:t> </w:t>
            </w:r>
          </w:p>
        </w:tc>
        <w:tc>
          <w:tcPr>
            <w:tcW w:w="126" w:type="dxa"/>
            <w:tcBorders/>
            <w:shd w:fill="FFFFFF" w:val="clear"/>
            <w:vAlign w:val="bottom"/>
          </w:tcPr>
          <w:p>
            <w:pPr>
              <w:pStyle w:val="TableContents"/>
              <w:spacing w:before="0" w:after="283"/>
              <w:jc w:val="left"/>
              <w:rPr/>
            </w:pPr>
            <w:r>
              <w:rPr/>
              <w:t> </w:t>
            </w:r>
          </w:p>
        </w:tc>
        <w:tc>
          <w:tcPr>
            <w:tcW w:w="1077"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w:t>
            </w:r>
          </w:p>
        </w:tc>
        <w:tc>
          <w:tcPr>
            <w:tcW w:w="111" w:type="dxa"/>
            <w:tcBorders/>
            <w:shd w:fill="FFFFFF" w:val="clear"/>
            <w:vAlign w:val="bottom"/>
          </w:tcPr>
          <w:p>
            <w:pPr>
              <w:pStyle w:val="TableContents"/>
              <w:spacing w:before="0" w:after="283"/>
              <w:jc w:val="left"/>
              <w:rPr/>
            </w:pPr>
            <w:r>
              <w:rPr/>
              <w:t> </w:t>
            </w:r>
          </w:p>
        </w:tc>
        <w:tc>
          <w:tcPr>
            <w:tcW w:w="105" w:type="dxa"/>
            <w:tcBorders/>
            <w:shd w:fill="FFFFFF" w:val="clear"/>
            <w:vAlign w:val="bottom"/>
          </w:tcPr>
          <w:p>
            <w:pPr>
              <w:pStyle w:val="TableContents"/>
              <w:spacing w:before="0" w:after="283"/>
              <w:rPr/>
            </w:pPr>
            <w:r>
              <w:rPr/>
              <w:t> </w:t>
            </w:r>
          </w:p>
        </w:tc>
        <w:tc>
          <w:tcPr>
            <w:tcW w:w="126" w:type="dxa"/>
            <w:tcBorders/>
            <w:shd w:fill="FFFFFF" w:val="clear"/>
            <w:vAlign w:val="bottom"/>
          </w:tcPr>
          <w:p>
            <w:pPr>
              <w:pStyle w:val="TableContents"/>
              <w:spacing w:before="0" w:after="283"/>
              <w:jc w:val="left"/>
              <w:rPr/>
            </w:pPr>
            <w:r>
              <w:rPr/>
              <w:t> </w:t>
            </w:r>
          </w:p>
        </w:tc>
        <w:tc>
          <w:tcPr>
            <w:tcW w:w="1077"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512</w:t>
            </w:r>
          </w:p>
        </w:tc>
        <w:tc>
          <w:tcPr>
            <w:tcW w:w="111" w:type="dxa"/>
            <w:tcBorders/>
            <w:shd w:fill="FFFFFF" w:val="clear"/>
            <w:vAlign w:val="bottom"/>
          </w:tcPr>
          <w:p>
            <w:pPr>
              <w:pStyle w:val="TableContents"/>
              <w:spacing w:before="0" w:after="283"/>
              <w:jc w:val="left"/>
              <w:rPr/>
            </w:pPr>
            <w:r>
              <w:rPr/>
              <w:t> </w:t>
            </w:r>
          </w:p>
        </w:tc>
        <w:tc>
          <w:tcPr>
            <w:tcW w:w="105" w:type="dxa"/>
            <w:tcBorders/>
            <w:shd w:fill="FFFFFF" w:val="clear"/>
            <w:vAlign w:val="bottom"/>
          </w:tcPr>
          <w:p>
            <w:pPr>
              <w:pStyle w:val="TableContents"/>
              <w:spacing w:before="0" w:after="283"/>
              <w:rPr/>
            </w:pPr>
            <w:r>
              <w:rPr/>
              <w:t> </w:t>
            </w:r>
          </w:p>
        </w:tc>
        <w:tc>
          <w:tcPr>
            <w:tcW w:w="126" w:type="dxa"/>
            <w:tcBorders/>
            <w:shd w:fill="FFFFFF" w:val="clear"/>
            <w:vAlign w:val="bottom"/>
          </w:tcPr>
          <w:p>
            <w:pPr>
              <w:pStyle w:val="TableContents"/>
              <w:spacing w:before="0" w:after="283"/>
              <w:jc w:val="left"/>
              <w:rPr/>
            </w:pPr>
            <w:r>
              <w:rPr/>
              <w:t> </w:t>
            </w:r>
          </w:p>
        </w:tc>
        <w:tc>
          <w:tcPr>
            <w:tcW w:w="1111"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127,581</w:t>
            </w:r>
          </w:p>
        </w:tc>
        <w:tc>
          <w:tcPr>
            <w:tcW w:w="122" w:type="dxa"/>
            <w:tcBorders/>
            <w:shd w:fill="FFFFFF" w:val="clear"/>
            <w:vAlign w:val="bottom"/>
          </w:tcPr>
          <w:p>
            <w:pPr>
              <w:pStyle w:val="TableContents"/>
              <w:spacing w:before="0" w:after="283"/>
              <w:jc w:val="left"/>
              <w:rPr/>
            </w:pPr>
            <w:r>
              <w:rPr/>
              <w:t> </w:t>
            </w:r>
          </w:p>
        </w:tc>
      </w:tr>
      <w:tr>
        <w:trPr/>
        <w:tc>
          <w:tcPr>
            <w:tcW w:w="5903" w:type="dxa"/>
            <w:tcBorders/>
            <w:shd w:fill="CCEEFF" w:val="clear"/>
            <w:vAlign w:val="bottom"/>
          </w:tcPr>
          <w:p>
            <w:pPr>
              <w:pStyle w:val="TableContents"/>
              <w:spacing w:before="0" w:after="0"/>
              <w:ind w:left="0" w:right="0" w:hanging="0"/>
              <w:jc w:val="left"/>
              <w:rPr>
                <w:rFonts w:ascii="helvetica" w:hAnsi="helvetica"/>
                <w:sz w:val="20"/>
              </w:rPr>
            </w:pPr>
            <w:r>
              <w:rPr>
                <w:rFonts w:ascii="helvetica" w:hAnsi="helvetica"/>
                <w:sz w:val="20"/>
              </w:rPr>
              <w:t>Gain on settlement</w:t>
            </w:r>
          </w:p>
        </w:tc>
        <w:tc>
          <w:tcPr>
            <w:tcW w:w="105"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jc w:val="left"/>
              <w:rPr/>
            </w:pPr>
            <w:r>
              <w:rPr/>
              <w:t> </w:t>
            </w:r>
          </w:p>
        </w:tc>
        <w:tc>
          <w:tcPr>
            <w:tcW w:w="1077"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w:t>
            </w:r>
          </w:p>
        </w:tc>
        <w:tc>
          <w:tcPr>
            <w:tcW w:w="111" w:type="dxa"/>
            <w:tcBorders/>
            <w:shd w:fill="CCEEFF" w:val="clear"/>
            <w:vAlign w:val="bottom"/>
          </w:tcPr>
          <w:p>
            <w:pPr>
              <w:pStyle w:val="TableContents"/>
              <w:spacing w:before="0" w:after="283"/>
              <w:jc w:val="left"/>
              <w:rPr/>
            </w:pPr>
            <w:r>
              <w:rPr/>
              <w:t> </w:t>
            </w:r>
          </w:p>
        </w:tc>
        <w:tc>
          <w:tcPr>
            <w:tcW w:w="105"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jc w:val="left"/>
              <w:rPr/>
            </w:pPr>
            <w:r>
              <w:rPr/>
              <w:t> </w:t>
            </w:r>
          </w:p>
        </w:tc>
        <w:tc>
          <w:tcPr>
            <w:tcW w:w="1077"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w:t>
            </w:r>
          </w:p>
        </w:tc>
        <w:tc>
          <w:tcPr>
            <w:tcW w:w="111" w:type="dxa"/>
            <w:tcBorders/>
            <w:shd w:fill="CCEEFF" w:val="clear"/>
            <w:vAlign w:val="bottom"/>
          </w:tcPr>
          <w:p>
            <w:pPr>
              <w:pStyle w:val="TableContents"/>
              <w:spacing w:before="0" w:after="283"/>
              <w:jc w:val="left"/>
              <w:rPr/>
            </w:pPr>
            <w:r>
              <w:rPr/>
              <w:t> </w:t>
            </w:r>
          </w:p>
        </w:tc>
        <w:tc>
          <w:tcPr>
            <w:tcW w:w="105"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jc w:val="left"/>
              <w:rPr/>
            </w:pPr>
            <w:r>
              <w:rPr/>
              <w:t> </w:t>
            </w:r>
          </w:p>
        </w:tc>
        <w:tc>
          <w:tcPr>
            <w:tcW w:w="1111"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375,000</w:t>
            </w:r>
          </w:p>
        </w:tc>
        <w:tc>
          <w:tcPr>
            <w:tcW w:w="122" w:type="dxa"/>
            <w:tcBorders/>
            <w:shd w:fill="CCEEFF" w:val="clear"/>
            <w:vAlign w:val="bottom"/>
          </w:tcPr>
          <w:p>
            <w:pPr>
              <w:pStyle w:val="TableContents"/>
              <w:spacing w:before="0" w:after="283"/>
              <w:jc w:val="left"/>
              <w:rPr/>
            </w:pPr>
            <w:r>
              <w:rPr/>
              <w:t> </w:t>
            </w:r>
          </w:p>
        </w:tc>
      </w:tr>
      <w:tr>
        <w:trPr/>
        <w:tc>
          <w:tcPr>
            <w:tcW w:w="5903" w:type="dxa"/>
            <w:tcBorders/>
            <w:shd w:fill="FFFFFF" w:val="clear"/>
            <w:vAlign w:val="bottom"/>
          </w:tcPr>
          <w:p>
            <w:pPr>
              <w:pStyle w:val="TableContents"/>
              <w:spacing w:before="0" w:after="0"/>
              <w:ind w:left="0" w:right="0" w:hanging="0"/>
              <w:jc w:val="left"/>
              <w:rPr>
                <w:rFonts w:ascii="helvetica" w:hAnsi="helvetica"/>
                <w:sz w:val="20"/>
              </w:rPr>
            </w:pPr>
            <w:r>
              <w:rPr>
                <w:rFonts w:ascii="helvetica" w:hAnsi="helvetica"/>
                <w:sz w:val="20"/>
              </w:rPr>
              <w:t>Gain on forgiveness of liabilities</w:t>
            </w:r>
          </w:p>
        </w:tc>
        <w:tc>
          <w:tcPr>
            <w:tcW w:w="105" w:type="dxa"/>
            <w:tcBorders/>
            <w:shd w:fill="FFFFFF" w:val="clear"/>
            <w:vAlign w:val="bottom"/>
          </w:tcPr>
          <w:p>
            <w:pPr>
              <w:pStyle w:val="TableContents"/>
              <w:spacing w:before="0" w:after="283"/>
              <w:rPr/>
            </w:pPr>
            <w:r>
              <w:rPr/>
              <w:t> </w:t>
            </w:r>
          </w:p>
        </w:tc>
        <w:tc>
          <w:tcPr>
            <w:tcW w:w="126"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77" w:type="dxa"/>
            <w:tcBorders>
              <w:bottom w:val="single" w:sz="12" w:space="0" w:color="000000"/>
            </w:tcBorders>
            <w:shd w:fill="FFFF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60,292</w:t>
            </w:r>
          </w:p>
        </w:tc>
        <w:tc>
          <w:tcPr>
            <w:tcW w:w="111" w:type="dxa"/>
            <w:tcBorders/>
            <w:shd w:fill="FFFFFF" w:val="clear"/>
            <w:vAlign w:val="bottom"/>
          </w:tcPr>
          <w:p>
            <w:pPr>
              <w:pStyle w:val="TableContents"/>
              <w:spacing w:before="0" w:after="283"/>
              <w:jc w:val="left"/>
              <w:rPr/>
            </w:pPr>
            <w:r>
              <w:rPr/>
              <w:t> </w:t>
            </w:r>
          </w:p>
        </w:tc>
        <w:tc>
          <w:tcPr>
            <w:tcW w:w="105" w:type="dxa"/>
            <w:tcBorders/>
            <w:shd w:fill="FFFFFF" w:val="clear"/>
            <w:vAlign w:val="bottom"/>
          </w:tcPr>
          <w:p>
            <w:pPr>
              <w:pStyle w:val="TableContents"/>
              <w:spacing w:before="0" w:after="283"/>
              <w:rPr/>
            </w:pPr>
            <w:r>
              <w:rPr/>
              <w:t> </w:t>
            </w:r>
          </w:p>
        </w:tc>
        <w:tc>
          <w:tcPr>
            <w:tcW w:w="126"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77" w:type="dxa"/>
            <w:tcBorders>
              <w:bottom w:val="single" w:sz="12" w:space="0" w:color="000000"/>
            </w:tcBorders>
            <w:shd w:fill="FFFF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26,299</w:t>
            </w:r>
          </w:p>
        </w:tc>
        <w:tc>
          <w:tcPr>
            <w:tcW w:w="111" w:type="dxa"/>
            <w:tcBorders/>
            <w:shd w:fill="FFFFFF" w:val="clear"/>
            <w:vAlign w:val="bottom"/>
          </w:tcPr>
          <w:p>
            <w:pPr>
              <w:pStyle w:val="TableContents"/>
              <w:spacing w:before="0" w:after="283"/>
              <w:jc w:val="left"/>
              <w:rPr/>
            </w:pPr>
            <w:r>
              <w:rPr/>
              <w:t> </w:t>
            </w:r>
          </w:p>
        </w:tc>
        <w:tc>
          <w:tcPr>
            <w:tcW w:w="105" w:type="dxa"/>
            <w:tcBorders/>
            <w:shd w:fill="FFFFFF" w:val="clear"/>
            <w:vAlign w:val="bottom"/>
          </w:tcPr>
          <w:p>
            <w:pPr>
              <w:pStyle w:val="TableContents"/>
              <w:spacing w:before="0" w:after="283"/>
              <w:rPr/>
            </w:pPr>
            <w:r>
              <w:rPr/>
              <w:t> </w:t>
            </w:r>
          </w:p>
        </w:tc>
        <w:tc>
          <w:tcPr>
            <w:tcW w:w="126"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111" w:type="dxa"/>
            <w:tcBorders>
              <w:bottom w:val="single" w:sz="12" w:space="0" w:color="000000"/>
            </w:tcBorders>
            <w:shd w:fill="FFFF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176,505</w:t>
            </w:r>
          </w:p>
        </w:tc>
        <w:tc>
          <w:tcPr>
            <w:tcW w:w="122" w:type="dxa"/>
            <w:tcBorders/>
            <w:shd w:fill="FFFFFF" w:val="clear"/>
            <w:vAlign w:val="bottom"/>
          </w:tcPr>
          <w:p>
            <w:pPr>
              <w:pStyle w:val="TableContents"/>
              <w:spacing w:before="0" w:after="283"/>
              <w:jc w:val="left"/>
              <w:rPr/>
            </w:pPr>
            <w:r>
              <w:rPr/>
              <w:t> </w:t>
            </w:r>
          </w:p>
        </w:tc>
      </w:tr>
      <w:tr>
        <w:trPr/>
        <w:tc>
          <w:tcPr>
            <w:tcW w:w="5903" w:type="dxa"/>
            <w:tcBorders/>
            <w:shd w:fill="CCEEFF" w:val="clear"/>
            <w:vAlign w:val="bottom"/>
          </w:tcPr>
          <w:p>
            <w:pPr>
              <w:pStyle w:val="TableContents"/>
              <w:spacing w:before="0" w:after="0"/>
              <w:ind w:left="0" w:right="0" w:hanging="0"/>
              <w:jc w:val="left"/>
              <w:rPr>
                <w:rFonts w:ascii="helvetica" w:hAnsi="helvetica"/>
                <w:sz w:val="20"/>
              </w:rPr>
            </w:pPr>
            <w:r>
              <w:rPr>
                <w:rFonts w:ascii="helvetica" w:hAnsi="helvetica"/>
                <w:sz w:val="20"/>
              </w:rPr>
              <w:t>Total other expense, net</w:t>
            </w:r>
          </w:p>
        </w:tc>
        <w:tc>
          <w:tcPr>
            <w:tcW w:w="105"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jc w:val="left"/>
              <w:rPr/>
            </w:pPr>
            <w:r>
              <w:rPr/>
              <w:t> </w:t>
            </w:r>
          </w:p>
        </w:tc>
        <w:tc>
          <w:tcPr>
            <w:tcW w:w="1077"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(14,708</w:t>
            </w:r>
          </w:p>
        </w:tc>
        <w:tc>
          <w:tcPr>
            <w:tcW w:w="111" w:type="dxa"/>
            <w:tcBorders/>
            <w:shd w:fill="CCEEFF" w:val="clear"/>
            <w:vAlign w:val="bottom"/>
          </w:tcPr>
          <w:p>
            <w:pPr>
              <w:pStyle w:val="TableContents"/>
              <w:spacing w:before="0" w:after="283"/>
              <w:jc w:val="left"/>
              <w:rPr>
                <w:rFonts w:ascii="helvetica" w:hAnsi="helvetica"/>
                <w:sz w:val="20"/>
              </w:rPr>
            </w:pPr>
            <w:r>
              <w:rPr>
                <w:rFonts w:ascii="helvetica" w:hAnsi="helvetica"/>
                <w:sz w:val="20"/>
              </w:rPr>
              <w:t>)</w:t>
            </w:r>
          </w:p>
        </w:tc>
        <w:tc>
          <w:tcPr>
            <w:tcW w:w="105"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jc w:val="left"/>
              <w:rPr/>
            </w:pPr>
            <w:r>
              <w:rPr/>
              <w:t> </w:t>
            </w:r>
          </w:p>
        </w:tc>
        <w:tc>
          <w:tcPr>
            <w:tcW w:w="1077"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(28,668</w:t>
            </w:r>
          </w:p>
        </w:tc>
        <w:tc>
          <w:tcPr>
            <w:tcW w:w="111" w:type="dxa"/>
            <w:tcBorders/>
            <w:shd w:fill="CCEEFF" w:val="clear"/>
            <w:vAlign w:val="bottom"/>
          </w:tcPr>
          <w:p>
            <w:pPr>
              <w:pStyle w:val="TableContents"/>
              <w:spacing w:before="0" w:after="283"/>
              <w:jc w:val="left"/>
              <w:rPr>
                <w:rFonts w:ascii="helvetica" w:hAnsi="helvetica"/>
                <w:sz w:val="20"/>
              </w:rPr>
            </w:pPr>
            <w:r>
              <w:rPr>
                <w:rFonts w:ascii="helvetica" w:hAnsi="helvetica"/>
                <w:sz w:val="20"/>
              </w:rPr>
              <w:t>)</w:t>
            </w:r>
          </w:p>
        </w:tc>
        <w:tc>
          <w:tcPr>
            <w:tcW w:w="105"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jc w:val="left"/>
              <w:rPr/>
            </w:pPr>
            <w:r>
              <w:rPr/>
              <w:t> </w:t>
            </w:r>
          </w:p>
        </w:tc>
        <w:tc>
          <w:tcPr>
            <w:tcW w:w="1111"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(1,027,148</w:t>
            </w:r>
          </w:p>
        </w:tc>
        <w:tc>
          <w:tcPr>
            <w:tcW w:w="122" w:type="dxa"/>
            <w:tcBorders/>
            <w:shd w:fill="CCEEFF" w:val="clear"/>
            <w:vAlign w:val="bottom"/>
          </w:tcPr>
          <w:p>
            <w:pPr>
              <w:pStyle w:val="TableContents"/>
              <w:spacing w:before="0" w:after="283"/>
              <w:jc w:val="left"/>
              <w:rPr>
                <w:rFonts w:ascii="helvetica" w:hAnsi="helvetica"/>
                <w:sz w:val="20"/>
              </w:rPr>
            </w:pPr>
            <w:r>
              <w:rPr>
                <w:rFonts w:ascii="helvetica" w:hAnsi="helvetica"/>
                <w:sz w:val="20"/>
              </w:rPr>
              <w:t>)</w:t>
            </w:r>
          </w:p>
        </w:tc>
      </w:tr>
      <w:tr>
        <w:trPr/>
        <w:tc>
          <w:tcPr>
            <w:tcW w:w="5903" w:type="dxa"/>
            <w:tcBorders/>
            <w:shd w:fill="FFFFFF" w:val="clear"/>
            <w:vAlign w:val="bottom"/>
          </w:tcPr>
          <w:p>
            <w:pPr>
              <w:pStyle w:val="TableContents"/>
              <w:spacing w:before="0" w:after="283"/>
              <w:rPr/>
            </w:pPr>
            <w:r>
              <w:rPr/>
              <w:t xml:space="preserve">  </w:t>
            </w:r>
          </w:p>
        </w:tc>
        <w:tc>
          <w:tcPr>
            <w:tcW w:w="105" w:type="dxa"/>
            <w:tcBorders/>
            <w:shd w:fill="FFFFFF" w:val="clear"/>
            <w:vAlign w:val="bottom"/>
          </w:tcPr>
          <w:p>
            <w:pPr>
              <w:pStyle w:val="TableContents"/>
              <w:spacing w:before="0" w:after="283"/>
              <w:rPr/>
            </w:pPr>
            <w:r>
              <w:rPr/>
              <w:t> </w:t>
            </w:r>
          </w:p>
        </w:tc>
        <w:tc>
          <w:tcPr>
            <w:tcW w:w="126"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77" w:type="dxa"/>
            <w:tcBorders>
              <w:bottom w:val="single" w:sz="12" w:space="0" w:color="000000"/>
            </w:tcBorders>
            <w:shd w:fill="FFFFFF" w:val="clear"/>
            <w:tcMar>
              <w:bottom w:w="28" w:type="dxa"/>
            </w:tcMar>
            <w:vAlign w:val="bottom"/>
          </w:tcPr>
          <w:p>
            <w:pPr>
              <w:pStyle w:val="TableContents"/>
              <w:spacing w:before="0" w:after="283"/>
              <w:jc w:val="right"/>
              <w:rPr/>
            </w:pPr>
            <w:r>
              <w:rPr/>
              <w:t> </w:t>
            </w:r>
          </w:p>
        </w:tc>
        <w:tc>
          <w:tcPr>
            <w:tcW w:w="111" w:type="dxa"/>
            <w:tcBorders/>
            <w:shd w:fill="FFFFFF" w:val="clear"/>
            <w:vAlign w:val="bottom"/>
          </w:tcPr>
          <w:p>
            <w:pPr>
              <w:pStyle w:val="TableContents"/>
              <w:spacing w:before="0" w:after="283"/>
              <w:jc w:val="left"/>
              <w:rPr/>
            </w:pPr>
            <w:r>
              <w:rPr/>
              <w:t> </w:t>
            </w:r>
          </w:p>
        </w:tc>
        <w:tc>
          <w:tcPr>
            <w:tcW w:w="105" w:type="dxa"/>
            <w:tcBorders/>
            <w:shd w:fill="FFFFFF" w:val="clear"/>
            <w:vAlign w:val="bottom"/>
          </w:tcPr>
          <w:p>
            <w:pPr>
              <w:pStyle w:val="TableContents"/>
              <w:spacing w:before="0" w:after="283"/>
              <w:rPr/>
            </w:pPr>
            <w:r>
              <w:rPr/>
              <w:t> </w:t>
            </w:r>
          </w:p>
        </w:tc>
        <w:tc>
          <w:tcPr>
            <w:tcW w:w="126"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77" w:type="dxa"/>
            <w:tcBorders>
              <w:bottom w:val="single" w:sz="12" w:space="0" w:color="000000"/>
            </w:tcBorders>
            <w:shd w:fill="FFFFFF" w:val="clear"/>
            <w:tcMar>
              <w:bottom w:w="28" w:type="dxa"/>
            </w:tcMar>
            <w:vAlign w:val="bottom"/>
          </w:tcPr>
          <w:p>
            <w:pPr>
              <w:pStyle w:val="TableContents"/>
              <w:spacing w:before="0" w:after="283"/>
              <w:jc w:val="right"/>
              <w:rPr/>
            </w:pPr>
            <w:r>
              <w:rPr/>
              <w:t> </w:t>
            </w:r>
          </w:p>
        </w:tc>
        <w:tc>
          <w:tcPr>
            <w:tcW w:w="111" w:type="dxa"/>
            <w:tcBorders/>
            <w:shd w:fill="FFFFFF" w:val="clear"/>
            <w:vAlign w:val="bottom"/>
          </w:tcPr>
          <w:p>
            <w:pPr>
              <w:pStyle w:val="TableContents"/>
              <w:spacing w:before="0" w:after="283"/>
              <w:jc w:val="left"/>
              <w:rPr/>
            </w:pPr>
            <w:r>
              <w:rPr/>
              <w:t> </w:t>
            </w:r>
          </w:p>
        </w:tc>
        <w:tc>
          <w:tcPr>
            <w:tcW w:w="105" w:type="dxa"/>
            <w:tcBorders/>
            <w:shd w:fill="FFFFFF" w:val="clear"/>
            <w:vAlign w:val="bottom"/>
          </w:tcPr>
          <w:p>
            <w:pPr>
              <w:pStyle w:val="TableContents"/>
              <w:spacing w:before="0" w:after="283"/>
              <w:rPr/>
            </w:pPr>
            <w:r>
              <w:rPr/>
              <w:t> </w:t>
            </w:r>
          </w:p>
        </w:tc>
        <w:tc>
          <w:tcPr>
            <w:tcW w:w="126"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111" w:type="dxa"/>
            <w:tcBorders>
              <w:bottom w:val="single" w:sz="12" w:space="0" w:color="000000"/>
            </w:tcBorders>
            <w:shd w:fill="FFFFFF" w:val="clear"/>
            <w:tcMar>
              <w:bottom w:w="28" w:type="dxa"/>
            </w:tcMar>
            <w:vAlign w:val="bottom"/>
          </w:tcPr>
          <w:p>
            <w:pPr>
              <w:pStyle w:val="TableContents"/>
              <w:spacing w:before="0" w:after="283"/>
              <w:jc w:val="right"/>
              <w:rPr/>
            </w:pPr>
            <w:r>
              <w:rPr/>
              <w:t> </w:t>
            </w:r>
          </w:p>
        </w:tc>
        <w:tc>
          <w:tcPr>
            <w:tcW w:w="122" w:type="dxa"/>
            <w:tcBorders/>
            <w:shd w:fill="FFFFFF" w:val="clear"/>
            <w:vAlign w:val="bottom"/>
          </w:tcPr>
          <w:p>
            <w:pPr>
              <w:pStyle w:val="TableContents"/>
              <w:spacing w:before="0" w:after="283"/>
              <w:jc w:val="left"/>
              <w:rPr/>
            </w:pPr>
            <w:r>
              <w:rPr/>
              <w:t> </w:t>
            </w:r>
          </w:p>
        </w:tc>
      </w:tr>
      <w:tr>
        <w:trPr/>
        <w:tc>
          <w:tcPr>
            <w:tcW w:w="5903" w:type="dxa"/>
            <w:tcBorders/>
            <w:shd w:fill="CCEEFF" w:val="clear"/>
            <w:vAlign w:val="bottom"/>
          </w:tcPr>
          <w:p>
            <w:pPr>
              <w:pStyle w:val="TableContents"/>
              <w:spacing w:before="0" w:after="0"/>
              <w:ind w:left="0" w:right="0" w:hanging="0"/>
              <w:jc w:val="left"/>
              <w:rPr>
                <w:rFonts w:ascii="helvetica" w:hAnsi="helvetica"/>
                <w:sz w:val="20"/>
              </w:rPr>
            </w:pPr>
            <w:r>
              <w:rPr>
                <w:rFonts w:ascii="helvetica" w:hAnsi="helvetica"/>
                <w:sz w:val="20"/>
              </w:rPr>
              <w:t>Net loss</w:t>
            </w:r>
          </w:p>
        </w:tc>
        <w:tc>
          <w:tcPr>
            <w:tcW w:w="105"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jc w:val="left"/>
              <w:rPr/>
            </w:pPr>
            <w:r>
              <w:rPr/>
              <w:t> </w:t>
            </w:r>
          </w:p>
        </w:tc>
        <w:tc>
          <w:tcPr>
            <w:tcW w:w="1077"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(953,936</w:t>
            </w:r>
          </w:p>
        </w:tc>
        <w:tc>
          <w:tcPr>
            <w:tcW w:w="111" w:type="dxa"/>
            <w:tcBorders/>
            <w:shd w:fill="CCEEFF" w:val="clear"/>
            <w:vAlign w:val="bottom"/>
          </w:tcPr>
          <w:p>
            <w:pPr>
              <w:pStyle w:val="TableContents"/>
              <w:spacing w:before="0" w:after="283"/>
              <w:jc w:val="left"/>
              <w:rPr>
                <w:rFonts w:ascii="helvetica" w:hAnsi="helvetica"/>
                <w:sz w:val="20"/>
              </w:rPr>
            </w:pPr>
            <w:r>
              <w:rPr>
                <w:rFonts w:ascii="helvetica" w:hAnsi="helvetica"/>
                <w:sz w:val="20"/>
              </w:rPr>
              <w:t>)</w:t>
            </w:r>
          </w:p>
        </w:tc>
        <w:tc>
          <w:tcPr>
            <w:tcW w:w="105"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jc w:val="left"/>
              <w:rPr/>
            </w:pPr>
            <w:r>
              <w:rPr/>
              <w:t> </w:t>
            </w:r>
          </w:p>
        </w:tc>
        <w:tc>
          <w:tcPr>
            <w:tcW w:w="1077"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(2,531,228</w:t>
            </w:r>
          </w:p>
        </w:tc>
        <w:tc>
          <w:tcPr>
            <w:tcW w:w="111" w:type="dxa"/>
            <w:tcBorders/>
            <w:shd w:fill="CCEEFF" w:val="clear"/>
            <w:vAlign w:val="bottom"/>
          </w:tcPr>
          <w:p>
            <w:pPr>
              <w:pStyle w:val="TableContents"/>
              <w:spacing w:before="0" w:after="283"/>
              <w:jc w:val="left"/>
              <w:rPr>
                <w:rFonts w:ascii="helvetica" w:hAnsi="helvetica"/>
                <w:sz w:val="20"/>
              </w:rPr>
            </w:pPr>
            <w:r>
              <w:rPr>
                <w:rFonts w:ascii="helvetica" w:hAnsi="helvetica"/>
                <w:sz w:val="20"/>
              </w:rPr>
              <w:t>)</w:t>
            </w:r>
          </w:p>
        </w:tc>
        <w:tc>
          <w:tcPr>
            <w:tcW w:w="105"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jc w:val="left"/>
              <w:rPr/>
            </w:pPr>
            <w:r>
              <w:rPr/>
              <w:t> </w:t>
            </w:r>
          </w:p>
        </w:tc>
        <w:tc>
          <w:tcPr>
            <w:tcW w:w="1111"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(18,420,733</w:t>
            </w:r>
          </w:p>
        </w:tc>
        <w:tc>
          <w:tcPr>
            <w:tcW w:w="122" w:type="dxa"/>
            <w:tcBorders/>
            <w:shd w:fill="CCEEFF" w:val="clear"/>
            <w:vAlign w:val="bottom"/>
          </w:tcPr>
          <w:p>
            <w:pPr>
              <w:pStyle w:val="TableContents"/>
              <w:spacing w:before="0" w:after="283"/>
              <w:jc w:val="left"/>
              <w:rPr>
                <w:rFonts w:ascii="helvetica" w:hAnsi="helvetica"/>
                <w:sz w:val="20"/>
              </w:rPr>
            </w:pPr>
            <w:r>
              <w:rPr>
                <w:rFonts w:ascii="helvetica" w:hAnsi="helvetica"/>
                <w:sz w:val="20"/>
              </w:rPr>
              <w:t>)</w:t>
            </w:r>
          </w:p>
        </w:tc>
      </w:tr>
      <w:tr>
        <w:trPr/>
        <w:tc>
          <w:tcPr>
            <w:tcW w:w="5903" w:type="dxa"/>
            <w:tcBorders/>
            <w:shd w:fill="FFFFFF" w:val="clear"/>
            <w:vAlign w:val="bottom"/>
          </w:tcPr>
          <w:p>
            <w:pPr>
              <w:pStyle w:val="TableContents"/>
              <w:spacing w:before="0" w:after="0"/>
              <w:ind w:left="0" w:right="0" w:hanging="0"/>
              <w:jc w:val="left"/>
              <w:rPr>
                <w:rFonts w:ascii="helvetica" w:hAnsi="helvetica"/>
                <w:sz w:val="20"/>
              </w:rPr>
            </w:pPr>
            <w:r>
              <w:rPr>
                <w:rFonts w:ascii="helvetica" w:hAnsi="helvetica"/>
                <w:sz w:val="20"/>
              </w:rPr>
              <w:t>Deemed dividend to preferred stockholders</w:t>
            </w:r>
          </w:p>
        </w:tc>
        <w:tc>
          <w:tcPr>
            <w:tcW w:w="105" w:type="dxa"/>
            <w:tcBorders/>
            <w:shd w:fill="FFFFFF" w:val="clear"/>
            <w:vAlign w:val="bottom"/>
          </w:tcPr>
          <w:p>
            <w:pPr>
              <w:pStyle w:val="TableContents"/>
              <w:spacing w:before="0" w:after="283"/>
              <w:rPr/>
            </w:pPr>
            <w:r>
              <w:rPr/>
              <w:t> </w:t>
            </w:r>
          </w:p>
        </w:tc>
        <w:tc>
          <w:tcPr>
            <w:tcW w:w="126"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77" w:type="dxa"/>
            <w:tcBorders>
              <w:bottom w:val="single" w:sz="12" w:space="0" w:color="000000"/>
            </w:tcBorders>
            <w:shd w:fill="FFFF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(100,000</w:t>
            </w:r>
          </w:p>
        </w:tc>
        <w:tc>
          <w:tcPr>
            <w:tcW w:w="111" w:type="dxa"/>
            <w:tcBorders/>
            <w:shd w:fill="FFFFFF" w:val="clear"/>
            <w:vAlign w:val="bottom"/>
          </w:tcPr>
          <w:p>
            <w:pPr>
              <w:pStyle w:val="TableContents"/>
              <w:spacing w:before="0" w:after="283"/>
              <w:jc w:val="left"/>
              <w:rPr>
                <w:rFonts w:ascii="helvetica" w:hAnsi="helvetica"/>
                <w:sz w:val="20"/>
              </w:rPr>
            </w:pPr>
            <w:r>
              <w:rPr>
                <w:rFonts w:ascii="helvetica" w:hAnsi="helvetica"/>
                <w:sz w:val="20"/>
              </w:rPr>
              <w:t>)</w:t>
            </w:r>
          </w:p>
        </w:tc>
        <w:tc>
          <w:tcPr>
            <w:tcW w:w="105" w:type="dxa"/>
            <w:tcBorders/>
            <w:shd w:fill="FFFFFF" w:val="clear"/>
            <w:vAlign w:val="bottom"/>
          </w:tcPr>
          <w:p>
            <w:pPr>
              <w:pStyle w:val="TableContents"/>
              <w:spacing w:before="0" w:after="283"/>
              <w:rPr/>
            </w:pPr>
            <w:r>
              <w:rPr/>
              <w:t> </w:t>
            </w:r>
          </w:p>
        </w:tc>
        <w:tc>
          <w:tcPr>
            <w:tcW w:w="126"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77" w:type="dxa"/>
            <w:tcBorders>
              <w:bottom w:val="single" w:sz="12" w:space="0" w:color="000000"/>
            </w:tcBorders>
            <w:shd w:fill="FFFF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w:t>
            </w:r>
          </w:p>
        </w:tc>
        <w:tc>
          <w:tcPr>
            <w:tcW w:w="111" w:type="dxa"/>
            <w:tcBorders/>
            <w:shd w:fill="FFFFFF" w:val="clear"/>
            <w:vAlign w:val="bottom"/>
          </w:tcPr>
          <w:p>
            <w:pPr>
              <w:pStyle w:val="TableContents"/>
              <w:spacing w:before="0" w:after="283"/>
              <w:jc w:val="left"/>
              <w:rPr/>
            </w:pPr>
            <w:r>
              <w:rPr/>
              <w:t> </w:t>
            </w:r>
          </w:p>
        </w:tc>
        <w:tc>
          <w:tcPr>
            <w:tcW w:w="105" w:type="dxa"/>
            <w:tcBorders/>
            <w:shd w:fill="FFFFFF" w:val="clear"/>
            <w:vAlign w:val="bottom"/>
          </w:tcPr>
          <w:p>
            <w:pPr>
              <w:pStyle w:val="TableContents"/>
              <w:spacing w:before="0" w:after="283"/>
              <w:rPr/>
            </w:pPr>
            <w:r>
              <w:rPr/>
              <w:t> </w:t>
            </w:r>
          </w:p>
        </w:tc>
        <w:tc>
          <w:tcPr>
            <w:tcW w:w="126"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111" w:type="dxa"/>
            <w:tcBorders>
              <w:bottom w:val="single" w:sz="12" w:space="0" w:color="000000"/>
            </w:tcBorders>
            <w:shd w:fill="FFFF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(100,000</w:t>
            </w:r>
          </w:p>
        </w:tc>
        <w:tc>
          <w:tcPr>
            <w:tcW w:w="122" w:type="dxa"/>
            <w:tcBorders/>
            <w:shd w:fill="FFFFFF" w:val="clear"/>
            <w:vAlign w:val="bottom"/>
          </w:tcPr>
          <w:p>
            <w:pPr>
              <w:pStyle w:val="TableContents"/>
              <w:spacing w:before="0" w:after="283"/>
              <w:jc w:val="left"/>
              <w:rPr>
                <w:rFonts w:ascii="helvetica" w:hAnsi="helvetica"/>
                <w:sz w:val="20"/>
              </w:rPr>
            </w:pPr>
            <w:r>
              <w:rPr>
                <w:rFonts w:ascii="helvetica" w:hAnsi="helvetica"/>
                <w:sz w:val="20"/>
              </w:rPr>
              <w:t>)</w:t>
            </w:r>
          </w:p>
        </w:tc>
      </w:tr>
      <w:tr>
        <w:trPr/>
        <w:tc>
          <w:tcPr>
            <w:tcW w:w="5903" w:type="dxa"/>
            <w:tcBorders/>
            <w:shd w:fill="CCEEFF" w:val="clear"/>
            <w:vAlign w:val="bottom"/>
          </w:tcPr>
          <w:p>
            <w:pPr>
              <w:pStyle w:val="TableContents"/>
              <w:spacing w:before="0" w:after="0"/>
              <w:ind w:left="0" w:right="0" w:hanging="0"/>
              <w:jc w:val="left"/>
              <w:rPr>
                <w:rFonts w:ascii="helvetica" w:hAnsi="helvetica"/>
                <w:sz w:val="20"/>
              </w:rPr>
            </w:pPr>
            <w:r>
              <w:rPr>
                <w:rFonts w:ascii="helvetica" w:hAnsi="helvetica"/>
                <w:sz w:val="20"/>
              </w:rPr>
              <w:t>Net loss attributable to common stockholders</w:t>
            </w:r>
          </w:p>
        </w:tc>
        <w:tc>
          <w:tcPr>
            <w:tcW w:w="105" w:type="dxa"/>
            <w:tcBorders/>
            <w:shd w:fill="CCEEFF" w:val="clear"/>
            <w:vAlign w:val="bottom"/>
          </w:tcPr>
          <w:p>
            <w:pPr>
              <w:pStyle w:val="TableContents"/>
              <w:spacing w:before="0" w:after="283"/>
              <w:rPr/>
            </w:pPr>
            <w:r>
              <w:rPr/>
              <w:t> </w:t>
            </w:r>
          </w:p>
        </w:tc>
        <w:tc>
          <w:tcPr>
            <w:tcW w:w="126" w:type="dxa"/>
            <w:tcBorders>
              <w:bottom w:val="double" w:sz="8" w:space="0" w:color="000000"/>
            </w:tcBorders>
            <w:shd w:fill="CCEEFF" w:val="clear"/>
            <w:tcMar>
              <w:bottom w:w="28" w:type="dxa"/>
            </w:tcMar>
            <w:vAlign w:val="bottom"/>
          </w:tcPr>
          <w:p>
            <w:pPr>
              <w:pStyle w:val="TableContents"/>
              <w:spacing w:before="0" w:after="283"/>
              <w:jc w:val="left"/>
              <w:rPr>
                <w:rFonts w:ascii="helvetica" w:hAnsi="helvetica"/>
                <w:sz w:val="20"/>
              </w:rPr>
            </w:pPr>
            <w:r>
              <w:rPr>
                <w:rFonts w:ascii="helvetica" w:hAnsi="helvetica"/>
                <w:sz w:val="20"/>
              </w:rPr>
              <w:t>$</w:t>
            </w:r>
          </w:p>
        </w:tc>
        <w:tc>
          <w:tcPr>
            <w:tcW w:w="1077" w:type="dxa"/>
            <w:tcBorders>
              <w:bottom w:val="double" w:sz="8" w:space="0" w:color="000000"/>
            </w:tcBorders>
            <w:shd w:fill="CCEE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(1,053,936</w:t>
            </w:r>
          </w:p>
        </w:tc>
        <w:tc>
          <w:tcPr>
            <w:tcW w:w="111" w:type="dxa"/>
            <w:tcBorders/>
            <w:shd w:fill="CCEEFF" w:val="clear"/>
            <w:vAlign w:val="bottom"/>
          </w:tcPr>
          <w:p>
            <w:pPr>
              <w:pStyle w:val="TableContents"/>
              <w:spacing w:before="0" w:after="283"/>
              <w:jc w:val="left"/>
              <w:rPr>
                <w:rFonts w:ascii="helvetica" w:hAnsi="helvetica"/>
                <w:sz w:val="20"/>
              </w:rPr>
            </w:pPr>
            <w:r>
              <w:rPr>
                <w:rFonts w:ascii="helvetica" w:hAnsi="helvetica"/>
                <w:sz w:val="20"/>
              </w:rPr>
              <w:t>)</w:t>
            </w:r>
          </w:p>
        </w:tc>
        <w:tc>
          <w:tcPr>
            <w:tcW w:w="105" w:type="dxa"/>
            <w:tcBorders/>
            <w:shd w:fill="CCEEFF" w:val="clear"/>
            <w:vAlign w:val="bottom"/>
          </w:tcPr>
          <w:p>
            <w:pPr>
              <w:pStyle w:val="TableContents"/>
              <w:spacing w:before="0" w:after="283"/>
              <w:rPr/>
            </w:pPr>
            <w:r>
              <w:rPr/>
              <w:t> </w:t>
            </w:r>
          </w:p>
        </w:tc>
        <w:tc>
          <w:tcPr>
            <w:tcW w:w="126" w:type="dxa"/>
            <w:tcBorders>
              <w:bottom w:val="double" w:sz="8" w:space="0" w:color="000000"/>
            </w:tcBorders>
            <w:shd w:fill="CCEEFF" w:val="clear"/>
            <w:tcMar>
              <w:bottom w:w="28" w:type="dxa"/>
            </w:tcMar>
            <w:vAlign w:val="bottom"/>
          </w:tcPr>
          <w:p>
            <w:pPr>
              <w:pStyle w:val="TableContents"/>
              <w:spacing w:before="0" w:after="283"/>
              <w:jc w:val="left"/>
              <w:rPr>
                <w:rFonts w:ascii="helvetica" w:hAnsi="helvetica"/>
                <w:sz w:val="20"/>
              </w:rPr>
            </w:pPr>
            <w:r>
              <w:rPr>
                <w:rFonts w:ascii="helvetica" w:hAnsi="helvetica"/>
                <w:sz w:val="20"/>
              </w:rPr>
              <w:t>$</w:t>
            </w:r>
          </w:p>
        </w:tc>
        <w:tc>
          <w:tcPr>
            <w:tcW w:w="1077" w:type="dxa"/>
            <w:tcBorders>
              <w:bottom w:val="double" w:sz="8" w:space="0" w:color="000000"/>
            </w:tcBorders>
            <w:shd w:fill="CCEE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(2,531,228</w:t>
            </w:r>
          </w:p>
        </w:tc>
        <w:tc>
          <w:tcPr>
            <w:tcW w:w="111" w:type="dxa"/>
            <w:tcBorders/>
            <w:shd w:fill="CCEEFF" w:val="clear"/>
            <w:vAlign w:val="bottom"/>
          </w:tcPr>
          <w:p>
            <w:pPr>
              <w:pStyle w:val="TableContents"/>
              <w:spacing w:before="0" w:after="283"/>
              <w:jc w:val="left"/>
              <w:rPr>
                <w:rFonts w:ascii="helvetica" w:hAnsi="helvetica"/>
                <w:sz w:val="20"/>
              </w:rPr>
            </w:pPr>
            <w:r>
              <w:rPr>
                <w:rFonts w:ascii="helvetica" w:hAnsi="helvetica"/>
                <w:sz w:val="20"/>
              </w:rPr>
              <w:t>)</w:t>
            </w:r>
          </w:p>
        </w:tc>
        <w:tc>
          <w:tcPr>
            <w:tcW w:w="105" w:type="dxa"/>
            <w:tcBorders/>
            <w:shd w:fill="CCEEFF" w:val="clear"/>
            <w:vAlign w:val="bottom"/>
          </w:tcPr>
          <w:p>
            <w:pPr>
              <w:pStyle w:val="TableContents"/>
              <w:spacing w:before="0" w:after="283"/>
              <w:rPr/>
            </w:pPr>
            <w:r>
              <w:rPr/>
              <w:t> </w:t>
            </w:r>
          </w:p>
        </w:tc>
        <w:tc>
          <w:tcPr>
            <w:tcW w:w="126" w:type="dxa"/>
            <w:tcBorders>
              <w:bottom w:val="double" w:sz="8" w:space="0" w:color="000000"/>
            </w:tcBorders>
            <w:shd w:fill="CCEEFF" w:val="clear"/>
            <w:tcMar>
              <w:bottom w:w="28" w:type="dxa"/>
            </w:tcMar>
            <w:vAlign w:val="bottom"/>
          </w:tcPr>
          <w:p>
            <w:pPr>
              <w:pStyle w:val="TableContents"/>
              <w:spacing w:before="0" w:after="283"/>
              <w:jc w:val="left"/>
              <w:rPr>
                <w:rFonts w:ascii="helvetica" w:hAnsi="helvetica"/>
                <w:sz w:val="20"/>
              </w:rPr>
            </w:pPr>
            <w:r>
              <w:rPr>
                <w:rFonts w:ascii="helvetica" w:hAnsi="helvetica"/>
                <w:sz w:val="20"/>
              </w:rPr>
              <w:t>$</w:t>
            </w:r>
          </w:p>
        </w:tc>
        <w:tc>
          <w:tcPr>
            <w:tcW w:w="1111" w:type="dxa"/>
            <w:tcBorders>
              <w:bottom w:val="double" w:sz="8" w:space="0" w:color="000000"/>
            </w:tcBorders>
            <w:shd w:fill="CCEE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(18,520,733</w:t>
            </w:r>
          </w:p>
        </w:tc>
        <w:tc>
          <w:tcPr>
            <w:tcW w:w="122" w:type="dxa"/>
            <w:tcBorders/>
            <w:shd w:fill="CCEEFF" w:val="clear"/>
            <w:vAlign w:val="bottom"/>
          </w:tcPr>
          <w:p>
            <w:pPr>
              <w:pStyle w:val="TableContents"/>
              <w:spacing w:before="0" w:after="283"/>
              <w:jc w:val="left"/>
              <w:rPr>
                <w:rFonts w:ascii="helvetica" w:hAnsi="helvetica"/>
                <w:sz w:val="20"/>
              </w:rPr>
            </w:pPr>
            <w:r>
              <w:rPr>
                <w:rFonts w:ascii="helvetica" w:hAnsi="helvetica"/>
                <w:sz w:val="20"/>
              </w:rPr>
              <w:t>)</w:t>
            </w:r>
          </w:p>
        </w:tc>
      </w:tr>
      <w:tr>
        <w:trPr/>
        <w:tc>
          <w:tcPr>
            <w:tcW w:w="5903" w:type="dxa"/>
            <w:tcBorders/>
            <w:shd w:fill="FFFFFF" w:val="clear"/>
            <w:vAlign w:val="bottom"/>
          </w:tcPr>
          <w:p>
            <w:pPr>
              <w:pStyle w:val="TableContents"/>
              <w:spacing w:before="0" w:after="283"/>
              <w:rPr/>
            </w:pPr>
            <w:r>
              <w:rPr/>
              <w:t xml:space="preserve">  </w:t>
            </w:r>
          </w:p>
        </w:tc>
        <w:tc>
          <w:tcPr>
            <w:tcW w:w="105" w:type="dxa"/>
            <w:tcBorders/>
            <w:shd w:fill="FFFFFF" w:val="clear"/>
            <w:vAlign w:val="bottom"/>
          </w:tcPr>
          <w:p>
            <w:pPr>
              <w:pStyle w:val="TableContents"/>
              <w:spacing w:before="0" w:after="283"/>
              <w:rPr/>
            </w:pPr>
            <w:r>
              <w:rPr/>
              <w:t> </w:t>
            </w:r>
          </w:p>
        </w:tc>
        <w:tc>
          <w:tcPr>
            <w:tcW w:w="126" w:type="dxa"/>
            <w:tcBorders/>
            <w:shd w:fill="FFFFFF" w:val="clear"/>
            <w:vAlign w:val="bottom"/>
          </w:tcPr>
          <w:p>
            <w:pPr>
              <w:pStyle w:val="TableContents"/>
              <w:spacing w:before="0" w:after="283"/>
              <w:jc w:val="left"/>
              <w:rPr/>
            </w:pPr>
            <w:r>
              <w:rPr/>
              <w:t> </w:t>
            </w:r>
          </w:p>
        </w:tc>
        <w:tc>
          <w:tcPr>
            <w:tcW w:w="1077" w:type="dxa"/>
            <w:tcBorders/>
            <w:shd w:fill="FFFFFF" w:val="clear"/>
            <w:vAlign w:val="bottom"/>
          </w:tcPr>
          <w:p>
            <w:pPr>
              <w:pStyle w:val="TableContents"/>
              <w:spacing w:before="0" w:after="283"/>
              <w:jc w:val="right"/>
              <w:rPr/>
            </w:pPr>
            <w:r>
              <w:rPr/>
              <w:t> </w:t>
            </w:r>
          </w:p>
        </w:tc>
        <w:tc>
          <w:tcPr>
            <w:tcW w:w="111" w:type="dxa"/>
            <w:tcBorders/>
            <w:shd w:fill="FFFFFF" w:val="clear"/>
            <w:vAlign w:val="bottom"/>
          </w:tcPr>
          <w:p>
            <w:pPr>
              <w:pStyle w:val="TableContents"/>
              <w:spacing w:before="0" w:after="283"/>
              <w:jc w:val="left"/>
              <w:rPr/>
            </w:pPr>
            <w:r>
              <w:rPr/>
              <w:t> </w:t>
            </w:r>
          </w:p>
        </w:tc>
        <w:tc>
          <w:tcPr>
            <w:tcW w:w="105" w:type="dxa"/>
            <w:tcBorders/>
            <w:shd w:fill="FFFFFF" w:val="clear"/>
            <w:vAlign w:val="bottom"/>
          </w:tcPr>
          <w:p>
            <w:pPr>
              <w:pStyle w:val="TableContents"/>
              <w:spacing w:before="0" w:after="283"/>
              <w:rPr/>
            </w:pPr>
            <w:r>
              <w:rPr/>
              <w:t> </w:t>
            </w:r>
          </w:p>
        </w:tc>
        <w:tc>
          <w:tcPr>
            <w:tcW w:w="126" w:type="dxa"/>
            <w:tcBorders/>
            <w:shd w:fill="FFFFFF" w:val="clear"/>
            <w:vAlign w:val="bottom"/>
          </w:tcPr>
          <w:p>
            <w:pPr>
              <w:pStyle w:val="TableContents"/>
              <w:spacing w:before="0" w:after="283"/>
              <w:jc w:val="left"/>
              <w:rPr/>
            </w:pPr>
            <w:r>
              <w:rPr/>
              <w:t> </w:t>
            </w:r>
          </w:p>
        </w:tc>
        <w:tc>
          <w:tcPr>
            <w:tcW w:w="1077" w:type="dxa"/>
            <w:tcBorders/>
            <w:shd w:fill="FFFFFF" w:val="clear"/>
            <w:vAlign w:val="bottom"/>
          </w:tcPr>
          <w:p>
            <w:pPr>
              <w:pStyle w:val="TableContents"/>
              <w:spacing w:before="0" w:after="283"/>
              <w:jc w:val="right"/>
              <w:rPr/>
            </w:pPr>
            <w:r>
              <w:rPr/>
              <w:t> </w:t>
            </w:r>
          </w:p>
        </w:tc>
        <w:tc>
          <w:tcPr>
            <w:tcW w:w="111" w:type="dxa"/>
            <w:tcBorders/>
            <w:shd w:fill="FFFFFF" w:val="clear"/>
            <w:vAlign w:val="bottom"/>
          </w:tcPr>
          <w:p>
            <w:pPr>
              <w:pStyle w:val="TableContents"/>
              <w:spacing w:before="0" w:after="283"/>
              <w:jc w:val="left"/>
              <w:rPr/>
            </w:pPr>
            <w:r>
              <w:rPr/>
              <w:t> </w:t>
            </w:r>
          </w:p>
        </w:tc>
        <w:tc>
          <w:tcPr>
            <w:tcW w:w="105" w:type="dxa"/>
            <w:tcBorders/>
            <w:shd w:fill="FFFFFF" w:val="clear"/>
            <w:vAlign w:val="bottom"/>
          </w:tcPr>
          <w:p>
            <w:pPr>
              <w:pStyle w:val="TableContents"/>
              <w:spacing w:before="0" w:after="283"/>
              <w:rPr/>
            </w:pPr>
            <w:r>
              <w:rPr/>
              <w:t> </w:t>
            </w:r>
          </w:p>
        </w:tc>
        <w:tc>
          <w:tcPr>
            <w:tcW w:w="126" w:type="dxa"/>
            <w:tcBorders/>
            <w:shd w:fill="FFFFFF" w:val="clear"/>
            <w:vAlign w:val="bottom"/>
          </w:tcPr>
          <w:p>
            <w:pPr>
              <w:pStyle w:val="TableContents"/>
              <w:spacing w:before="0" w:after="283"/>
              <w:jc w:val="left"/>
              <w:rPr/>
            </w:pPr>
            <w:r>
              <w:rPr/>
              <w:t> </w:t>
            </w:r>
          </w:p>
        </w:tc>
        <w:tc>
          <w:tcPr>
            <w:tcW w:w="1111" w:type="dxa"/>
            <w:tcBorders/>
            <w:shd w:fill="FFFFFF" w:val="clear"/>
            <w:vAlign w:val="bottom"/>
          </w:tcPr>
          <w:p>
            <w:pPr>
              <w:pStyle w:val="TableContents"/>
              <w:spacing w:before="0" w:after="283"/>
              <w:jc w:val="right"/>
              <w:rPr/>
            </w:pPr>
            <w:r>
              <w:rPr/>
              <w:t> </w:t>
            </w:r>
          </w:p>
        </w:tc>
        <w:tc>
          <w:tcPr>
            <w:tcW w:w="122" w:type="dxa"/>
            <w:tcBorders/>
            <w:shd w:fill="FFFFFF" w:val="clear"/>
            <w:vAlign w:val="bottom"/>
          </w:tcPr>
          <w:p>
            <w:pPr>
              <w:pStyle w:val="TableContents"/>
              <w:spacing w:before="0" w:after="283"/>
              <w:jc w:val="left"/>
              <w:rPr/>
            </w:pPr>
            <w:r>
              <w:rPr/>
              <w:t> </w:t>
            </w:r>
          </w:p>
        </w:tc>
      </w:tr>
      <w:tr>
        <w:trPr/>
        <w:tc>
          <w:tcPr>
            <w:tcW w:w="5903" w:type="dxa"/>
            <w:tcBorders/>
            <w:shd w:fill="CCEEFF" w:val="clear"/>
            <w:vAlign w:val="bottom"/>
          </w:tcPr>
          <w:p>
            <w:pPr>
              <w:pStyle w:val="TableContents"/>
              <w:spacing w:before="0" w:after="0"/>
              <w:ind w:left="0" w:right="0" w:hanging="0"/>
              <w:jc w:val="left"/>
              <w:rPr>
                <w:rFonts w:ascii="helvetica" w:hAnsi="helvetica"/>
                <w:sz w:val="20"/>
              </w:rPr>
            </w:pPr>
            <w:r>
              <w:rPr>
                <w:rFonts w:ascii="helvetica" w:hAnsi="helvetica"/>
                <w:sz w:val="20"/>
              </w:rPr>
              <w:t>Net loss per common share, basic and diluted:</w:t>
            </w:r>
          </w:p>
        </w:tc>
        <w:tc>
          <w:tcPr>
            <w:tcW w:w="105" w:type="dxa"/>
            <w:tcBorders/>
            <w:shd w:fill="CCEEFF" w:val="clear"/>
            <w:vAlign w:val="bottom"/>
          </w:tcPr>
          <w:p>
            <w:pPr>
              <w:pStyle w:val="TableContents"/>
              <w:spacing w:before="0" w:after="283"/>
              <w:rPr/>
            </w:pPr>
            <w:r>
              <w:rPr/>
              <w:t> </w:t>
            </w:r>
          </w:p>
        </w:tc>
        <w:tc>
          <w:tcPr>
            <w:tcW w:w="126" w:type="dxa"/>
            <w:tcBorders>
              <w:bottom w:val="double" w:sz="8" w:space="0" w:color="000000"/>
            </w:tcBorders>
            <w:shd w:fill="CCEEFF" w:val="clear"/>
            <w:tcMar>
              <w:bottom w:w="28" w:type="dxa"/>
            </w:tcMar>
            <w:vAlign w:val="bottom"/>
          </w:tcPr>
          <w:p>
            <w:pPr>
              <w:pStyle w:val="TableContents"/>
              <w:spacing w:before="0" w:after="283"/>
              <w:jc w:val="left"/>
              <w:rPr>
                <w:rFonts w:ascii="helvetica" w:hAnsi="helvetica"/>
                <w:sz w:val="20"/>
              </w:rPr>
            </w:pPr>
            <w:r>
              <w:rPr>
                <w:rFonts w:ascii="helvetica" w:hAnsi="helvetica"/>
                <w:sz w:val="20"/>
              </w:rPr>
              <w:t>$</w:t>
            </w:r>
          </w:p>
        </w:tc>
        <w:tc>
          <w:tcPr>
            <w:tcW w:w="1077" w:type="dxa"/>
            <w:tcBorders>
              <w:bottom w:val="double" w:sz="8" w:space="0" w:color="000000"/>
            </w:tcBorders>
            <w:shd w:fill="CCEE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(0.53</w:t>
            </w:r>
          </w:p>
        </w:tc>
        <w:tc>
          <w:tcPr>
            <w:tcW w:w="111" w:type="dxa"/>
            <w:tcBorders/>
            <w:shd w:fill="CCEEFF" w:val="clear"/>
            <w:vAlign w:val="bottom"/>
          </w:tcPr>
          <w:p>
            <w:pPr>
              <w:pStyle w:val="TableContents"/>
              <w:spacing w:before="0" w:after="283"/>
              <w:jc w:val="left"/>
              <w:rPr>
                <w:rFonts w:ascii="helvetica" w:hAnsi="helvetica"/>
                <w:sz w:val="20"/>
              </w:rPr>
            </w:pPr>
            <w:r>
              <w:rPr>
                <w:rFonts w:ascii="helvetica" w:hAnsi="helvetica"/>
                <w:sz w:val="20"/>
              </w:rPr>
              <w:t>)</w:t>
            </w:r>
          </w:p>
        </w:tc>
        <w:tc>
          <w:tcPr>
            <w:tcW w:w="105" w:type="dxa"/>
            <w:tcBorders/>
            <w:shd w:fill="CCEEFF" w:val="clear"/>
            <w:vAlign w:val="bottom"/>
          </w:tcPr>
          <w:p>
            <w:pPr>
              <w:pStyle w:val="TableContents"/>
              <w:spacing w:before="0" w:after="283"/>
              <w:rPr/>
            </w:pPr>
            <w:r>
              <w:rPr/>
              <w:t> </w:t>
            </w:r>
          </w:p>
        </w:tc>
        <w:tc>
          <w:tcPr>
            <w:tcW w:w="126" w:type="dxa"/>
            <w:tcBorders>
              <w:bottom w:val="double" w:sz="8" w:space="0" w:color="000000"/>
            </w:tcBorders>
            <w:shd w:fill="CCEEFF" w:val="clear"/>
            <w:tcMar>
              <w:bottom w:w="28" w:type="dxa"/>
            </w:tcMar>
            <w:vAlign w:val="bottom"/>
          </w:tcPr>
          <w:p>
            <w:pPr>
              <w:pStyle w:val="TableContents"/>
              <w:spacing w:before="0" w:after="283"/>
              <w:jc w:val="left"/>
              <w:rPr>
                <w:rFonts w:ascii="helvetica" w:hAnsi="helvetica"/>
                <w:sz w:val="20"/>
              </w:rPr>
            </w:pPr>
            <w:r>
              <w:rPr>
                <w:rFonts w:ascii="helvetica" w:hAnsi="helvetica"/>
                <w:sz w:val="20"/>
              </w:rPr>
              <w:t>$</w:t>
            </w:r>
          </w:p>
        </w:tc>
        <w:tc>
          <w:tcPr>
            <w:tcW w:w="1077" w:type="dxa"/>
            <w:tcBorders>
              <w:bottom w:val="double" w:sz="8" w:space="0" w:color="000000"/>
            </w:tcBorders>
            <w:shd w:fill="CCEE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(1.28</w:t>
            </w:r>
          </w:p>
        </w:tc>
        <w:tc>
          <w:tcPr>
            <w:tcW w:w="111" w:type="dxa"/>
            <w:tcBorders/>
            <w:shd w:fill="CCEEFF" w:val="clear"/>
            <w:vAlign w:val="bottom"/>
          </w:tcPr>
          <w:p>
            <w:pPr>
              <w:pStyle w:val="TableContents"/>
              <w:spacing w:before="0" w:after="283"/>
              <w:jc w:val="left"/>
              <w:rPr>
                <w:rFonts w:ascii="helvetica" w:hAnsi="helvetica"/>
                <w:sz w:val="20"/>
              </w:rPr>
            </w:pPr>
            <w:r>
              <w:rPr>
                <w:rFonts w:ascii="helvetica" w:hAnsi="helvetica"/>
                <w:sz w:val="20"/>
              </w:rPr>
              <w:t>)</w:t>
            </w:r>
          </w:p>
        </w:tc>
        <w:tc>
          <w:tcPr>
            <w:tcW w:w="105"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jc w:val="left"/>
              <w:rPr/>
            </w:pPr>
            <w:r>
              <w:rPr/>
              <w:t> </w:t>
            </w:r>
          </w:p>
        </w:tc>
        <w:tc>
          <w:tcPr>
            <w:tcW w:w="1111" w:type="dxa"/>
            <w:tcBorders/>
            <w:shd w:fill="CCEEFF" w:val="clear"/>
            <w:vAlign w:val="bottom"/>
          </w:tcPr>
          <w:p>
            <w:pPr>
              <w:pStyle w:val="TableContents"/>
              <w:spacing w:before="0" w:after="283"/>
              <w:jc w:val="right"/>
              <w:rPr/>
            </w:pPr>
            <w:r>
              <w:rPr/>
              <w:t> </w:t>
            </w:r>
          </w:p>
        </w:tc>
        <w:tc>
          <w:tcPr>
            <w:tcW w:w="122" w:type="dxa"/>
            <w:tcBorders/>
            <w:shd w:fill="CCEEFF" w:val="clear"/>
            <w:vAlign w:val="bottom"/>
          </w:tcPr>
          <w:p>
            <w:pPr>
              <w:pStyle w:val="TableContents"/>
              <w:spacing w:before="0" w:after="283"/>
              <w:jc w:val="left"/>
              <w:rPr/>
            </w:pPr>
            <w:r>
              <w:rPr/>
              <w:t> </w:t>
            </w:r>
          </w:p>
        </w:tc>
      </w:tr>
      <w:tr>
        <w:trPr/>
        <w:tc>
          <w:tcPr>
            <w:tcW w:w="5903" w:type="dxa"/>
            <w:tcBorders/>
            <w:shd w:fill="FFFFFF" w:val="clear"/>
            <w:vAlign w:val="bottom"/>
          </w:tcPr>
          <w:p>
            <w:pPr>
              <w:pStyle w:val="TableContents"/>
              <w:spacing w:before="0" w:after="283"/>
              <w:rPr/>
            </w:pPr>
            <w:r>
              <w:rPr/>
              <w:t xml:space="preserve">  </w:t>
            </w:r>
          </w:p>
        </w:tc>
        <w:tc>
          <w:tcPr>
            <w:tcW w:w="105" w:type="dxa"/>
            <w:tcBorders/>
            <w:shd w:fill="FFFFFF" w:val="clear"/>
            <w:vAlign w:val="bottom"/>
          </w:tcPr>
          <w:p>
            <w:pPr>
              <w:pStyle w:val="TableContents"/>
              <w:spacing w:before="0" w:after="283"/>
              <w:rPr/>
            </w:pPr>
            <w:r>
              <w:rPr/>
              <w:t> </w:t>
            </w:r>
          </w:p>
        </w:tc>
        <w:tc>
          <w:tcPr>
            <w:tcW w:w="126" w:type="dxa"/>
            <w:tcBorders/>
            <w:shd w:fill="FFFFFF" w:val="clear"/>
            <w:vAlign w:val="bottom"/>
          </w:tcPr>
          <w:p>
            <w:pPr>
              <w:pStyle w:val="TableContents"/>
              <w:spacing w:before="0" w:after="283"/>
              <w:jc w:val="left"/>
              <w:rPr/>
            </w:pPr>
            <w:r>
              <w:rPr/>
              <w:t> </w:t>
            </w:r>
          </w:p>
        </w:tc>
        <w:tc>
          <w:tcPr>
            <w:tcW w:w="1077" w:type="dxa"/>
            <w:tcBorders/>
            <w:shd w:fill="FFFFFF" w:val="clear"/>
            <w:vAlign w:val="bottom"/>
          </w:tcPr>
          <w:p>
            <w:pPr>
              <w:pStyle w:val="TableContents"/>
              <w:spacing w:before="0" w:after="283"/>
              <w:jc w:val="right"/>
              <w:rPr/>
            </w:pPr>
            <w:r>
              <w:rPr/>
              <w:t> </w:t>
            </w:r>
          </w:p>
        </w:tc>
        <w:tc>
          <w:tcPr>
            <w:tcW w:w="111" w:type="dxa"/>
            <w:tcBorders/>
            <w:shd w:fill="FFFFFF" w:val="clear"/>
            <w:vAlign w:val="bottom"/>
          </w:tcPr>
          <w:p>
            <w:pPr>
              <w:pStyle w:val="TableContents"/>
              <w:spacing w:before="0" w:after="283"/>
              <w:jc w:val="left"/>
              <w:rPr/>
            </w:pPr>
            <w:r>
              <w:rPr/>
              <w:t> </w:t>
            </w:r>
          </w:p>
        </w:tc>
        <w:tc>
          <w:tcPr>
            <w:tcW w:w="105" w:type="dxa"/>
            <w:tcBorders/>
            <w:shd w:fill="FFFFFF" w:val="clear"/>
            <w:vAlign w:val="bottom"/>
          </w:tcPr>
          <w:p>
            <w:pPr>
              <w:pStyle w:val="TableContents"/>
              <w:spacing w:before="0" w:after="283"/>
              <w:rPr/>
            </w:pPr>
            <w:r>
              <w:rPr/>
              <w:t> </w:t>
            </w:r>
          </w:p>
        </w:tc>
        <w:tc>
          <w:tcPr>
            <w:tcW w:w="126" w:type="dxa"/>
            <w:tcBorders/>
            <w:shd w:fill="FFFFFF" w:val="clear"/>
            <w:vAlign w:val="bottom"/>
          </w:tcPr>
          <w:p>
            <w:pPr>
              <w:pStyle w:val="TableContents"/>
              <w:spacing w:before="0" w:after="283"/>
              <w:jc w:val="left"/>
              <w:rPr/>
            </w:pPr>
            <w:r>
              <w:rPr/>
              <w:t> </w:t>
            </w:r>
          </w:p>
        </w:tc>
        <w:tc>
          <w:tcPr>
            <w:tcW w:w="1077" w:type="dxa"/>
            <w:tcBorders/>
            <w:shd w:fill="FFFFFF" w:val="clear"/>
            <w:vAlign w:val="bottom"/>
          </w:tcPr>
          <w:p>
            <w:pPr>
              <w:pStyle w:val="TableContents"/>
              <w:spacing w:before="0" w:after="283"/>
              <w:jc w:val="right"/>
              <w:rPr/>
            </w:pPr>
            <w:r>
              <w:rPr/>
              <w:t> </w:t>
            </w:r>
          </w:p>
        </w:tc>
        <w:tc>
          <w:tcPr>
            <w:tcW w:w="111" w:type="dxa"/>
            <w:tcBorders/>
            <w:shd w:fill="FFFFFF" w:val="clear"/>
            <w:vAlign w:val="bottom"/>
          </w:tcPr>
          <w:p>
            <w:pPr>
              <w:pStyle w:val="TableContents"/>
              <w:spacing w:before="0" w:after="283"/>
              <w:jc w:val="left"/>
              <w:rPr/>
            </w:pPr>
            <w:r>
              <w:rPr/>
              <w:t> </w:t>
            </w:r>
          </w:p>
        </w:tc>
        <w:tc>
          <w:tcPr>
            <w:tcW w:w="105" w:type="dxa"/>
            <w:tcBorders/>
            <w:shd w:fill="FFFFFF" w:val="clear"/>
            <w:vAlign w:val="bottom"/>
          </w:tcPr>
          <w:p>
            <w:pPr>
              <w:pStyle w:val="TableContents"/>
              <w:spacing w:before="0" w:after="283"/>
              <w:rPr/>
            </w:pPr>
            <w:r>
              <w:rPr/>
              <w:t> </w:t>
            </w:r>
          </w:p>
        </w:tc>
        <w:tc>
          <w:tcPr>
            <w:tcW w:w="126" w:type="dxa"/>
            <w:tcBorders/>
            <w:shd w:fill="FFFFFF" w:val="clear"/>
            <w:vAlign w:val="bottom"/>
          </w:tcPr>
          <w:p>
            <w:pPr>
              <w:pStyle w:val="TableContents"/>
              <w:spacing w:before="0" w:after="283"/>
              <w:jc w:val="left"/>
              <w:rPr/>
            </w:pPr>
            <w:r>
              <w:rPr/>
              <w:t> </w:t>
            </w:r>
          </w:p>
        </w:tc>
        <w:tc>
          <w:tcPr>
            <w:tcW w:w="1111" w:type="dxa"/>
            <w:tcBorders/>
            <w:shd w:fill="FFFFFF" w:val="clear"/>
            <w:vAlign w:val="bottom"/>
          </w:tcPr>
          <w:p>
            <w:pPr>
              <w:pStyle w:val="TableContents"/>
              <w:spacing w:before="0" w:after="283"/>
              <w:jc w:val="right"/>
              <w:rPr/>
            </w:pPr>
            <w:r>
              <w:rPr/>
              <w:t> </w:t>
            </w:r>
          </w:p>
        </w:tc>
        <w:tc>
          <w:tcPr>
            <w:tcW w:w="122" w:type="dxa"/>
            <w:tcBorders/>
            <w:shd w:fill="FFFFFF" w:val="clear"/>
            <w:vAlign w:val="bottom"/>
          </w:tcPr>
          <w:p>
            <w:pPr>
              <w:pStyle w:val="TableContents"/>
              <w:spacing w:before="0" w:after="283"/>
              <w:jc w:val="left"/>
              <w:rPr/>
            </w:pPr>
            <w:r>
              <w:rPr/>
              <w:t> </w:t>
            </w:r>
          </w:p>
        </w:tc>
      </w:tr>
      <w:tr>
        <w:trPr/>
        <w:tc>
          <w:tcPr>
            <w:tcW w:w="5903" w:type="dxa"/>
            <w:tcBorders/>
            <w:shd w:fill="CCEEFF" w:val="clear"/>
            <w:vAlign w:val="bottom"/>
          </w:tcPr>
          <w:p>
            <w:pPr>
              <w:pStyle w:val="TableContents"/>
              <w:spacing w:before="0" w:after="283"/>
              <w:jc w:val="left"/>
              <w:rPr/>
            </w:pPr>
            <w:r>
              <w:rPr/>
              <w:t> </w:t>
            </w:r>
          </w:p>
        </w:tc>
        <w:tc>
          <w:tcPr>
            <w:tcW w:w="105"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jc w:val="left"/>
              <w:rPr/>
            </w:pPr>
            <w:r>
              <w:rPr/>
              <w:t> </w:t>
            </w:r>
          </w:p>
        </w:tc>
        <w:tc>
          <w:tcPr>
            <w:tcW w:w="1077" w:type="dxa"/>
            <w:tcBorders/>
            <w:shd w:fill="CCEEFF" w:val="clear"/>
            <w:vAlign w:val="bottom"/>
          </w:tcPr>
          <w:p>
            <w:pPr>
              <w:pStyle w:val="TableContents"/>
              <w:spacing w:before="0" w:after="283"/>
              <w:jc w:val="right"/>
              <w:rPr/>
            </w:pPr>
            <w:r>
              <w:rPr/>
              <w:t> </w:t>
            </w:r>
          </w:p>
        </w:tc>
        <w:tc>
          <w:tcPr>
            <w:tcW w:w="111" w:type="dxa"/>
            <w:tcBorders/>
            <w:shd w:fill="CCEEFF" w:val="clear"/>
            <w:vAlign w:val="bottom"/>
          </w:tcPr>
          <w:p>
            <w:pPr>
              <w:pStyle w:val="TableContents"/>
              <w:spacing w:before="0" w:after="283"/>
              <w:jc w:val="left"/>
              <w:rPr/>
            </w:pPr>
            <w:r>
              <w:rPr/>
              <w:t> </w:t>
            </w:r>
          </w:p>
        </w:tc>
        <w:tc>
          <w:tcPr>
            <w:tcW w:w="105"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jc w:val="left"/>
              <w:rPr/>
            </w:pPr>
            <w:r>
              <w:rPr/>
              <w:t> </w:t>
            </w:r>
          </w:p>
        </w:tc>
        <w:tc>
          <w:tcPr>
            <w:tcW w:w="1077" w:type="dxa"/>
            <w:tcBorders/>
            <w:shd w:fill="CCEEFF" w:val="clear"/>
            <w:vAlign w:val="bottom"/>
          </w:tcPr>
          <w:p>
            <w:pPr>
              <w:pStyle w:val="TableContents"/>
              <w:spacing w:before="0" w:after="283"/>
              <w:jc w:val="right"/>
              <w:rPr/>
            </w:pPr>
            <w:r>
              <w:rPr/>
              <w:t> </w:t>
            </w:r>
          </w:p>
        </w:tc>
        <w:tc>
          <w:tcPr>
            <w:tcW w:w="111" w:type="dxa"/>
            <w:tcBorders/>
            <w:shd w:fill="CCEEFF" w:val="clear"/>
            <w:vAlign w:val="bottom"/>
          </w:tcPr>
          <w:p>
            <w:pPr>
              <w:pStyle w:val="TableContents"/>
              <w:spacing w:before="0" w:after="283"/>
              <w:jc w:val="left"/>
              <w:rPr/>
            </w:pPr>
            <w:r>
              <w:rPr/>
              <w:t> </w:t>
            </w:r>
          </w:p>
        </w:tc>
        <w:tc>
          <w:tcPr>
            <w:tcW w:w="105"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jc w:val="left"/>
              <w:rPr/>
            </w:pPr>
            <w:r>
              <w:rPr/>
              <w:t> </w:t>
            </w:r>
          </w:p>
        </w:tc>
        <w:tc>
          <w:tcPr>
            <w:tcW w:w="1111" w:type="dxa"/>
            <w:tcBorders/>
            <w:shd w:fill="CCEEFF" w:val="clear"/>
            <w:vAlign w:val="bottom"/>
          </w:tcPr>
          <w:p>
            <w:pPr>
              <w:pStyle w:val="TableContents"/>
              <w:spacing w:before="0" w:after="283"/>
              <w:jc w:val="right"/>
              <w:rPr/>
            </w:pPr>
            <w:r>
              <w:rPr/>
              <w:t> </w:t>
            </w:r>
          </w:p>
        </w:tc>
        <w:tc>
          <w:tcPr>
            <w:tcW w:w="122" w:type="dxa"/>
            <w:tcBorders/>
            <w:shd w:fill="CCEEFF" w:val="clear"/>
            <w:vAlign w:val="bottom"/>
          </w:tcPr>
          <w:p>
            <w:pPr>
              <w:pStyle w:val="TableContents"/>
              <w:spacing w:before="0" w:after="283"/>
              <w:jc w:val="left"/>
              <w:rPr/>
            </w:pPr>
            <w:r>
              <w:rPr/>
              <w:t> </w:t>
            </w:r>
          </w:p>
        </w:tc>
      </w:tr>
      <w:tr>
        <w:trPr/>
        <w:tc>
          <w:tcPr>
            <w:tcW w:w="5903" w:type="dxa"/>
            <w:tcBorders/>
            <w:shd w:fill="FFFFFF" w:val="clear"/>
            <w:vAlign w:val="bottom"/>
          </w:tcPr>
          <w:p>
            <w:pPr>
              <w:pStyle w:val="TableContents"/>
              <w:spacing w:before="0" w:after="0"/>
              <w:ind w:left="0" w:right="0" w:hanging="0"/>
              <w:jc w:val="left"/>
              <w:rPr>
                <w:rFonts w:ascii="helvetica" w:hAnsi="helvetica"/>
                <w:sz w:val="20"/>
              </w:rPr>
            </w:pPr>
            <w:r>
              <w:rPr>
                <w:rFonts w:ascii="helvetica" w:hAnsi="helvetica"/>
                <w:sz w:val="20"/>
              </w:rPr>
              <w:t>Weighted average common shares outstanding, basic and diluted</w:t>
            </w:r>
          </w:p>
        </w:tc>
        <w:tc>
          <w:tcPr>
            <w:tcW w:w="105" w:type="dxa"/>
            <w:tcBorders/>
            <w:shd w:fill="FFFFFF" w:val="clear"/>
            <w:vAlign w:val="bottom"/>
          </w:tcPr>
          <w:p>
            <w:pPr>
              <w:pStyle w:val="TableContents"/>
              <w:spacing w:before="0" w:after="283"/>
              <w:rPr/>
            </w:pPr>
            <w:r>
              <w:rPr/>
              <w:t> </w:t>
            </w:r>
          </w:p>
        </w:tc>
        <w:tc>
          <w:tcPr>
            <w:tcW w:w="126" w:type="dxa"/>
            <w:tcBorders/>
            <w:shd w:fill="FFFFFF" w:val="clear"/>
            <w:vAlign w:val="bottom"/>
          </w:tcPr>
          <w:p>
            <w:pPr>
              <w:pStyle w:val="TableContents"/>
              <w:spacing w:before="0" w:after="283"/>
              <w:jc w:val="left"/>
              <w:rPr/>
            </w:pPr>
            <w:r>
              <w:rPr/>
              <w:t> </w:t>
            </w:r>
          </w:p>
        </w:tc>
        <w:tc>
          <w:tcPr>
            <w:tcW w:w="1077"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1,989,014</w:t>
            </w:r>
          </w:p>
        </w:tc>
        <w:tc>
          <w:tcPr>
            <w:tcW w:w="111" w:type="dxa"/>
            <w:tcBorders/>
            <w:shd w:fill="FFFFFF" w:val="clear"/>
            <w:vAlign w:val="bottom"/>
          </w:tcPr>
          <w:p>
            <w:pPr>
              <w:pStyle w:val="TableContents"/>
              <w:spacing w:before="0" w:after="283"/>
              <w:jc w:val="left"/>
              <w:rPr/>
            </w:pPr>
            <w:r>
              <w:rPr/>
              <w:t> </w:t>
            </w:r>
          </w:p>
        </w:tc>
        <w:tc>
          <w:tcPr>
            <w:tcW w:w="105" w:type="dxa"/>
            <w:tcBorders/>
            <w:shd w:fill="FFFFFF" w:val="clear"/>
            <w:vAlign w:val="bottom"/>
          </w:tcPr>
          <w:p>
            <w:pPr>
              <w:pStyle w:val="TableContents"/>
              <w:spacing w:before="0" w:after="283"/>
              <w:rPr/>
            </w:pPr>
            <w:r>
              <w:rPr/>
              <w:t> </w:t>
            </w:r>
          </w:p>
        </w:tc>
        <w:tc>
          <w:tcPr>
            <w:tcW w:w="126" w:type="dxa"/>
            <w:tcBorders/>
            <w:shd w:fill="FFFFFF" w:val="clear"/>
            <w:vAlign w:val="bottom"/>
          </w:tcPr>
          <w:p>
            <w:pPr>
              <w:pStyle w:val="TableContents"/>
              <w:spacing w:before="0" w:after="283"/>
              <w:jc w:val="left"/>
              <w:rPr/>
            </w:pPr>
            <w:r>
              <w:rPr/>
              <w:t> </w:t>
            </w:r>
          </w:p>
        </w:tc>
        <w:tc>
          <w:tcPr>
            <w:tcW w:w="1077"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1,973,155</w:t>
            </w:r>
          </w:p>
        </w:tc>
        <w:tc>
          <w:tcPr>
            <w:tcW w:w="111" w:type="dxa"/>
            <w:tcBorders/>
            <w:shd w:fill="FFFFFF" w:val="clear"/>
            <w:vAlign w:val="bottom"/>
          </w:tcPr>
          <w:p>
            <w:pPr>
              <w:pStyle w:val="TableContents"/>
              <w:spacing w:before="0" w:after="283"/>
              <w:jc w:val="left"/>
              <w:rPr/>
            </w:pPr>
            <w:r>
              <w:rPr/>
              <w:t> </w:t>
            </w:r>
          </w:p>
        </w:tc>
        <w:tc>
          <w:tcPr>
            <w:tcW w:w="105" w:type="dxa"/>
            <w:tcBorders/>
            <w:shd w:fill="FFFFFF" w:val="clear"/>
            <w:vAlign w:val="bottom"/>
          </w:tcPr>
          <w:p>
            <w:pPr>
              <w:pStyle w:val="TableContents"/>
              <w:spacing w:before="0" w:after="283"/>
              <w:rPr/>
            </w:pPr>
            <w:r>
              <w:rPr/>
              <w:t> </w:t>
            </w:r>
          </w:p>
        </w:tc>
        <w:tc>
          <w:tcPr>
            <w:tcW w:w="126" w:type="dxa"/>
            <w:tcBorders/>
            <w:shd w:fill="FFFFFF" w:val="clear"/>
            <w:vAlign w:val="bottom"/>
          </w:tcPr>
          <w:p>
            <w:pPr>
              <w:pStyle w:val="TableContents"/>
              <w:spacing w:before="0" w:after="283"/>
              <w:jc w:val="left"/>
              <w:rPr/>
            </w:pPr>
            <w:r>
              <w:rPr/>
              <w:t> </w:t>
            </w:r>
          </w:p>
        </w:tc>
        <w:tc>
          <w:tcPr>
            <w:tcW w:w="1111" w:type="dxa"/>
            <w:tcBorders/>
            <w:shd w:fill="FFFFFF" w:val="clear"/>
            <w:vAlign w:val="bottom"/>
          </w:tcPr>
          <w:p>
            <w:pPr>
              <w:pStyle w:val="TableContents"/>
              <w:spacing w:before="0" w:after="283"/>
              <w:jc w:val="right"/>
              <w:rPr/>
            </w:pPr>
            <w:r>
              <w:rPr/>
              <w:t> </w:t>
            </w:r>
          </w:p>
        </w:tc>
        <w:tc>
          <w:tcPr>
            <w:tcW w:w="122" w:type="dxa"/>
            <w:tcBorders/>
            <w:shd w:fill="FFFFFF" w:val="clear"/>
            <w:vAlign w:val="bottom"/>
          </w:tcPr>
          <w:p>
            <w:pPr>
              <w:pStyle w:val="TableContents"/>
              <w:spacing w:before="0" w:after="283"/>
              <w:jc w:val="left"/>
              <w:rPr/>
            </w:pPr>
            <w:r>
              <w:rPr/>
              <w:t> </w:t>
            </w:r>
          </w:p>
        </w:tc>
      </w:tr>
    </w:tbl>
    <w:p>
      <w:pPr>
        <w:pStyle w:val="TextBody"/>
        <w:spacing w:before="0" w:after="0"/>
        <w:jc w:val="left"/>
        <w:rPr/>
      </w:pPr>
      <w:r>
        <w:rPr/>
        <w:t> </w:t>
      </w:r>
    </w:p>
    <w:p>
      <w:pPr>
        <w:pStyle w:val="TextBody"/>
        <w:spacing w:before="0" w:after="0"/>
        <w:ind w:left="0" w:right="0" w:hanging="0"/>
        <w:jc w:val="center"/>
        <w:rPr>
          <w:rFonts w:ascii="helvetica" w:hAnsi="helvetica"/>
          <w:sz w:val="20"/>
        </w:rPr>
      </w:pPr>
      <w:r>
        <w:rPr>
          <w:rFonts w:ascii="helvetica" w:hAnsi="helvetica"/>
          <w:sz w:val="20"/>
        </w:rPr>
        <w:t>The accompanying notes are an integral part of these consolidated financial statements</w:t>
      </w:r>
    </w:p>
    <w:p>
      <w:pPr>
        <w:pStyle w:val="TextBody"/>
        <w:spacing w:before="0" w:after="0"/>
        <w:ind w:left="0" w:right="0" w:hanging="0"/>
        <w:jc w:val="center"/>
        <w:rPr/>
      </w:pPr>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r>
      <w:bookmarkStart w:id="1094" w:name="PGBRK93"/>
      <w:bookmarkStart w:id="1095" w:name="PGBRK93"/>
      <w:bookmarkEnd w:id="109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096" w:name="FTR93"/>
      <w:bookmarkStart w:id="1097" w:name="FTR93"/>
      <w:bookmarkEnd w:id="109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1098" w:name="GLFTR92"/>
      <w:bookmarkEnd w:id="1098"/>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helvetica" w:hAnsi="helvetica"/>
          <w:sz w:val="20"/>
        </w:rPr>
      </w:pPr>
      <w:bookmarkStart w:id="1099" w:name="PN92"/>
      <w:bookmarkEnd w:id="1099"/>
      <w:r>
        <w:rPr>
          <w:rFonts w:ascii="helvetica" w:hAnsi="helvetica"/>
          <w:sz w:val="20"/>
        </w:rPr>
        <w:t>F-22</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100" w:name="HDR92"/>
      <w:bookmarkStart w:id="1101" w:name="HDR92"/>
      <w:bookmarkEnd w:id="110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1102" w:name="GLHDR92"/>
      <w:bookmarkEnd w:id="1102"/>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center"/>
        <w:rPr/>
      </w:pPr>
      <w:r>
        <w:rPr/>
        <w:t> </w:t>
      </w:r>
    </w:p>
    <w:tbl>
      <w:tblPr>
        <w:tblW w:w="5000" w:type="pct"/>
        <w:jc w:val="left"/>
        <w:tblInd w:w="0" w:type="dxa"/>
        <w:tblCellMar>
          <w:top w:w="0" w:type="dxa"/>
          <w:left w:w="0" w:type="dxa"/>
          <w:bottom w:w="0" w:type="dxa"/>
          <w:right w:w="0" w:type="dxa"/>
        </w:tblCellMar>
      </w:tblPr>
      <w:tblGrid>
        <w:gridCol w:w="10205"/>
      </w:tblGrid>
      <w:tr>
        <w:trPr/>
        <w:tc>
          <w:tcPr>
            <w:tcW w:w="10205" w:type="dxa"/>
            <w:tcBorders/>
            <w:shd w:fill="auto" w:val="clear"/>
            <w:vAlign w:val="bottom"/>
          </w:tcPr>
          <w:p>
            <w:pPr>
              <w:pStyle w:val="TableContents"/>
              <w:spacing w:before="0" w:after="0"/>
              <w:ind w:left="0" w:right="0" w:hanging="0"/>
              <w:jc w:val="center"/>
              <w:rPr>
                <w:rFonts w:ascii="helvetica" w:hAnsi="helvetica"/>
                <w:b/>
                <w:sz w:val="20"/>
              </w:rPr>
            </w:pPr>
            <w:r>
              <w:rPr>
                <w:rFonts w:ascii="helvetica" w:hAnsi="helvetica"/>
                <w:b/>
                <w:sz w:val="20"/>
              </w:rPr>
              <w:t>IMPRIMIS PHARMACEUTICALS, INC.</w:t>
            </w:r>
          </w:p>
        </w:tc>
      </w:tr>
      <w:tr>
        <w:trPr/>
        <w:tc>
          <w:tcPr>
            <w:tcW w:w="10205" w:type="dxa"/>
            <w:tcBorders/>
            <w:shd w:fill="auto" w:val="clear"/>
            <w:vAlign w:val="bottom"/>
          </w:tcPr>
          <w:p>
            <w:pPr>
              <w:pStyle w:val="TableContents"/>
              <w:spacing w:before="0" w:after="0"/>
              <w:ind w:left="0" w:right="0" w:hanging="0"/>
              <w:jc w:val="center"/>
              <w:rPr/>
            </w:pPr>
            <w:r>
              <w:rPr/>
              <w:t> </w:t>
            </w:r>
            <w:r>
              <w:rPr>
                <w:rFonts w:ascii="helvetica" w:hAnsi="helvetica"/>
                <w:b/>
                <w:sz w:val="20"/>
              </w:rPr>
              <w:t>(Development Stage Company)</w:t>
            </w:r>
          </w:p>
        </w:tc>
      </w:tr>
      <w:tr>
        <w:trPr/>
        <w:tc>
          <w:tcPr>
            <w:tcW w:w="10205" w:type="dxa"/>
            <w:tcBorders/>
            <w:shd w:fill="auto" w:val="clear"/>
            <w:vAlign w:val="bottom"/>
          </w:tcPr>
          <w:p>
            <w:pPr>
              <w:pStyle w:val="TableContents"/>
              <w:spacing w:before="0" w:after="0"/>
              <w:ind w:left="0" w:right="0" w:hanging="0"/>
              <w:jc w:val="center"/>
              <w:rPr>
                <w:rFonts w:ascii="helvetica" w:hAnsi="helvetica"/>
                <w:b/>
                <w:sz w:val="20"/>
              </w:rPr>
            </w:pPr>
            <w:r>
              <w:rPr>
                <w:rFonts w:ascii="helvetica" w:hAnsi="helvetica"/>
                <w:b/>
                <w:sz w:val="20"/>
              </w:rPr>
              <w:t>CONSOLIDATED STATEMENTS OF STOCKHOLDERS' EQUITY (DEFICIT)</w:t>
            </w:r>
          </w:p>
        </w:tc>
      </w:tr>
      <w:tr>
        <w:trPr/>
        <w:tc>
          <w:tcPr>
            <w:tcW w:w="10205" w:type="dxa"/>
            <w:tcBorders/>
            <w:shd w:fill="auto" w:val="clear"/>
            <w:vAlign w:val="bottom"/>
          </w:tcPr>
          <w:p>
            <w:pPr>
              <w:pStyle w:val="TableContents"/>
              <w:spacing w:before="0" w:after="0"/>
              <w:ind w:left="0" w:right="0" w:hanging="0"/>
              <w:jc w:val="center"/>
              <w:rPr>
                <w:rFonts w:ascii="helvetica" w:hAnsi="helvetica"/>
                <w:b/>
                <w:sz w:val="20"/>
              </w:rPr>
            </w:pPr>
            <w:r>
              <w:rPr>
                <w:rFonts w:ascii="helvetica" w:hAnsi="helvetica"/>
                <w:b/>
                <w:sz w:val="20"/>
              </w:rPr>
              <w:t>For the years ended December 31, 2011 and 2010 and for the period from June 24, 1998 (Inception) through December 31, 2011</w:t>
            </w:r>
          </w:p>
        </w:tc>
      </w:tr>
    </w:tbl>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2070"/>
        <w:gridCol w:w="81"/>
        <w:gridCol w:w="135"/>
        <w:gridCol w:w="586"/>
        <w:gridCol w:w="92"/>
        <w:gridCol w:w="92"/>
        <w:gridCol w:w="292"/>
        <w:gridCol w:w="334"/>
        <w:gridCol w:w="81"/>
        <w:gridCol w:w="81"/>
        <w:gridCol w:w="81"/>
        <w:gridCol w:w="982"/>
        <w:gridCol w:w="99"/>
        <w:gridCol w:w="81"/>
        <w:gridCol w:w="139"/>
        <w:gridCol w:w="641"/>
        <w:gridCol w:w="99"/>
        <w:gridCol w:w="81"/>
        <w:gridCol w:w="140"/>
        <w:gridCol w:w="1077"/>
        <w:gridCol w:w="99"/>
        <w:gridCol w:w="81"/>
        <w:gridCol w:w="140"/>
        <w:gridCol w:w="1132"/>
        <w:gridCol w:w="99"/>
        <w:gridCol w:w="81"/>
        <w:gridCol w:w="141"/>
        <w:gridCol w:w="1045"/>
        <w:gridCol w:w="123"/>
      </w:tblGrid>
      <w:tr>
        <w:trPr/>
        <w:tc>
          <w:tcPr>
            <w:tcW w:w="2070" w:type="dxa"/>
            <w:tcBorders/>
            <w:shd w:fill="auto" w:val="clear"/>
            <w:vAlign w:val="bottom"/>
          </w:tcPr>
          <w:p>
            <w:pPr>
              <w:pStyle w:val="TableContents"/>
              <w:spacing w:before="0" w:after="283"/>
              <w:rPr/>
            </w:pPr>
            <w:r>
              <w:rPr/>
              <w:t xml:space="preserve">  </w:t>
            </w:r>
          </w:p>
        </w:tc>
        <w:tc>
          <w:tcPr>
            <w:tcW w:w="81" w:type="dxa"/>
            <w:tcBorders/>
            <w:shd w:fill="auto" w:val="clear"/>
            <w:vAlign w:val="bottom"/>
          </w:tcPr>
          <w:p>
            <w:pPr>
              <w:pStyle w:val="TableContents"/>
              <w:spacing w:before="0" w:after="283"/>
              <w:rPr/>
            </w:pPr>
            <w:r>
              <w:rPr/>
              <w:t> </w:t>
            </w:r>
          </w:p>
        </w:tc>
        <w:tc>
          <w:tcPr>
            <w:tcW w:w="1531" w:type="dxa"/>
            <w:gridSpan w:val="6"/>
            <w:tcBorders>
              <w:bottom w:val="single" w:sz="12" w:space="0" w:color="000000"/>
            </w:tcBorders>
            <w:shd w:fill="auto" w:val="clear"/>
            <w:tcMar>
              <w:bottom w:w="28" w:type="dxa"/>
            </w:tcMar>
            <w:vAlign w:val="bottom"/>
          </w:tcPr>
          <w:p>
            <w:pPr>
              <w:pStyle w:val="TableContents"/>
              <w:spacing w:before="0" w:after="0"/>
              <w:ind w:left="0" w:right="0" w:hanging="0"/>
              <w:jc w:val="center"/>
              <w:rPr>
                <w:rFonts w:ascii="helvetica" w:hAnsi="helvetica"/>
                <w:b/>
                <w:sz w:val="16"/>
              </w:rPr>
            </w:pPr>
            <w:r>
              <w:rPr>
                <w:rFonts w:ascii="helvetica" w:hAnsi="helvetica"/>
                <w:b/>
                <w:sz w:val="16"/>
              </w:rPr>
              <w:t>Preferred Stock</w:t>
            </w:r>
          </w:p>
        </w:tc>
        <w:tc>
          <w:tcPr>
            <w:tcW w:w="81" w:type="dxa"/>
            <w:tcBorders/>
            <w:shd w:fill="auto" w:val="clear"/>
            <w:vAlign w:val="bottom"/>
          </w:tcPr>
          <w:p>
            <w:pPr>
              <w:pStyle w:val="TableContents"/>
              <w:spacing w:before="0" w:after="283"/>
              <w:jc w:val="left"/>
              <w:rPr/>
            </w:pPr>
            <w:r>
              <w:rPr/>
              <w:t> </w:t>
            </w:r>
          </w:p>
        </w:tc>
        <w:tc>
          <w:tcPr>
            <w:tcW w:w="81" w:type="dxa"/>
            <w:tcBorders/>
            <w:shd w:fill="auto" w:val="clear"/>
            <w:vAlign w:val="bottom"/>
          </w:tcPr>
          <w:p>
            <w:pPr>
              <w:pStyle w:val="TableContents"/>
              <w:spacing w:before="0" w:after="283"/>
              <w:rPr/>
            </w:pPr>
            <w:r>
              <w:rPr/>
              <w:t> </w:t>
            </w:r>
          </w:p>
        </w:tc>
        <w:tc>
          <w:tcPr>
            <w:tcW w:w="2023" w:type="dxa"/>
            <w:gridSpan w:val="6"/>
            <w:tcBorders>
              <w:bottom w:val="single" w:sz="12" w:space="0" w:color="000000"/>
            </w:tcBorders>
            <w:shd w:fill="auto" w:val="clear"/>
            <w:tcMar>
              <w:bottom w:w="28" w:type="dxa"/>
            </w:tcMar>
            <w:vAlign w:val="bottom"/>
          </w:tcPr>
          <w:p>
            <w:pPr>
              <w:pStyle w:val="TableContents"/>
              <w:spacing w:before="0" w:after="0"/>
              <w:ind w:left="0" w:right="0" w:hanging="0"/>
              <w:jc w:val="center"/>
              <w:rPr>
                <w:rFonts w:ascii="helvetica" w:hAnsi="helvetica"/>
                <w:b/>
                <w:sz w:val="16"/>
              </w:rPr>
            </w:pPr>
            <w:r>
              <w:rPr>
                <w:rFonts w:ascii="helvetica" w:hAnsi="helvetica"/>
                <w:b/>
                <w:sz w:val="16"/>
              </w:rPr>
              <w:t>Common Stock</w:t>
            </w:r>
          </w:p>
        </w:tc>
        <w:tc>
          <w:tcPr>
            <w:tcW w:w="99" w:type="dxa"/>
            <w:tcBorders/>
            <w:shd w:fill="auto" w:val="clear"/>
            <w:vAlign w:val="bottom"/>
          </w:tcPr>
          <w:p>
            <w:pPr>
              <w:pStyle w:val="TableContents"/>
              <w:spacing w:before="0" w:after="283"/>
              <w:jc w:val="left"/>
              <w:rPr/>
            </w:pPr>
            <w:r>
              <w:rPr/>
              <w:t> </w:t>
            </w:r>
          </w:p>
        </w:tc>
        <w:tc>
          <w:tcPr>
            <w:tcW w:w="81" w:type="dxa"/>
            <w:tcBorders/>
            <w:shd w:fill="auto" w:val="clear"/>
            <w:vAlign w:val="bottom"/>
          </w:tcPr>
          <w:p>
            <w:pPr>
              <w:pStyle w:val="TableContents"/>
              <w:spacing w:before="0" w:after="283"/>
              <w:rPr/>
            </w:pPr>
            <w:r>
              <w:rPr/>
              <w:t> </w:t>
            </w:r>
          </w:p>
        </w:tc>
        <w:tc>
          <w:tcPr>
            <w:tcW w:w="1217" w:type="dxa"/>
            <w:gridSpan w:val="2"/>
            <w:tcBorders/>
            <w:shd w:fill="auto" w:val="clear"/>
            <w:vAlign w:val="bottom"/>
          </w:tcPr>
          <w:p>
            <w:pPr>
              <w:pStyle w:val="TableContents"/>
              <w:spacing w:before="0" w:after="0"/>
              <w:ind w:left="0" w:right="0" w:hanging="0"/>
              <w:jc w:val="center"/>
              <w:rPr>
                <w:rFonts w:ascii="helvetica" w:hAnsi="helvetica"/>
                <w:b/>
                <w:sz w:val="16"/>
              </w:rPr>
            </w:pPr>
            <w:r>
              <w:rPr>
                <w:rFonts w:ascii="helvetica" w:hAnsi="helvetica"/>
                <w:b/>
                <w:sz w:val="16"/>
              </w:rPr>
              <w:t>Additional</w:t>
            </w:r>
          </w:p>
        </w:tc>
        <w:tc>
          <w:tcPr>
            <w:tcW w:w="99" w:type="dxa"/>
            <w:tcBorders/>
            <w:shd w:fill="auto" w:val="clear"/>
            <w:vAlign w:val="bottom"/>
          </w:tcPr>
          <w:p>
            <w:pPr>
              <w:pStyle w:val="TableContents"/>
              <w:spacing w:before="0" w:after="283"/>
              <w:jc w:val="left"/>
              <w:rPr/>
            </w:pPr>
            <w:r>
              <w:rPr/>
              <w:t> </w:t>
            </w:r>
          </w:p>
        </w:tc>
        <w:tc>
          <w:tcPr>
            <w:tcW w:w="81" w:type="dxa"/>
            <w:tcBorders/>
            <w:shd w:fill="auto" w:val="clear"/>
            <w:vAlign w:val="bottom"/>
          </w:tcPr>
          <w:p>
            <w:pPr>
              <w:pStyle w:val="TableContents"/>
              <w:spacing w:before="0" w:after="283"/>
              <w:rPr/>
            </w:pPr>
            <w:r>
              <w:rPr/>
              <w:t> </w:t>
            </w:r>
          </w:p>
        </w:tc>
        <w:tc>
          <w:tcPr>
            <w:tcW w:w="1272" w:type="dxa"/>
            <w:gridSpan w:val="2"/>
            <w:tcBorders/>
            <w:shd w:fill="auto" w:val="clear"/>
            <w:vAlign w:val="bottom"/>
          </w:tcPr>
          <w:p>
            <w:pPr>
              <w:pStyle w:val="TableContents"/>
              <w:spacing w:before="0" w:after="0"/>
              <w:ind w:left="0" w:right="0" w:hanging="0"/>
              <w:jc w:val="center"/>
              <w:rPr>
                <w:rFonts w:ascii="helvetica" w:hAnsi="helvetica"/>
                <w:b/>
                <w:sz w:val="16"/>
              </w:rPr>
            </w:pPr>
            <w:r>
              <w:rPr>
                <w:rFonts w:ascii="helvetica" w:hAnsi="helvetica"/>
                <w:b/>
                <w:sz w:val="16"/>
              </w:rPr>
              <w:t>Deficit accumulated</w:t>
            </w:r>
          </w:p>
        </w:tc>
        <w:tc>
          <w:tcPr>
            <w:tcW w:w="99" w:type="dxa"/>
            <w:tcBorders/>
            <w:shd w:fill="auto" w:val="clear"/>
            <w:vAlign w:val="bottom"/>
          </w:tcPr>
          <w:p>
            <w:pPr>
              <w:pStyle w:val="TableContents"/>
              <w:spacing w:before="0" w:after="283"/>
              <w:jc w:val="left"/>
              <w:rPr/>
            </w:pPr>
            <w:r>
              <w:rPr/>
              <w:t> </w:t>
            </w:r>
          </w:p>
        </w:tc>
        <w:tc>
          <w:tcPr>
            <w:tcW w:w="81" w:type="dxa"/>
            <w:tcBorders/>
            <w:shd w:fill="auto" w:val="clear"/>
            <w:vAlign w:val="bottom"/>
          </w:tcPr>
          <w:p>
            <w:pPr>
              <w:pStyle w:val="TableContents"/>
              <w:spacing w:before="0" w:after="283"/>
              <w:rPr/>
            </w:pPr>
            <w:r>
              <w:rPr/>
              <w:t> </w:t>
            </w:r>
          </w:p>
        </w:tc>
        <w:tc>
          <w:tcPr>
            <w:tcW w:w="1186" w:type="dxa"/>
            <w:gridSpan w:val="2"/>
            <w:tcBorders/>
            <w:shd w:fill="auto" w:val="clear"/>
            <w:vAlign w:val="bottom"/>
          </w:tcPr>
          <w:p>
            <w:pPr>
              <w:pStyle w:val="TableContents"/>
              <w:spacing w:before="0" w:after="0"/>
              <w:ind w:left="0" w:right="0" w:hanging="0"/>
              <w:jc w:val="center"/>
              <w:rPr>
                <w:rFonts w:ascii="helvetica" w:hAnsi="helvetica"/>
                <w:b/>
                <w:sz w:val="16"/>
              </w:rPr>
            </w:pPr>
            <w:r>
              <w:rPr>
                <w:rFonts w:ascii="helvetica" w:hAnsi="helvetica"/>
                <w:b/>
                <w:sz w:val="16"/>
              </w:rPr>
              <w:t>Total</w:t>
            </w:r>
          </w:p>
        </w:tc>
        <w:tc>
          <w:tcPr>
            <w:tcW w:w="123" w:type="dxa"/>
            <w:tcBorders/>
            <w:shd w:fill="auto" w:val="clear"/>
            <w:vAlign w:val="bottom"/>
          </w:tcPr>
          <w:p>
            <w:pPr>
              <w:pStyle w:val="TableContents"/>
              <w:spacing w:before="0" w:after="283"/>
              <w:jc w:val="left"/>
              <w:rPr/>
            </w:pPr>
            <w:r>
              <w:rPr/>
              <w:t> </w:t>
            </w:r>
          </w:p>
        </w:tc>
      </w:tr>
      <w:tr>
        <w:trPr/>
        <w:tc>
          <w:tcPr>
            <w:tcW w:w="2070" w:type="dxa"/>
            <w:tcBorders/>
            <w:shd w:fill="auto" w:val="clear"/>
            <w:vAlign w:val="bottom"/>
          </w:tcPr>
          <w:p>
            <w:pPr>
              <w:pStyle w:val="TableContents"/>
              <w:spacing w:before="0" w:after="283"/>
              <w:rPr/>
            </w:pPr>
            <w:r>
              <w:rPr/>
              <w:t xml:space="preserve">  </w:t>
            </w:r>
          </w:p>
        </w:tc>
        <w:tc>
          <w:tcPr>
            <w:tcW w:w="81" w:type="dxa"/>
            <w:tcBorders/>
            <w:shd w:fill="auto" w:val="clear"/>
            <w:vAlign w:val="bottom"/>
          </w:tcPr>
          <w:p>
            <w:pPr>
              <w:pStyle w:val="TableContents"/>
              <w:spacing w:before="0" w:after="283"/>
              <w:rPr/>
            </w:pPr>
            <w:r>
              <w:rPr/>
              <w:t> </w:t>
            </w:r>
          </w:p>
        </w:tc>
        <w:tc>
          <w:tcPr>
            <w:tcW w:w="721" w:type="dxa"/>
            <w:gridSpan w:val="2"/>
            <w:tcBorders/>
            <w:shd w:fill="auto" w:val="clear"/>
            <w:vAlign w:val="bottom"/>
          </w:tcPr>
          <w:p>
            <w:pPr>
              <w:pStyle w:val="TableContents"/>
              <w:spacing w:before="0" w:after="283"/>
              <w:rPr/>
            </w:pPr>
            <w:r>
              <w:rPr/>
              <w:t> </w:t>
            </w:r>
          </w:p>
        </w:tc>
        <w:tc>
          <w:tcPr>
            <w:tcW w:w="92" w:type="dxa"/>
            <w:tcBorders/>
            <w:shd w:fill="auto" w:val="clear"/>
            <w:vAlign w:val="bottom"/>
          </w:tcPr>
          <w:p>
            <w:pPr>
              <w:pStyle w:val="TableContents"/>
              <w:spacing w:before="0" w:after="283"/>
              <w:jc w:val="left"/>
              <w:rPr/>
            </w:pPr>
            <w:r>
              <w:rPr/>
              <w:t> </w:t>
            </w:r>
          </w:p>
        </w:tc>
        <w:tc>
          <w:tcPr>
            <w:tcW w:w="92" w:type="dxa"/>
            <w:tcBorders/>
            <w:shd w:fill="auto" w:val="clear"/>
            <w:vAlign w:val="bottom"/>
          </w:tcPr>
          <w:p>
            <w:pPr>
              <w:pStyle w:val="TableContents"/>
              <w:spacing w:before="0" w:after="283"/>
              <w:rPr/>
            </w:pPr>
            <w:r>
              <w:rPr/>
              <w:t> </w:t>
            </w:r>
          </w:p>
        </w:tc>
        <w:tc>
          <w:tcPr>
            <w:tcW w:w="626" w:type="dxa"/>
            <w:gridSpan w:val="2"/>
            <w:tcBorders/>
            <w:shd w:fill="auto" w:val="clear"/>
            <w:vAlign w:val="bottom"/>
          </w:tcPr>
          <w:p>
            <w:pPr>
              <w:pStyle w:val="TableContents"/>
              <w:spacing w:before="0" w:after="0"/>
              <w:ind w:left="0" w:right="0" w:hanging="0"/>
              <w:jc w:val="center"/>
              <w:rPr>
                <w:rFonts w:ascii="helvetica" w:hAnsi="helvetica"/>
                <w:b/>
                <w:sz w:val="16"/>
              </w:rPr>
            </w:pPr>
            <w:r>
              <w:rPr>
                <w:rFonts w:ascii="helvetica" w:hAnsi="helvetica"/>
                <w:b/>
                <w:sz w:val="16"/>
              </w:rPr>
              <w:t>Par</w:t>
            </w:r>
          </w:p>
        </w:tc>
        <w:tc>
          <w:tcPr>
            <w:tcW w:w="81" w:type="dxa"/>
            <w:tcBorders/>
            <w:shd w:fill="auto" w:val="clear"/>
            <w:vAlign w:val="bottom"/>
          </w:tcPr>
          <w:p>
            <w:pPr>
              <w:pStyle w:val="TableContents"/>
              <w:spacing w:before="0" w:after="283"/>
              <w:jc w:val="left"/>
              <w:rPr/>
            </w:pPr>
            <w:r>
              <w:rPr/>
              <w:t> </w:t>
            </w:r>
          </w:p>
        </w:tc>
        <w:tc>
          <w:tcPr>
            <w:tcW w:w="81" w:type="dxa"/>
            <w:tcBorders/>
            <w:shd w:fill="auto" w:val="clear"/>
            <w:vAlign w:val="bottom"/>
          </w:tcPr>
          <w:p>
            <w:pPr>
              <w:pStyle w:val="TableContents"/>
              <w:spacing w:before="0" w:after="283"/>
              <w:rPr/>
            </w:pPr>
            <w:r>
              <w:rPr/>
              <w:t> </w:t>
            </w:r>
          </w:p>
        </w:tc>
        <w:tc>
          <w:tcPr>
            <w:tcW w:w="1063" w:type="dxa"/>
            <w:gridSpan w:val="2"/>
            <w:tcBorders/>
            <w:shd w:fill="auto" w:val="clear"/>
            <w:vAlign w:val="bottom"/>
          </w:tcPr>
          <w:p>
            <w:pPr>
              <w:pStyle w:val="TableContents"/>
              <w:spacing w:before="0" w:after="283"/>
              <w:rPr/>
            </w:pPr>
            <w:r>
              <w:rPr/>
              <w:t> </w:t>
            </w:r>
          </w:p>
        </w:tc>
        <w:tc>
          <w:tcPr>
            <w:tcW w:w="99" w:type="dxa"/>
            <w:tcBorders/>
            <w:shd w:fill="auto" w:val="clear"/>
            <w:vAlign w:val="bottom"/>
          </w:tcPr>
          <w:p>
            <w:pPr>
              <w:pStyle w:val="TableContents"/>
              <w:spacing w:before="0" w:after="283"/>
              <w:jc w:val="left"/>
              <w:rPr/>
            </w:pPr>
            <w:r>
              <w:rPr/>
              <w:t> </w:t>
            </w:r>
          </w:p>
        </w:tc>
        <w:tc>
          <w:tcPr>
            <w:tcW w:w="81" w:type="dxa"/>
            <w:tcBorders/>
            <w:shd w:fill="auto" w:val="clear"/>
            <w:vAlign w:val="bottom"/>
          </w:tcPr>
          <w:p>
            <w:pPr>
              <w:pStyle w:val="TableContents"/>
              <w:spacing w:before="0" w:after="283"/>
              <w:rPr/>
            </w:pPr>
            <w:r>
              <w:rPr/>
              <w:t> </w:t>
            </w:r>
          </w:p>
        </w:tc>
        <w:tc>
          <w:tcPr>
            <w:tcW w:w="780" w:type="dxa"/>
            <w:gridSpan w:val="2"/>
            <w:tcBorders/>
            <w:shd w:fill="auto" w:val="clear"/>
            <w:vAlign w:val="bottom"/>
          </w:tcPr>
          <w:p>
            <w:pPr>
              <w:pStyle w:val="TableContents"/>
              <w:spacing w:before="0" w:after="0"/>
              <w:ind w:left="0" w:right="0" w:hanging="0"/>
              <w:jc w:val="center"/>
              <w:rPr>
                <w:rFonts w:ascii="helvetica" w:hAnsi="helvetica"/>
                <w:b/>
                <w:sz w:val="16"/>
              </w:rPr>
            </w:pPr>
            <w:r>
              <w:rPr>
                <w:rFonts w:ascii="helvetica" w:hAnsi="helvetica"/>
                <w:b/>
                <w:sz w:val="16"/>
              </w:rPr>
              <w:t>Par</w:t>
            </w:r>
          </w:p>
        </w:tc>
        <w:tc>
          <w:tcPr>
            <w:tcW w:w="99" w:type="dxa"/>
            <w:tcBorders/>
            <w:shd w:fill="auto" w:val="clear"/>
            <w:vAlign w:val="bottom"/>
          </w:tcPr>
          <w:p>
            <w:pPr>
              <w:pStyle w:val="TableContents"/>
              <w:spacing w:before="0" w:after="283"/>
              <w:jc w:val="left"/>
              <w:rPr/>
            </w:pPr>
            <w:r>
              <w:rPr/>
              <w:t> </w:t>
            </w:r>
          </w:p>
        </w:tc>
        <w:tc>
          <w:tcPr>
            <w:tcW w:w="81" w:type="dxa"/>
            <w:tcBorders/>
            <w:shd w:fill="auto" w:val="clear"/>
            <w:vAlign w:val="bottom"/>
          </w:tcPr>
          <w:p>
            <w:pPr>
              <w:pStyle w:val="TableContents"/>
              <w:spacing w:before="0" w:after="283"/>
              <w:rPr/>
            </w:pPr>
            <w:r>
              <w:rPr/>
              <w:t> </w:t>
            </w:r>
          </w:p>
        </w:tc>
        <w:tc>
          <w:tcPr>
            <w:tcW w:w="1217" w:type="dxa"/>
            <w:gridSpan w:val="2"/>
            <w:tcBorders/>
            <w:shd w:fill="auto" w:val="clear"/>
            <w:vAlign w:val="bottom"/>
          </w:tcPr>
          <w:p>
            <w:pPr>
              <w:pStyle w:val="TableContents"/>
              <w:spacing w:before="0" w:after="0"/>
              <w:ind w:left="0" w:right="0" w:hanging="0"/>
              <w:jc w:val="center"/>
              <w:rPr>
                <w:rFonts w:ascii="helvetica" w:hAnsi="helvetica"/>
                <w:b/>
                <w:sz w:val="16"/>
              </w:rPr>
            </w:pPr>
            <w:r>
              <w:rPr>
                <w:rFonts w:ascii="helvetica" w:hAnsi="helvetica"/>
                <w:b/>
                <w:sz w:val="16"/>
              </w:rPr>
              <w:t>Paid-in</w:t>
            </w:r>
          </w:p>
        </w:tc>
        <w:tc>
          <w:tcPr>
            <w:tcW w:w="99" w:type="dxa"/>
            <w:tcBorders/>
            <w:shd w:fill="auto" w:val="clear"/>
            <w:vAlign w:val="bottom"/>
          </w:tcPr>
          <w:p>
            <w:pPr>
              <w:pStyle w:val="TableContents"/>
              <w:spacing w:before="0" w:after="283"/>
              <w:jc w:val="left"/>
              <w:rPr/>
            </w:pPr>
            <w:r>
              <w:rPr/>
              <w:t> </w:t>
            </w:r>
          </w:p>
        </w:tc>
        <w:tc>
          <w:tcPr>
            <w:tcW w:w="81" w:type="dxa"/>
            <w:tcBorders/>
            <w:shd w:fill="auto" w:val="clear"/>
            <w:vAlign w:val="bottom"/>
          </w:tcPr>
          <w:p>
            <w:pPr>
              <w:pStyle w:val="TableContents"/>
              <w:spacing w:before="0" w:after="283"/>
              <w:rPr/>
            </w:pPr>
            <w:r>
              <w:rPr/>
              <w:t> </w:t>
            </w:r>
          </w:p>
        </w:tc>
        <w:tc>
          <w:tcPr>
            <w:tcW w:w="1272" w:type="dxa"/>
            <w:gridSpan w:val="2"/>
            <w:tcBorders/>
            <w:shd w:fill="auto" w:val="clear"/>
            <w:vAlign w:val="bottom"/>
          </w:tcPr>
          <w:p>
            <w:pPr>
              <w:pStyle w:val="TableContents"/>
              <w:spacing w:before="0" w:after="0"/>
              <w:ind w:left="0" w:right="0" w:hanging="0"/>
              <w:jc w:val="center"/>
              <w:rPr>
                <w:rFonts w:ascii="helvetica" w:hAnsi="helvetica"/>
                <w:b/>
                <w:sz w:val="16"/>
              </w:rPr>
            </w:pPr>
            <w:r>
              <w:rPr>
                <w:rFonts w:ascii="helvetica" w:hAnsi="helvetica"/>
                <w:b/>
                <w:sz w:val="16"/>
              </w:rPr>
              <w:t>during the</w:t>
            </w:r>
          </w:p>
        </w:tc>
        <w:tc>
          <w:tcPr>
            <w:tcW w:w="99" w:type="dxa"/>
            <w:tcBorders/>
            <w:shd w:fill="auto" w:val="clear"/>
            <w:vAlign w:val="bottom"/>
          </w:tcPr>
          <w:p>
            <w:pPr>
              <w:pStyle w:val="TableContents"/>
              <w:spacing w:before="0" w:after="283"/>
              <w:jc w:val="left"/>
              <w:rPr/>
            </w:pPr>
            <w:r>
              <w:rPr/>
              <w:t> </w:t>
            </w:r>
          </w:p>
        </w:tc>
        <w:tc>
          <w:tcPr>
            <w:tcW w:w="81" w:type="dxa"/>
            <w:tcBorders/>
            <w:shd w:fill="auto" w:val="clear"/>
            <w:vAlign w:val="bottom"/>
          </w:tcPr>
          <w:p>
            <w:pPr>
              <w:pStyle w:val="TableContents"/>
              <w:spacing w:before="0" w:after="283"/>
              <w:rPr/>
            </w:pPr>
            <w:r>
              <w:rPr/>
              <w:t> </w:t>
            </w:r>
          </w:p>
        </w:tc>
        <w:tc>
          <w:tcPr>
            <w:tcW w:w="1186" w:type="dxa"/>
            <w:gridSpan w:val="2"/>
            <w:tcBorders/>
            <w:shd w:fill="auto" w:val="clear"/>
            <w:vAlign w:val="bottom"/>
          </w:tcPr>
          <w:p>
            <w:pPr>
              <w:pStyle w:val="TableContents"/>
              <w:spacing w:before="0" w:after="0"/>
              <w:ind w:left="0" w:right="0" w:hanging="0"/>
              <w:jc w:val="center"/>
              <w:rPr>
                <w:rFonts w:ascii="helvetica" w:hAnsi="helvetica"/>
                <w:b/>
                <w:sz w:val="16"/>
              </w:rPr>
            </w:pPr>
            <w:r>
              <w:rPr>
                <w:rFonts w:ascii="helvetica" w:hAnsi="helvetica"/>
                <w:b/>
                <w:sz w:val="16"/>
              </w:rPr>
              <w:t>Stockholders'</w:t>
            </w:r>
          </w:p>
        </w:tc>
        <w:tc>
          <w:tcPr>
            <w:tcW w:w="123" w:type="dxa"/>
            <w:tcBorders/>
            <w:shd w:fill="auto" w:val="clear"/>
            <w:vAlign w:val="bottom"/>
          </w:tcPr>
          <w:p>
            <w:pPr>
              <w:pStyle w:val="TableContents"/>
              <w:spacing w:before="0" w:after="283"/>
              <w:jc w:val="left"/>
              <w:rPr/>
            </w:pPr>
            <w:r>
              <w:rPr/>
              <w:t> </w:t>
            </w:r>
          </w:p>
        </w:tc>
      </w:tr>
      <w:tr>
        <w:trPr/>
        <w:tc>
          <w:tcPr>
            <w:tcW w:w="2070" w:type="dxa"/>
            <w:tcBorders/>
            <w:shd w:fill="auto" w:val="clear"/>
            <w:vAlign w:val="bottom"/>
          </w:tcPr>
          <w:p>
            <w:pPr>
              <w:pStyle w:val="TableContents"/>
              <w:spacing w:before="0" w:after="283"/>
              <w:rPr/>
            </w:pPr>
            <w:r>
              <w:rPr/>
              <w:t xml:space="preserve">  </w:t>
            </w:r>
          </w:p>
        </w:tc>
        <w:tc>
          <w:tcPr>
            <w:tcW w:w="81" w:type="dxa"/>
            <w:tcBorders/>
            <w:shd w:fill="auto" w:val="clear"/>
            <w:vAlign w:val="bottom"/>
          </w:tcPr>
          <w:p>
            <w:pPr>
              <w:pStyle w:val="TableContents"/>
              <w:spacing w:before="0" w:after="283"/>
              <w:rPr/>
            </w:pPr>
            <w:r>
              <w:rPr/>
              <w:t> </w:t>
            </w:r>
          </w:p>
        </w:tc>
        <w:tc>
          <w:tcPr>
            <w:tcW w:w="721"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helvetica" w:hAnsi="helvetica"/>
                <w:b/>
                <w:sz w:val="16"/>
              </w:rPr>
            </w:pPr>
            <w:r>
              <w:rPr>
                <w:rFonts w:ascii="helvetica" w:hAnsi="helvetica"/>
                <w:b/>
                <w:sz w:val="16"/>
              </w:rPr>
              <w:t>Shares</w:t>
            </w:r>
          </w:p>
        </w:tc>
        <w:tc>
          <w:tcPr>
            <w:tcW w:w="92" w:type="dxa"/>
            <w:tcBorders/>
            <w:shd w:fill="auto" w:val="clear"/>
            <w:vAlign w:val="bottom"/>
          </w:tcPr>
          <w:p>
            <w:pPr>
              <w:pStyle w:val="TableContents"/>
              <w:spacing w:before="0" w:after="283"/>
              <w:jc w:val="left"/>
              <w:rPr/>
            </w:pPr>
            <w:r>
              <w:rPr/>
              <w:t> </w:t>
            </w:r>
          </w:p>
        </w:tc>
        <w:tc>
          <w:tcPr>
            <w:tcW w:w="92" w:type="dxa"/>
            <w:tcBorders/>
            <w:shd w:fill="auto" w:val="clear"/>
            <w:vAlign w:val="bottom"/>
          </w:tcPr>
          <w:p>
            <w:pPr>
              <w:pStyle w:val="TableContents"/>
              <w:spacing w:before="0" w:after="283"/>
              <w:rPr/>
            </w:pPr>
            <w:r>
              <w:rPr/>
              <w:t> </w:t>
            </w:r>
          </w:p>
        </w:tc>
        <w:tc>
          <w:tcPr>
            <w:tcW w:w="626"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helvetica" w:hAnsi="helvetica"/>
                <w:b/>
                <w:sz w:val="16"/>
              </w:rPr>
            </w:pPr>
            <w:r>
              <w:rPr>
                <w:rFonts w:ascii="helvetica" w:hAnsi="helvetica"/>
                <w:b/>
                <w:sz w:val="16"/>
              </w:rPr>
              <w:t>Value</w:t>
            </w:r>
          </w:p>
        </w:tc>
        <w:tc>
          <w:tcPr>
            <w:tcW w:w="81" w:type="dxa"/>
            <w:tcBorders/>
            <w:shd w:fill="auto" w:val="clear"/>
            <w:vAlign w:val="bottom"/>
          </w:tcPr>
          <w:p>
            <w:pPr>
              <w:pStyle w:val="TableContents"/>
              <w:spacing w:before="0" w:after="283"/>
              <w:jc w:val="left"/>
              <w:rPr/>
            </w:pPr>
            <w:r>
              <w:rPr/>
              <w:t> </w:t>
            </w:r>
          </w:p>
        </w:tc>
        <w:tc>
          <w:tcPr>
            <w:tcW w:w="81" w:type="dxa"/>
            <w:tcBorders/>
            <w:shd w:fill="auto" w:val="clear"/>
            <w:vAlign w:val="bottom"/>
          </w:tcPr>
          <w:p>
            <w:pPr>
              <w:pStyle w:val="TableContents"/>
              <w:spacing w:before="0" w:after="283"/>
              <w:rPr/>
            </w:pPr>
            <w:r>
              <w:rPr/>
              <w:t> </w:t>
            </w:r>
          </w:p>
        </w:tc>
        <w:tc>
          <w:tcPr>
            <w:tcW w:w="1063"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helvetica" w:hAnsi="helvetica"/>
                <w:b/>
                <w:sz w:val="16"/>
              </w:rPr>
            </w:pPr>
            <w:r>
              <w:rPr>
                <w:rFonts w:ascii="helvetica" w:hAnsi="helvetica"/>
                <w:b/>
                <w:sz w:val="16"/>
              </w:rPr>
              <w:t>Shares</w:t>
            </w:r>
          </w:p>
        </w:tc>
        <w:tc>
          <w:tcPr>
            <w:tcW w:w="99" w:type="dxa"/>
            <w:tcBorders/>
            <w:shd w:fill="auto" w:val="clear"/>
            <w:vAlign w:val="bottom"/>
          </w:tcPr>
          <w:p>
            <w:pPr>
              <w:pStyle w:val="TableContents"/>
              <w:spacing w:before="0" w:after="283"/>
              <w:jc w:val="left"/>
              <w:rPr/>
            </w:pPr>
            <w:r>
              <w:rPr/>
              <w:t> </w:t>
            </w:r>
          </w:p>
        </w:tc>
        <w:tc>
          <w:tcPr>
            <w:tcW w:w="81" w:type="dxa"/>
            <w:tcBorders/>
            <w:shd w:fill="auto" w:val="clear"/>
            <w:vAlign w:val="bottom"/>
          </w:tcPr>
          <w:p>
            <w:pPr>
              <w:pStyle w:val="TableContents"/>
              <w:spacing w:before="0" w:after="283"/>
              <w:rPr/>
            </w:pPr>
            <w:r>
              <w:rPr/>
              <w:t> </w:t>
            </w:r>
          </w:p>
        </w:tc>
        <w:tc>
          <w:tcPr>
            <w:tcW w:w="780"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helvetica" w:hAnsi="helvetica"/>
                <w:b/>
                <w:sz w:val="16"/>
              </w:rPr>
            </w:pPr>
            <w:r>
              <w:rPr>
                <w:rFonts w:ascii="helvetica" w:hAnsi="helvetica"/>
                <w:b/>
                <w:sz w:val="16"/>
              </w:rPr>
              <w:t>Value</w:t>
            </w:r>
          </w:p>
        </w:tc>
        <w:tc>
          <w:tcPr>
            <w:tcW w:w="99" w:type="dxa"/>
            <w:tcBorders/>
            <w:shd w:fill="auto" w:val="clear"/>
            <w:vAlign w:val="bottom"/>
          </w:tcPr>
          <w:p>
            <w:pPr>
              <w:pStyle w:val="TableContents"/>
              <w:spacing w:before="0" w:after="283"/>
              <w:jc w:val="left"/>
              <w:rPr/>
            </w:pPr>
            <w:r>
              <w:rPr/>
              <w:t> </w:t>
            </w:r>
          </w:p>
        </w:tc>
        <w:tc>
          <w:tcPr>
            <w:tcW w:w="81" w:type="dxa"/>
            <w:tcBorders/>
            <w:shd w:fill="auto" w:val="clear"/>
            <w:vAlign w:val="bottom"/>
          </w:tcPr>
          <w:p>
            <w:pPr>
              <w:pStyle w:val="TableContents"/>
              <w:spacing w:before="0" w:after="283"/>
              <w:rPr/>
            </w:pPr>
            <w:r>
              <w:rPr/>
              <w:t> </w:t>
            </w:r>
          </w:p>
        </w:tc>
        <w:tc>
          <w:tcPr>
            <w:tcW w:w="1217"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helvetica" w:hAnsi="helvetica"/>
                <w:b/>
                <w:sz w:val="16"/>
              </w:rPr>
            </w:pPr>
            <w:r>
              <w:rPr>
                <w:rFonts w:ascii="helvetica" w:hAnsi="helvetica"/>
                <w:b/>
                <w:sz w:val="16"/>
              </w:rPr>
              <w:t>Capital</w:t>
            </w:r>
          </w:p>
        </w:tc>
        <w:tc>
          <w:tcPr>
            <w:tcW w:w="99" w:type="dxa"/>
            <w:tcBorders/>
            <w:shd w:fill="auto" w:val="clear"/>
            <w:vAlign w:val="bottom"/>
          </w:tcPr>
          <w:p>
            <w:pPr>
              <w:pStyle w:val="TableContents"/>
              <w:spacing w:before="0" w:after="283"/>
              <w:jc w:val="left"/>
              <w:rPr/>
            </w:pPr>
            <w:r>
              <w:rPr/>
              <w:t> </w:t>
            </w:r>
          </w:p>
        </w:tc>
        <w:tc>
          <w:tcPr>
            <w:tcW w:w="81" w:type="dxa"/>
            <w:tcBorders/>
            <w:shd w:fill="auto" w:val="clear"/>
            <w:vAlign w:val="bottom"/>
          </w:tcPr>
          <w:p>
            <w:pPr>
              <w:pStyle w:val="TableContents"/>
              <w:spacing w:before="0" w:after="283"/>
              <w:rPr/>
            </w:pPr>
            <w:r>
              <w:rPr/>
              <w:t> </w:t>
            </w:r>
          </w:p>
        </w:tc>
        <w:tc>
          <w:tcPr>
            <w:tcW w:w="1272"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helvetica" w:hAnsi="helvetica"/>
                <w:b/>
                <w:sz w:val="16"/>
              </w:rPr>
            </w:pPr>
            <w:r>
              <w:rPr>
                <w:rFonts w:ascii="helvetica" w:hAnsi="helvetica"/>
                <w:b/>
                <w:sz w:val="16"/>
              </w:rPr>
              <w:t>development stage</w:t>
            </w:r>
          </w:p>
        </w:tc>
        <w:tc>
          <w:tcPr>
            <w:tcW w:w="99" w:type="dxa"/>
            <w:tcBorders/>
            <w:shd w:fill="auto" w:val="clear"/>
            <w:vAlign w:val="bottom"/>
          </w:tcPr>
          <w:p>
            <w:pPr>
              <w:pStyle w:val="TableContents"/>
              <w:spacing w:before="0" w:after="283"/>
              <w:jc w:val="left"/>
              <w:rPr/>
            </w:pPr>
            <w:r>
              <w:rPr/>
              <w:t> </w:t>
            </w:r>
          </w:p>
        </w:tc>
        <w:tc>
          <w:tcPr>
            <w:tcW w:w="81" w:type="dxa"/>
            <w:tcBorders/>
            <w:shd w:fill="auto" w:val="clear"/>
            <w:vAlign w:val="bottom"/>
          </w:tcPr>
          <w:p>
            <w:pPr>
              <w:pStyle w:val="TableContents"/>
              <w:spacing w:before="0" w:after="283"/>
              <w:rPr/>
            </w:pPr>
            <w:r>
              <w:rPr/>
              <w:t> </w:t>
            </w:r>
          </w:p>
        </w:tc>
        <w:tc>
          <w:tcPr>
            <w:tcW w:w="1186"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helvetica" w:hAnsi="helvetica"/>
                <w:b/>
                <w:sz w:val="16"/>
              </w:rPr>
            </w:pPr>
            <w:r>
              <w:rPr>
                <w:rFonts w:ascii="helvetica" w:hAnsi="helvetica"/>
                <w:b/>
                <w:sz w:val="16"/>
              </w:rPr>
              <w:t>Equity (Deficit)</w:t>
            </w:r>
          </w:p>
        </w:tc>
        <w:tc>
          <w:tcPr>
            <w:tcW w:w="123" w:type="dxa"/>
            <w:tcBorders/>
            <w:shd w:fill="auto" w:val="clear"/>
            <w:vAlign w:val="bottom"/>
          </w:tcPr>
          <w:p>
            <w:pPr>
              <w:pStyle w:val="TableContents"/>
              <w:spacing w:before="0" w:after="283"/>
              <w:jc w:val="left"/>
              <w:rPr/>
            </w:pPr>
            <w:r>
              <w:rPr/>
              <w:t> </w:t>
            </w:r>
          </w:p>
        </w:tc>
      </w:tr>
      <w:tr>
        <w:trPr/>
        <w:tc>
          <w:tcPr>
            <w:tcW w:w="2070" w:type="dxa"/>
            <w:tcBorders/>
            <w:shd w:fill="CCEEFF" w:val="clear"/>
            <w:vAlign w:val="bottom"/>
          </w:tcPr>
          <w:p>
            <w:pPr>
              <w:pStyle w:val="TableContents"/>
              <w:spacing w:before="0" w:after="0"/>
              <w:ind w:left="0" w:right="0" w:hanging="0"/>
              <w:jc w:val="left"/>
              <w:rPr>
                <w:rFonts w:ascii="helvetica" w:hAnsi="helvetica"/>
                <w:sz w:val="20"/>
              </w:rPr>
            </w:pPr>
            <w:r>
              <w:rPr>
                <w:rFonts w:ascii="helvetica" w:hAnsi="helvetica"/>
                <w:sz w:val="20"/>
              </w:rPr>
              <w:t>Balance at June 24, 1998 (Inception)</w:t>
            </w:r>
          </w:p>
        </w:tc>
        <w:tc>
          <w:tcPr>
            <w:tcW w:w="81" w:type="dxa"/>
            <w:tcBorders/>
            <w:shd w:fill="CCEEFF" w:val="clear"/>
            <w:vAlign w:val="bottom"/>
          </w:tcPr>
          <w:p>
            <w:pPr>
              <w:pStyle w:val="TableContents"/>
              <w:spacing w:before="0" w:after="283"/>
              <w:rPr/>
            </w:pPr>
            <w:r>
              <w:rPr/>
              <w:t> </w:t>
            </w:r>
          </w:p>
        </w:tc>
        <w:tc>
          <w:tcPr>
            <w:tcW w:w="135" w:type="dxa"/>
            <w:tcBorders/>
            <w:shd w:fill="CCEEFF" w:val="clear"/>
            <w:vAlign w:val="bottom"/>
          </w:tcPr>
          <w:p>
            <w:pPr>
              <w:pStyle w:val="TableContents"/>
              <w:spacing w:before="0" w:after="283"/>
              <w:jc w:val="left"/>
              <w:rPr/>
            </w:pPr>
            <w:r>
              <w:rPr/>
              <w:t> </w:t>
            </w:r>
          </w:p>
        </w:tc>
        <w:tc>
          <w:tcPr>
            <w:tcW w:w="586"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w:t>
            </w:r>
          </w:p>
        </w:tc>
        <w:tc>
          <w:tcPr>
            <w:tcW w:w="92" w:type="dxa"/>
            <w:tcBorders/>
            <w:shd w:fill="CCEEFF" w:val="clear"/>
            <w:vAlign w:val="bottom"/>
          </w:tcPr>
          <w:p>
            <w:pPr>
              <w:pStyle w:val="TableContents"/>
              <w:spacing w:before="0" w:after="283"/>
              <w:jc w:val="left"/>
              <w:rPr/>
            </w:pPr>
            <w:r>
              <w:rPr/>
              <w:t> </w:t>
            </w:r>
          </w:p>
        </w:tc>
        <w:tc>
          <w:tcPr>
            <w:tcW w:w="92" w:type="dxa"/>
            <w:tcBorders/>
            <w:shd w:fill="CCEEFF" w:val="clear"/>
            <w:vAlign w:val="bottom"/>
          </w:tcPr>
          <w:p>
            <w:pPr>
              <w:pStyle w:val="TableContents"/>
              <w:spacing w:before="0" w:after="283"/>
              <w:rPr/>
            </w:pPr>
            <w:r>
              <w:rPr/>
              <w:t> </w:t>
            </w:r>
          </w:p>
        </w:tc>
        <w:tc>
          <w:tcPr>
            <w:tcW w:w="292" w:type="dxa"/>
            <w:tcBorders/>
            <w:shd w:fill="CCEEFF" w:val="clear"/>
            <w:vAlign w:val="bottom"/>
          </w:tcPr>
          <w:p>
            <w:pPr>
              <w:pStyle w:val="TableContents"/>
              <w:spacing w:before="0" w:after="283"/>
              <w:jc w:val="left"/>
              <w:rPr>
                <w:rFonts w:ascii="helvetica" w:hAnsi="helvetica"/>
                <w:sz w:val="20"/>
              </w:rPr>
            </w:pPr>
            <w:r>
              <w:rPr>
                <w:rFonts w:ascii="helvetica" w:hAnsi="helvetica"/>
                <w:sz w:val="20"/>
              </w:rPr>
              <w:t>$</w:t>
            </w:r>
          </w:p>
        </w:tc>
        <w:tc>
          <w:tcPr>
            <w:tcW w:w="334"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w:t>
            </w:r>
          </w:p>
        </w:tc>
        <w:tc>
          <w:tcPr>
            <w:tcW w:w="81"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81" w:type="dxa"/>
            <w:tcBorders/>
            <w:shd w:fill="CCEEFF" w:val="clear"/>
            <w:vAlign w:val="bottom"/>
          </w:tcPr>
          <w:p>
            <w:pPr>
              <w:pStyle w:val="TableContents"/>
              <w:spacing w:before="0" w:after="283"/>
              <w:jc w:val="left"/>
              <w:rPr/>
            </w:pPr>
            <w:r>
              <w:rPr/>
              <w:t> </w:t>
            </w:r>
          </w:p>
        </w:tc>
        <w:tc>
          <w:tcPr>
            <w:tcW w:w="982"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w:t>
            </w:r>
          </w:p>
        </w:tc>
        <w:tc>
          <w:tcPr>
            <w:tcW w:w="99"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139" w:type="dxa"/>
            <w:tcBorders/>
            <w:shd w:fill="CCEEFF" w:val="clear"/>
            <w:vAlign w:val="bottom"/>
          </w:tcPr>
          <w:p>
            <w:pPr>
              <w:pStyle w:val="TableContents"/>
              <w:spacing w:before="0" w:after="283"/>
              <w:jc w:val="left"/>
              <w:rPr>
                <w:rFonts w:ascii="helvetica" w:hAnsi="helvetica"/>
                <w:sz w:val="20"/>
              </w:rPr>
            </w:pPr>
            <w:r>
              <w:rPr>
                <w:rFonts w:ascii="helvetica" w:hAnsi="helvetica"/>
                <w:sz w:val="20"/>
              </w:rPr>
              <w:t>$</w:t>
            </w:r>
          </w:p>
        </w:tc>
        <w:tc>
          <w:tcPr>
            <w:tcW w:w="641"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w:t>
            </w:r>
          </w:p>
        </w:tc>
        <w:tc>
          <w:tcPr>
            <w:tcW w:w="99"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jc w:val="left"/>
              <w:rPr>
                <w:rFonts w:ascii="helvetica" w:hAnsi="helvetica"/>
                <w:sz w:val="20"/>
              </w:rPr>
            </w:pPr>
            <w:r>
              <w:rPr>
                <w:rFonts w:ascii="helvetica" w:hAnsi="helvetica"/>
                <w:sz w:val="20"/>
              </w:rPr>
              <w:t>$</w:t>
            </w:r>
          </w:p>
        </w:tc>
        <w:tc>
          <w:tcPr>
            <w:tcW w:w="1077"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w:t>
            </w:r>
          </w:p>
        </w:tc>
        <w:tc>
          <w:tcPr>
            <w:tcW w:w="99"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jc w:val="left"/>
              <w:rPr>
                <w:rFonts w:ascii="helvetica" w:hAnsi="helvetica"/>
                <w:sz w:val="20"/>
              </w:rPr>
            </w:pPr>
            <w:r>
              <w:rPr>
                <w:rFonts w:ascii="helvetica" w:hAnsi="helvetica"/>
                <w:sz w:val="20"/>
              </w:rPr>
              <w:t>$</w:t>
            </w:r>
          </w:p>
        </w:tc>
        <w:tc>
          <w:tcPr>
            <w:tcW w:w="1132"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w:t>
            </w:r>
          </w:p>
        </w:tc>
        <w:tc>
          <w:tcPr>
            <w:tcW w:w="99"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141" w:type="dxa"/>
            <w:tcBorders/>
            <w:shd w:fill="CCEEFF" w:val="clear"/>
            <w:vAlign w:val="bottom"/>
          </w:tcPr>
          <w:p>
            <w:pPr>
              <w:pStyle w:val="TableContents"/>
              <w:spacing w:before="0" w:after="283"/>
              <w:jc w:val="left"/>
              <w:rPr>
                <w:rFonts w:ascii="helvetica" w:hAnsi="helvetica"/>
                <w:sz w:val="20"/>
              </w:rPr>
            </w:pPr>
            <w:r>
              <w:rPr>
                <w:rFonts w:ascii="helvetica" w:hAnsi="helvetica"/>
                <w:sz w:val="20"/>
              </w:rPr>
              <w:t>$</w:t>
            </w:r>
          </w:p>
        </w:tc>
        <w:tc>
          <w:tcPr>
            <w:tcW w:w="1045"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w:t>
            </w:r>
          </w:p>
        </w:tc>
        <w:tc>
          <w:tcPr>
            <w:tcW w:w="123" w:type="dxa"/>
            <w:tcBorders/>
            <w:shd w:fill="CCEEFF" w:val="clear"/>
            <w:vAlign w:val="bottom"/>
          </w:tcPr>
          <w:p>
            <w:pPr>
              <w:pStyle w:val="TableContents"/>
              <w:spacing w:before="0" w:after="283"/>
              <w:jc w:val="left"/>
              <w:rPr/>
            </w:pPr>
            <w:r>
              <w:rPr/>
              <w:t> </w:t>
            </w:r>
          </w:p>
        </w:tc>
      </w:tr>
      <w:tr>
        <w:trPr/>
        <w:tc>
          <w:tcPr>
            <w:tcW w:w="2070" w:type="dxa"/>
            <w:tcBorders/>
            <w:shd w:fill="FFFFFF" w:val="clear"/>
            <w:vAlign w:val="bottom"/>
          </w:tcPr>
          <w:p>
            <w:pPr>
              <w:pStyle w:val="TableContents"/>
              <w:spacing w:before="0" w:after="0"/>
              <w:ind w:left="0" w:right="0" w:hanging="0"/>
              <w:jc w:val="left"/>
              <w:rPr/>
            </w:pPr>
            <w:r>
              <w:rPr/>
              <w:t> </w:t>
            </w:r>
            <w:r>
              <w:rPr>
                <w:rFonts w:ascii="helvetica" w:hAnsi="helvetica"/>
                <w:sz w:val="20"/>
              </w:rPr>
              <w:t>Estimated fair value of services contributed by</w:t>
            </w:r>
          </w:p>
        </w:tc>
        <w:tc>
          <w:tcPr>
            <w:tcW w:w="81" w:type="dxa"/>
            <w:tcBorders/>
            <w:shd w:fill="FFFFFF" w:val="clear"/>
            <w:vAlign w:val="bottom"/>
          </w:tcPr>
          <w:p>
            <w:pPr>
              <w:pStyle w:val="TableContents"/>
              <w:spacing w:before="0" w:after="283"/>
              <w:rPr/>
            </w:pPr>
            <w:r>
              <w:rPr/>
              <w:t> </w:t>
            </w:r>
          </w:p>
        </w:tc>
        <w:tc>
          <w:tcPr>
            <w:tcW w:w="135" w:type="dxa"/>
            <w:tcBorders/>
            <w:shd w:fill="FFFFFF" w:val="clear"/>
            <w:vAlign w:val="bottom"/>
          </w:tcPr>
          <w:p>
            <w:pPr>
              <w:pStyle w:val="TableContents"/>
              <w:spacing w:before="0" w:after="283"/>
              <w:jc w:val="left"/>
              <w:rPr/>
            </w:pPr>
            <w:r>
              <w:rPr/>
              <w:t> </w:t>
            </w:r>
          </w:p>
        </w:tc>
        <w:tc>
          <w:tcPr>
            <w:tcW w:w="586" w:type="dxa"/>
            <w:tcBorders/>
            <w:shd w:fill="FFFFFF" w:val="clear"/>
            <w:vAlign w:val="bottom"/>
          </w:tcPr>
          <w:p>
            <w:pPr>
              <w:pStyle w:val="TableContents"/>
              <w:spacing w:before="0" w:after="283"/>
              <w:jc w:val="right"/>
              <w:rPr/>
            </w:pPr>
            <w:r>
              <w:rPr/>
              <w:t> </w:t>
            </w:r>
          </w:p>
        </w:tc>
        <w:tc>
          <w:tcPr>
            <w:tcW w:w="92" w:type="dxa"/>
            <w:tcBorders/>
            <w:shd w:fill="FFFFFF" w:val="clear"/>
            <w:vAlign w:val="bottom"/>
          </w:tcPr>
          <w:p>
            <w:pPr>
              <w:pStyle w:val="TableContents"/>
              <w:spacing w:before="0" w:after="283"/>
              <w:jc w:val="left"/>
              <w:rPr/>
            </w:pPr>
            <w:r>
              <w:rPr/>
              <w:t> </w:t>
            </w:r>
          </w:p>
        </w:tc>
        <w:tc>
          <w:tcPr>
            <w:tcW w:w="92" w:type="dxa"/>
            <w:tcBorders/>
            <w:shd w:fill="FFFFFF" w:val="clear"/>
            <w:vAlign w:val="bottom"/>
          </w:tcPr>
          <w:p>
            <w:pPr>
              <w:pStyle w:val="TableContents"/>
              <w:spacing w:before="0" w:after="283"/>
              <w:rPr/>
            </w:pPr>
            <w:r>
              <w:rPr/>
              <w:t> </w:t>
            </w:r>
          </w:p>
        </w:tc>
        <w:tc>
          <w:tcPr>
            <w:tcW w:w="292" w:type="dxa"/>
            <w:tcBorders/>
            <w:shd w:fill="FFFFFF" w:val="clear"/>
            <w:vAlign w:val="bottom"/>
          </w:tcPr>
          <w:p>
            <w:pPr>
              <w:pStyle w:val="TableContents"/>
              <w:spacing w:before="0" w:after="283"/>
              <w:jc w:val="left"/>
              <w:rPr/>
            </w:pPr>
            <w:r>
              <w:rPr/>
              <w:t> </w:t>
            </w:r>
          </w:p>
        </w:tc>
        <w:tc>
          <w:tcPr>
            <w:tcW w:w="334" w:type="dxa"/>
            <w:tcBorders/>
            <w:shd w:fill="FFFFFF" w:val="clear"/>
            <w:vAlign w:val="bottom"/>
          </w:tcPr>
          <w:p>
            <w:pPr>
              <w:pStyle w:val="TableContents"/>
              <w:spacing w:before="0" w:after="283"/>
              <w:jc w:val="right"/>
              <w:rPr/>
            </w:pPr>
            <w:r>
              <w:rPr/>
              <w:t> </w:t>
            </w:r>
          </w:p>
        </w:tc>
        <w:tc>
          <w:tcPr>
            <w:tcW w:w="81"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81" w:type="dxa"/>
            <w:tcBorders/>
            <w:shd w:fill="FFFFFF" w:val="clear"/>
            <w:vAlign w:val="bottom"/>
          </w:tcPr>
          <w:p>
            <w:pPr>
              <w:pStyle w:val="TableContents"/>
              <w:spacing w:before="0" w:after="283"/>
              <w:jc w:val="left"/>
              <w:rPr/>
            </w:pPr>
            <w:r>
              <w:rPr/>
              <w:t> </w:t>
            </w:r>
          </w:p>
        </w:tc>
        <w:tc>
          <w:tcPr>
            <w:tcW w:w="982" w:type="dxa"/>
            <w:tcBorders/>
            <w:shd w:fill="FFFFFF" w:val="clear"/>
            <w:vAlign w:val="bottom"/>
          </w:tcPr>
          <w:p>
            <w:pPr>
              <w:pStyle w:val="TableContents"/>
              <w:spacing w:before="0" w:after="283"/>
              <w:jc w:val="right"/>
              <w:rPr/>
            </w:pPr>
            <w:r>
              <w:rPr/>
              <w:t> </w:t>
            </w:r>
          </w:p>
        </w:tc>
        <w:tc>
          <w:tcPr>
            <w:tcW w:w="99"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139" w:type="dxa"/>
            <w:tcBorders/>
            <w:shd w:fill="FFFFFF" w:val="clear"/>
            <w:vAlign w:val="bottom"/>
          </w:tcPr>
          <w:p>
            <w:pPr>
              <w:pStyle w:val="TableContents"/>
              <w:spacing w:before="0" w:after="283"/>
              <w:jc w:val="left"/>
              <w:rPr/>
            </w:pPr>
            <w:r>
              <w:rPr/>
              <w:t> </w:t>
            </w:r>
          </w:p>
        </w:tc>
        <w:tc>
          <w:tcPr>
            <w:tcW w:w="641" w:type="dxa"/>
            <w:tcBorders/>
            <w:shd w:fill="FFFFFF" w:val="clear"/>
            <w:vAlign w:val="bottom"/>
          </w:tcPr>
          <w:p>
            <w:pPr>
              <w:pStyle w:val="TableContents"/>
              <w:spacing w:before="0" w:after="283"/>
              <w:jc w:val="right"/>
              <w:rPr/>
            </w:pPr>
            <w:r>
              <w:rPr/>
              <w:t> </w:t>
            </w:r>
          </w:p>
        </w:tc>
        <w:tc>
          <w:tcPr>
            <w:tcW w:w="99"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283"/>
              <w:jc w:val="left"/>
              <w:rPr/>
            </w:pPr>
            <w:r>
              <w:rPr/>
              <w:t> </w:t>
            </w:r>
          </w:p>
        </w:tc>
        <w:tc>
          <w:tcPr>
            <w:tcW w:w="1077" w:type="dxa"/>
            <w:tcBorders/>
            <w:shd w:fill="FFFFFF" w:val="clear"/>
            <w:vAlign w:val="bottom"/>
          </w:tcPr>
          <w:p>
            <w:pPr>
              <w:pStyle w:val="TableContents"/>
              <w:spacing w:before="0" w:after="283"/>
              <w:jc w:val="right"/>
              <w:rPr/>
            </w:pPr>
            <w:r>
              <w:rPr/>
              <w:t> </w:t>
            </w:r>
          </w:p>
        </w:tc>
        <w:tc>
          <w:tcPr>
            <w:tcW w:w="99"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283"/>
              <w:jc w:val="left"/>
              <w:rPr/>
            </w:pPr>
            <w:r>
              <w:rPr/>
              <w:t> </w:t>
            </w:r>
          </w:p>
        </w:tc>
        <w:tc>
          <w:tcPr>
            <w:tcW w:w="1132" w:type="dxa"/>
            <w:tcBorders/>
            <w:shd w:fill="FFFFFF" w:val="clear"/>
            <w:vAlign w:val="bottom"/>
          </w:tcPr>
          <w:p>
            <w:pPr>
              <w:pStyle w:val="TableContents"/>
              <w:spacing w:before="0" w:after="283"/>
              <w:jc w:val="right"/>
              <w:rPr/>
            </w:pPr>
            <w:r>
              <w:rPr/>
              <w:t> </w:t>
            </w:r>
          </w:p>
        </w:tc>
        <w:tc>
          <w:tcPr>
            <w:tcW w:w="99"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141" w:type="dxa"/>
            <w:tcBorders/>
            <w:shd w:fill="FFFFFF" w:val="clear"/>
            <w:vAlign w:val="bottom"/>
          </w:tcPr>
          <w:p>
            <w:pPr>
              <w:pStyle w:val="TableContents"/>
              <w:spacing w:before="0" w:after="283"/>
              <w:jc w:val="left"/>
              <w:rPr/>
            </w:pPr>
            <w:r>
              <w:rPr/>
              <w:t> </w:t>
            </w:r>
          </w:p>
        </w:tc>
        <w:tc>
          <w:tcPr>
            <w:tcW w:w="1045" w:type="dxa"/>
            <w:tcBorders/>
            <w:shd w:fill="FFFFFF" w:val="clear"/>
            <w:vAlign w:val="bottom"/>
          </w:tcPr>
          <w:p>
            <w:pPr>
              <w:pStyle w:val="TableContents"/>
              <w:spacing w:before="0" w:after="283"/>
              <w:jc w:val="right"/>
              <w:rPr/>
            </w:pPr>
            <w:r>
              <w:rPr/>
              <w:t> </w:t>
            </w:r>
          </w:p>
        </w:tc>
        <w:tc>
          <w:tcPr>
            <w:tcW w:w="123" w:type="dxa"/>
            <w:tcBorders/>
            <w:shd w:fill="FFFFFF" w:val="clear"/>
            <w:vAlign w:val="bottom"/>
          </w:tcPr>
          <w:p>
            <w:pPr>
              <w:pStyle w:val="TableContents"/>
              <w:spacing w:before="0" w:after="283"/>
              <w:jc w:val="left"/>
              <w:rPr/>
            </w:pPr>
            <w:r>
              <w:rPr/>
              <w:t> </w:t>
            </w:r>
          </w:p>
        </w:tc>
      </w:tr>
      <w:tr>
        <w:trPr/>
        <w:tc>
          <w:tcPr>
            <w:tcW w:w="2070" w:type="dxa"/>
            <w:tcBorders/>
            <w:shd w:fill="CCEEFF" w:val="clear"/>
            <w:vAlign w:val="bottom"/>
          </w:tcPr>
          <w:p>
            <w:pPr>
              <w:pStyle w:val="TableContents"/>
              <w:spacing w:before="0" w:after="0"/>
              <w:ind w:left="0" w:right="0" w:hanging="0"/>
              <w:jc w:val="left"/>
              <w:rPr/>
            </w:pPr>
            <w:r>
              <w:rPr/>
              <w:t>   </w:t>
            </w:r>
            <w:r>
              <w:rPr>
                <w:rFonts w:ascii="helvetica" w:hAnsi="helvetica"/>
                <w:sz w:val="20"/>
              </w:rPr>
              <w:t>stockholders</w:t>
            </w:r>
          </w:p>
        </w:tc>
        <w:tc>
          <w:tcPr>
            <w:tcW w:w="81" w:type="dxa"/>
            <w:tcBorders/>
            <w:shd w:fill="CCEEFF" w:val="clear"/>
            <w:vAlign w:val="bottom"/>
          </w:tcPr>
          <w:p>
            <w:pPr>
              <w:pStyle w:val="TableContents"/>
              <w:spacing w:before="0" w:after="283"/>
              <w:rPr/>
            </w:pPr>
            <w:r>
              <w:rPr/>
              <w:t> </w:t>
            </w:r>
          </w:p>
        </w:tc>
        <w:tc>
          <w:tcPr>
            <w:tcW w:w="135" w:type="dxa"/>
            <w:tcBorders/>
            <w:shd w:fill="CCEEFF" w:val="clear"/>
            <w:vAlign w:val="bottom"/>
          </w:tcPr>
          <w:p>
            <w:pPr>
              <w:pStyle w:val="TableContents"/>
              <w:spacing w:before="0" w:after="283"/>
              <w:jc w:val="left"/>
              <w:rPr/>
            </w:pPr>
            <w:r>
              <w:rPr/>
              <w:t> </w:t>
            </w:r>
          </w:p>
        </w:tc>
        <w:tc>
          <w:tcPr>
            <w:tcW w:w="586"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w:t>
            </w:r>
          </w:p>
        </w:tc>
        <w:tc>
          <w:tcPr>
            <w:tcW w:w="92" w:type="dxa"/>
            <w:tcBorders/>
            <w:shd w:fill="CCEEFF" w:val="clear"/>
            <w:vAlign w:val="bottom"/>
          </w:tcPr>
          <w:p>
            <w:pPr>
              <w:pStyle w:val="TableContents"/>
              <w:spacing w:before="0" w:after="283"/>
              <w:jc w:val="left"/>
              <w:rPr/>
            </w:pPr>
            <w:r>
              <w:rPr/>
              <w:t> </w:t>
            </w:r>
          </w:p>
        </w:tc>
        <w:tc>
          <w:tcPr>
            <w:tcW w:w="92" w:type="dxa"/>
            <w:tcBorders/>
            <w:shd w:fill="CCEEFF" w:val="clear"/>
            <w:vAlign w:val="bottom"/>
          </w:tcPr>
          <w:p>
            <w:pPr>
              <w:pStyle w:val="TableContents"/>
              <w:spacing w:before="0" w:after="283"/>
              <w:rPr/>
            </w:pPr>
            <w:r>
              <w:rPr/>
              <w:t> </w:t>
            </w:r>
          </w:p>
        </w:tc>
        <w:tc>
          <w:tcPr>
            <w:tcW w:w="292" w:type="dxa"/>
            <w:tcBorders/>
            <w:shd w:fill="CCEEFF" w:val="clear"/>
            <w:vAlign w:val="bottom"/>
          </w:tcPr>
          <w:p>
            <w:pPr>
              <w:pStyle w:val="TableContents"/>
              <w:spacing w:before="0" w:after="283"/>
              <w:jc w:val="left"/>
              <w:rPr/>
            </w:pPr>
            <w:r>
              <w:rPr/>
              <w:t> </w:t>
            </w:r>
          </w:p>
        </w:tc>
        <w:tc>
          <w:tcPr>
            <w:tcW w:w="334"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w:t>
            </w:r>
          </w:p>
        </w:tc>
        <w:tc>
          <w:tcPr>
            <w:tcW w:w="81"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81" w:type="dxa"/>
            <w:tcBorders/>
            <w:shd w:fill="CCEEFF" w:val="clear"/>
            <w:vAlign w:val="bottom"/>
          </w:tcPr>
          <w:p>
            <w:pPr>
              <w:pStyle w:val="TableContents"/>
              <w:spacing w:before="0" w:after="283"/>
              <w:jc w:val="left"/>
              <w:rPr/>
            </w:pPr>
            <w:r>
              <w:rPr/>
              <w:t> </w:t>
            </w:r>
          </w:p>
        </w:tc>
        <w:tc>
          <w:tcPr>
            <w:tcW w:w="982"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w:t>
            </w:r>
          </w:p>
        </w:tc>
        <w:tc>
          <w:tcPr>
            <w:tcW w:w="99"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139" w:type="dxa"/>
            <w:tcBorders/>
            <w:shd w:fill="CCEEFF" w:val="clear"/>
            <w:vAlign w:val="bottom"/>
          </w:tcPr>
          <w:p>
            <w:pPr>
              <w:pStyle w:val="TableContents"/>
              <w:spacing w:before="0" w:after="283"/>
              <w:jc w:val="left"/>
              <w:rPr/>
            </w:pPr>
            <w:r>
              <w:rPr/>
              <w:t> </w:t>
            </w:r>
          </w:p>
        </w:tc>
        <w:tc>
          <w:tcPr>
            <w:tcW w:w="641"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w:t>
            </w:r>
          </w:p>
        </w:tc>
        <w:tc>
          <w:tcPr>
            <w:tcW w:w="99"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jc w:val="left"/>
              <w:rPr/>
            </w:pPr>
            <w:r>
              <w:rPr/>
              <w:t> </w:t>
            </w:r>
          </w:p>
        </w:tc>
        <w:tc>
          <w:tcPr>
            <w:tcW w:w="1077"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100,000</w:t>
            </w:r>
          </w:p>
        </w:tc>
        <w:tc>
          <w:tcPr>
            <w:tcW w:w="99"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jc w:val="left"/>
              <w:rPr/>
            </w:pPr>
            <w:r>
              <w:rPr/>
              <w:t> </w:t>
            </w:r>
          </w:p>
        </w:tc>
        <w:tc>
          <w:tcPr>
            <w:tcW w:w="1132"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w:t>
            </w:r>
          </w:p>
        </w:tc>
        <w:tc>
          <w:tcPr>
            <w:tcW w:w="99"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141" w:type="dxa"/>
            <w:tcBorders/>
            <w:shd w:fill="CCEEFF" w:val="clear"/>
            <w:vAlign w:val="bottom"/>
          </w:tcPr>
          <w:p>
            <w:pPr>
              <w:pStyle w:val="TableContents"/>
              <w:spacing w:before="0" w:after="283"/>
              <w:jc w:val="left"/>
              <w:rPr/>
            </w:pPr>
            <w:r>
              <w:rPr/>
              <w:t> </w:t>
            </w:r>
          </w:p>
        </w:tc>
        <w:tc>
          <w:tcPr>
            <w:tcW w:w="1045"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100,000</w:t>
            </w:r>
          </w:p>
        </w:tc>
        <w:tc>
          <w:tcPr>
            <w:tcW w:w="123" w:type="dxa"/>
            <w:tcBorders/>
            <w:shd w:fill="CCEEFF" w:val="clear"/>
            <w:vAlign w:val="bottom"/>
          </w:tcPr>
          <w:p>
            <w:pPr>
              <w:pStyle w:val="TableContents"/>
              <w:spacing w:before="0" w:after="283"/>
              <w:jc w:val="left"/>
              <w:rPr/>
            </w:pPr>
            <w:r>
              <w:rPr/>
              <w:t> </w:t>
            </w:r>
          </w:p>
        </w:tc>
      </w:tr>
      <w:tr>
        <w:trPr/>
        <w:tc>
          <w:tcPr>
            <w:tcW w:w="2070" w:type="dxa"/>
            <w:tcBorders/>
            <w:shd w:fill="FFFFFF" w:val="clear"/>
            <w:vAlign w:val="bottom"/>
          </w:tcPr>
          <w:p>
            <w:pPr>
              <w:pStyle w:val="TableContents"/>
              <w:spacing w:before="0" w:after="0"/>
              <w:ind w:left="0" w:right="0" w:hanging="0"/>
              <w:jc w:val="left"/>
              <w:rPr/>
            </w:pPr>
            <w:r>
              <w:rPr/>
              <w:t> </w:t>
            </w:r>
            <w:r>
              <w:rPr>
                <w:rFonts w:ascii="helvetica" w:hAnsi="helvetica"/>
                <w:sz w:val="20"/>
              </w:rPr>
              <w:t>Net loss</w:t>
            </w:r>
          </w:p>
        </w:tc>
        <w:tc>
          <w:tcPr>
            <w:tcW w:w="81" w:type="dxa"/>
            <w:tcBorders/>
            <w:shd w:fill="FFFFFF" w:val="clear"/>
            <w:vAlign w:val="bottom"/>
          </w:tcPr>
          <w:p>
            <w:pPr>
              <w:pStyle w:val="TableContents"/>
              <w:spacing w:before="0" w:after="283"/>
              <w:rPr/>
            </w:pPr>
            <w:r>
              <w:rPr/>
              <w:t> </w:t>
            </w:r>
          </w:p>
        </w:tc>
        <w:tc>
          <w:tcPr>
            <w:tcW w:w="13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586" w:type="dxa"/>
            <w:tcBorders>
              <w:bottom w:val="single" w:sz="12" w:space="0" w:color="000000"/>
            </w:tcBorders>
            <w:shd w:fill="FFFF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w:t>
            </w:r>
          </w:p>
        </w:tc>
        <w:tc>
          <w:tcPr>
            <w:tcW w:w="92" w:type="dxa"/>
            <w:tcBorders/>
            <w:shd w:fill="FFFFFF" w:val="clear"/>
            <w:vAlign w:val="bottom"/>
          </w:tcPr>
          <w:p>
            <w:pPr>
              <w:pStyle w:val="TableContents"/>
              <w:spacing w:before="0" w:after="283"/>
              <w:jc w:val="left"/>
              <w:rPr/>
            </w:pPr>
            <w:r>
              <w:rPr/>
              <w:t> </w:t>
            </w:r>
          </w:p>
        </w:tc>
        <w:tc>
          <w:tcPr>
            <w:tcW w:w="92" w:type="dxa"/>
            <w:tcBorders/>
            <w:shd w:fill="FFFFFF" w:val="clear"/>
            <w:vAlign w:val="bottom"/>
          </w:tcPr>
          <w:p>
            <w:pPr>
              <w:pStyle w:val="TableContents"/>
              <w:spacing w:before="0" w:after="283"/>
              <w:rPr/>
            </w:pPr>
            <w:r>
              <w:rPr/>
              <w:t> </w:t>
            </w:r>
          </w:p>
        </w:tc>
        <w:tc>
          <w:tcPr>
            <w:tcW w:w="292"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334" w:type="dxa"/>
            <w:tcBorders>
              <w:bottom w:val="single" w:sz="12" w:space="0" w:color="000000"/>
            </w:tcBorders>
            <w:shd w:fill="FFFF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w:t>
            </w:r>
          </w:p>
        </w:tc>
        <w:tc>
          <w:tcPr>
            <w:tcW w:w="81"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81"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982" w:type="dxa"/>
            <w:tcBorders>
              <w:bottom w:val="single" w:sz="12" w:space="0" w:color="000000"/>
            </w:tcBorders>
            <w:shd w:fill="FFFF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w:t>
            </w:r>
          </w:p>
        </w:tc>
        <w:tc>
          <w:tcPr>
            <w:tcW w:w="99"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139"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641" w:type="dxa"/>
            <w:tcBorders>
              <w:bottom w:val="single" w:sz="12" w:space="0" w:color="000000"/>
            </w:tcBorders>
            <w:shd w:fill="FFFF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w:t>
            </w:r>
          </w:p>
        </w:tc>
        <w:tc>
          <w:tcPr>
            <w:tcW w:w="99"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140"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77" w:type="dxa"/>
            <w:tcBorders>
              <w:bottom w:val="single" w:sz="12" w:space="0" w:color="000000"/>
            </w:tcBorders>
            <w:shd w:fill="FFFF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w:t>
            </w:r>
          </w:p>
        </w:tc>
        <w:tc>
          <w:tcPr>
            <w:tcW w:w="99"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140"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132" w:type="dxa"/>
            <w:tcBorders>
              <w:bottom w:val="single" w:sz="12" w:space="0" w:color="000000"/>
            </w:tcBorders>
            <w:shd w:fill="FFFF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(100,000</w:t>
            </w:r>
          </w:p>
        </w:tc>
        <w:tc>
          <w:tcPr>
            <w:tcW w:w="99" w:type="dxa"/>
            <w:tcBorders/>
            <w:shd w:fill="FFFFFF" w:val="clear"/>
            <w:vAlign w:val="bottom"/>
          </w:tcPr>
          <w:p>
            <w:pPr>
              <w:pStyle w:val="TableContents"/>
              <w:spacing w:before="0" w:after="283"/>
              <w:jc w:val="left"/>
              <w:rPr>
                <w:rFonts w:ascii="helvetica" w:hAnsi="helvetica"/>
                <w:sz w:val="20"/>
              </w:rPr>
            </w:pPr>
            <w:r>
              <w:rPr>
                <w:rFonts w:ascii="helvetica" w:hAnsi="helvetica"/>
                <w:sz w:val="20"/>
              </w:rPr>
              <w:t>)</w:t>
            </w:r>
          </w:p>
        </w:tc>
        <w:tc>
          <w:tcPr>
            <w:tcW w:w="81" w:type="dxa"/>
            <w:tcBorders/>
            <w:shd w:fill="FFFFFF" w:val="clear"/>
            <w:vAlign w:val="bottom"/>
          </w:tcPr>
          <w:p>
            <w:pPr>
              <w:pStyle w:val="TableContents"/>
              <w:spacing w:before="0" w:after="283"/>
              <w:rPr/>
            </w:pPr>
            <w:r>
              <w:rPr/>
              <w:t> </w:t>
            </w:r>
          </w:p>
        </w:tc>
        <w:tc>
          <w:tcPr>
            <w:tcW w:w="141"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45" w:type="dxa"/>
            <w:tcBorders>
              <w:bottom w:val="single" w:sz="12" w:space="0" w:color="000000"/>
            </w:tcBorders>
            <w:shd w:fill="FFFF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(100,000</w:t>
            </w:r>
          </w:p>
        </w:tc>
        <w:tc>
          <w:tcPr>
            <w:tcW w:w="123" w:type="dxa"/>
            <w:tcBorders/>
            <w:shd w:fill="FFFFFF" w:val="clear"/>
            <w:vAlign w:val="bottom"/>
          </w:tcPr>
          <w:p>
            <w:pPr>
              <w:pStyle w:val="TableContents"/>
              <w:spacing w:before="0" w:after="283"/>
              <w:jc w:val="left"/>
              <w:rPr>
                <w:rFonts w:ascii="helvetica" w:hAnsi="helvetica"/>
                <w:sz w:val="20"/>
              </w:rPr>
            </w:pPr>
            <w:r>
              <w:rPr>
                <w:rFonts w:ascii="helvetica" w:hAnsi="helvetica"/>
                <w:sz w:val="20"/>
              </w:rPr>
              <w:t>)</w:t>
            </w:r>
          </w:p>
        </w:tc>
      </w:tr>
      <w:tr>
        <w:trPr/>
        <w:tc>
          <w:tcPr>
            <w:tcW w:w="2070" w:type="dxa"/>
            <w:tcBorders/>
            <w:shd w:fill="CCEEFF" w:val="clear"/>
            <w:vAlign w:val="bottom"/>
          </w:tcPr>
          <w:p>
            <w:pPr>
              <w:pStyle w:val="TableContents"/>
              <w:spacing w:before="0" w:after="0"/>
              <w:ind w:left="0" w:right="0" w:hanging="0"/>
              <w:jc w:val="left"/>
              <w:rPr/>
            </w:pPr>
            <w:r>
              <w:rPr/>
              <w:t> </w:t>
            </w:r>
            <w:r>
              <w:rPr>
                <w:rFonts w:ascii="helvetica" w:hAnsi="helvetica"/>
                <w:sz w:val="20"/>
              </w:rPr>
              <w:t>Balance at December 31, 1998</w:t>
            </w:r>
          </w:p>
        </w:tc>
        <w:tc>
          <w:tcPr>
            <w:tcW w:w="81" w:type="dxa"/>
            <w:tcBorders/>
            <w:shd w:fill="CCEEFF" w:val="clear"/>
            <w:vAlign w:val="bottom"/>
          </w:tcPr>
          <w:p>
            <w:pPr>
              <w:pStyle w:val="TableContents"/>
              <w:spacing w:before="0" w:after="283"/>
              <w:rPr/>
            </w:pPr>
            <w:r>
              <w:rPr/>
              <w:t> </w:t>
            </w:r>
          </w:p>
        </w:tc>
        <w:tc>
          <w:tcPr>
            <w:tcW w:w="135" w:type="dxa"/>
            <w:tcBorders/>
            <w:shd w:fill="CCEEFF" w:val="clear"/>
            <w:vAlign w:val="bottom"/>
          </w:tcPr>
          <w:p>
            <w:pPr>
              <w:pStyle w:val="TableContents"/>
              <w:spacing w:before="0" w:after="283"/>
              <w:jc w:val="left"/>
              <w:rPr/>
            </w:pPr>
            <w:r>
              <w:rPr/>
              <w:t> </w:t>
            </w:r>
          </w:p>
        </w:tc>
        <w:tc>
          <w:tcPr>
            <w:tcW w:w="586"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w:t>
            </w:r>
          </w:p>
        </w:tc>
        <w:tc>
          <w:tcPr>
            <w:tcW w:w="92" w:type="dxa"/>
            <w:tcBorders/>
            <w:shd w:fill="CCEEFF" w:val="clear"/>
            <w:vAlign w:val="bottom"/>
          </w:tcPr>
          <w:p>
            <w:pPr>
              <w:pStyle w:val="TableContents"/>
              <w:spacing w:before="0" w:after="283"/>
              <w:jc w:val="left"/>
              <w:rPr/>
            </w:pPr>
            <w:r>
              <w:rPr/>
              <w:t> </w:t>
            </w:r>
          </w:p>
        </w:tc>
        <w:tc>
          <w:tcPr>
            <w:tcW w:w="92" w:type="dxa"/>
            <w:tcBorders/>
            <w:shd w:fill="CCEEFF" w:val="clear"/>
            <w:vAlign w:val="bottom"/>
          </w:tcPr>
          <w:p>
            <w:pPr>
              <w:pStyle w:val="TableContents"/>
              <w:spacing w:before="0" w:after="283"/>
              <w:rPr/>
            </w:pPr>
            <w:r>
              <w:rPr/>
              <w:t> </w:t>
            </w:r>
          </w:p>
        </w:tc>
        <w:tc>
          <w:tcPr>
            <w:tcW w:w="292" w:type="dxa"/>
            <w:tcBorders/>
            <w:shd w:fill="CCEEFF" w:val="clear"/>
            <w:vAlign w:val="bottom"/>
          </w:tcPr>
          <w:p>
            <w:pPr>
              <w:pStyle w:val="TableContents"/>
              <w:spacing w:before="0" w:after="283"/>
              <w:jc w:val="left"/>
              <w:rPr/>
            </w:pPr>
            <w:r>
              <w:rPr/>
              <w:t> </w:t>
            </w:r>
          </w:p>
        </w:tc>
        <w:tc>
          <w:tcPr>
            <w:tcW w:w="334"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w:t>
            </w:r>
          </w:p>
        </w:tc>
        <w:tc>
          <w:tcPr>
            <w:tcW w:w="81"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81" w:type="dxa"/>
            <w:tcBorders/>
            <w:shd w:fill="CCEEFF" w:val="clear"/>
            <w:vAlign w:val="bottom"/>
          </w:tcPr>
          <w:p>
            <w:pPr>
              <w:pStyle w:val="TableContents"/>
              <w:spacing w:before="0" w:after="283"/>
              <w:jc w:val="left"/>
              <w:rPr/>
            </w:pPr>
            <w:r>
              <w:rPr/>
              <w:t> </w:t>
            </w:r>
          </w:p>
        </w:tc>
        <w:tc>
          <w:tcPr>
            <w:tcW w:w="982"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w:t>
            </w:r>
          </w:p>
        </w:tc>
        <w:tc>
          <w:tcPr>
            <w:tcW w:w="99"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139" w:type="dxa"/>
            <w:tcBorders/>
            <w:shd w:fill="CCEEFF" w:val="clear"/>
            <w:vAlign w:val="bottom"/>
          </w:tcPr>
          <w:p>
            <w:pPr>
              <w:pStyle w:val="TableContents"/>
              <w:spacing w:before="0" w:after="283"/>
              <w:jc w:val="left"/>
              <w:rPr/>
            </w:pPr>
            <w:r>
              <w:rPr/>
              <w:t> </w:t>
            </w:r>
          </w:p>
        </w:tc>
        <w:tc>
          <w:tcPr>
            <w:tcW w:w="641"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w:t>
            </w:r>
          </w:p>
        </w:tc>
        <w:tc>
          <w:tcPr>
            <w:tcW w:w="99"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jc w:val="left"/>
              <w:rPr/>
            </w:pPr>
            <w:r>
              <w:rPr/>
              <w:t> </w:t>
            </w:r>
          </w:p>
        </w:tc>
        <w:tc>
          <w:tcPr>
            <w:tcW w:w="1077"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100,000</w:t>
            </w:r>
          </w:p>
        </w:tc>
        <w:tc>
          <w:tcPr>
            <w:tcW w:w="99"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jc w:val="left"/>
              <w:rPr/>
            </w:pPr>
            <w:r>
              <w:rPr/>
              <w:t> </w:t>
            </w:r>
          </w:p>
        </w:tc>
        <w:tc>
          <w:tcPr>
            <w:tcW w:w="1132"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(100,000</w:t>
            </w:r>
          </w:p>
        </w:tc>
        <w:tc>
          <w:tcPr>
            <w:tcW w:w="99" w:type="dxa"/>
            <w:tcBorders/>
            <w:shd w:fill="CCEEFF" w:val="clear"/>
            <w:vAlign w:val="bottom"/>
          </w:tcPr>
          <w:p>
            <w:pPr>
              <w:pStyle w:val="TableContents"/>
              <w:spacing w:before="0" w:after="283"/>
              <w:jc w:val="left"/>
              <w:rPr>
                <w:rFonts w:ascii="helvetica" w:hAnsi="helvetica"/>
                <w:sz w:val="20"/>
              </w:rPr>
            </w:pPr>
            <w:r>
              <w:rPr>
                <w:rFonts w:ascii="helvetica" w:hAnsi="helvetica"/>
                <w:sz w:val="20"/>
              </w:rPr>
              <w:t>)</w:t>
            </w:r>
          </w:p>
        </w:tc>
        <w:tc>
          <w:tcPr>
            <w:tcW w:w="81" w:type="dxa"/>
            <w:tcBorders/>
            <w:shd w:fill="CCEEFF" w:val="clear"/>
            <w:vAlign w:val="bottom"/>
          </w:tcPr>
          <w:p>
            <w:pPr>
              <w:pStyle w:val="TableContents"/>
              <w:spacing w:before="0" w:after="283"/>
              <w:rPr/>
            </w:pPr>
            <w:r>
              <w:rPr/>
              <w:t> </w:t>
            </w:r>
          </w:p>
        </w:tc>
        <w:tc>
          <w:tcPr>
            <w:tcW w:w="141" w:type="dxa"/>
            <w:tcBorders/>
            <w:shd w:fill="CCEEFF" w:val="clear"/>
            <w:vAlign w:val="bottom"/>
          </w:tcPr>
          <w:p>
            <w:pPr>
              <w:pStyle w:val="TableContents"/>
              <w:spacing w:before="0" w:after="283"/>
              <w:jc w:val="left"/>
              <w:rPr/>
            </w:pPr>
            <w:r>
              <w:rPr/>
              <w:t> </w:t>
            </w:r>
          </w:p>
        </w:tc>
        <w:tc>
          <w:tcPr>
            <w:tcW w:w="1045"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w:t>
            </w:r>
          </w:p>
        </w:tc>
        <w:tc>
          <w:tcPr>
            <w:tcW w:w="123" w:type="dxa"/>
            <w:tcBorders/>
            <w:shd w:fill="CCEEFF" w:val="clear"/>
            <w:vAlign w:val="bottom"/>
          </w:tcPr>
          <w:p>
            <w:pPr>
              <w:pStyle w:val="TableContents"/>
              <w:spacing w:before="0" w:after="283"/>
              <w:jc w:val="left"/>
              <w:rPr/>
            </w:pPr>
            <w:r>
              <w:rPr/>
              <w:t> </w:t>
            </w:r>
          </w:p>
        </w:tc>
      </w:tr>
      <w:tr>
        <w:trPr/>
        <w:tc>
          <w:tcPr>
            <w:tcW w:w="2070" w:type="dxa"/>
            <w:tcBorders/>
            <w:shd w:fill="FFFFFF" w:val="clear"/>
            <w:vAlign w:val="bottom"/>
          </w:tcPr>
          <w:p>
            <w:pPr>
              <w:pStyle w:val="TableContents"/>
              <w:spacing w:before="0" w:after="283"/>
              <w:rPr/>
            </w:pPr>
            <w:r>
              <w:rPr/>
              <w:t xml:space="preserve">  </w:t>
            </w:r>
          </w:p>
        </w:tc>
        <w:tc>
          <w:tcPr>
            <w:tcW w:w="81" w:type="dxa"/>
            <w:tcBorders/>
            <w:shd w:fill="FFFFFF" w:val="clear"/>
            <w:vAlign w:val="bottom"/>
          </w:tcPr>
          <w:p>
            <w:pPr>
              <w:pStyle w:val="TableContents"/>
              <w:spacing w:before="0" w:after="283"/>
              <w:rPr/>
            </w:pPr>
            <w:r>
              <w:rPr/>
              <w:t> </w:t>
            </w:r>
          </w:p>
        </w:tc>
        <w:tc>
          <w:tcPr>
            <w:tcW w:w="135" w:type="dxa"/>
            <w:tcBorders/>
            <w:shd w:fill="FFFFFF" w:val="clear"/>
            <w:vAlign w:val="bottom"/>
          </w:tcPr>
          <w:p>
            <w:pPr>
              <w:pStyle w:val="TableContents"/>
              <w:spacing w:before="0" w:after="283"/>
              <w:jc w:val="left"/>
              <w:rPr/>
            </w:pPr>
            <w:r>
              <w:rPr/>
              <w:t> </w:t>
            </w:r>
          </w:p>
        </w:tc>
        <w:tc>
          <w:tcPr>
            <w:tcW w:w="586" w:type="dxa"/>
            <w:tcBorders/>
            <w:shd w:fill="FFFFFF" w:val="clear"/>
            <w:vAlign w:val="bottom"/>
          </w:tcPr>
          <w:p>
            <w:pPr>
              <w:pStyle w:val="TableContents"/>
              <w:spacing w:before="0" w:after="283"/>
              <w:jc w:val="right"/>
              <w:rPr/>
            </w:pPr>
            <w:r>
              <w:rPr/>
              <w:t> </w:t>
            </w:r>
          </w:p>
        </w:tc>
        <w:tc>
          <w:tcPr>
            <w:tcW w:w="92" w:type="dxa"/>
            <w:tcBorders/>
            <w:shd w:fill="FFFFFF" w:val="clear"/>
            <w:vAlign w:val="bottom"/>
          </w:tcPr>
          <w:p>
            <w:pPr>
              <w:pStyle w:val="TableContents"/>
              <w:spacing w:before="0" w:after="283"/>
              <w:jc w:val="left"/>
              <w:rPr/>
            </w:pPr>
            <w:r>
              <w:rPr/>
              <w:t> </w:t>
            </w:r>
          </w:p>
        </w:tc>
        <w:tc>
          <w:tcPr>
            <w:tcW w:w="92" w:type="dxa"/>
            <w:tcBorders/>
            <w:shd w:fill="FFFFFF" w:val="clear"/>
            <w:vAlign w:val="bottom"/>
          </w:tcPr>
          <w:p>
            <w:pPr>
              <w:pStyle w:val="TableContents"/>
              <w:spacing w:before="0" w:after="283"/>
              <w:rPr/>
            </w:pPr>
            <w:r>
              <w:rPr/>
              <w:t> </w:t>
            </w:r>
          </w:p>
        </w:tc>
        <w:tc>
          <w:tcPr>
            <w:tcW w:w="292" w:type="dxa"/>
            <w:tcBorders/>
            <w:shd w:fill="FFFFFF" w:val="clear"/>
            <w:vAlign w:val="bottom"/>
          </w:tcPr>
          <w:p>
            <w:pPr>
              <w:pStyle w:val="TableContents"/>
              <w:spacing w:before="0" w:after="283"/>
              <w:jc w:val="left"/>
              <w:rPr/>
            </w:pPr>
            <w:r>
              <w:rPr/>
              <w:t> </w:t>
            </w:r>
          </w:p>
        </w:tc>
        <w:tc>
          <w:tcPr>
            <w:tcW w:w="334" w:type="dxa"/>
            <w:tcBorders/>
            <w:shd w:fill="FFFFFF" w:val="clear"/>
            <w:vAlign w:val="bottom"/>
          </w:tcPr>
          <w:p>
            <w:pPr>
              <w:pStyle w:val="TableContents"/>
              <w:spacing w:before="0" w:after="283"/>
              <w:jc w:val="right"/>
              <w:rPr/>
            </w:pPr>
            <w:r>
              <w:rPr/>
              <w:t> </w:t>
            </w:r>
          </w:p>
        </w:tc>
        <w:tc>
          <w:tcPr>
            <w:tcW w:w="81"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81" w:type="dxa"/>
            <w:tcBorders/>
            <w:shd w:fill="FFFFFF" w:val="clear"/>
            <w:vAlign w:val="bottom"/>
          </w:tcPr>
          <w:p>
            <w:pPr>
              <w:pStyle w:val="TableContents"/>
              <w:spacing w:before="0" w:after="283"/>
              <w:jc w:val="left"/>
              <w:rPr/>
            </w:pPr>
            <w:r>
              <w:rPr/>
              <w:t> </w:t>
            </w:r>
          </w:p>
        </w:tc>
        <w:tc>
          <w:tcPr>
            <w:tcW w:w="982" w:type="dxa"/>
            <w:tcBorders/>
            <w:shd w:fill="FFFFFF" w:val="clear"/>
            <w:vAlign w:val="bottom"/>
          </w:tcPr>
          <w:p>
            <w:pPr>
              <w:pStyle w:val="TableContents"/>
              <w:spacing w:before="0" w:after="283"/>
              <w:jc w:val="right"/>
              <w:rPr/>
            </w:pPr>
            <w:r>
              <w:rPr/>
              <w:t> </w:t>
            </w:r>
          </w:p>
        </w:tc>
        <w:tc>
          <w:tcPr>
            <w:tcW w:w="99"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139" w:type="dxa"/>
            <w:tcBorders/>
            <w:shd w:fill="FFFFFF" w:val="clear"/>
            <w:vAlign w:val="bottom"/>
          </w:tcPr>
          <w:p>
            <w:pPr>
              <w:pStyle w:val="TableContents"/>
              <w:spacing w:before="0" w:after="283"/>
              <w:jc w:val="left"/>
              <w:rPr/>
            </w:pPr>
            <w:r>
              <w:rPr/>
              <w:t> </w:t>
            </w:r>
          </w:p>
        </w:tc>
        <w:tc>
          <w:tcPr>
            <w:tcW w:w="641" w:type="dxa"/>
            <w:tcBorders/>
            <w:shd w:fill="FFFFFF" w:val="clear"/>
            <w:vAlign w:val="bottom"/>
          </w:tcPr>
          <w:p>
            <w:pPr>
              <w:pStyle w:val="TableContents"/>
              <w:spacing w:before="0" w:after="283"/>
              <w:jc w:val="right"/>
              <w:rPr/>
            </w:pPr>
            <w:r>
              <w:rPr/>
              <w:t> </w:t>
            </w:r>
          </w:p>
        </w:tc>
        <w:tc>
          <w:tcPr>
            <w:tcW w:w="99"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283"/>
              <w:jc w:val="left"/>
              <w:rPr/>
            </w:pPr>
            <w:r>
              <w:rPr/>
              <w:t> </w:t>
            </w:r>
          </w:p>
        </w:tc>
        <w:tc>
          <w:tcPr>
            <w:tcW w:w="1077" w:type="dxa"/>
            <w:tcBorders/>
            <w:shd w:fill="FFFFFF" w:val="clear"/>
            <w:vAlign w:val="bottom"/>
          </w:tcPr>
          <w:p>
            <w:pPr>
              <w:pStyle w:val="TableContents"/>
              <w:spacing w:before="0" w:after="283"/>
              <w:jc w:val="right"/>
              <w:rPr/>
            </w:pPr>
            <w:r>
              <w:rPr/>
              <w:t> </w:t>
            </w:r>
          </w:p>
        </w:tc>
        <w:tc>
          <w:tcPr>
            <w:tcW w:w="99"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283"/>
              <w:jc w:val="left"/>
              <w:rPr/>
            </w:pPr>
            <w:r>
              <w:rPr/>
              <w:t> </w:t>
            </w:r>
          </w:p>
        </w:tc>
        <w:tc>
          <w:tcPr>
            <w:tcW w:w="1132" w:type="dxa"/>
            <w:tcBorders/>
            <w:shd w:fill="FFFFFF" w:val="clear"/>
            <w:vAlign w:val="bottom"/>
          </w:tcPr>
          <w:p>
            <w:pPr>
              <w:pStyle w:val="TableContents"/>
              <w:spacing w:before="0" w:after="283"/>
              <w:jc w:val="right"/>
              <w:rPr/>
            </w:pPr>
            <w:r>
              <w:rPr/>
              <w:t> </w:t>
            </w:r>
          </w:p>
        </w:tc>
        <w:tc>
          <w:tcPr>
            <w:tcW w:w="99"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141" w:type="dxa"/>
            <w:tcBorders/>
            <w:shd w:fill="FFFFFF" w:val="clear"/>
            <w:vAlign w:val="bottom"/>
          </w:tcPr>
          <w:p>
            <w:pPr>
              <w:pStyle w:val="TableContents"/>
              <w:spacing w:before="0" w:after="283"/>
              <w:jc w:val="left"/>
              <w:rPr/>
            </w:pPr>
            <w:r>
              <w:rPr/>
              <w:t> </w:t>
            </w:r>
          </w:p>
        </w:tc>
        <w:tc>
          <w:tcPr>
            <w:tcW w:w="1045" w:type="dxa"/>
            <w:tcBorders/>
            <w:shd w:fill="FFFFFF" w:val="clear"/>
            <w:vAlign w:val="bottom"/>
          </w:tcPr>
          <w:p>
            <w:pPr>
              <w:pStyle w:val="TableContents"/>
              <w:spacing w:before="0" w:after="283"/>
              <w:jc w:val="right"/>
              <w:rPr/>
            </w:pPr>
            <w:r>
              <w:rPr/>
              <w:t> </w:t>
            </w:r>
          </w:p>
        </w:tc>
        <w:tc>
          <w:tcPr>
            <w:tcW w:w="123" w:type="dxa"/>
            <w:tcBorders/>
            <w:shd w:fill="FFFFFF" w:val="clear"/>
            <w:vAlign w:val="bottom"/>
          </w:tcPr>
          <w:p>
            <w:pPr>
              <w:pStyle w:val="TableContents"/>
              <w:spacing w:before="0" w:after="283"/>
              <w:jc w:val="left"/>
              <w:rPr/>
            </w:pPr>
            <w:r>
              <w:rPr/>
              <w:t> </w:t>
            </w:r>
          </w:p>
        </w:tc>
      </w:tr>
      <w:tr>
        <w:trPr/>
        <w:tc>
          <w:tcPr>
            <w:tcW w:w="2070" w:type="dxa"/>
            <w:tcBorders/>
            <w:shd w:fill="CCEEFF" w:val="clear"/>
            <w:vAlign w:val="bottom"/>
          </w:tcPr>
          <w:p>
            <w:pPr>
              <w:pStyle w:val="TableContents"/>
              <w:spacing w:before="0" w:after="0"/>
              <w:ind w:left="0" w:right="0" w:hanging="0"/>
              <w:jc w:val="left"/>
              <w:rPr/>
            </w:pPr>
            <w:r>
              <w:rPr/>
              <w:t> </w:t>
            </w:r>
            <w:r>
              <w:rPr>
                <w:rFonts w:ascii="helvetica" w:hAnsi="helvetica"/>
                <w:sz w:val="20"/>
              </w:rPr>
              <w:t>Estimated fair value of services contributed by</w:t>
            </w:r>
          </w:p>
        </w:tc>
        <w:tc>
          <w:tcPr>
            <w:tcW w:w="81" w:type="dxa"/>
            <w:tcBorders/>
            <w:shd w:fill="CCEEFF" w:val="clear"/>
            <w:vAlign w:val="bottom"/>
          </w:tcPr>
          <w:p>
            <w:pPr>
              <w:pStyle w:val="TableContents"/>
              <w:spacing w:before="0" w:after="283"/>
              <w:rPr/>
            </w:pPr>
            <w:r>
              <w:rPr/>
              <w:t> </w:t>
            </w:r>
          </w:p>
        </w:tc>
        <w:tc>
          <w:tcPr>
            <w:tcW w:w="135" w:type="dxa"/>
            <w:tcBorders/>
            <w:shd w:fill="CCEEFF" w:val="clear"/>
            <w:vAlign w:val="bottom"/>
          </w:tcPr>
          <w:p>
            <w:pPr>
              <w:pStyle w:val="TableContents"/>
              <w:spacing w:before="0" w:after="283"/>
              <w:jc w:val="left"/>
              <w:rPr/>
            </w:pPr>
            <w:r>
              <w:rPr/>
              <w:t> </w:t>
            </w:r>
          </w:p>
        </w:tc>
        <w:tc>
          <w:tcPr>
            <w:tcW w:w="586" w:type="dxa"/>
            <w:tcBorders/>
            <w:shd w:fill="CCEEFF" w:val="clear"/>
            <w:vAlign w:val="bottom"/>
          </w:tcPr>
          <w:p>
            <w:pPr>
              <w:pStyle w:val="TableContents"/>
              <w:spacing w:before="0" w:after="283"/>
              <w:jc w:val="right"/>
              <w:rPr/>
            </w:pPr>
            <w:r>
              <w:rPr/>
              <w:t> </w:t>
            </w:r>
          </w:p>
        </w:tc>
        <w:tc>
          <w:tcPr>
            <w:tcW w:w="92" w:type="dxa"/>
            <w:tcBorders/>
            <w:shd w:fill="CCEEFF" w:val="clear"/>
            <w:vAlign w:val="bottom"/>
          </w:tcPr>
          <w:p>
            <w:pPr>
              <w:pStyle w:val="TableContents"/>
              <w:spacing w:before="0" w:after="283"/>
              <w:jc w:val="left"/>
              <w:rPr/>
            </w:pPr>
            <w:r>
              <w:rPr/>
              <w:t> </w:t>
            </w:r>
          </w:p>
        </w:tc>
        <w:tc>
          <w:tcPr>
            <w:tcW w:w="92" w:type="dxa"/>
            <w:tcBorders/>
            <w:shd w:fill="CCEEFF" w:val="clear"/>
            <w:vAlign w:val="bottom"/>
          </w:tcPr>
          <w:p>
            <w:pPr>
              <w:pStyle w:val="TableContents"/>
              <w:spacing w:before="0" w:after="283"/>
              <w:rPr/>
            </w:pPr>
            <w:r>
              <w:rPr/>
              <w:t> </w:t>
            </w:r>
          </w:p>
        </w:tc>
        <w:tc>
          <w:tcPr>
            <w:tcW w:w="292" w:type="dxa"/>
            <w:tcBorders/>
            <w:shd w:fill="CCEEFF" w:val="clear"/>
            <w:vAlign w:val="bottom"/>
          </w:tcPr>
          <w:p>
            <w:pPr>
              <w:pStyle w:val="TableContents"/>
              <w:spacing w:before="0" w:after="283"/>
              <w:jc w:val="left"/>
              <w:rPr/>
            </w:pPr>
            <w:r>
              <w:rPr/>
              <w:t> </w:t>
            </w:r>
          </w:p>
        </w:tc>
        <w:tc>
          <w:tcPr>
            <w:tcW w:w="334" w:type="dxa"/>
            <w:tcBorders/>
            <w:shd w:fill="CCEEFF" w:val="clear"/>
            <w:vAlign w:val="bottom"/>
          </w:tcPr>
          <w:p>
            <w:pPr>
              <w:pStyle w:val="TableContents"/>
              <w:spacing w:before="0" w:after="283"/>
              <w:jc w:val="right"/>
              <w:rPr/>
            </w:pPr>
            <w:r>
              <w:rPr/>
              <w:t> </w:t>
            </w:r>
          </w:p>
        </w:tc>
        <w:tc>
          <w:tcPr>
            <w:tcW w:w="81"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81" w:type="dxa"/>
            <w:tcBorders/>
            <w:shd w:fill="CCEEFF" w:val="clear"/>
            <w:vAlign w:val="bottom"/>
          </w:tcPr>
          <w:p>
            <w:pPr>
              <w:pStyle w:val="TableContents"/>
              <w:spacing w:before="0" w:after="283"/>
              <w:jc w:val="left"/>
              <w:rPr/>
            </w:pPr>
            <w:r>
              <w:rPr/>
              <w:t> </w:t>
            </w:r>
          </w:p>
        </w:tc>
        <w:tc>
          <w:tcPr>
            <w:tcW w:w="982" w:type="dxa"/>
            <w:tcBorders/>
            <w:shd w:fill="CCEEFF" w:val="clear"/>
            <w:vAlign w:val="bottom"/>
          </w:tcPr>
          <w:p>
            <w:pPr>
              <w:pStyle w:val="TableContents"/>
              <w:spacing w:before="0" w:after="283"/>
              <w:jc w:val="right"/>
              <w:rPr/>
            </w:pPr>
            <w:r>
              <w:rPr/>
              <w:t> </w:t>
            </w:r>
          </w:p>
        </w:tc>
        <w:tc>
          <w:tcPr>
            <w:tcW w:w="99"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139" w:type="dxa"/>
            <w:tcBorders/>
            <w:shd w:fill="CCEEFF" w:val="clear"/>
            <w:vAlign w:val="bottom"/>
          </w:tcPr>
          <w:p>
            <w:pPr>
              <w:pStyle w:val="TableContents"/>
              <w:spacing w:before="0" w:after="283"/>
              <w:jc w:val="left"/>
              <w:rPr/>
            </w:pPr>
            <w:r>
              <w:rPr/>
              <w:t> </w:t>
            </w:r>
          </w:p>
        </w:tc>
        <w:tc>
          <w:tcPr>
            <w:tcW w:w="641" w:type="dxa"/>
            <w:tcBorders/>
            <w:shd w:fill="CCEEFF" w:val="clear"/>
            <w:vAlign w:val="bottom"/>
          </w:tcPr>
          <w:p>
            <w:pPr>
              <w:pStyle w:val="TableContents"/>
              <w:spacing w:before="0" w:after="283"/>
              <w:jc w:val="right"/>
              <w:rPr/>
            </w:pPr>
            <w:r>
              <w:rPr/>
              <w:t> </w:t>
            </w:r>
          </w:p>
        </w:tc>
        <w:tc>
          <w:tcPr>
            <w:tcW w:w="99"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jc w:val="left"/>
              <w:rPr/>
            </w:pPr>
            <w:r>
              <w:rPr/>
              <w:t> </w:t>
            </w:r>
          </w:p>
        </w:tc>
        <w:tc>
          <w:tcPr>
            <w:tcW w:w="1077" w:type="dxa"/>
            <w:tcBorders/>
            <w:shd w:fill="CCEEFF" w:val="clear"/>
            <w:vAlign w:val="bottom"/>
          </w:tcPr>
          <w:p>
            <w:pPr>
              <w:pStyle w:val="TableContents"/>
              <w:spacing w:before="0" w:after="283"/>
              <w:jc w:val="right"/>
              <w:rPr/>
            </w:pPr>
            <w:r>
              <w:rPr/>
              <w:t> </w:t>
            </w:r>
          </w:p>
        </w:tc>
        <w:tc>
          <w:tcPr>
            <w:tcW w:w="99"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jc w:val="left"/>
              <w:rPr/>
            </w:pPr>
            <w:r>
              <w:rPr/>
              <w:t> </w:t>
            </w:r>
          </w:p>
        </w:tc>
        <w:tc>
          <w:tcPr>
            <w:tcW w:w="1132" w:type="dxa"/>
            <w:tcBorders/>
            <w:shd w:fill="CCEEFF" w:val="clear"/>
            <w:vAlign w:val="bottom"/>
          </w:tcPr>
          <w:p>
            <w:pPr>
              <w:pStyle w:val="TableContents"/>
              <w:spacing w:before="0" w:after="283"/>
              <w:jc w:val="right"/>
              <w:rPr/>
            </w:pPr>
            <w:r>
              <w:rPr/>
              <w:t> </w:t>
            </w:r>
          </w:p>
        </w:tc>
        <w:tc>
          <w:tcPr>
            <w:tcW w:w="99"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141" w:type="dxa"/>
            <w:tcBorders/>
            <w:shd w:fill="CCEEFF" w:val="clear"/>
            <w:vAlign w:val="bottom"/>
          </w:tcPr>
          <w:p>
            <w:pPr>
              <w:pStyle w:val="TableContents"/>
              <w:spacing w:before="0" w:after="283"/>
              <w:jc w:val="left"/>
              <w:rPr/>
            </w:pPr>
            <w:r>
              <w:rPr/>
              <w:t> </w:t>
            </w:r>
          </w:p>
        </w:tc>
        <w:tc>
          <w:tcPr>
            <w:tcW w:w="1045" w:type="dxa"/>
            <w:tcBorders/>
            <w:shd w:fill="CCEEFF" w:val="clear"/>
            <w:vAlign w:val="bottom"/>
          </w:tcPr>
          <w:p>
            <w:pPr>
              <w:pStyle w:val="TableContents"/>
              <w:spacing w:before="0" w:after="283"/>
              <w:jc w:val="right"/>
              <w:rPr/>
            </w:pPr>
            <w:r>
              <w:rPr/>
              <w:t> </w:t>
            </w:r>
          </w:p>
        </w:tc>
        <w:tc>
          <w:tcPr>
            <w:tcW w:w="123" w:type="dxa"/>
            <w:tcBorders/>
            <w:shd w:fill="CCEEFF" w:val="clear"/>
            <w:vAlign w:val="bottom"/>
          </w:tcPr>
          <w:p>
            <w:pPr>
              <w:pStyle w:val="TableContents"/>
              <w:spacing w:before="0" w:after="283"/>
              <w:jc w:val="left"/>
              <w:rPr/>
            </w:pPr>
            <w:r>
              <w:rPr/>
              <w:t> </w:t>
            </w:r>
          </w:p>
        </w:tc>
      </w:tr>
      <w:tr>
        <w:trPr/>
        <w:tc>
          <w:tcPr>
            <w:tcW w:w="2070" w:type="dxa"/>
            <w:tcBorders/>
            <w:shd w:fill="FFFFFF" w:val="clear"/>
            <w:vAlign w:val="bottom"/>
          </w:tcPr>
          <w:p>
            <w:pPr>
              <w:pStyle w:val="TableContents"/>
              <w:spacing w:before="0" w:after="0"/>
              <w:ind w:left="0" w:right="0" w:hanging="0"/>
              <w:jc w:val="left"/>
              <w:rPr/>
            </w:pPr>
            <w:r>
              <w:rPr/>
              <w:t>   </w:t>
            </w:r>
            <w:r>
              <w:rPr>
                <w:rFonts w:ascii="helvetica" w:hAnsi="helvetica"/>
                <w:sz w:val="20"/>
              </w:rPr>
              <w:t>stockholders</w:t>
            </w:r>
          </w:p>
        </w:tc>
        <w:tc>
          <w:tcPr>
            <w:tcW w:w="81" w:type="dxa"/>
            <w:tcBorders/>
            <w:shd w:fill="FFFFFF" w:val="clear"/>
            <w:vAlign w:val="bottom"/>
          </w:tcPr>
          <w:p>
            <w:pPr>
              <w:pStyle w:val="TableContents"/>
              <w:spacing w:before="0" w:after="283"/>
              <w:rPr/>
            </w:pPr>
            <w:r>
              <w:rPr/>
              <w:t> </w:t>
            </w:r>
          </w:p>
        </w:tc>
        <w:tc>
          <w:tcPr>
            <w:tcW w:w="135" w:type="dxa"/>
            <w:tcBorders/>
            <w:shd w:fill="FFFFFF" w:val="clear"/>
            <w:vAlign w:val="bottom"/>
          </w:tcPr>
          <w:p>
            <w:pPr>
              <w:pStyle w:val="TableContents"/>
              <w:spacing w:before="0" w:after="283"/>
              <w:jc w:val="left"/>
              <w:rPr/>
            </w:pPr>
            <w:r>
              <w:rPr/>
              <w:t> </w:t>
            </w:r>
          </w:p>
        </w:tc>
        <w:tc>
          <w:tcPr>
            <w:tcW w:w="586"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w:t>
            </w:r>
          </w:p>
        </w:tc>
        <w:tc>
          <w:tcPr>
            <w:tcW w:w="92" w:type="dxa"/>
            <w:tcBorders/>
            <w:shd w:fill="FFFFFF" w:val="clear"/>
            <w:vAlign w:val="bottom"/>
          </w:tcPr>
          <w:p>
            <w:pPr>
              <w:pStyle w:val="TableContents"/>
              <w:spacing w:before="0" w:after="283"/>
              <w:jc w:val="left"/>
              <w:rPr/>
            </w:pPr>
            <w:r>
              <w:rPr/>
              <w:t> </w:t>
            </w:r>
          </w:p>
        </w:tc>
        <w:tc>
          <w:tcPr>
            <w:tcW w:w="92" w:type="dxa"/>
            <w:tcBorders/>
            <w:shd w:fill="FFFFFF" w:val="clear"/>
            <w:vAlign w:val="bottom"/>
          </w:tcPr>
          <w:p>
            <w:pPr>
              <w:pStyle w:val="TableContents"/>
              <w:spacing w:before="0" w:after="283"/>
              <w:rPr/>
            </w:pPr>
            <w:r>
              <w:rPr/>
              <w:t> </w:t>
            </w:r>
          </w:p>
        </w:tc>
        <w:tc>
          <w:tcPr>
            <w:tcW w:w="292" w:type="dxa"/>
            <w:tcBorders/>
            <w:shd w:fill="FFFFFF" w:val="clear"/>
            <w:vAlign w:val="bottom"/>
          </w:tcPr>
          <w:p>
            <w:pPr>
              <w:pStyle w:val="TableContents"/>
              <w:spacing w:before="0" w:after="283"/>
              <w:jc w:val="left"/>
              <w:rPr/>
            </w:pPr>
            <w:r>
              <w:rPr/>
              <w:t> </w:t>
            </w:r>
          </w:p>
        </w:tc>
        <w:tc>
          <w:tcPr>
            <w:tcW w:w="334"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w:t>
            </w:r>
          </w:p>
        </w:tc>
        <w:tc>
          <w:tcPr>
            <w:tcW w:w="81"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81" w:type="dxa"/>
            <w:tcBorders/>
            <w:shd w:fill="FFFFFF" w:val="clear"/>
            <w:vAlign w:val="bottom"/>
          </w:tcPr>
          <w:p>
            <w:pPr>
              <w:pStyle w:val="TableContents"/>
              <w:spacing w:before="0" w:after="283"/>
              <w:jc w:val="left"/>
              <w:rPr/>
            </w:pPr>
            <w:r>
              <w:rPr/>
              <w:t> </w:t>
            </w:r>
          </w:p>
        </w:tc>
        <w:tc>
          <w:tcPr>
            <w:tcW w:w="982"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w:t>
            </w:r>
          </w:p>
        </w:tc>
        <w:tc>
          <w:tcPr>
            <w:tcW w:w="99"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139" w:type="dxa"/>
            <w:tcBorders/>
            <w:shd w:fill="FFFFFF" w:val="clear"/>
            <w:vAlign w:val="bottom"/>
          </w:tcPr>
          <w:p>
            <w:pPr>
              <w:pStyle w:val="TableContents"/>
              <w:spacing w:before="0" w:after="283"/>
              <w:jc w:val="left"/>
              <w:rPr/>
            </w:pPr>
            <w:r>
              <w:rPr/>
              <w:t> </w:t>
            </w:r>
          </w:p>
        </w:tc>
        <w:tc>
          <w:tcPr>
            <w:tcW w:w="641"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w:t>
            </w:r>
          </w:p>
        </w:tc>
        <w:tc>
          <w:tcPr>
            <w:tcW w:w="99"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283"/>
              <w:jc w:val="left"/>
              <w:rPr/>
            </w:pPr>
            <w:r>
              <w:rPr/>
              <w:t> </w:t>
            </w:r>
          </w:p>
        </w:tc>
        <w:tc>
          <w:tcPr>
            <w:tcW w:w="1077"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200,000</w:t>
            </w:r>
          </w:p>
        </w:tc>
        <w:tc>
          <w:tcPr>
            <w:tcW w:w="99"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283"/>
              <w:jc w:val="left"/>
              <w:rPr/>
            </w:pPr>
            <w:r>
              <w:rPr/>
              <w:t> </w:t>
            </w:r>
          </w:p>
        </w:tc>
        <w:tc>
          <w:tcPr>
            <w:tcW w:w="1132"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w:t>
            </w:r>
          </w:p>
        </w:tc>
        <w:tc>
          <w:tcPr>
            <w:tcW w:w="99"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141" w:type="dxa"/>
            <w:tcBorders/>
            <w:shd w:fill="FFFFFF" w:val="clear"/>
            <w:vAlign w:val="bottom"/>
          </w:tcPr>
          <w:p>
            <w:pPr>
              <w:pStyle w:val="TableContents"/>
              <w:spacing w:before="0" w:after="283"/>
              <w:jc w:val="left"/>
              <w:rPr/>
            </w:pPr>
            <w:r>
              <w:rPr/>
              <w:t> </w:t>
            </w:r>
          </w:p>
        </w:tc>
        <w:tc>
          <w:tcPr>
            <w:tcW w:w="1045"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200,000</w:t>
            </w:r>
          </w:p>
        </w:tc>
        <w:tc>
          <w:tcPr>
            <w:tcW w:w="123" w:type="dxa"/>
            <w:tcBorders/>
            <w:shd w:fill="FFFFFF" w:val="clear"/>
            <w:vAlign w:val="bottom"/>
          </w:tcPr>
          <w:p>
            <w:pPr>
              <w:pStyle w:val="TableContents"/>
              <w:spacing w:before="0" w:after="283"/>
              <w:jc w:val="left"/>
              <w:rPr/>
            </w:pPr>
            <w:r>
              <w:rPr/>
              <w:t> </w:t>
            </w:r>
          </w:p>
        </w:tc>
      </w:tr>
      <w:tr>
        <w:trPr/>
        <w:tc>
          <w:tcPr>
            <w:tcW w:w="2070" w:type="dxa"/>
            <w:tcBorders/>
            <w:shd w:fill="CCEEFF" w:val="clear"/>
            <w:vAlign w:val="bottom"/>
          </w:tcPr>
          <w:p>
            <w:pPr>
              <w:pStyle w:val="TableContents"/>
              <w:spacing w:before="0" w:after="0"/>
              <w:ind w:left="0" w:right="0" w:hanging="0"/>
              <w:jc w:val="left"/>
              <w:rPr/>
            </w:pPr>
            <w:r>
              <w:rPr/>
              <w:t> </w:t>
            </w:r>
            <w:r>
              <w:rPr>
                <w:rFonts w:ascii="helvetica" w:hAnsi="helvetica"/>
                <w:sz w:val="20"/>
              </w:rPr>
              <w:t>Net loss</w:t>
            </w:r>
          </w:p>
        </w:tc>
        <w:tc>
          <w:tcPr>
            <w:tcW w:w="81" w:type="dxa"/>
            <w:tcBorders/>
            <w:shd w:fill="CCEEFF" w:val="clear"/>
            <w:vAlign w:val="bottom"/>
          </w:tcPr>
          <w:p>
            <w:pPr>
              <w:pStyle w:val="TableContents"/>
              <w:spacing w:before="0" w:after="283"/>
              <w:rPr/>
            </w:pPr>
            <w:r>
              <w:rPr/>
              <w:t> </w:t>
            </w:r>
          </w:p>
        </w:tc>
        <w:tc>
          <w:tcPr>
            <w:tcW w:w="13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586" w:type="dxa"/>
            <w:tcBorders>
              <w:bottom w:val="single" w:sz="12" w:space="0" w:color="000000"/>
            </w:tcBorders>
            <w:shd w:fill="CCEE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w:t>
            </w:r>
          </w:p>
        </w:tc>
        <w:tc>
          <w:tcPr>
            <w:tcW w:w="92" w:type="dxa"/>
            <w:tcBorders/>
            <w:shd w:fill="CCEEFF" w:val="clear"/>
            <w:vAlign w:val="bottom"/>
          </w:tcPr>
          <w:p>
            <w:pPr>
              <w:pStyle w:val="TableContents"/>
              <w:spacing w:before="0" w:after="283"/>
              <w:jc w:val="left"/>
              <w:rPr/>
            </w:pPr>
            <w:r>
              <w:rPr/>
              <w:t> </w:t>
            </w:r>
          </w:p>
        </w:tc>
        <w:tc>
          <w:tcPr>
            <w:tcW w:w="92" w:type="dxa"/>
            <w:tcBorders/>
            <w:shd w:fill="CCEEFF" w:val="clear"/>
            <w:vAlign w:val="bottom"/>
          </w:tcPr>
          <w:p>
            <w:pPr>
              <w:pStyle w:val="TableContents"/>
              <w:spacing w:before="0" w:after="283"/>
              <w:rPr/>
            </w:pPr>
            <w:r>
              <w:rPr/>
              <w:t> </w:t>
            </w:r>
          </w:p>
        </w:tc>
        <w:tc>
          <w:tcPr>
            <w:tcW w:w="292"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334" w:type="dxa"/>
            <w:tcBorders>
              <w:bottom w:val="single" w:sz="12" w:space="0" w:color="000000"/>
            </w:tcBorders>
            <w:shd w:fill="CCEE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w:t>
            </w:r>
          </w:p>
        </w:tc>
        <w:tc>
          <w:tcPr>
            <w:tcW w:w="81"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81"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982" w:type="dxa"/>
            <w:tcBorders>
              <w:bottom w:val="single" w:sz="12" w:space="0" w:color="000000"/>
            </w:tcBorders>
            <w:shd w:fill="CCEE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w:t>
            </w:r>
          </w:p>
        </w:tc>
        <w:tc>
          <w:tcPr>
            <w:tcW w:w="99"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139"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641" w:type="dxa"/>
            <w:tcBorders>
              <w:bottom w:val="single" w:sz="12" w:space="0" w:color="000000"/>
            </w:tcBorders>
            <w:shd w:fill="CCEE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w:t>
            </w:r>
          </w:p>
        </w:tc>
        <w:tc>
          <w:tcPr>
            <w:tcW w:w="99"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140"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77" w:type="dxa"/>
            <w:tcBorders>
              <w:bottom w:val="single" w:sz="12" w:space="0" w:color="000000"/>
            </w:tcBorders>
            <w:shd w:fill="CCEE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w:t>
            </w:r>
          </w:p>
        </w:tc>
        <w:tc>
          <w:tcPr>
            <w:tcW w:w="99"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140"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132" w:type="dxa"/>
            <w:tcBorders>
              <w:bottom w:val="single" w:sz="12" w:space="0" w:color="000000"/>
            </w:tcBorders>
            <w:shd w:fill="CCEE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(204,000</w:t>
            </w:r>
          </w:p>
        </w:tc>
        <w:tc>
          <w:tcPr>
            <w:tcW w:w="99" w:type="dxa"/>
            <w:tcBorders/>
            <w:shd w:fill="CCEEFF" w:val="clear"/>
            <w:vAlign w:val="bottom"/>
          </w:tcPr>
          <w:p>
            <w:pPr>
              <w:pStyle w:val="TableContents"/>
              <w:spacing w:before="0" w:after="283"/>
              <w:jc w:val="left"/>
              <w:rPr>
                <w:rFonts w:ascii="helvetica" w:hAnsi="helvetica"/>
                <w:sz w:val="20"/>
              </w:rPr>
            </w:pPr>
            <w:r>
              <w:rPr>
                <w:rFonts w:ascii="helvetica" w:hAnsi="helvetica"/>
                <w:sz w:val="20"/>
              </w:rPr>
              <w:t>)</w:t>
            </w:r>
          </w:p>
        </w:tc>
        <w:tc>
          <w:tcPr>
            <w:tcW w:w="81" w:type="dxa"/>
            <w:tcBorders/>
            <w:shd w:fill="CCEEFF" w:val="clear"/>
            <w:vAlign w:val="bottom"/>
          </w:tcPr>
          <w:p>
            <w:pPr>
              <w:pStyle w:val="TableContents"/>
              <w:spacing w:before="0" w:after="283"/>
              <w:rPr/>
            </w:pPr>
            <w:r>
              <w:rPr/>
              <w:t> </w:t>
            </w:r>
          </w:p>
        </w:tc>
        <w:tc>
          <w:tcPr>
            <w:tcW w:w="141"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45" w:type="dxa"/>
            <w:tcBorders>
              <w:bottom w:val="single" w:sz="12" w:space="0" w:color="000000"/>
            </w:tcBorders>
            <w:shd w:fill="CCEE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(204,000</w:t>
            </w:r>
          </w:p>
        </w:tc>
        <w:tc>
          <w:tcPr>
            <w:tcW w:w="123" w:type="dxa"/>
            <w:tcBorders/>
            <w:shd w:fill="CCEEFF" w:val="clear"/>
            <w:vAlign w:val="bottom"/>
          </w:tcPr>
          <w:p>
            <w:pPr>
              <w:pStyle w:val="TableContents"/>
              <w:spacing w:before="0" w:after="283"/>
              <w:jc w:val="left"/>
              <w:rPr>
                <w:rFonts w:ascii="helvetica" w:hAnsi="helvetica"/>
                <w:sz w:val="20"/>
              </w:rPr>
            </w:pPr>
            <w:r>
              <w:rPr>
                <w:rFonts w:ascii="helvetica" w:hAnsi="helvetica"/>
                <w:sz w:val="20"/>
              </w:rPr>
              <w:t>)</w:t>
            </w:r>
          </w:p>
        </w:tc>
      </w:tr>
      <w:tr>
        <w:trPr/>
        <w:tc>
          <w:tcPr>
            <w:tcW w:w="2070" w:type="dxa"/>
            <w:tcBorders/>
            <w:shd w:fill="FFFFFF" w:val="clear"/>
            <w:vAlign w:val="bottom"/>
          </w:tcPr>
          <w:p>
            <w:pPr>
              <w:pStyle w:val="TableContents"/>
              <w:spacing w:before="0" w:after="0"/>
              <w:ind w:left="0" w:right="0" w:hanging="0"/>
              <w:jc w:val="left"/>
              <w:rPr/>
            </w:pPr>
            <w:r>
              <w:rPr/>
              <w:t> </w:t>
            </w:r>
            <w:r>
              <w:rPr>
                <w:rFonts w:ascii="helvetica" w:hAnsi="helvetica"/>
                <w:sz w:val="20"/>
              </w:rPr>
              <w:t>Balance at December 31, 1999</w:t>
            </w:r>
          </w:p>
        </w:tc>
        <w:tc>
          <w:tcPr>
            <w:tcW w:w="81" w:type="dxa"/>
            <w:tcBorders/>
            <w:shd w:fill="FFFFFF" w:val="clear"/>
            <w:vAlign w:val="bottom"/>
          </w:tcPr>
          <w:p>
            <w:pPr>
              <w:pStyle w:val="TableContents"/>
              <w:spacing w:before="0" w:after="283"/>
              <w:rPr/>
            </w:pPr>
            <w:r>
              <w:rPr/>
              <w:t> </w:t>
            </w:r>
          </w:p>
        </w:tc>
        <w:tc>
          <w:tcPr>
            <w:tcW w:w="135" w:type="dxa"/>
            <w:tcBorders/>
            <w:shd w:fill="FFFFFF" w:val="clear"/>
            <w:vAlign w:val="bottom"/>
          </w:tcPr>
          <w:p>
            <w:pPr>
              <w:pStyle w:val="TableContents"/>
              <w:spacing w:before="0" w:after="283"/>
              <w:jc w:val="left"/>
              <w:rPr/>
            </w:pPr>
            <w:r>
              <w:rPr/>
              <w:t> </w:t>
            </w:r>
          </w:p>
        </w:tc>
        <w:tc>
          <w:tcPr>
            <w:tcW w:w="586"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w:t>
            </w:r>
          </w:p>
        </w:tc>
        <w:tc>
          <w:tcPr>
            <w:tcW w:w="92" w:type="dxa"/>
            <w:tcBorders/>
            <w:shd w:fill="FFFFFF" w:val="clear"/>
            <w:vAlign w:val="bottom"/>
          </w:tcPr>
          <w:p>
            <w:pPr>
              <w:pStyle w:val="TableContents"/>
              <w:spacing w:before="0" w:after="283"/>
              <w:jc w:val="left"/>
              <w:rPr/>
            </w:pPr>
            <w:r>
              <w:rPr/>
              <w:t> </w:t>
            </w:r>
          </w:p>
        </w:tc>
        <w:tc>
          <w:tcPr>
            <w:tcW w:w="92" w:type="dxa"/>
            <w:tcBorders/>
            <w:shd w:fill="FFFFFF" w:val="clear"/>
            <w:vAlign w:val="bottom"/>
          </w:tcPr>
          <w:p>
            <w:pPr>
              <w:pStyle w:val="TableContents"/>
              <w:spacing w:before="0" w:after="283"/>
              <w:rPr/>
            </w:pPr>
            <w:r>
              <w:rPr/>
              <w:t> </w:t>
            </w:r>
          </w:p>
        </w:tc>
        <w:tc>
          <w:tcPr>
            <w:tcW w:w="292" w:type="dxa"/>
            <w:tcBorders/>
            <w:shd w:fill="FFFFFF" w:val="clear"/>
            <w:vAlign w:val="bottom"/>
          </w:tcPr>
          <w:p>
            <w:pPr>
              <w:pStyle w:val="TableContents"/>
              <w:spacing w:before="0" w:after="283"/>
              <w:jc w:val="left"/>
              <w:rPr/>
            </w:pPr>
            <w:r>
              <w:rPr/>
              <w:t> </w:t>
            </w:r>
          </w:p>
        </w:tc>
        <w:tc>
          <w:tcPr>
            <w:tcW w:w="334"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w:t>
            </w:r>
          </w:p>
        </w:tc>
        <w:tc>
          <w:tcPr>
            <w:tcW w:w="81"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81" w:type="dxa"/>
            <w:tcBorders/>
            <w:shd w:fill="FFFFFF" w:val="clear"/>
            <w:vAlign w:val="bottom"/>
          </w:tcPr>
          <w:p>
            <w:pPr>
              <w:pStyle w:val="TableContents"/>
              <w:spacing w:before="0" w:after="283"/>
              <w:jc w:val="left"/>
              <w:rPr/>
            </w:pPr>
            <w:r>
              <w:rPr/>
              <w:t> </w:t>
            </w:r>
          </w:p>
        </w:tc>
        <w:tc>
          <w:tcPr>
            <w:tcW w:w="982"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w:t>
            </w:r>
          </w:p>
        </w:tc>
        <w:tc>
          <w:tcPr>
            <w:tcW w:w="99"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139" w:type="dxa"/>
            <w:tcBorders/>
            <w:shd w:fill="FFFFFF" w:val="clear"/>
            <w:vAlign w:val="bottom"/>
          </w:tcPr>
          <w:p>
            <w:pPr>
              <w:pStyle w:val="TableContents"/>
              <w:spacing w:before="0" w:after="283"/>
              <w:jc w:val="left"/>
              <w:rPr/>
            </w:pPr>
            <w:r>
              <w:rPr/>
              <w:t> </w:t>
            </w:r>
          </w:p>
        </w:tc>
        <w:tc>
          <w:tcPr>
            <w:tcW w:w="641"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w:t>
            </w:r>
          </w:p>
        </w:tc>
        <w:tc>
          <w:tcPr>
            <w:tcW w:w="99"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283"/>
              <w:jc w:val="left"/>
              <w:rPr/>
            </w:pPr>
            <w:r>
              <w:rPr/>
              <w:t> </w:t>
            </w:r>
          </w:p>
        </w:tc>
        <w:tc>
          <w:tcPr>
            <w:tcW w:w="1077"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300,000</w:t>
            </w:r>
          </w:p>
        </w:tc>
        <w:tc>
          <w:tcPr>
            <w:tcW w:w="99"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283"/>
              <w:jc w:val="left"/>
              <w:rPr/>
            </w:pPr>
            <w:r>
              <w:rPr/>
              <w:t> </w:t>
            </w:r>
          </w:p>
        </w:tc>
        <w:tc>
          <w:tcPr>
            <w:tcW w:w="1132"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(304,000</w:t>
            </w:r>
          </w:p>
        </w:tc>
        <w:tc>
          <w:tcPr>
            <w:tcW w:w="99" w:type="dxa"/>
            <w:tcBorders/>
            <w:shd w:fill="FFFFFF" w:val="clear"/>
            <w:vAlign w:val="bottom"/>
          </w:tcPr>
          <w:p>
            <w:pPr>
              <w:pStyle w:val="TableContents"/>
              <w:spacing w:before="0" w:after="283"/>
              <w:jc w:val="left"/>
              <w:rPr>
                <w:rFonts w:ascii="helvetica" w:hAnsi="helvetica"/>
                <w:sz w:val="20"/>
              </w:rPr>
            </w:pPr>
            <w:r>
              <w:rPr>
                <w:rFonts w:ascii="helvetica" w:hAnsi="helvetica"/>
                <w:sz w:val="20"/>
              </w:rPr>
              <w:t>)</w:t>
            </w:r>
          </w:p>
        </w:tc>
        <w:tc>
          <w:tcPr>
            <w:tcW w:w="81" w:type="dxa"/>
            <w:tcBorders/>
            <w:shd w:fill="FFFFFF" w:val="clear"/>
            <w:vAlign w:val="bottom"/>
          </w:tcPr>
          <w:p>
            <w:pPr>
              <w:pStyle w:val="TableContents"/>
              <w:spacing w:before="0" w:after="283"/>
              <w:rPr/>
            </w:pPr>
            <w:r>
              <w:rPr/>
              <w:t> </w:t>
            </w:r>
          </w:p>
        </w:tc>
        <w:tc>
          <w:tcPr>
            <w:tcW w:w="141" w:type="dxa"/>
            <w:tcBorders/>
            <w:shd w:fill="FFFFFF" w:val="clear"/>
            <w:vAlign w:val="bottom"/>
          </w:tcPr>
          <w:p>
            <w:pPr>
              <w:pStyle w:val="TableContents"/>
              <w:spacing w:before="0" w:after="283"/>
              <w:jc w:val="left"/>
              <w:rPr/>
            </w:pPr>
            <w:r>
              <w:rPr/>
              <w:t> </w:t>
            </w:r>
          </w:p>
        </w:tc>
        <w:tc>
          <w:tcPr>
            <w:tcW w:w="1045"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(4,000</w:t>
            </w:r>
          </w:p>
        </w:tc>
        <w:tc>
          <w:tcPr>
            <w:tcW w:w="123" w:type="dxa"/>
            <w:tcBorders/>
            <w:shd w:fill="FFFFFF" w:val="clear"/>
            <w:vAlign w:val="bottom"/>
          </w:tcPr>
          <w:p>
            <w:pPr>
              <w:pStyle w:val="TableContents"/>
              <w:spacing w:before="0" w:after="283"/>
              <w:jc w:val="left"/>
              <w:rPr>
                <w:rFonts w:ascii="helvetica" w:hAnsi="helvetica"/>
                <w:sz w:val="20"/>
              </w:rPr>
            </w:pPr>
            <w:r>
              <w:rPr>
                <w:rFonts w:ascii="helvetica" w:hAnsi="helvetica"/>
                <w:sz w:val="20"/>
              </w:rPr>
              <w:t>)</w:t>
            </w:r>
          </w:p>
        </w:tc>
      </w:tr>
      <w:tr>
        <w:trPr/>
        <w:tc>
          <w:tcPr>
            <w:tcW w:w="2070" w:type="dxa"/>
            <w:tcBorders/>
            <w:shd w:fill="CCEEFF" w:val="clear"/>
            <w:vAlign w:val="bottom"/>
          </w:tcPr>
          <w:p>
            <w:pPr>
              <w:pStyle w:val="TableContents"/>
              <w:spacing w:before="0" w:after="283"/>
              <w:rPr/>
            </w:pPr>
            <w:r>
              <w:rPr/>
              <w:t xml:space="preserve">  </w:t>
            </w:r>
          </w:p>
        </w:tc>
        <w:tc>
          <w:tcPr>
            <w:tcW w:w="81" w:type="dxa"/>
            <w:tcBorders/>
            <w:shd w:fill="CCEEFF" w:val="clear"/>
            <w:vAlign w:val="bottom"/>
          </w:tcPr>
          <w:p>
            <w:pPr>
              <w:pStyle w:val="TableContents"/>
              <w:spacing w:before="0" w:after="283"/>
              <w:rPr/>
            </w:pPr>
            <w:r>
              <w:rPr/>
              <w:t> </w:t>
            </w:r>
          </w:p>
        </w:tc>
        <w:tc>
          <w:tcPr>
            <w:tcW w:w="135" w:type="dxa"/>
            <w:tcBorders/>
            <w:shd w:fill="CCEEFF" w:val="clear"/>
            <w:vAlign w:val="bottom"/>
          </w:tcPr>
          <w:p>
            <w:pPr>
              <w:pStyle w:val="TableContents"/>
              <w:spacing w:before="0" w:after="283"/>
              <w:jc w:val="left"/>
              <w:rPr/>
            </w:pPr>
            <w:r>
              <w:rPr/>
              <w:t> </w:t>
            </w:r>
          </w:p>
        </w:tc>
        <w:tc>
          <w:tcPr>
            <w:tcW w:w="586" w:type="dxa"/>
            <w:tcBorders/>
            <w:shd w:fill="CCEEFF" w:val="clear"/>
            <w:vAlign w:val="bottom"/>
          </w:tcPr>
          <w:p>
            <w:pPr>
              <w:pStyle w:val="TableContents"/>
              <w:spacing w:before="0" w:after="283"/>
              <w:jc w:val="right"/>
              <w:rPr/>
            </w:pPr>
            <w:r>
              <w:rPr/>
              <w:t> </w:t>
            </w:r>
          </w:p>
        </w:tc>
        <w:tc>
          <w:tcPr>
            <w:tcW w:w="92" w:type="dxa"/>
            <w:tcBorders/>
            <w:shd w:fill="CCEEFF" w:val="clear"/>
            <w:vAlign w:val="bottom"/>
          </w:tcPr>
          <w:p>
            <w:pPr>
              <w:pStyle w:val="TableContents"/>
              <w:spacing w:before="0" w:after="283"/>
              <w:jc w:val="left"/>
              <w:rPr/>
            </w:pPr>
            <w:r>
              <w:rPr/>
              <w:t> </w:t>
            </w:r>
          </w:p>
        </w:tc>
        <w:tc>
          <w:tcPr>
            <w:tcW w:w="92" w:type="dxa"/>
            <w:tcBorders/>
            <w:shd w:fill="CCEEFF" w:val="clear"/>
            <w:vAlign w:val="bottom"/>
          </w:tcPr>
          <w:p>
            <w:pPr>
              <w:pStyle w:val="TableContents"/>
              <w:spacing w:before="0" w:after="283"/>
              <w:rPr/>
            </w:pPr>
            <w:r>
              <w:rPr/>
              <w:t> </w:t>
            </w:r>
          </w:p>
        </w:tc>
        <w:tc>
          <w:tcPr>
            <w:tcW w:w="292" w:type="dxa"/>
            <w:tcBorders/>
            <w:shd w:fill="CCEEFF" w:val="clear"/>
            <w:vAlign w:val="bottom"/>
          </w:tcPr>
          <w:p>
            <w:pPr>
              <w:pStyle w:val="TableContents"/>
              <w:spacing w:before="0" w:after="283"/>
              <w:jc w:val="left"/>
              <w:rPr/>
            </w:pPr>
            <w:r>
              <w:rPr/>
              <w:t> </w:t>
            </w:r>
          </w:p>
        </w:tc>
        <w:tc>
          <w:tcPr>
            <w:tcW w:w="334" w:type="dxa"/>
            <w:tcBorders/>
            <w:shd w:fill="CCEEFF" w:val="clear"/>
            <w:vAlign w:val="bottom"/>
          </w:tcPr>
          <w:p>
            <w:pPr>
              <w:pStyle w:val="TableContents"/>
              <w:spacing w:before="0" w:after="283"/>
              <w:jc w:val="right"/>
              <w:rPr/>
            </w:pPr>
            <w:r>
              <w:rPr/>
              <w:t> </w:t>
            </w:r>
          </w:p>
        </w:tc>
        <w:tc>
          <w:tcPr>
            <w:tcW w:w="81"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81" w:type="dxa"/>
            <w:tcBorders/>
            <w:shd w:fill="CCEEFF" w:val="clear"/>
            <w:vAlign w:val="bottom"/>
          </w:tcPr>
          <w:p>
            <w:pPr>
              <w:pStyle w:val="TableContents"/>
              <w:spacing w:before="0" w:after="283"/>
              <w:jc w:val="left"/>
              <w:rPr/>
            </w:pPr>
            <w:r>
              <w:rPr/>
              <w:t> </w:t>
            </w:r>
          </w:p>
        </w:tc>
        <w:tc>
          <w:tcPr>
            <w:tcW w:w="982" w:type="dxa"/>
            <w:tcBorders/>
            <w:shd w:fill="CCEEFF" w:val="clear"/>
            <w:vAlign w:val="bottom"/>
          </w:tcPr>
          <w:p>
            <w:pPr>
              <w:pStyle w:val="TableContents"/>
              <w:spacing w:before="0" w:after="283"/>
              <w:jc w:val="right"/>
              <w:rPr/>
            </w:pPr>
            <w:r>
              <w:rPr/>
              <w:t> </w:t>
            </w:r>
          </w:p>
        </w:tc>
        <w:tc>
          <w:tcPr>
            <w:tcW w:w="99"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139" w:type="dxa"/>
            <w:tcBorders/>
            <w:shd w:fill="CCEEFF" w:val="clear"/>
            <w:vAlign w:val="bottom"/>
          </w:tcPr>
          <w:p>
            <w:pPr>
              <w:pStyle w:val="TableContents"/>
              <w:spacing w:before="0" w:after="283"/>
              <w:jc w:val="left"/>
              <w:rPr/>
            </w:pPr>
            <w:r>
              <w:rPr/>
              <w:t> </w:t>
            </w:r>
          </w:p>
        </w:tc>
        <w:tc>
          <w:tcPr>
            <w:tcW w:w="641" w:type="dxa"/>
            <w:tcBorders/>
            <w:shd w:fill="CCEEFF" w:val="clear"/>
            <w:vAlign w:val="bottom"/>
          </w:tcPr>
          <w:p>
            <w:pPr>
              <w:pStyle w:val="TableContents"/>
              <w:spacing w:before="0" w:after="283"/>
              <w:jc w:val="right"/>
              <w:rPr/>
            </w:pPr>
            <w:r>
              <w:rPr/>
              <w:t> </w:t>
            </w:r>
          </w:p>
        </w:tc>
        <w:tc>
          <w:tcPr>
            <w:tcW w:w="99"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jc w:val="left"/>
              <w:rPr/>
            </w:pPr>
            <w:r>
              <w:rPr/>
              <w:t> </w:t>
            </w:r>
          </w:p>
        </w:tc>
        <w:tc>
          <w:tcPr>
            <w:tcW w:w="1077" w:type="dxa"/>
            <w:tcBorders/>
            <w:shd w:fill="CCEEFF" w:val="clear"/>
            <w:vAlign w:val="bottom"/>
          </w:tcPr>
          <w:p>
            <w:pPr>
              <w:pStyle w:val="TableContents"/>
              <w:spacing w:before="0" w:after="283"/>
              <w:jc w:val="right"/>
              <w:rPr/>
            </w:pPr>
            <w:r>
              <w:rPr/>
              <w:t> </w:t>
            </w:r>
          </w:p>
        </w:tc>
        <w:tc>
          <w:tcPr>
            <w:tcW w:w="99"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jc w:val="left"/>
              <w:rPr/>
            </w:pPr>
            <w:r>
              <w:rPr/>
              <w:t> </w:t>
            </w:r>
          </w:p>
        </w:tc>
        <w:tc>
          <w:tcPr>
            <w:tcW w:w="1132" w:type="dxa"/>
            <w:tcBorders/>
            <w:shd w:fill="CCEEFF" w:val="clear"/>
            <w:vAlign w:val="bottom"/>
          </w:tcPr>
          <w:p>
            <w:pPr>
              <w:pStyle w:val="TableContents"/>
              <w:spacing w:before="0" w:after="283"/>
              <w:jc w:val="right"/>
              <w:rPr/>
            </w:pPr>
            <w:r>
              <w:rPr/>
              <w:t> </w:t>
            </w:r>
          </w:p>
        </w:tc>
        <w:tc>
          <w:tcPr>
            <w:tcW w:w="99"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141" w:type="dxa"/>
            <w:tcBorders/>
            <w:shd w:fill="CCEEFF" w:val="clear"/>
            <w:vAlign w:val="bottom"/>
          </w:tcPr>
          <w:p>
            <w:pPr>
              <w:pStyle w:val="TableContents"/>
              <w:spacing w:before="0" w:after="283"/>
              <w:jc w:val="left"/>
              <w:rPr/>
            </w:pPr>
            <w:r>
              <w:rPr/>
              <w:t> </w:t>
            </w:r>
          </w:p>
        </w:tc>
        <w:tc>
          <w:tcPr>
            <w:tcW w:w="1045" w:type="dxa"/>
            <w:tcBorders/>
            <w:shd w:fill="CCEEFF" w:val="clear"/>
            <w:vAlign w:val="bottom"/>
          </w:tcPr>
          <w:p>
            <w:pPr>
              <w:pStyle w:val="TableContents"/>
              <w:spacing w:before="0" w:after="283"/>
              <w:jc w:val="right"/>
              <w:rPr/>
            </w:pPr>
            <w:r>
              <w:rPr/>
              <w:t> </w:t>
            </w:r>
          </w:p>
        </w:tc>
        <w:tc>
          <w:tcPr>
            <w:tcW w:w="123" w:type="dxa"/>
            <w:tcBorders/>
            <w:shd w:fill="CCEEFF" w:val="clear"/>
            <w:vAlign w:val="bottom"/>
          </w:tcPr>
          <w:p>
            <w:pPr>
              <w:pStyle w:val="TableContents"/>
              <w:spacing w:before="0" w:after="283"/>
              <w:jc w:val="left"/>
              <w:rPr/>
            </w:pPr>
            <w:r>
              <w:rPr/>
              <w:t> </w:t>
            </w:r>
          </w:p>
        </w:tc>
      </w:tr>
      <w:tr>
        <w:trPr/>
        <w:tc>
          <w:tcPr>
            <w:tcW w:w="2070" w:type="dxa"/>
            <w:tcBorders/>
            <w:shd w:fill="FFFFFF" w:val="clear"/>
            <w:vAlign w:val="bottom"/>
          </w:tcPr>
          <w:p>
            <w:pPr>
              <w:pStyle w:val="TableContents"/>
              <w:spacing w:before="0" w:after="0"/>
              <w:ind w:left="0" w:right="0" w:hanging="0"/>
              <w:jc w:val="left"/>
              <w:rPr/>
            </w:pPr>
            <w:r>
              <w:rPr/>
              <w:t> </w:t>
            </w:r>
            <w:r>
              <w:rPr>
                <w:rFonts w:ascii="helvetica" w:hAnsi="helvetica"/>
                <w:sz w:val="20"/>
              </w:rPr>
              <w:t>Issuance of common stock at $0.0512 per share in</w:t>
            </w:r>
          </w:p>
        </w:tc>
        <w:tc>
          <w:tcPr>
            <w:tcW w:w="81" w:type="dxa"/>
            <w:tcBorders/>
            <w:shd w:fill="FFFFFF" w:val="clear"/>
            <w:vAlign w:val="bottom"/>
          </w:tcPr>
          <w:p>
            <w:pPr>
              <w:pStyle w:val="TableContents"/>
              <w:spacing w:before="0" w:after="283"/>
              <w:rPr/>
            </w:pPr>
            <w:r>
              <w:rPr/>
              <w:t> </w:t>
            </w:r>
          </w:p>
        </w:tc>
        <w:tc>
          <w:tcPr>
            <w:tcW w:w="135" w:type="dxa"/>
            <w:tcBorders/>
            <w:shd w:fill="FFFFFF" w:val="clear"/>
            <w:vAlign w:val="bottom"/>
          </w:tcPr>
          <w:p>
            <w:pPr>
              <w:pStyle w:val="TableContents"/>
              <w:spacing w:before="0" w:after="283"/>
              <w:jc w:val="left"/>
              <w:rPr/>
            </w:pPr>
            <w:r>
              <w:rPr/>
              <w:t> </w:t>
            </w:r>
          </w:p>
        </w:tc>
        <w:tc>
          <w:tcPr>
            <w:tcW w:w="586" w:type="dxa"/>
            <w:tcBorders/>
            <w:shd w:fill="FFFFFF" w:val="clear"/>
            <w:vAlign w:val="bottom"/>
          </w:tcPr>
          <w:p>
            <w:pPr>
              <w:pStyle w:val="TableContents"/>
              <w:spacing w:before="0" w:after="283"/>
              <w:jc w:val="right"/>
              <w:rPr/>
            </w:pPr>
            <w:r>
              <w:rPr/>
              <w:t> </w:t>
            </w:r>
          </w:p>
        </w:tc>
        <w:tc>
          <w:tcPr>
            <w:tcW w:w="92" w:type="dxa"/>
            <w:tcBorders/>
            <w:shd w:fill="FFFFFF" w:val="clear"/>
            <w:vAlign w:val="bottom"/>
          </w:tcPr>
          <w:p>
            <w:pPr>
              <w:pStyle w:val="TableContents"/>
              <w:spacing w:before="0" w:after="283"/>
              <w:jc w:val="left"/>
              <w:rPr/>
            </w:pPr>
            <w:r>
              <w:rPr/>
              <w:t> </w:t>
            </w:r>
          </w:p>
        </w:tc>
        <w:tc>
          <w:tcPr>
            <w:tcW w:w="92" w:type="dxa"/>
            <w:tcBorders/>
            <w:shd w:fill="FFFFFF" w:val="clear"/>
            <w:vAlign w:val="bottom"/>
          </w:tcPr>
          <w:p>
            <w:pPr>
              <w:pStyle w:val="TableContents"/>
              <w:spacing w:before="0" w:after="283"/>
              <w:rPr/>
            </w:pPr>
            <w:r>
              <w:rPr/>
              <w:t> </w:t>
            </w:r>
          </w:p>
        </w:tc>
        <w:tc>
          <w:tcPr>
            <w:tcW w:w="292" w:type="dxa"/>
            <w:tcBorders/>
            <w:shd w:fill="FFFFFF" w:val="clear"/>
            <w:vAlign w:val="bottom"/>
          </w:tcPr>
          <w:p>
            <w:pPr>
              <w:pStyle w:val="TableContents"/>
              <w:spacing w:before="0" w:after="283"/>
              <w:jc w:val="left"/>
              <w:rPr/>
            </w:pPr>
            <w:r>
              <w:rPr/>
              <w:t> </w:t>
            </w:r>
          </w:p>
        </w:tc>
        <w:tc>
          <w:tcPr>
            <w:tcW w:w="334" w:type="dxa"/>
            <w:tcBorders/>
            <w:shd w:fill="FFFFFF" w:val="clear"/>
            <w:vAlign w:val="bottom"/>
          </w:tcPr>
          <w:p>
            <w:pPr>
              <w:pStyle w:val="TableContents"/>
              <w:spacing w:before="0" w:after="283"/>
              <w:jc w:val="right"/>
              <w:rPr/>
            </w:pPr>
            <w:r>
              <w:rPr/>
              <w:t> </w:t>
            </w:r>
          </w:p>
        </w:tc>
        <w:tc>
          <w:tcPr>
            <w:tcW w:w="81"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81" w:type="dxa"/>
            <w:tcBorders/>
            <w:shd w:fill="FFFFFF" w:val="clear"/>
            <w:vAlign w:val="bottom"/>
          </w:tcPr>
          <w:p>
            <w:pPr>
              <w:pStyle w:val="TableContents"/>
              <w:spacing w:before="0" w:after="283"/>
              <w:jc w:val="left"/>
              <w:rPr/>
            </w:pPr>
            <w:r>
              <w:rPr/>
              <w:t> </w:t>
            </w:r>
          </w:p>
        </w:tc>
        <w:tc>
          <w:tcPr>
            <w:tcW w:w="982" w:type="dxa"/>
            <w:tcBorders/>
            <w:shd w:fill="FFFFFF" w:val="clear"/>
            <w:vAlign w:val="bottom"/>
          </w:tcPr>
          <w:p>
            <w:pPr>
              <w:pStyle w:val="TableContents"/>
              <w:spacing w:before="0" w:after="283"/>
              <w:jc w:val="right"/>
              <w:rPr/>
            </w:pPr>
            <w:r>
              <w:rPr/>
              <w:t> </w:t>
            </w:r>
          </w:p>
        </w:tc>
        <w:tc>
          <w:tcPr>
            <w:tcW w:w="99"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139" w:type="dxa"/>
            <w:tcBorders/>
            <w:shd w:fill="FFFFFF" w:val="clear"/>
            <w:vAlign w:val="bottom"/>
          </w:tcPr>
          <w:p>
            <w:pPr>
              <w:pStyle w:val="TableContents"/>
              <w:spacing w:before="0" w:after="283"/>
              <w:jc w:val="left"/>
              <w:rPr/>
            </w:pPr>
            <w:r>
              <w:rPr/>
              <w:t> </w:t>
            </w:r>
          </w:p>
        </w:tc>
        <w:tc>
          <w:tcPr>
            <w:tcW w:w="641" w:type="dxa"/>
            <w:tcBorders/>
            <w:shd w:fill="FFFFFF" w:val="clear"/>
            <w:vAlign w:val="bottom"/>
          </w:tcPr>
          <w:p>
            <w:pPr>
              <w:pStyle w:val="TableContents"/>
              <w:spacing w:before="0" w:after="283"/>
              <w:jc w:val="right"/>
              <w:rPr/>
            </w:pPr>
            <w:r>
              <w:rPr/>
              <w:t> </w:t>
            </w:r>
          </w:p>
        </w:tc>
        <w:tc>
          <w:tcPr>
            <w:tcW w:w="99"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283"/>
              <w:jc w:val="left"/>
              <w:rPr/>
            </w:pPr>
            <w:r>
              <w:rPr/>
              <w:t> </w:t>
            </w:r>
          </w:p>
        </w:tc>
        <w:tc>
          <w:tcPr>
            <w:tcW w:w="1077" w:type="dxa"/>
            <w:tcBorders/>
            <w:shd w:fill="FFFFFF" w:val="clear"/>
            <w:vAlign w:val="bottom"/>
          </w:tcPr>
          <w:p>
            <w:pPr>
              <w:pStyle w:val="TableContents"/>
              <w:spacing w:before="0" w:after="283"/>
              <w:jc w:val="right"/>
              <w:rPr/>
            </w:pPr>
            <w:r>
              <w:rPr/>
              <w:t> </w:t>
            </w:r>
          </w:p>
        </w:tc>
        <w:tc>
          <w:tcPr>
            <w:tcW w:w="99"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283"/>
              <w:jc w:val="left"/>
              <w:rPr/>
            </w:pPr>
            <w:r>
              <w:rPr/>
              <w:t> </w:t>
            </w:r>
          </w:p>
        </w:tc>
        <w:tc>
          <w:tcPr>
            <w:tcW w:w="1132" w:type="dxa"/>
            <w:tcBorders/>
            <w:shd w:fill="FFFFFF" w:val="clear"/>
            <w:vAlign w:val="bottom"/>
          </w:tcPr>
          <w:p>
            <w:pPr>
              <w:pStyle w:val="TableContents"/>
              <w:spacing w:before="0" w:after="283"/>
              <w:jc w:val="right"/>
              <w:rPr/>
            </w:pPr>
            <w:r>
              <w:rPr/>
              <w:t> </w:t>
            </w:r>
          </w:p>
        </w:tc>
        <w:tc>
          <w:tcPr>
            <w:tcW w:w="99"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141" w:type="dxa"/>
            <w:tcBorders/>
            <w:shd w:fill="FFFFFF" w:val="clear"/>
            <w:vAlign w:val="bottom"/>
          </w:tcPr>
          <w:p>
            <w:pPr>
              <w:pStyle w:val="TableContents"/>
              <w:spacing w:before="0" w:after="283"/>
              <w:jc w:val="left"/>
              <w:rPr/>
            </w:pPr>
            <w:r>
              <w:rPr/>
              <w:t> </w:t>
            </w:r>
          </w:p>
        </w:tc>
        <w:tc>
          <w:tcPr>
            <w:tcW w:w="1045" w:type="dxa"/>
            <w:tcBorders/>
            <w:shd w:fill="FFFFFF" w:val="clear"/>
            <w:vAlign w:val="bottom"/>
          </w:tcPr>
          <w:p>
            <w:pPr>
              <w:pStyle w:val="TableContents"/>
              <w:spacing w:before="0" w:after="283"/>
              <w:jc w:val="right"/>
              <w:rPr/>
            </w:pPr>
            <w:r>
              <w:rPr/>
              <w:t> </w:t>
            </w:r>
          </w:p>
        </w:tc>
        <w:tc>
          <w:tcPr>
            <w:tcW w:w="123" w:type="dxa"/>
            <w:tcBorders/>
            <w:shd w:fill="FFFFFF" w:val="clear"/>
            <w:vAlign w:val="bottom"/>
          </w:tcPr>
          <w:p>
            <w:pPr>
              <w:pStyle w:val="TableContents"/>
              <w:spacing w:before="0" w:after="283"/>
              <w:jc w:val="left"/>
              <w:rPr/>
            </w:pPr>
            <w:r>
              <w:rPr/>
              <w:t> </w:t>
            </w:r>
          </w:p>
        </w:tc>
      </w:tr>
      <w:tr>
        <w:trPr/>
        <w:tc>
          <w:tcPr>
            <w:tcW w:w="2070" w:type="dxa"/>
            <w:tcBorders/>
            <w:shd w:fill="CCEEFF" w:val="clear"/>
            <w:vAlign w:val="bottom"/>
          </w:tcPr>
          <w:p>
            <w:pPr>
              <w:pStyle w:val="TableContents"/>
              <w:spacing w:before="0" w:after="0"/>
              <w:ind w:left="0" w:right="0" w:hanging="0"/>
              <w:jc w:val="left"/>
              <w:rPr/>
            </w:pPr>
            <w:r>
              <w:rPr/>
              <w:t>   </w:t>
            </w:r>
            <w:r>
              <w:rPr>
                <w:rFonts w:ascii="helvetica" w:hAnsi="helvetica"/>
                <w:sz w:val="20"/>
              </w:rPr>
              <w:t>May and June 2000</w:t>
            </w:r>
          </w:p>
        </w:tc>
        <w:tc>
          <w:tcPr>
            <w:tcW w:w="81" w:type="dxa"/>
            <w:tcBorders/>
            <w:shd w:fill="CCEEFF" w:val="clear"/>
            <w:vAlign w:val="bottom"/>
          </w:tcPr>
          <w:p>
            <w:pPr>
              <w:pStyle w:val="TableContents"/>
              <w:spacing w:before="0" w:after="283"/>
              <w:rPr/>
            </w:pPr>
            <w:r>
              <w:rPr/>
              <w:t> </w:t>
            </w:r>
          </w:p>
        </w:tc>
        <w:tc>
          <w:tcPr>
            <w:tcW w:w="135" w:type="dxa"/>
            <w:tcBorders/>
            <w:shd w:fill="CCEEFF" w:val="clear"/>
            <w:vAlign w:val="bottom"/>
          </w:tcPr>
          <w:p>
            <w:pPr>
              <w:pStyle w:val="TableContents"/>
              <w:spacing w:before="0" w:after="283"/>
              <w:jc w:val="left"/>
              <w:rPr/>
            </w:pPr>
            <w:r>
              <w:rPr/>
              <w:t> </w:t>
            </w:r>
          </w:p>
        </w:tc>
        <w:tc>
          <w:tcPr>
            <w:tcW w:w="586"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w:t>
            </w:r>
          </w:p>
        </w:tc>
        <w:tc>
          <w:tcPr>
            <w:tcW w:w="92" w:type="dxa"/>
            <w:tcBorders/>
            <w:shd w:fill="CCEEFF" w:val="clear"/>
            <w:vAlign w:val="bottom"/>
          </w:tcPr>
          <w:p>
            <w:pPr>
              <w:pStyle w:val="TableContents"/>
              <w:spacing w:before="0" w:after="283"/>
              <w:jc w:val="left"/>
              <w:rPr/>
            </w:pPr>
            <w:r>
              <w:rPr/>
              <w:t> </w:t>
            </w:r>
          </w:p>
        </w:tc>
        <w:tc>
          <w:tcPr>
            <w:tcW w:w="92" w:type="dxa"/>
            <w:tcBorders/>
            <w:shd w:fill="CCEEFF" w:val="clear"/>
            <w:vAlign w:val="bottom"/>
          </w:tcPr>
          <w:p>
            <w:pPr>
              <w:pStyle w:val="TableContents"/>
              <w:spacing w:before="0" w:after="283"/>
              <w:rPr/>
            </w:pPr>
            <w:r>
              <w:rPr/>
              <w:t> </w:t>
            </w:r>
          </w:p>
        </w:tc>
        <w:tc>
          <w:tcPr>
            <w:tcW w:w="292" w:type="dxa"/>
            <w:tcBorders/>
            <w:shd w:fill="CCEEFF" w:val="clear"/>
            <w:vAlign w:val="bottom"/>
          </w:tcPr>
          <w:p>
            <w:pPr>
              <w:pStyle w:val="TableContents"/>
              <w:spacing w:before="0" w:after="283"/>
              <w:jc w:val="left"/>
              <w:rPr/>
            </w:pPr>
            <w:r>
              <w:rPr/>
              <w:t> </w:t>
            </w:r>
          </w:p>
        </w:tc>
        <w:tc>
          <w:tcPr>
            <w:tcW w:w="334"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w:t>
            </w:r>
          </w:p>
        </w:tc>
        <w:tc>
          <w:tcPr>
            <w:tcW w:w="81"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81" w:type="dxa"/>
            <w:tcBorders/>
            <w:shd w:fill="CCEEFF" w:val="clear"/>
            <w:vAlign w:val="bottom"/>
          </w:tcPr>
          <w:p>
            <w:pPr>
              <w:pStyle w:val="TableContents"/>
              <w:spacing w:before="0" w:after="283"/>
              <w:jc w:val="left"/>
              <w:rPr/>
            </w:pPr>
            <w:r>
              <w:rPr/>
              <w:t> </w:t>
            </w:r>
          </w:p>
        </w:tc>
        <w:tc>
          <w:tcPr>
            <w:tcW w:w="982"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117,188</w:t>
            </w:r>
          </w:p>
        </w:tc>
        <w:tc>
          <w:tcPr>
            <w:tcW w:w="99"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139" w:type="dxa"/>
            <w:tcBorders/>
            <w:shd w:fill="CCEEFF" w:val="clear"/>
            <w:vAlign w:val="bottom"/>
          </w:tcPr>
          <w:p>
            <w:pPr>
              <w:pStyle w:val="TableContents"/>
              <w:spacing w:before="0" w:after="283"/>
              <w:jc w:val="left"/>
              <w:rPr/>
            </w:pPr>
            <w:r>
              <w:rPr/>
              <w:t> </w:t>
            </w:r>
          </w:p>
        </w:tc>
        <w:tc>
          <w:tcPr>
            <w:tcW w:w="641"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117</w:t>
            </w:r>
          </w:p>
        </w:tc>
        <w:tc>
          <w:tcPr>
            <w:tcW w:w="99"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jc w:val="left"/>
              <w:rPr/>
            </w:pPr>
            <w:r>
              <w:rPr/>
              <w:t> </w:t>
            </w:r>
          </w:p>
        </w:tc>
        <w:tc>
          <w:tcPr>
            <w:tcW w:w="1077"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5,883</w:t>
            </w:r>
          </w:p>
        </w:tc>
        <w:tc>
          <w:tcPr>
            <w:tcW w:w="99"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jc w:val="left"/>
              <w:rPr/>
            </w:pPr>
            <w:r>
              <w:rPr/>
              <w:t> </w:t>
            </w:r>
          </w:p>
        </w:tc>
        <w:tc>
          <w:tcPr>
            <w:tcW w:w="1132"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w:t>
            </w:r>
          </w:p>
        </w:tc>
        <w:tc>
          <w:tcPr>
            <w:tcW w:w="99"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141" w:type="dxa"/>
            <w:tcBorders/>
            <w:shd w:fill="CCEEFF" w:val="clear"/>
            <w:vAlign w:val="bottom"/>
          </w:tcPr>
          <w:p>
            <w:pPr>
              <w:pStyle w:val="TableContents"/>
              <w:spacing w:before="0" w:after="283"/>
              <w:jc w:val="left"/>
              <w:rPr/>
            </w:pPr>
            <w:r>
              <w:rPr/>
              <w:t> </w:t>
            </w:r>
          </w:p>
        </w:tc>
        <w:tc>
          <w:tcPr>
            <w:tcW w:w="1045"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6,000</w:t>
            </w:r>
          </w:p>
        </w:tc>
        <w:tc>
          <w:tcPr>
            <w:tcW w:w="123" w:type="dxa"/>
            <w:tcBorders/>
            <w:shd w:fill="CCEEFF" w:val="clear"/>
            <w:vAlign w:val="bottom"/>
          </w:tcPr>
          <w:p>
            <w:pPr>
              <w:pStyle w:val="TableContents"/>
              <w:spacing w:before="0" w:after="283"/>
              <w:jc w:val="left"/>
              <w:rPr/>
            </w:pPr>
            <w:r>
              <w:rPr/>
              <w:t> </w:t>
            </w:r>
          </w:p>
        </w:tc>
      </w:tr>
      <w:tr>
        <w:trPr/>
        <w:tc>
          <w:tcPr>
            <w:tcW w:w="2070" w:type="dxa"/>
            <w:tcBorders/>
            <w:shd w:fill="FFFFFF" w:val="clear"/>
            <w:vAlign w:val="bottom"/>
          </w:tcPr>
          <w:p>
            <w:pPr>
              <w:pStyle w:val="TableContents"/>
              <w:spacing w:before="0" w:after="0"/>
              <w:ind w:left="0" w:right="0" w:hanging="0"/>
              <w:jc w:val="left"/>
              <w:rPr/>
            </w:pPr>
            <w:r>
              <w:rPr/>
              <w:t> </w:t>
            </w:r>
            <w:r>
              <w:rPr>
                <w:rFonts w:ascii="helvetica" w:hAnsi="helvetica"/>
                <w:sz w:val="20"/>
              </w:rPr>
              <w:t>Estimated fair value of services contributed by</w:t>
            </w:r>
          </w:p>
        </w:tc>
        <w:tc>
          <w:tcPr>
            <w:tcW w:w="81" w:type="dxa"/>
            <w:tcBorders/>
            <w:shd w:fill="FFFFFF" w:val="clear"/>
            <w:vAlign w:val="bottom"/>
          </w:tcPr>
          <w:p>
            <w:pPr>
              <w:pStyle w:val="TableContents"/>
              <w:spacing w:before="0" w:after="283"/>
              <w:rPr/>
            </w:pPr>
            <w:r>
              <w:rPr/>
              <w:t> </w:t>
            </w:r>
          </w:p>
        </w:tc>
        <w:tc>
          <w:tcPr>
            <w:tcW w:w="135" w:type="dxa"/>
            <w:tcBorders/>
            <w:shd w:fill="FFFFFF" w:val="clear"/>
            <w:vAlign w:val="bottom"/>
          </w:tcPr>
          <w:p>
            <w:pPr>
              <w:pStyle w:val="TableContents"/>
              <w:spacing w:before="0" w:after="283"/>
              <w:jc w:val="left"/>
              <w:rPr/>
            </w:pPr>
            <w:r>
              <w:rPr/>
              <w:t> </w:t>
            </w:r>
          </w:p>
        </w:tc>
        <w:tc>
          <w:tcPr>
            <w:tcW w:w="586" w:type="dxa"/>
            <w:tcBorders/>
            <w:shd w:fill="FFFFFF" w:val="clear"/>
            <w:vAlign w:val="bottom"/>
          </w:tcPr>
          <w:p>
            <w:pPr>
              <w:pStyle w:val="TableContents"/>
              <w:spacing w:before="0" w:after="283"/>
              <w:jc w:val="right"/>
              <w:rPr/>
            </w:pPr>
            <w:r>
              <w:rPr/>
              <w:t> </w:t>
            </w:r>
          </w:p>
        </w:tc>
        <w:tc>
          <w:tcPr>
            <w:tcW w:w="92" w:type="dxa"/>
            <w:tcBorders/>
            <w:shd w:fill="FFFFFF" w:val="clear"/>
            <w:vAlign w:val="bottom"/>
          </w:tcPr>
          <w:p>
            <w:pPr>
              <w:pStyle w:val="TableContents"/>
              <w:spacing w:before="0" w:after="283"/>
              <w:jc w:val="left"/>
              <w:rPr/>
            </w:pPr>
            <w:r>
              <w:rPr/>
              <w:t> </w:t>
            </w:r>
          </w:p>
        </w:tc>
        <w:tc>
          <w:tcPr>
            <w:tcW w:w="92" w:type="dxa"/>
            <w:tcBorders/>
            <w:shd w:fill="FFFFFF" w:val="clear"/>
            <w:vAlign w:val="bottom"/>
          </w:tcPr>
          <w:p>
            <w:pPr>
              <w:pStyle w:val="TableContents"/>
              <w:spacing w:before="0" w:after="283"/>
              <w:rPr/>
            </w:pPr>
            <w:r>
              <w:rPr/>
              <w:t> </w:t>
            </w:r>
          </w:p>
        </w:tc>
        <w:tc>
          <w:tcPr>
            <w:tcW w:w="292" w:type="dxa"/>
            <w:tcBorders/>
            <w:shd w:fill="FFFFFF" w:val="clear"/>
            <w:vAlign w:val="bottom"/>
          </w:tcPr>
          <w:p>
            <w:pPr>
              <w:pStyle w:val="TableContents"/>
              <w:spacing w:before="0" w:after="283"/>
              <w:jc w:val="left"/>
              <w:rPr/>
            </w:pPr>
            <w:r>
              <w:rPr/>
              <w:t> </w:t>
            </w:r>
          </w:p>
        </w:tc>
        <w:tc>
          <w:tcPr>
            <w:tcW w:w="334" w:type="dxa"/>
            <w:tcBorders/>
            <w:shd w:fill="FFFFFF" w:val="clear"/>
            <w:vAlign w:val="bottom"/>
          </w:tcPr>
          <w:p>
            <w:pPr>
              <w:pStyle w:val="TableContents"/>
              <w:spacing w:before="0" w:after="283"/>
              <w:jc w:val="right"/>
              <w:rPr/>
            </w:pPr>
            <w:r>
              <w:rPr/>
              <w:t> </w:t>
            </w:r>
          </w:p>
        </w:tc>
        <w:tc>
          <w:tcPr>
            <w:tcW w:w="81"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81" w:type="dxa"/>
            <w:tcBorders/>
            <w:shd w:fill="FFFFFF" w:val="clear"/>
            <w:vAlign w:val="bottom"/>
          </w:tcPr>
          <w:p>
            <w:pPr>
              <w:pStyle w:val="TableContents"/>
              <w:spacing w:before="0" w:after="283"/>
              <w:jc w:val="left"/>
              <w:rPr/>
            </w:pPr>
            <w:r>
              <w:rPr/>
              <w:t> </w:t>
            </w:r>
          </w:p>
        </w:tc>
        <w:tc>
          <w:tcPr>
            <w:tcW w:w="982" w:type="dxa"/>
            <w:tcBorders/>
            <w:shd w:fill="FFFFFF" w:val="clear"/>
            <w:vAlign w:val="bottom"/>
          </w:tcPr>
          <w:p>
            <w:pPr>
              <w:pStyle w:val="TableContents"/>
              <w:spacing w:before="0" w:after="283"/>
              <w:jc w:val="right"/>
              <w:rPr/>
            </w:pPr>
            <w:r>
              <w:rPr/>
              <w:t> </w:t>
            </w:r>
          </w:p>
        </w:tc>
        <w:tc>
          <w:tcPr>
            <w:tcW w:w="99"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139" w:type="dxa"/>
            <w:tcBorders/>
            <w:shd w:fill="FFFFFF" w:val="clear"/>
            <w:vAlign w:val="bottom"/>
          </w:tcPr>
          <w:p>
            <w:pPr>
              <w:pStyle w:val="TableContents"/>
              <w:spacing w:before="0" w:after="283"/>
              <w:jc w:val="left"/>
              <w:rPr/>
            </w:pPr>
            <w:r>
              <w:rPr/>
              <w:t> </w:t>
            </w:r>
          </w:p>
        </w:tc>
        <w:tc>
          <w:tcPr>
            <w:tcW w:w="641" w:type="dxa"/>
            <w:tcBorders/>
            <w:shd w:fill="FFFFFF" w:val="clear"/>
            <w:vAlign w:val="bottom"/>
          </w:tcPr>
          <w:p>
            <w:pPr>
              <w:pStyle w:val="TableContents"/>
              <w:spacing w:before="0" w:after="283"/>
              <w:jc w:val="right"/>
              <w:rPr/>
            </w:pPr>
            <w:r>
              <w:rPr/>
              <w:t> </w:t>
            </w:r>
          </w:p>
        </w:tc>
        <w:tc>
          <w:tcPr>
            <w:tcW w:w="99"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283"/>
              <w:jc w:val="left"/>
              <w:rPr/>
            </w:pPr>
            <w:r>
              <w:rPr/>
              <w:t> </w:t>
            </w:r>
          </w:p>
        </w:tc>
        <w:tc>
          <w:tcPr>
            <w:tcW w:w="1077" w:type="dxa"/>
            <w:tcBorders/>
            <w:shd w:fill="FFFFFF" w:val="clear"/>
            <w:vAlign w:val="bottom"/>
          </w:tcPr>
          <w:p>
            <w:pPr>
              <w:pStyle w:val="TableContents"/>
              <w:spacing w:before="0" w:after="283"/>
              <w:jc w:val="right"/>
              <w:rPr/>
            </w:pPr>
            <w:r>
              <w:rPr/>
              <w:t> </w:t>
            </w:r>
          </w:p>
        </w:tc>
        <w:tc>
          <w:tcPr>
            <w:tcW w:w="99"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283"/>
              <w:jc w:val="left"/>
              <w:rPr/>
            </w:pPr>
            <w:r>
              <w:rPr/>
              <w:t> </w:t>
            </w:r>
          </w:p>
        </w:tc>
        <w:tc>
          <w:tcPr>
            <w:tcW w:w="1132" w:type="dxa"/>
            <w:tcBorders/>
            <w:shd w:fill="FFFFFF" w:val="clear"/>
            <w:vAlign w:val="bottom"/>
          </w:tcPr>
          <w:p>
            <w:pPr>
              <w:pStyle w:val="TableContents"/>
              <w:spacing w:before="0" w:after="283"/>
              <w:jc w:val="right"/>
              <w:rPr/>
            </w:pPr>
            <w:r>
              <w:rPr/>
              <w:t> </w:t>
            </w:r>
          </w:p>
        </w:tc>
        <w:tc>
          <w:tcPr>
            <w:tcW w:w="99"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141" w:type="dxa"/>
            <w:tcBorders/>
            <w:shd w:fill="FFFFFF" w:val="clear"/>
            <w:vAlign w:val="bottom"/>
          </w:tcPr>
          <w:p>
            <w:pPr>
              <w:pStyle w:val="TableContents"/>
              <w:spacing w:before="0" w:after="283"/>
              <w:jc w:val="left"/>
              <w:rPr/>
            </w:pPr>
            <w:r>
              <w:rPr/>
              <w:t> </w:t>
            </w:r>
          </w:p>
        </w:tc>
        <w:tc>
          <w:tcPr>
            <w:tcW w:w="1045" w:type="dxa"/>
            <w:tcBorders/>
            <w:shd w:fill="FFFFFF" w:val="clear"/>
            <w:vAlign w:val="bottom"/>
          </w:tcPr>
          <w:p>
            <w:pPr>
              <w:pStyle w:val="TableContents"/>
              <w:spacing w:before="0" w:after="283"/>
              <w:jc w:val="right"/>
              <w:rPr/>
            </w:pPr>
            <w:r>
              <w:rPr/>
              <w:t> </w:t>
            </w:r>
          </w:p>
        </w:tc>
        <w:tc>
          <w:tcPr>
            <w:tcW w:w="123" w:type="dxa"/>
            <w:tcBorders/>
            <w:shd w:fill="FFFFFF" w:val="clear"/>
            <w:vAlign w:val="bottom"/>
          </w:tcPr>
          <w:p>
            <w:pPr>
              <w:pStyle w:val="TableContents"/>
              <w:spacing w:before="0" w:after="283"/>
              <w:jc w:val="left"/>
              <w:rPr/>
            </w:pPr>
            <w:r>
              <w:rPr/>
              <w:t> </w:t>
            </w:r>
          </w:p>
        </w:tc>
      </w:tr>
      <w:tr>
        <w:trPr/>
        <w:tc>
          <w:tcPr>
            <w:tcW w:w="2070" w:type="dxa"/>
            <w:tcBorders/>
            <w:shd w:fill="CCEEFF" w:val="clear"/>
            <w:vAlign w:val="bottom"/>
          </w:tcPr>
          <w:p>
            <w:pPr>
              <w:pStyle w:val="TableContents"/>
              <w:spacing w:before="0" w:after="0"/>
              <w:ind w:left="0" w:right="0" w:hanging="0"/>
              <w:jc w:val="left"/>
              <w:rPr/>
            </w:pPr>
            <w:r>
              <w:rPr/>
              <w:t>   </w:t>
            </w:r>
            <w:r>
              <w:rPr>
                <w:rFonts w:ascii="helvetica" w:hAnsi="helvetica"/>
                <w:sz w:val="20"/>
              </w:rPr>
              <w:t>stockholders</w:t>
            </w:r>
          </w:p>
        </w:tc>
        <w:tc>
          <w:tcPr>
            <w:tcW w:w="81" w:type="dxa"/>
            <w:tcBorders/>
            <w:shd w:fill="CCEEFF" w:val="clear"/>
            <w:vAlign w:val="bottom"/>
          </w:tcPr>
          <w:p>
            <w:pPr>
              <w:pStyle w:val="TableContents"/>
              <w:spacing w:before="0" w:after="283"/>
              <w:rPr/>
            </w:pPr>
            <w:r>
              <w:rPr/>
              <w:t> </w:t>
            </w:r>
          </w:p>
        </w:tc>
        <w:tc>
          <w:tcPr>
            <w:tcW w:w="135" w:type="dxa"/>
            <w:tcBorders/>
            <w:shd w:fill="CCEEFF" w:val="clear"/>
            <w:vAlign w:val="bottom"/>
          </w:tcPr>
          <w:p>
            <w:pPr>
              <w:pStyle w:val="TableContents"/>
              <w:spacing w:before="0" w:after="283"/>
              <w:jc w:val="left"/>
              <w:rPr/>
            </w:pPr>
            <w:r>
              <w:rPr/>
              <w:t> </w:t>
            </w:r>
          </w:p>
        </w:tc>
        <w:tc>
          <w:tcPr>
            <w:tcW w:w="586"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w:t>
            </w:r>
          </w:p>
        </w:tc>
        <w:tc>
          <w:tcPr>
            <w:tcW w:w="92" w:type="dxa"/>
            <w:tcBorders/>
            <w:shd w:fill="CCEEFF" w:val="clear"/>
            <w:vAlign w:val="bottom"/>
          </w:tcPr>
          <w:p>
            <w:pPr>
              <w:pStyle w:val="TableContents"/>
              <w:spacing w:before="0" w:after="283"/>
              <w:jc w:val="left"/>
              <w:rPr/>
            </w:pPr>
            <w:r>
              <w:rPr/>
              <w:t> </w:t>
            </w:r>
          </w:p>
        </w:tc>
        <w:tc>
          <w:tcPr>
            <w:tcW w:w="92" w:type="dxa"/>
            <w:tcBorders/>
            <w:shd w:fill="CCEEFF" w:val="clear"/>
            <w:vAlign w:val="bottom"/>
          </w:tcPr>
          <w:p>
            <w:pPr>
              <w:pStyle w:val="TableContents"/>
              <w:spacing w:before="0" w:after="283"/>
              <w:rPr/>
            </w:pPr>
            <w:r>
              <w:rPr/>
              <w:t> </w:t>
            </w:r>
          </w:p>
        </w:tc>
        <w:tc>
          <w:tcPr>
            <w:tcW w:w="292" w:type="dxa"/>
            <w:tcBorders/>
            <w:shd w:fill="CCEEFF" w:val="clear"/>
            <w:vAlign w:val="bottom"/>
          </w:tcPr>
          <w:p>
            <w:pPr>
              <w:pStyle w:val="TableContents"/>
              <w:spacing w:before="0" w:after="283"/>
              <w:jc w:val="left"/>
              <w:rPr/>
            </w:pPr>
            <w:r>
              <w:rPr/>
              <w:t> </w:t>
            </w:r>
          </w:p>
        </w:tc>
        <w:tc>
          <w:tcPr>
            <w:tcW w:w="334"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w:t>
            </w:r>
          </w:p>
        </w:tc>
        <w:tc>
          <w:tcPr>
            <w:tcW w:w="81"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81" w:type="dxa"/>
            <w:tcBorders/>
            <w:shd w:fill="CCEEFF" w:val="clear"/>
            <w:vAlign w:val="bottom"/>
          </w:tcPr>
          <w:p>
            <w:pPr>
              <w:pStyle w:val="TableContents"/>
              <w:spacing w:before="0" w:after="283"/>
              <w:jc w:val="left"/>
              <w:rPr/>
            </w:pPr>
            <w:r>
              <w:rPr/>
              <w:t> </w:t>
            </w:r>
          </w:p>
        </w:tc>
        <w:tc>
          <w:tcPr>
            <w:tcW w:w="982"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w:t>
            </w:r>
          </w:p>
        </w:tc>
        <w:tc>
          <w:tcPr>
            <w:tcW w:w="99"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139" w:type="dxa"/>
            <w:tcBorders/>
            <w:shd w:fill="CCEEFF" w:val="clear"/>
            <w:vAlign w:val="bottom"/>
          </w:tcPr>
          <w:p>
            <w:pPr>
              <w:pStyle w:val="TableContents"/>
              <w:spacing w:before="0" w:after="283"/>
              <w:jc w:val="left"/>
              <w:rPr/>
            </w:pPr>
            <w:r>
              <w:rPr/>
              <w:t> </w:t>
            </w:r>
          </w:p>
        </w:tc>
        <w:tc>
          <w:tcPr>
            <w:tcW w:w="641"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w:t>
            </w:r>
          </w:p>
        </w:tc>
        <w:tc>
          <w:tcPr>
            <w:tcW w:w="99"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jc w:val="left"/>
              <w:rPr/>
            </w:pPr>
            <w:r>
              <w:rPr/>
              <w:t> </w:t>
            </w:r>
          </w:p>
        </w:tc>
        <w:tc>
          <w:tcPr>
            <w:tcW w:w="1077"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200,000</w:t>
            </w:r>
          </w:p>
        </w:tc>
        <w:tc>
          <w:tcPr>
            <w:tcW w:w="99"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jc w:val="left"/>
              <w:rPr/>
            </w:pPr>
            <w:r>
              <w:rPr/>
              <w:t> </w:t>
            </w:r>
          </w:p>
        </w:tc>
        <w:tc>
          <w:tcPr>
            <w:tcW w:w="1132"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w:t>
            </w:r>
          </w:p>
        </w:tc>
        <w:tc>
          <w:tcPr>
            <w:tcW w:w="99"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141" w:type="dxa"/>
            <w:tcBorders/>
            <w:shd w:fill="CCEEFF" w:val="clear"/>
            <w:vAlign w:val="bottom"/>
          </w:tcPr>
          <w:p>
            <w:pPr>
              <w:pStyle w:val="TableContents"/>
              <w:spacing w:before="0" w:after="283"/>
              <w:jc w:val="left"/>
              <w:rPr/>
            </w:pPr>
            <w:r>
              <w:rPr/>
              <w:t> </w:t>
            </w:r>
          </w:p>
        </w:tc>
        <w:tc>
          <w:tcPr>
            <w:tcW w:w="1045"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200,000</w:t>
            </w:r>
          </w:p>
        </w:tc>
        <w:tc>
          <w:tcPr>
            <w:tcW w:w="123" w:type="dxa"/>
            <w:tcBorders/>
            <w:shd w:fill="CCEEFF" w:val="clear"/>
            <w:vAlign w:val="bottom"/>
          </w:tcPr>
          <w:p>
            <w:pPr>
              <w:pStyle w:val="TableContents"/>
              <w:spacing w:before="0" w:after="283"/>
              <w:jc w:val="left"/>
              <w:rPr/>
            </w:pPr>
            <w:r>
              <w:rPr/>
              <w:t> </w:t>
            </w:r>
          </w:p>
        </w:tc>
      </w:tr>
      <w:tr>
        <w:trPr/>
        <w:tc>
          <w:tcPr>
            <w:tcW w:w="2070" w:type="dxa"/>
            <w:tcBorders/>
            <w:shd w:fill="FFFFFF" w:val="clear"/>
            <w:vAlign w:val="bottom"/>
          </w:tcPr>
          <w:p>
            <w:pPr>
              <w:pStyle w:val="TableContents"/>
              <w:spacing w:before="0" w:after="0"/>
              <w:ind w:left="0" w:right="0" w:hanging="0"/>
              <w:jc w:val="left"/>
              <w:rPr/>
            </w:pPr>
            <w:r>
              <w:rPr/>
              <w:t> </w:t>
            </w:r>
            <w:r>
              <w:rPr>
                <w:rFonts w:ascii="helvetica" w:hAnsi="helvetica"/>
                <w:sz w:val="20"/>
              </w:rPr>
              <w:t>Net loss</w:t>
            </w:r>
          </w:p>
        </w:tc>
        <w:tc>
          <w:tcPr>
            <w:tcW w:w="81" w:type="dxa"/>
            <w:tcBorders/>
            <w:shd w:fill="FFFFFF" w:val="clear"/>
            <w:vAlign w:val="bottom"/>
          </w:tcPr>
          <w:p>
            <w:pPr>
              <w:pStyle w:val="TableContents"/>
              <w:spacing w:before="0" w:after="283"/>
              <w:rPr/>
            </w:pPr>
            <w:r>
              <w:rPr/>
              <w:t> </w:t>
            </w:r>
          </w:p>
        </w:tc>
        <w:tc>
          <w:tcPr>
            <w:tcW w:w="13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586" w:type="dxa"/>
            <w:tcBorders>
              <w:bottom w:val="single" w:sz="12" w:space="0" w:color="000000"/>
            </w:tcBorders>
            <w:shd w:fill="FFFF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w:t>
            </w:r>
          </w:p>
        </w:tc>
        <w:tc>
          <w:tcPr>
            <w:tcW w:w="92" w:type="dxa"/>
            <w:tcBorders/>
            <w:shd w:fill="FFFFFF" w:val="clear"/>
            <w:vAlign w:val="bottom"/>
          </w:tcPr>
          <w:p>
            <w:pPr>
              <w:pStyle w:val="TableContents"/>
              <w:spacing w:before="0" w:after="283"/>
              <w:jc w:val="left"/>
              <w:rPr/>
            </w:pPr>
            <w:r>
              <w:rPr/>
              <w:t> </w:t>
            </w:r>
          </w:p>
        </w:tc>
        <w:tc>
          <w:tcPr>
            <w:tcW w:w="92" w:type="dxa"/>
            <w:tcBorders/>
            <w:shd w:fill="FFFFFF" w:val="clear"/>
            <w:vAlign w:val="bottom"/>
          </w:tcPr>
          <w:p>
            <w:pPr>
              <w:pStyle w:val="TableContents"/>
              <w:spacing w:before="0" w:after="283"/>
              <w:rPr/>
            </w:pPr>
            <w:r>
              <w:rPr/>
              <w:t> </w:t>
            </w:r>
          </w:p>
        </w:tc>
        <w:tc>
          <w:tcPr>
            <w:tcW w:w="292"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334" w:type="dxa"/>
            <w:tcBorders>
              <w:bottom w:val="single" w:sz="12" w:space="0" w:color="000000"/>
            </w:tcBorders>
            <w:shd w:fill="FFFF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w:t>
            </w:r>
          </w:p>
        </w:tc>
        <w:tc>
          <w:tcPr>
            <w:tcW w:w="81"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81"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982" w:type="dxa"/>
            <w:tcBorders>
              <w:bottom w:val="single" w:sz="12" w:space="0" w:color="000000"/>
            </w:tcBorders>
            <w:shd w:fill="FFFF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w:t>
            </w:r>
          </w:p>
        </w:tc>
        <w:tc>
          <w:tcPr>
            <w:tcW w:w="99"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139"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641" w:type="dxa"/>
            <w:tcBorders>
              <w:bottom w:val="single" w:sz="12" w:space="0" w:color="000000"/>
            </w:tcBorders>
            <w:shd w:fill="FFFF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w:t>
            </w:r>
          </w:p>
        </w:tc>
        <w:tc>
          <w:tcPr>
            <w:tcW w:w="99"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140"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77" w:type="dxa"/>
            <w:tcBorders>
              <w:bottom w:val="single" w:sz="12" w:space="0" w:color="000000"/>
            </w:tcBorders>
            <w:shd w:fill="FFFF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w:t>
            </w:r>
          </w:p>
        </w:tc>
        <w:tc>
          <w:tcPr>
            <w:tcW w:w="99"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140"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132" w:type="dxa"/>
            <w:tcBorders>
              <w:bottom w:val="single" w:sz="12" w:space="0" w:color="000000"/>
            </w:tcBorders>
            <w:shd w:fill="FFFF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(213,092</w:t>
            </w:r>
          </w:p>
        </w:tc>
        <w:tc>
          <w:tcPr>
            <w:tcW w:w="99" w:type="dxa"/>
            <w:tcBorders/>
            <w:shd w:fill="FFFFFF" w:val="clear"/>
            <w:vAlign w:val="bottom"/>
          </w:tcPr>
          <w:p>
            <w:pPr>
              <w:pStyle w:val="TableContents"/>
              <w:spacing w:before="0" w:after="283"/>
              <w:jc w:val="left"/>
              <w:rPr>
                <w:rFonts w:ascii="helvetica" w:hAnsi="helvetica"/>
                <w:sz w:val="20"/>
              </w:rPr>
            </w:pPr>
            <w:r>
              <w:rPr>
                <w:rFonts w:ascii="helvetica" w:hAnsi="helvetica"/>
                <w:sz w:val="20"/>
              </w:rPr>
              <w:t>)</w:t>
            </w:r>
          </w:p>
        </w:tc>
        <w:tc>
          <w:tcPr>
            <w:tcW w:w="81" w:type="dxa"/>
            <w:tcBorders/>
            <w:shd w:fill="FFFFFF" w:val="clear"/>
            <w:vAlign w:val="bottom"/>
          </w:tcPr>
          <w:p>
            <w:pPr>
              <w:pStyle w:val="TableContents"/>
              <w:spacing w:before="0" w:after="283"/>
              <w:rPr/>
            </w:pPr>
            <w:r>
              <w:rPr/>
              <w:t> </w:t>
            </w:r>
          </w:p>
        </w:tc>
        <w:tc>
          <w:tcPr>
            <w:tcW w:w="141"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45" w:type="dxa"/>
            <w:tcBorders>
              <w:bottom w:val="single" w:sz="12" w:space="0" w:color="000000"/>
            </w:tcBorders>
            <w:shd w:fill="FFFF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(213,092</w:t>
            </w:r>
          </w:p>
        </w:tc>
        <w:tc>
          <w:tcPr>
            <w:tcW w:w="123" w:type="dxa"/>
            <w:tcBorders/>
            <w:shd w:fill="FFFFFF" w:val="clear"/>
            <w:vAlign w:val="bottom"/>
          </w:tcPr>
          <w:p>
            <w:pPr>
              <w:pStyle w:val="TableContents"/>
              <w:spacing w:before="0" w:after="283"/>
              <w:jc w:val="left"/>
              <w:rPr>
                <w:rFonts w:ascii="helvetica" w:hAnsi="helvetica"/>
                <w:sz w:val="20"/>
              </w:rPr>
            </w:pPr>
            <w:r>
              <w:rPr>
                <w:rFonts w:ascii="helvetica" w:hAnsi="helvetica"/>
                <w:sz w:val="20"/>
              </w:rPr>
              <w:t>)</w:t>
            </w:r>
          </w:p>
        </w:tc>
      </w:tr>
      <w:tr>
        <w:trPr/>
        <w:tc>
          <w:tcPr>
            <w:tcW w:w="2070" w:type="dxa"/>
            <w:tcBorders/>
            <w:shd w:fill="CCEEFF" w:val="clear"/>
            <w:vAlign w:val="bottom"/>
          </w:tcPr>
          <w:p>
            <w:pPr>
              <w:pStyle w:val="TableContents"/>
              <w:spacing w:before="0" w:after="0"/>
              <w:ind w:left="0" w:right="0" w:hanging="0"/>
              <w:jc w:val="left"/>
              <w:rPr/>
            </w:pPr>
            <w:r>
              <w:rPr/>
              <w:t> </w:t>
            </w:r>
            <w:r>
              <w:rPr>
                <w:rFonts w:ascii="helvetica" w:hAnsi="helvetica"/>
                <w:sz w:val="20"/>
              </w:rPr>
              <w:t>Balance at December 31, 2000</w:t>
            </w:r>
          </w:p>
        </w:tc>
        <w:tc>
          <w:tcPr>
            <w:tcW w:w="81" w:type="dxa"/>
            <w:tcBorders/>
            <w:shd w:fill="CCEEFF" w:val="clear"/>
            <w:vAlign w:val="bottom"/>
          </w:tcPr>
          <w:p>
            <w:pPr>
              <w:pStyle w:val="TableContents"/>
              <w:spacing w:before="0" w:after="283"/>
              <w:rPr/>
            </w:pPr>
            <w:r>
              <w:rPr/>
              <w:t> </w:t>
            </w:r>
          </w:p>
        </w:tc>
        <w:tc>
          <w:tcPr>
            <w:tcW w:w="135" w:type="dxa"/>
            <w:tcBorders/>
            <w:shd w:fill="CCEEFF" w:val="clear"/>
            <w:vAlign w:val="bottom"/>
          </w:tcPr>
          <w:p>
            <w:pPr>
              <w:pStyle w:val="TableContents"/>
              <w:spacing w:before="0" w:after="283"/>
              <w:jc w:val="left"/>
              <w:rPr/>
            </w:pPr>
            <w:r>
              <w:rPr/>
              <w:t> </w:t>
            </w:r>
          </w:p>
        </w:tc>
        <w:tc>
          <w:tcPr>
            <w:tcW w:w="586"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w:t>
            </w:r>
          </w:p>
        </w:tc>
        <w:tc>
          <w:tcPr>
            <w:tcW w:w="92" w:type="dxa"/>
            <w:tcBorders/>
            <w:shd w:fill="CCEEFF" w:val="clear"/>
            <w:vAlign w:val="bottom"/>
          </w:tcPr>
          <w:p>
            <w:pPr>
              <w:pStyle w:val="TableContents"/>
              <w:spacing w:before="0" w:after="283"/>
              <w:jc w:val="left"/>
              <w:rPr/>
            </w:pPr>
            <w:r>
              <w:rPr/>
              <w:t> </w:t>
            </w:r>
          </w:p>
        </w:tc>
        <w:tc>
          <w:tcPr>
            <w:tcW w:w="92" w:type="dxa"/>
            <w:tcBorders/>
            <w:shd w:fill="CCEEFF" w:val="clear"/>
            <w:vAlign w:val="bottom"/>
          </w:tcPr>
          <w:p>
            <w:pPr>
              <w:pStyle w:val="TableContents"/>
              <w:spacing w:before="0" w:after="283"/>
              <w:rPr/>
            </w:pPr>
            <w:r>
              <w:rPr/>
              <w:t> </w:t>
            </w:r>
          </w:p>
        </w:tc>
        <w:tc>
          <w:tcPr>
            <w:tcW w:w="292" w:type="dxa"/>
            <w:tcBorders/>
            <w:shd w:fill="CCEEFF" w:val="clear"/>
            <w:vAlign w:val="bottom"/>
          </w:tcPr>
          <w:p>
            <w:pPr>
              <w:pStyle w:val="TableContents"/>
              <w:spacing w:before="0" w:after="283"/>
              <w:jc w:val="left"/>
              <w:rPr/>
            </w:pPr>
            <w:r>
              <w:rPr/>
              <w:t> </w:t>
            </w:r>
          </w:p>
        </w:tc>
        <w:tc>
          <w:tcPr>
            <w:tcW w:w="334"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w:t>
            </w:r>
          </w:p>
        </w:tc>
        <w:tc>
          <w:tcPr>
            <w:tcW w:w="81"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81" w:type="dxa"/>
            <w:tcBorders/>
            <w:shd w:fill="CCEEFF" w:val="clear"/>
            <w:vAlign w:val="bottom"/>
          </w:tcPr>
          <w:p>
            <w:pPr>
              <w:pStyle w:val="TableContents"/>
              <w:spacing w:before="0" w:after="283"/>
              <w:jc w:val="left"/>
              <w:rPr/>
            </w:pPr>
            <w:r>
              <w:rPr/>
              <w:t> </w:t>
            </w:r>
          </w:p>
        </w:tc>
        <w:tc>
          <w:tcPr>
            <w:tcW w:w="982"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117,188</w:t>
            </w:r>
          </w:p>
        </w:tc>
        <w:tc>
          <w:tcPr>
            <w:tcW w:w="99"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139" w:type="dxa"/>
            <w:tcBorders/>
            <w:shd w:fill="CCEEFF" w:val="clear"/>
            <w:vAlign w:val="bottom"/>
          </w:tcPr>
          <w:p>
            <w:pPr>
              <w:pStyle w:val="TableContents"/>
              <w:spacing w:before="0" w:after="283"/>
              <w:jc w:val="left"/>
              <w:rPr/>
            </w:pPr>
            <w:r>
              <w:rPr/>
              <w:t> </w:t>
            </w:r>
          </w:p>
        </w:tc>
        <w:tc>
          <w:tcPr>
            <w:tcW w:w="641"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117</w:t>
            </w:r>
          </w:p>
        </w:tc>
        <w:tc>
          <w:tcPr>
            <w:tcW w:w="99"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jc w:val="left"/>
              <w:rPr/>
            </w:pPr>
            <w:r>
              <w:rPr/>
              <w:t> </w:t>
            </w:r>
          </w:p>
        </w:tc>
        <w:tc>
          <w:tcPr>
            <w:tcW w:w="1077"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505,883</w:t>
            </w:r>
          </w:p>
        </w:tc>
        <w:tc>
          <w:tcPr>
            <w:tcW w:w="99"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jc w:val="left"/>
              <w:rPr/>
            </w:pPr>
            <w:r>
              <w:rPr/>
              <w:t> </w:t>
            </w:r>
          </w:p>
        </w:tc>
        <w:tc>
          <w:tcPr>
            <w:tcW w:w="1132"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(517,092</w:t>
            </w:r>
          </w:p>
        </w:tc>
        <w:tc>
          <w:tcPr>
            <w:tcW w:w="99" w:type="dxa"/>
            <w:tcBorders/>
            <w:shd w:fill="CCEEFF" w:val="clear"/>
            <w:vAlign w:val="bottom"/>
          </w:tcPr>
          <w:p>
            <w:pPr>
              <w:pStyle w:val="TableContents"/>
              <w:spacing w:before="0" w:after="283"/>
              <w:jc w:val="left"/>
              <w:rPr>
                <w:rFonts w:ascii="helvetica" w:hAnsi="helvetica"/>
                <w:sz w:val="20"/>
              </w:rPr>
            </w:pPr>
            <w:r>
              <w:rPr>
                <w:rFonts w:ascii="helvetica" w:hAnsi="helvetica"/>
                <w:sz w:val="20"/>
              </w:rPr>
              <w:t>)</w:t>
            </w:r>
          </w:p>
        </w:tc>
        <w:tc>
          <w:tcPr>
            <w:tcW w:w="81" w:type="dxa"/>
            <w:tcBorders/>
            <w:shd w:fill="CCEEFF" w:val="clear"/>
            <w:vAlign w:val="bottom"/>
          </w:tcPr>
          <w:p>
            <w:pPr>
              <w:pStyle w:val="TableContents"/>
              <w:spacing w:before="0" w:after="283"/>
              <w:rPr/>
            </w:pPr>
            <w:r>
              <w:rPr/>
              <w:t> </w:t>
            </w:r>
          </w:p>
        </w:tc>
        <w:tc>
          <w:tcPr>
            <w:tcW w:w="141" w:type="dxa"/>
            <w:tcBorders/>
            <w:shd w:fill="CCEEFF" w:val="clear"/>
            <w:vAlign w:val="bottom"/>
          </w:tcPr>
          <w:p>
            <w:pPr>
              <w:pStyle w:val="TableContents"/>
              <w:spacing w:before="0" w:after="283"/>
              <w:jc w:val="left"/>
              <w:rPr/>
            </w:pPr>
            <w:r>
              <w:rPr/>
              <w:t> </w:t>
            </w:r>
          </w:p>
        </w:tc>
        <w:tc>
          <w:tcPr>
            <w:tcW w:w="1045"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(11,092</w:t>
            </w:r>
          </w:p>
        </w:tc>
        <w:tc>
          <w:tcPr>
            <w:tcW w:w="123" w:type="dxa"/>
            <w:tcBorders/>
            <w:shd w:fill="CCEEFF" w:val="clear"/>
            <w:vAlign w:val="bottom"/>
          </w:tcPr>
          <w:p>
            <w:pPr>
              <w:pStyle w:val="TableContents"/>
              <w:spacing w:before="0" w:after="283"/>
              <w:jc w:val="left"/>
              <w:rPr>
                <w:rFonts w:ascii="helvetica" w:hAnsi="helvetica"/>
                <w:sz w:val="20"/>
              </w:rPr>
            </w:pPr>
            <w:r>
              <w:rPr>
                <w:rFonts w:ascii="helvetica" w:hAnsi="helvetica"/>
                <w:sz w:val="20"/>
              </w:rPr>
              <w:t>)</w:t>
            </w:r>
          </w:p>
        </w:tc>
      </w:tr>
      <w:tr>
        <w:trPr/>
        <w:tc>
          <w:tcPr>
            <w:tcW w:w="2070" w:type="dxa"/>
            <w:tcBorders/>
            <w:shd w:fill="FFFFFF" w:val="clear"/>
            <w:vAlign w:val="bottom"/>
          </w:tcPr>
          <w:p>
            <w:pPr>
              <w:pStyle w:val="TableContents"/>
              <w:spacing w:before="0" w:after="283"/>
              <w:rPr/>
            </w:pPr>
            <w:r>
              <w:rPr/>
              <w:t xml:space="preserve">  </w:t>
            </w:r>
          </w:p>
        </w:tc>
        <w:tc>
          <w:tcPr>
            <w:tcW w:w="81" w:type="dxa"/>
            <w:tcBorders/>
            <w:shd w:fill="FFFFFF" w:val="clear"/>
            <w:vAlign w:val="bottom"/>
          </w:tcPr>
          <w:p>
            <w:pPr>
              <w:pStyle w:val="TableContents"/>
              <w:spacing w:before="0" w:after="283"/>
              <w:rPr/>
            </w:pPr>
            <w:r>
              <w:rPr/>
              <w:t> </w:t>
            </w:r>
          </w:p>
        </w:tc>
        <w:tc>
          <w:tcPr>
            <w:tcW w:w="135" w:type="dxa"/>
            <w:tcBorders/>
            <w:shd w:fill="FFFFFF" w:val="clear"/>
            <w:vAlign w:val="bottom"/>
          </w:tcPr>
          <w:p>
            <w:pPr>
              <w:pStyle w:val="TableContents"/>
              <w:spacing w:before="0" w:after="283"/>
              <w:jc w:val="left"/>
              <w:rPr/>
            </w:pPr>
            <w:r>
              <w:rPr/>
              <w:t> </w:t>
            </w:r>
          </w:p>
        </w:tc>
        <w:tc>
          <w:tcPr>
            <w:tcW w:w="586" w:type="dxa"/>
            <w:tcBorders/>
            <w:shd w:fill="FFFFFF" w:val="clear"/>
            <w:vAlign w:val="bottom"/>
          </w:tcPr>
          <w:p>
            <w:pPr>
              <w:pStyle w:val="TableContents"/>
              <w:spacing w:before="0" w:after="283"/>
              <w:jc w:val="right"/>
              <w:rPr/>
            </w:pPr>
            <w:r>
              <w:rPr/>
              <w:t> </w:t>
            </w:r>
          </w:p>
        </w:tc>
        <w:tc>
          <w:tcPr>
            <w:tcW w:w="92" w:type="dxa"/>
            <w:tcBorders/>
            <w:shd w:fill="FFFFFF" w:val="clear"/>
            <w:vAlign w:val="bottom"/>
          </w:tcPr>
          <w:p>
            <w:pPr>
              <w:pStyle w:val="TableContents"/>
              <w:spacing w:before="0" w:after="283"/>
              <w:jc w:val="left"/>
              <w:rPr/>
            </w:pPr>
            <w:r>
              <w:rPr/>
              <w:t> </w:t>
            </w:r>
          </w:p>
        </w:tc>
        <w:tc>
          <w:tcPr>
            <w:tcW w:w="92" w:type="dxa"/>
            <w:tcBorders/>
            <w:shd w:fill="FFFFFF" w:val="clear"/>
            <w:vAlign w:val="bottom"/>
          </w:tcPr>
          <w:p>
            <w:pPr>
              <w:pStyle w:val="TableContents"/>
              <w:spacing w:before="0" w:after="283"/>
              <w:rPr/>
            </w:pPr>
            <w:r>
              <w:rPr/>
              <w:t> </w:t>
            </w:r>
          </w:p>
        </w:tc>
        <w:tc>
          <w:tcPr>
            <w:tcW w:w="292" w:type="dxa"/>
            <w:tcBorders/>
            <w:shd w:fill="FFFFFF" w:val="clear"/>
            <w:vAlign w:val="bottom"/>
          </w:tcPr>
          <w:p>
            <w:pPr>
              <w:pStyle w:val="TableContents"/>
              <w:spacing w:before="0" w:after="283"/>
              <w:jc w:val="left"/>
              <w:rPr/>
            </w:pPr>
            <w:r>
              <w:rPr/>
              <w:t> </w:t>
            </w:r>
          </w:p>
        </w:tc>
        <w:tc>
          <w:tcPr>
            <w:tcW w:w="334" w:type="dxa"/>
            <w:tcBorders/>
            <w:shd w:fill="FFFFFF" w:val="clear"/>
            <w:vAlign w:val="bottom"/>
          </w:tcPr>
          <w:p>
            <w:pPr>
              <w:pStyle w:val="TableContents"/>
              <w:spacing w:before="0" w:after="283"/>
              <w:jc w:val="right"/>
              <w:rPr/>
            </w:pPr>
            <w:r>
              <w:rPr/>
              <w:t> </w:t>
            </w:r>
          </w:p>
        </w:tc>
        <w:tc>
          <w:tcPr>
            <w:tcW w:w="81"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81" w:type="dxa"/>
            <w:tcBorders/>
            <w:shd w:fill="FFFFFF" w:val="clear"/>
            <w:vAlign w:val="bottom"/>
          </w:tcPr>
          <w:p>
            <w:pPr>
              <w:pStyle w:val="TableContents"/>
              <w:spacing w:before="0" w:after="283"/>
              <w:jc w:val="left"/>
              <w:rPr/>
            </w:pPr>
            <w:r>
              <w:rPr/>
              <w:t> </w:t>
            </w:r>
          </w:p>
        </w:tc>
        <w:tc>
          <w:tcPr>
            <w:tcW w:w="982" w:type="dxa"/>
            <w:tcBorders/>
            <w:shd w:fill="FFFFFF" w:val="clear"/>
            <w:vAlign w:val="bottom"/>
          </w:tcPr>
          <w:p>
            <w:pPr>
              <w:pStyle w:val="TableContents"/>
              <w:spacing w:before="0" w:after="283"/>
              <w:jc w:val="right"/>
              <w:rPr/>
            </w:pPr>
            <w:r>
              <w:rPr/>
              <w:t> </w:t>
            </w:r>
          </w:p>
        </w:tc>
        <w:tc>
          <w:tcPr>
            <w:tcW w:w="99"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139" w:type="dxa"/>
            <w:tcBorders/>
            <w:shd w:fill="FFFFFF" w:val="clear"/>
            <w:vAlign w:val="bottom"/>
          </w:tcPr>
          <w:p>
            <w:pPr>
              <w:pStyle w:val="TableContents"/>
              <w:spacing w:before="0" w:after="283"/>
              <w:jc w:val="left"/>
              <w:rPr/>
            </w:pPr>
            <w:r>
              <w:rPr/>
              <w:t> </w:t>
            </w:r>
          </w:p>
        </w:tc>
        <w:tc>
          <w:tcPr>
            <w:tcW w:w="641" w:type="dxa"/>
            <w:tcBorders/>
            <w:shd w:fill="FFFFFF" w:val="clear"/>
            <w:vAlign w:val="bottom"/>
          </w:tcPr>
          <w:p>
            <w:pPr>
              <w:pStyle w:val="TableContents"/>
              <w:spacing w:before="0" w:after="283"/>
              <w:jc w:val="right"/>
              <w:rPr/>
            </w:pPr>
            <w:r>
              <w:rPr/>
              <w:t> </w:t>
            </w:r>
          </w:p>
        </w:tc>
        <w:tc>
          <w:tcPr>
            <w:tcW w:w="99"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283"/>
              <w:jc w:val="left"/>
              <w:rPr/>
            </w:pPr>
            <w:r>
              <w:rPr/>
              <w:t> </w:t>
            </w:r>
          </w:p>
        </w:tc>
        <w:tc>
          <w:tcPr>
            <w:tcW w:w="1077" w:type="dxa"/>
            <w:tcBorders/>
            <w:shd w:fill="FFFFFF" w:val="clear"/>
            <w:vAlign w:val="bottom"/>
          </w:tcPr>
          <w:p>
            <w:pPr>
              <w:pStyle w:val="TableContents"/>
              <w:spacing w:before="0" w:after="283"/>
              <w:jc w:val="right"/>
              <w:rPr/>
            </w:pPr>
            <w:r>
              <w:rPr/>
              <w:t> </w:t>
            </w:r>
          </w:p>
        </w:tc>
        <w:tc>
          <w:tcPr>
            <w:tcW w:w="99"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283"/>
              <w:jc w:val="left"/>
              <w:rPr/>
            </w:pPr>
            <w:r>
              <w:rPr/>
              <w:t> </w:t>
            </w:r>
          </w:p>
        </w:tc>
        <w:tc>
          <w:tcPr>
            <w:tcW w:w="1132" w:type="dxa"/>
            <w:tcBorders/>
            <w:shd w:fill="FFFFFF" w:val="clear"/>
            <w:vAlign w:val="bottom"/>
          </w:tcPr>
          <w:p>
            <w:pPr>
              <w:pStyle w:val="TableContents"/>
              <w:spacing w:before="0" w:after="283"/>
              <w:jc w:val="right"/>
              <w:rPr/>
            </w:pPr>
            <w:r>
              <w:rPr/>
              <w:t> </w:t>
            </w:r>
          </w:p>
        </w:tc>
        <w:tc>
          <w:tcPr>
            <w:tcW w:w="99"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141" w:type="dxa"/>
            <w:tcBorders/>
            <w:shd w:fill="FFFFFF" w:val="clear"/>
            <w:vAlign w:val="bottom"/>
          </w:tcPr>
          <w:p>
            <w:pPr>
              <w:pStyle w:val="TableContents"/>
              <w:spacing w:before="0" w:after="283"/>
              <w:jc w:val="left"/>
              <w:rPr/>
            </w:pPr>
            <w:r>
              <w:rPr/>
              <w:t> </w:t>
            </w:r>
          </w:p>
        </w:tc>
        <w:tc>
          <w:tcPr>
            <w:tcW w:w="1045" w:type="dxa"/>
            <w:tcBorders/>
            <w:shd w:fill="FFFFFF" w:val="clear"/>
            <w:vAlign w:val="bottom"/>
          </w:tcPr>
          <w:p>
            <w:pPr>
              <w:pStyle w:val="TableContents"/>
              <w:spacing w:before="0" w:after="283"/>
              <w:jc w:val="right"/>
              <w:rPr/>
            </w:pPr>
            <w:r>
              <w:rPr/>
              <w:t> </w:t>
            </w:r>
          </w:p>
        </w:tc>
        <w:tc>
          <w:tcPr>
            <w:tcW w:w="123" w:type="dxa"/>
            <w:tcBorders/>
            <w:shd w:fill="FFFFFF" w:val="clear"/>
            <w:vAlign w:val="bottom"/>
          </w:tcPr>
          <w:p>
            <w:pPr>
              <w:pStyle w:val="TableContents"/>
              <w:spacing w:before="0" w:after="283"/>
              <w:jc w:val="left"/>
              <w:rPr/>
            </w:pPr>
            <w:r>
              <w:rPr/>
              <w:t> </w:t>
            </w:r>
          </w:p>
        </w:tc>
      </w:tr>
      <w:tr>
        <w:trPr/>
        <w:tc>
          <w:tcPr>
            <w:tcW w:w="2070" w:type="dxa"/>
            <w:tcBorders/>
            <w:shd w:fill="CCEEFF" w:val="clear"/>
            <w:vAlign w:val="bottom"/>
          </w:tcPr>
          <w:p>
            <w:pPr>
              <w:pStyle w:val="TableContents"/>
              <w:spacing w:before="0" w:after="0"/>
              <w:ind w:left="0" w:right="0" w:hanging="0"/>
              <w:jc w:val="left"/>
              <w:rPr/>
            </w:pPr>
            <w:r>
              <w:rPr/>
              <w:t> </w:t>
            </w:r>
            <w:r>
              <w:rPr>
                <w:rFonts w:ascii="helvetica" w:hAnsi="helvetica"/>
                <w:sz w:val="20"/>
              </w:rPr>
              <w:t>Estimated fair value of services contributed by</w:t>
            </w:r>
          </w:p>
        </w:tc>
        <w:tc>
          <w:tcPr>
            <w:tcW w:w="81" w:type="dxa"/>
            <w:tcBorders/>
            <w:shd w:fill="CCEEFF" w:val="clear"/>
            <w:vAlign w:val="bottom"/>
          </w:tcPr>
          <w:p>
            <w:pPr>
              <w:pStyle w:val="TableContents"/>
              <w:spacing w:before="0" w:after="283"/>
              <w:rPr/>
            </w:pPr>
            <w:r>
              <w:rPr/>
              <w:t> </w:t>
            </w:r>
          </w:p>
        </w:tc>
        <w:tc>
          <w:tcPr>
            <w:tcW w:w="135" w:type="dxa"/>
            <w:tcBorders/>
            <w:shd w:fill="CCEEFF" w:val="clear"/>
            <w:vAlign w:val="bottom"/>
          </w:tcPr>
          <w:p>
            <w:pPr>
              <w:pStyle w:val="TableContents"/>
              <w:spacing w:before="0" w:after="283"/>
              <w:jc w:val="left"/>
              <w:rPr/>
            </w:pPr>
            <w:r>
              <w:rPr/>
              <w:t> </w:t>
            </w:r>
          </w:p>
        </w:tc>
        <w:tc>
          <w:tcPr>
            <w:tcW w:w="586" w:type="dxa"/>
            <w:tcBorders/>
            <w:shd w:fill="CCEEFF" w:val="clear"/>
            <w:vAlign w:val="bottom"/>
          </w:tcPr>
          <w:p>
            <w:pPr>
              <w:pStyle w:val="TableContents"/>
              <w:spacing w:before="0" w:after="283"/>
              <w:jc w:val="right"/>
              <w:rPr/>
            </w:pPr>
            <w:r>
              <w:rPr/>
              <w:t> </w:t>
            </w:r>
          </w:p>
        </w:tc>
        <w:tc>
          <w:tcPr>
            <w:tcW w:w="92" w:type="dxa"/>
            <w:tcBorders/>
            <w:shd w:fill="CCEEFF" w:val="clear"/>
            <w:vAlign w:val="bottom"/>
          </w:tcPr>
          <w:p>
            <w:pPr>
              <w:pStyle w:val="TableContents"/>
              <w:spacing w:before="0" w:after="283"/>
              <w:jc w:val="left"/>
              <w:rPr/>
            </w:pPr>
            <w:r>
              <w:rPr/>
              <w:t> </w:t>
            </w:r>
          </w:p>
        </w:tc>
        <w:tc>
          <w:tcPr>
            <w:tcW w:w="92" w:type="dxa"/>
            <w:tcBorders/>
            <w:shd w:fill="CCEEFF" w:val="clear"/>
            <w:vAlign w:val="bottom"/>
          </w:tcPr>
          <w:p>
            <w:pPr>
              <w:pStyle w:val="TableContents"/>
              <w:spacing w:before="0" w:after="283"/>
              <w:rPr/>
            </w:pPr>
            <w:r>
              <w:rPr/>
              <w:t> </w:t>
            </w:r>
          </w:p>
        </w:tc>
        <w:tc>
          <w:tcPr>
            <w:tcW w:w="292" w:type="dxa"/>
            <w:tcBorders/>
            <w:shd w:fill="CCEEFF" w:val="clear"/>
            <w:vAlign w:val="bottom"/>
          </w:tcPr>
          <w:p>
            <w:pPr>
              <w:pStyle w:val="TableContents"/>
              <w:spacing w:before="0" w:after="283"/>
              <w:jc w:val="left"/>
              <w:rPr/>
            </w:pPr>
            <w:r>
              <w:rPr/>
              <w:t> </w:t>
            </w:r>
          </w:p>
        </w:tc>
        <w:tc>
          <w:tcPr>
            <w:tcW w:w="334" w:type="dxa"/>
            <w:tcBorders/>
            <w:shd w:fill="CCEEFF" w:val="clear"/>
            <w:vAlign w:val="bottom"/>
          </w:tcPr>
          <w:p>
            <w:pPr>
              <w:pStyle w:val="TableContents"/>
              <w:spacing w:before="0" w:after="283"/>
              <w:jc w:val="right"/>
              <w:rPr/>
            </w:pPr>
            <w:r>
              <w:rPr/>
              <w:t> </w:t>
            </w:r>
          </w:p>
        </w:tc>
        <w:tc>
          <w:tcPr>
            <w:tcW w:w="81"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81" w:type="dxa"/>
            <w:tcBorders/>
            <w:shd w:fill="CCEEFF" w:val="clear"/>
            <w:vAlign w:val="bottom"/>
          </w:tcPr>
          <w:p>
            <w:pPr>
              <w:pStyle w:val="TableContents"/>
              <w:spacing w:before="0" w:after="283"/>
              <w:jc w:val="left"/>
              <w:rPr/>
            </w:pPr>
            <w:r>
              <w:rPr/>
              <w:t> </w:t>
            </w:r>
          </w:p>
        </w:tc>
        <w:tc>
          <w:tcPr>
            <w:tcW w:w="982" w:type="dxa"/>
            <w:tcBorders/>
            <w:shd w:fill="CCEEFF" w:val="clear"/>
            <w:vAlign w:val="bottom"/>
          </w:tcPr>
          <w:p>
            <w:pPr>
              <w:pStyle w:val="TableContents"/>
              <w:spacing w:before="0" w:after="283"/>
              <w:jc w:val="right"/>
              <w:rPr/>
            </w:pPr>
            <w:r>
              <w:rPr/>
              <w:t> </w:t>
            </w:r>
          </w:p>
        </w:tc>
        <w:tc>
          <w:tcPr>
            <w:tcW w:w="99"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139" w:type="dxa"/>
            <w:tcBorders/>
            <w:shd w:fill="CCEEFF" w:val="clear"/>
            <w:vAlign w:val="bottom"/>
          </w:tcPr>
          <w:p>
            <w:pPr>
              <w:pStyle w:val="TableContents"/>
              <w:spacing w:before="0" w:after="283"/>
              <w:jc w:val="left"/>
              <w:rPr/>
            </w:pPr>
            <w:r>
              <w:rPr/>
              <w:t> </w:t>
            </w:r>
          </w:p>
        </w:tc>
        <w:tc>
          <w:tcPr>
            <w:tcW w:w="641" w:type="dxa"/>
            <w:tcBorders/>
            <w:shd w:fill="CCEEFF" w:val="clear"/>
            <w:vAlign w:val="bottom"/>
          </w:tcPr>
          <w:p>
            <w:pPr>
              <w:pStyle w:val="TableContents"/>
              <w:spacing w:before="0" w:after="283"/>
              <w:jc w:val="right"/>
              <w:rPr/>
            </w:pPr>
            <w:r>
              <w:rPr/>
              <w:t> </w:t>
            </w:r>
          </w:p>
        </w:tc>
        <w:tc>
          <w:tcPr>
            <w:tcW w:w="99"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jc w:val="left"/>
              <w:rPr/>
            </w:pPr>
            <w:r>
              <w:rPr/>
              <w:t> </w:t>
            </w:r>
          </w:p>
        </w:tc>
        <w:tc>
          <w:tcPr>
            <w:tcW w:w="1077" w:type="dxa"/>
            <w:tcBorders/>
            <w:shd w:fill="CCEEFF" w:val="clear"/>
            <w:vAlign w:val="bottom"/>
          </w:tcPr>
          <w:p>
            <w:pPr>
              <w:pStyle w:val="TableContents"/>
              <w:spacing w:before="0" w:after="283"/>
              <w:jc w:val="right"/>
              <w:rPr/>
            </w:pPr>
            <w:r>
              <w:rPr/>
              <w:t> </w:t>
            </w:r>
          </w:p>
        </w:tc>
        <w:tc>
          <w:tcPr>
            <w:tcW w:w="99"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jc w:val="left"/>
              <w:rPr/>
            </w:pPr>
            <w:r>
              <w:rPr/>
              <w:t> </w:t>
            </w:r>
          </w:p>
        </w:tc>
        <w:tc>
          <w:tcPr>
            <w:tcW w:w="1132" w:type="dxa"/>
            <w:tcBorders/>
            <w:shd w:fill="CCEEFF" w:val="clear"/>
            <w:vAlign w:val="bottom"/>
          </w:tcPr>
          <w:p>
            <w:pPr>
              <w:pStyle w:val="TableContents"/>
              <w:spacing w:before="0" w:after="283"/>
              <w:jc w:val="right"/>
              <w:rPr/>
            </w:pPr>
            <w:r>
              <w:rPr/>
              <w:t> </w:t>
            </w:r>
          </w:p>
        </w:tc>
        <w:tc>
          <w:tcPr>
            <w:tcW w:w="99"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141" w:type="dxa"/>
            <w:tcBorders/>
            <w:shd w:fill="CCEEFF" w:val="clear"/>
            <w:vAlign w:val="bottom"/>
          </w:tcPr>
          <w:p>
            <w:pPr>
              <w:pStyle w:val="TableContents"/>
              <w:spacing w:before="0" w:after="283"/>
              <w:jc w:val="left"/>
              <w:rPr/>
            </w:pPr>
            <w:r>
              <w:rPr/>
              <w:t> </w:t>
            </w:r>
          </w:p>
        </w:tc>
        <w:tc>
          <w:tcPr>
            <w:tcW w:w="1045" w:type="dxa"/>
            <w:tcBorders/>
            <w:shd w:fill="CCEEFF" w:val="clear"/>
            <w:vAlign w:val="bottom"/>
          </w:tcPr>
          <w:p>
            <w:pPr>
              <w:pStyle w:val="TableContents"/>
              <w:spacing w:before="0" w:after="283"/>
              <w:jc w:val="right"/>
              <w:rPr/>
            </w:pPr>
            <w:r>
              <w:rPr/>
              <w:t> </w:t>
            </w:r>
          </w:p>
        </w:tc>
        <w:tc>
          <w:tcPr>
            <w:tcW w:w="123" w:type="dxa"/>
            <w:tcBorders/>
            <w:shd w:fill="CCEEFF" w:val="clear"/>
            <w:vAlign w:val="bottom"/>
          </w:tcPr>
          <w:p>
            <w:pPr>
              <w:pStyle w:val="TableContents"/>
              <w:spacing w:before="0" w:after="283"/>
              <w:jc w:val="left"/>
              <w:rPr/>
            </w:pPr>
            <w:r>
              <w:rPr/>
              <w:t> </w:t>
            </w:r>
          </w:p>
        </w:tc>
      </w:tr>
      <w:tr>
        <w:trPr/>
        <w:tc>
          <w:tcPr>
            <w:tcW w:w="2070" w:type="dxa"/>
            <w:tcBorders/>
            <w:shd w:fill="FFFFFF" w:val="clear"/>
            <w:vAlign w:val="bottom"/>
          </w:tcPr>
          <w:p>
            <w:pPr>
              <w:pStyle w:val="TableContents"/>
              <w:spacing w:before="0" w:after="0"/>
              <w:ind w:left="0" w:right="0" w:hanging="0"/>
              <w:jc w:val="left"/>
              <w:rPr/>
            </w:pPr>
            <w:r>
              <w:rPr/>
              <w:t>   </w:t>
            </w:r>
            <w:r>
              <w:rPr>
                <w:rFonts w:ascii="helvetica" w:hAnsi="helvetica"/>
                <w:sz w:val="20"/>
              </w:rPr>
              <w:t>stockholders</w:t>
            </w:r>
          </w:p>
        </w:tc>
        <w:tc>
          <w:tcPr>
            <w:tcW w:w="81" w:type="dxa"/>
            <w:tcBorders/>
            <w:shd w:fill="FFFFFF" w:val="clear"/>
            <w:vAlign w:val="bottom"/>
          </w:tcPr>
          <w:p>
            <w:pPr>
              <w:pStyle w:val="TableContents"/>
              <w:spacing w:before="0" w:after="283"/>
              <w:rPr/>
            </w:pPr>
            <w:r>
              <w:rPr/>
              <w:t> </w:t>
            </w:r>
          </w:p>
        </w:tc>
        <w:tc>
          <w:tcPr>
            <w:tcW w:w="135" w:type="dxa"/>
            <w:tcBorders/>
            <w:shd w:fill="FFFFFF" w:val="clear"/>
            <w:vAlign w:val="bottom"/>
          </w:tcPr>
          <w:p>
            <w:pPr>
              <w:pStyle w:val="TableContents"/>
              <w:spacing w:before="0" w:after="283"/>
              <w:jc w:val="left"/>
              <w:rPr/>
            </w:pPr>
            <w:r>
              <w:rPr/>
              <w:t> </w:t>
            </w:r>
          </w:p>
        </w:tc>
        <w:tc>
          <w:tcPr>
            <w:tcW w:w="586"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w:t>
            </w:r>
          </w:p>
        </w:tc>
        <w:tc>
          <w:tcPr>
            <w:tcW w:w="92" w:type="dxa"/>
            <w:tcBorders/>
            <w:shd w:fill="FFFFFF" w:val="clear"/>
            <w:vAlign w:val="bottom"/>
          </w:tcPr>
          <w:p>
            <w:pPr>
              <w:pStyle w:val="TableContents"/>
              <w:spacing w:before="0" w:after="283"/>
              <w:jc w:val="left"/>
              <w:rPr/>
            </w:pPr>
            <w:r>
              <w:rPr/>
              <w:t> </w:t>
            </w:r>
          </w:p>
        </w:tc>
        <w:tc>
          <w:tcPr>
            <w:tcW w:w="92" w:type="dxa"/>
            <w:tcBorders/>
            <w:shd w:fill="FFFFFF" w:val="clear"/>
            <w:vAlign w:val="bottom"/>
          </w:tcPr>
          <w:p>
            <w:pPr>
              <w:pStyle w:val="TableContents"/>
              <w:spacing w:before="0" w:after="283"/>
              <w:rPr/>
            </w:pPr>
            <w:r>
              <w:rPr/>
              <w:t> </w:t>
            </w:r>
          </w:p>
        </w:tc>
        <w:tc>
          <w:tcPr>
            <w:tcW w:w="292" w:type="dxa"/>
            <w:tcBorders/>
            <w:shd w:fill="FFFFFF" w:val="clear"/>
            <w:vAlign w:val="bottom"/>
          </w:tcPr>
          <w:p>
            <w:pPr>
              <w:pStyle w:val="TableContents"/>
              <w:spacing w:before="0" w:after="283"/>
              <w:jc w:val="left"/>
              <w:rPr/>
            </w:pPr>
            <w:r>
              <w:rPr/>
              <w:t> </w:t>
            </w:r>
          </w:p>
        </w:tc>
        <w:tc>
          <w:tcPr>
            <w:tcW w:w="334"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w:t>
            </w:r>
          </w:p>
        </w:tc>
        <w:tc>
          <w:tcPr>
            <w:tcW w:w="81"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81" w:type="dxa"/>
            <w:tcBorders/>
            <w:shd w:fill="FFFFFF" w:val="clear"/>
            <w:vAlign w:val="bottom"/>
          </w:tcPr>
          <w:p>
            <w:pPr>
              <w:pStyle w:val="TableContents"/>
              <w:spacing w:before="0" w:after="283"/>
              <w:jc w:val="left"/>
              <w:rPr/>
            </w:pPr>
            <w:r>
              <w:rPr/>
              <w:t> </w:t>
            </w:r>
          </w:p>
        </w:tc>
        <w:tc>
          <w:tcPr>
            <w:tcW w:w="982"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w:t>
            </w:r>
          </w:p>
        </w:tc>
        <w:tc>
          <w:tcPr>
            <w:tcW w:w="99"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139" w:type="dxa"/>
            <w:tcBorders/>
            <w:shd w:fill="FFFFFF" w:val="clear"/>
            <w:vAlign w:val="bottom"/>
          </w:tcPr>
          <w:p>
            <w:pPr>
              <w:pStyle w:val="TableContents"/>
              <w:spacing w:before="0" w:after="283"/>
              <w:jc w:val="left"/>
              <w:rPr/>
            </w:pPr>
            <w:r>
              <w:rPr/>
              <w:t> </w:t>
            </w:r>
          </w:p>
        </w:tc>
        <w:tc>
          <w:tcPr>
            <w:tcW w:w="641"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w:t>
            </w:r>
          </w:p>
        </w:tc>
        <w:tc>
          <w:tcPr>
            <w:tcW w:w="99"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283"/>
              <w:jc w:val="left"/>
              <w:rPr/>
            </w:pPr>
            <w:r>
              <w:rPr/>
              <w:t> </w:t>
            </w:r>
          </w:p>
        </w:tc>
        <w:tc>
          <w:tcPr>
            <w:tcW w:w="1077"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200,000</w:t>
            </w:r>
          </w:p>
        </w:tc>
        <w:tc>
          <w:tcPr>
            <w:tcW w:w="99"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283"/>
              <w:jc w:val="left"/>
              <w:rPr/>
            </w:pPr>
            <w:r>
              <w:rPr/>
              <w:t> </w:t>
            </w:r>
          </w:p>
        </w:tc>
        <w:tc>
          <w:tcPr>
            <w:tcW w:w="1132"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w:t>
            </w:r>
          </w:p>
        </w:tc>
        <w:tc>
          <w:tcPr>
            <w:tcW w:w="99"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141" w:type="dxa"/>
            <w:tcBorders/>
            <w:shd w:fill="FFFFFF" w:val="clear"/>
            <w:vAlign w:val="bottom"/>
          </w:tcPr>
          <w:p>
            <w:pPr>
              <w:pStyle w:val="TableContents"/>
              <w:spacing w:before="0" w:after="283"/>
              <w:jc w:val="left"/>
              <w:rPr/>
            </w:pPr>
            <w:r>
              <w:rPr/>
              <w:t> </w:t>
            </w:r>
          </w:p>
        </w:tc>
        <w:tc>
          <w:tcPr>
            <w:tcW w:w="1045"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200,000</w:t>
            </w:r>
          </w:p>
        </w:tc>
        <w:tc>
          <w:tcPr>
            <w:tcW w:w="123" w:type="dxa"/>
            <w:tcBorders/>
            <w:shd w:fill="FFFFFF" w:val="clear"/>
            <w:vAlign w:val="bottom"/>
          </w:tcPr>
          <w:p>
            <w:pPr>
              <w:pStyle w:val="TableContents"/>
              <w:spacing w:before="0" w:after="283"/>
              <w:jc w:val="left"/>
              <w:rPr/>
            </w:pPr>
            <w:r>
              <w:rPr/>
              <w:t> </w:t>
            </w:r>
          </w:p>
        </w:tc>
      </w:tr>
      <w:tr>
        <w:trPr/>
        <w:tc>
          <w:tcPr>
            <w:tcW w:w="2070" w:type="dxa"/>
            <w:tcBorders/>
            <w:shd w:fill="CCEEFF" w:val="clear"/>
            <w:vAlign w:val="bottom"/>
          </w:tcPr>
          <w:p>
            <w:pPr>
              <w:pStyle w:val="TableContents"/>
              <w:spacing w:before="0" w:after="0"/>
              <w:ind w:left="0" w:right="0" w:hanging="0"/>
              <w:jc w:val="left"/>
              <w:rPr/>
            </w:pPr>
            <w:r>
              <w:rPr/>
              <w:t> </w:t>
            </w:r>
            <w:r>
              <w:rPr>
                <w:rFonts w:ascii="helvetica" w:hAnsi="helvetica"/>
                <w:sz w:val="20"/>
              </w:rPr>
              <w:t>Net loss</w:t>
            </w:r>
          </w:p>
        </w:tc>
        <w:tc>
          <w:tcPr>
            <w:tcW w:w="81" w:type="dxa"/>
            <w:tcBorders/>
            <w:shd w:fill="CCEEFF" w:val="clear"/>
            <w:vAlign w:val="bottom"/>
          </w:tcPr>
          <w:p>
            <w:pPr>
              <w:pStyle w:val="TableContents"/>
              <w:spacing w:before="0" w:after="283"/>
              <w:rPr/>
            </w:pPr>
            <w:r>
              <w:rPr/>
              <w:t> </w:t>
            </w:r>
          </w:p>
        </w:tc>
        <w:tc>
          <w:tcPr>
            <w:tcW w:w="13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586" w:type="dxa"/>
            <w:tcBorders>
              <w:bottom w:val="single" w:sz="12" w:space="0" w:color="000000"/>
            </w:tcBorders>
            <w:shd w:fill="CCEE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w:t>
            </w:r>
          </w:p>
        </w:tc>
        <w:tc>
          <w:tcPr>
            <w:tcW w:w="92" w:type="dxa"/>
            <w:tcBorders/>
            <w:shd w:fill="CCEEFF" w:val="clear"/>
            <w:vAlign w:val="bottom"/>
          </w:tcPr>
          <w:p>
            <w:pPr>
              <w:pStyle w:val="TableContents"/>
              <w:spacing w:before="0" w:after="283"/>
              <w:jc w:val="left"/>
              <w:rPr/>
            </w:pPr>
            <w:r>
              <w:rPr/>
              <w:t> </w:t>
            </w:r>
          </w:p>
        </w:tc>
        <w:tc>
          <w:tcPr>
            <w:tcW w:w="92" w:type="dxa"/>
            <w:tcBorders/>
            <w:shd w:fill="CCEEFF" w:val="clear"/>
            <w:vAlign w:val="bottom"/>
          </w:tcPr>
          <w:p>
            <w:pPr>
              <w:pStyle w:val="TableContents"/>
              <w:spacing w:before="0" w:after="283"/>
              <w:rPr/>
            </w:pPr>
            <w:r>
              <w:rPr/>
              <w:t> </w:t>
            </w:r>
          </w:p>
        </w:tc>
        <w:tc>
          <w:tcPr>
            <w:tcW w:w="292"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334" w:type="dxa"/>
            <w:tcBorders>
              <w:bottom w:val="single" w:sz="12" w:space="0" w:color="000000"/>
            </w:tcBorders>
            <w:shd w:fill="CCEE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w:t>
            </w:r>
          </w:p>
        </w:tc>
        <w:tc>
          <w:tcPr>
            <w:tcW w:w="81"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81"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982" w:type="dxa"/>
            <w:tcBorders>
              <w:bottom w:val="single" w:sz="12" w:space="0" w:color="000000"/>
            </w:tcBorders>
            <w:shd w:fill="CCEE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w:t>
            </w:r>
          </w:p>
        </w:tc>
        <w:tc>
          <w:tcPr>
            <w:tcW w:w="99"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139"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641" w:type="dxa"/>
            <w:tcBorders>
              <w:bottom w:val="single" w:sz="12" w:space="0" w:color="000000"/>
            </w:tcBorders>
            <w:shd w:fill="CCEE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w:t>
            </w:r>
          </w:p>
        </w:tc>
        <w:tc>
          <w:tcPr>
            <w:tcW w:w="99"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140"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77" w:type="dxa"/>
            <w:tcBorders>
              <w:bottom w:val="single" w:sz="12" w:space="0" w:color="000000"/>
            </w:tcBorders>
            <w:shd w:fill="CCEE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w:t>
            </w:r>
          </w:p>
        </w:tc>
        <w:tc>
          <w:tcPr>
            <w:tcW w:w="99"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140"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132" w:type="dxa"/>
            <w:tcBorders>
              <w:bottom w:val="single" w:sz="12" w:space="0" w:color="000000"/>
            </w:tcBorders>
            <w:shd w:fill="CCEE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(208,420</w:t>
            </w:r>
          </w:p>
        </w:tc>
        <w:tc>
          <w:tcPr>
            <w:tcW w:w="99" w:type="dxa"/>
            <w:tcBorders/>
            <w:shd w:fill="CCEEFF" w:val="clear"/>
            <w:vAlign w:val="bottom"/>
          </w:tcPr>
          <w:p>
            <w:pPr>
              <w:pStyle w:val="TableContents"/>
              <w:spacing w:before="0" w:after="283"/>
              <w:jc w:val="left"/>
              <w:rPr>
                <w:rFonts w:ascii="helvetica" w:hAnsi="helvetica"/>
                <w:sz w:val="20"/>
              </w:rPr>
            </w:pPr>
            <w:r>
              <w:rPr>
                <w:rFonts w:ascii="helvetica" w:hAnsi="helvetica"/>
                <w:sz w:val="20"/>
              </w:rPr>
              <w:t>)</w:t>
            </w:r>
          </w:p>
        </w:tc>
        <w:tc>
          <w:tcPr>
            <w:tcW w:w="81" w:type="dxa"/>
            <w:tcBorders/>
            <w:shd w:fill="CCEEFF" w:val="clear"/>
            <w:vAlign w:val="bottom"/>
          </w:tcPr>
          <w:p>
            <w:pPr>
              <w:pStyle w:val="TableContents"/>
              <w:spacing w:before="0" w:after="283"/>
              <w:rPr/>
            </w:pPr>
            <w:r>
              <w:rPr/>
              <w:t> </w:t>
            </w:r>
          </w:p>
        </w:tc>
        <w:tc>
          <w:tcPr>
            <w:tcW w:w="141"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45" w:type="dxa"/>
            <w:tcBorders>
              <w:bottom w:val="single" w:sz="12" w:space="0" w:color="000000"/>
            </w:tcBorders>
            <w:shd w:fill="CCEE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(208,420</w:t>
            </w:r>
          </w:p>
        </w:tc>
        <w:tc>
          <w:tcPr>
            <w:tcW w:w="123" w:type="dxa"/>
            <w:tcBorders/>
            <w:shd w:fill="CCEEFF" w:val="clear"/>
            <w:vAlign w:val="bottom"/>
          </w:tcPr>
          <w:p>
            <w:pPr>
              <w:pStyle w:val="TableContents"/>
              <w:spacing w:before="0" w:after="283"/>
              <w:jc w:val="left"/>
              <w:rPr>
                <w:rFonts w:ascii="helvetica" w:hAnsi="helvetica"/>
                <w:sz w:val="20"/>
              </w:rPr>
            </w:pPr>
            <w:r>
              <w:rPr>
                <w:rFonts w:ascii="helvetica" w:hAnsi="helvetica"/>
                <w:sz w:val="20"/>
              </w:rPr>
              <w:t>)</w:t>
            </w:r>
          </w:p>
        </w:tc>
      </w:tr>
      <w:tr>
        <w:trPr/>
        <w:tc>
          <w:tcPr>
            <w:tcW w:w="2070" w:type="dxa"/>
            <w:tcBorders/>
            <w:shd w:fill="FFFFFF" w:val="clear"/>
            <w:vAlign w:val="bottom"/>
          </w:tcPr>
          <w:p>
            <w:pPr>
              <w:pStyle w:val="TableContents"/>
              <w:spacing w:before="0" w:after="0"/>
              <w:ind w:left="0" w:right="0" w:hanging="0"/>
              <w:jc w:val="left"/>
              <w:rPr/>
            </w:pPr>
            <w:r>
              <w:rPr/>
              <w:t> </w:t>
            </w:r>
            <w:r>
              <w:rPr>
                <w:rFonts w:ascii="helvetica" w:hAnsi="helvetica"/>
                <w:sz w:val="20"/>
              </w:rPr>
              <w:t>Balance at December 31, 2001</w:t>
            </w:r>
          </w:p>
        </w:tc>
        <w:tc>
          <w:tcPr>
            <w:tcW w:w="81" w:type="dxa"/>
            <w:tcBorders/>
            <w:shd w:fill="FFFFFF" w:val="clear"/>
            <w:vAlign w:val="bottom"/>
          </w:tcPr>
          <w:p>
            <w:pPr>
              <w:pStyle w:val="TableContents"/>
              <w:spacing w:before="0" w:after="283"/>
              <w:rPr/>
            </w:pPr>
            <w:r>
              <w:rPr/>
              <w:t> </w:t>
            </w:r>
          </w:p>
        </w:tc>
        <w:tc>
          <w:tcPr>
            <w:tcW w:w="135" w:type="dxa"/>
            <w:tcBorders/>
            <w:shd w:fill="FFFFFF" w:val="clear"/>
            <w:vAlign w:val="bottom"/>
          </w:tcPr>
          <w:p>
            <w:pPr>
              <w:pStyle w:val="TableContents"/>
              <w:spacing w:before="0" w:after="283"/>
              <w:jc w:val="left"/>
              <w:rPr/>
            </w:pPr>
            <w:r>
              <w:rPr/>
              <w:t> </w:t>
            </w:r>
          </w:p>
        </w:tc>
        <w:tc>
          <w:tcPr>
            <w:tcW w:w="586"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w:t>
            </w:r>
          </w:p>
        </w:tc>
        <w:tc>
          <w:tcPr>
            <w:tcW w:w="92" w:type="dxa"/>
            <w:tcBorders/>
            <w:shd w:fill="FFFFFF" w:val="clear"/>
            <w:vAlign w:val="bottom"/>
          </w:tcPr>
          <w:p>
            <w:pPr>
              <w:pStyle w:val="TableContents"/>
              <w:spacing w:before="0" w:after="283"/>
              <w:jc w:val="left"/>
              <w:rPr/>
            </w:pPr>
            <w:r>
              <w:rPr/>
              <w:t> </w:t>
            </w:r>
          </w:p>
        </w:tc>
        <w:tc>
          <w:tcPr>
            <w:tcW w:w="92" w:type="dxa"/>
            <w:tcBorders/>
            <w:shd w:fill="FFFFFF" w:val="clear"/>
            <w:vAlign w:val="bottom"/>
          </w:tcPr>
          <w:p>
            <w:pPr>
              <w:pStyle w:val="TableContents"/>
              <w:spacing w:before="0" w:after="283"/>
              <w:rPr/>
            </w:pPr>
            <w:r>
              <w:rPr/>
              <w:t> </w:t>
            </w:r>
          </w:p>
        </w:tc>
        <w:tc>
          <w:tcPr>
            <w:tcW w:w="292" w:type="dxa"/>
            <w:tcBorders/>
            <w:shd w:fill="FFFFFF" w:val="clear"/>
            <w:vAlign w:val="bottom"/>
          </w:tcPr>
          <w:p>
            <w:pPr>
              <w:pStyle w:val="TableContents"/>
              <w:spacing w:before="0" w:after="283"/>
              <w:jc w:val="left"/>
              <w:rPr/>
            </w:pPr>
            <w:r>
              <w:rPr/>
              <w:t> </w:t>
            </w:r>
          </w:p>
        </w:tc>
        <w:tc>
          <w:tcPr>
            <w:tcW w:w="334"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w:t>
            </w:r>
          </w:p>
        </w:tc>
        <w:tc>
          <w:tcPr>
            <w:tcW w:w="81"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81" w:type="dxa"/>
            <w:tcBorders/>
            <w:shd w:fill="FFFFFF" w:val="clear"/>
            <w:vAlign w:val="bottom"/>
          </w:tcPr>
          <w:p>
            <w:pPr>
              <w:pStyle w:val="TableContents"/>
              <w:spacing w:before="0" w:after="283"/>
              <w:jc w:val="left"/>
              <w:rPr/>
            </w:pPr>
            <w:r>
              <w:rPr/>
              <w:t> </w:t>
            </w:r>
          </w:p>
        </w:tc>
        <w:tc>
          <w:tcPr>
            <w:tcW w:w="982"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117,188</w:t>
            </w:r>
          </w:p>
        </w:tc>
        <w:tc>
          <w:tcPr>
            <w:tcW w:w="99"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139" w:type="dxa"/>
            <w:tcBorders/>
            <w:shd w:fill="FFFFFF" w:val="clear"/>
            <w:vAlign w:val="bottom"/>
          </w:tcPr>
          <w:p>
            <w:pPr>
              <w:pStyle w:val="TableContents"/>
              <w:spacing w:before="0" w:after="283"/>
              <w:jc w:val="left"/>
              <w:rPr/>
            </w:pPr>
            <w:r>
              <w:rPr/>
              <w:t> </w:t>
            </w:r>
          </w:p>
        </w:tc>
        <w:tc>
          <w:tcPr>
            <w:tcW w:w="641"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117</w:t>
            </w:r>
          </w:p>
        </w:tc>
        <w:tc>
          <w:tcPr>
            <w:tcW w:w="99"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283"/>
              <w:jc w:val="left"/>
              <w:rPr/>
            </w:pPr>
            <w:r>
              <w:rPr/>
              <w:t> </w:t>
            </w:r>
          </w:p>
        </w:tc>
        <w:tc>
          <w:tcPr>
            <w:tcW w:w="1077"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705,883</w:t>
            </w:r>
          </w:p>
        </w:tc>
        <w:tc>
          <w:tcPr>
            <w:tcW w:w="99"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283"/>
              <w:jc w:val="left"/>
              <w:rPr/>
            </w:pPr>
            <w:r>
              <w:rPr/>
              <w:t> </w:t>
            </w:r>
          </w:p>
        </w:tc>
        <w:tc>
          <w:tcPr>
            <w:tcW w:w="1132"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(725,512</w:t>
            </w:r>
          </w:p>
        </w:tc>
        <w:tc>
          <w:tcPr>
            <w:tcW w:w="99" w:type="dxa"/>
            <w:tcBorders/>
            <w:shd w:fill="FFFFFF" w:val="clear"/>
            <w:vAlign w:val="bottom"/>
          </w:tcPr>
          <w:p>
            <w:pPr>
              <w:pStyle w:val="TableContents"/>
              <w:spacing w:before="0" w:after="283"/>
              <w:jc w:val="left"/>
              <w:rPr>
                <w:rFonts w:ascii="helvetica" w:hAnsi="helvetica"/>
                <w:sz w:val="20"/>
              </w:rPr>
            </w:pPr>
            <w:r>
              <w:rPr>
                <w:rFonts w:ascii="helvetica" w:hAnsi="helvetica"/>
                <w:sz w:val="20"/>
              </w:rPr>
              <w:t>)</w:t>
            </w:r>
          </w:p>
        </w:tc>
        <w:tc>
          <w:tcPr>
            <w:tcW w:w="81" w:type="dxa"/>
            <w:tcBorders/>
            <w:shd w:fill="FFFFFF" w:val="clear"/>
            <w:vAlign w:val="bottom"/>
          </w:tcPr>
          <w:p>
            <w:pPr>
              <w:pStyle w:val="TableContents"/>
              <w:spacing w:before="0" w:after="283"/>
              <w:rPr/>
            </w:pPr>
            <w:r>
              <w:rPr/>
              <w:t> </w:t>
            </w:r>
          </w:p>
        </w:tc>
        <w:tc>
          <w:tcPr>
            <w:tcW w:w="141" w:type="dxa"/>
            <w:tcBorders/>
            <w:shd w:fill="FFFFFF" w:val="clear"/>
            <w:vAlign w:val="bottom"/>
          </w:tcPr>
          <w:p>
            <w:pPr>
              <w:pStyle w:val="TableContents"/>
              <w:spacing w:before="0" w:after="283"/>
              <w:jc w:val="left"/>
              <w:rPr/>
            </w:pPr>
            <w:r>
              <w:rPr/>
              <w:t> </w:t>
            </w:r>
          </w:p>
        </w:tc>
        <w:tc>
          <w:tcPr>
            <w:tcW w:w="1045"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(19,512</w:t>
            </w:r>
          </w:p>
        </w:tc>
        <w:tc>
          <w:tcPr>
            <w:tcW w:w="123" w:type="dxa"/>
            <w:tcBorders/>
            <w:shd w:fill="FFFFFF" w:val="clear"/>
            <w:vAlign w:val="bottom"/>
          </w:tcPr>
          <w:p>
            <w:pPr>
              <w:pStyle w:val="TableContents"/>
              <w:spacing w:before="0" w:after="283"/>
              <w:jc w:val="left"/>
              <w:rPr>
                <w:rFonts w:ascii="helvetica" w:hAnsi="helvetica"/>
                <w:sz w:val="20"/>
              </w:rPr>
            </w:pPr>
            <w:r>
              <w:rPr>
                <w:rFonts w:ascii="helvetica" w:hAnsi="helvetica"/>
                <w:sz w:val="20"/>
              </w:rPr>
              <w:t>)</w:t>
            </w:r>
          </w:p>
        </w:tc>
      </w:tr>
      <w:tr>
        <w:trPr/>
        <w:tc>
          <w:tcPr>
            <w:tcW w:w="2070" w:type="dxa"/>
            <w:tcBorders/>
            <w:shd w:fill="CCEEFF" w:val="clear"/>
            <w:vAlign w:val="bottom"/>
          </w:tcPr>
          <w:p>
            <w:pPr>
              <w:pStyle w:val="TableContents"/>
              <w:spacing w:before="0" w:after="283"/>
              <w:rPr/>
            </w:pPr>
            <w:r>
              <w:rPr/>
              <w:t xml:space="preserve">  </w:t>
            </w:r>
          </w:p>
        </w:tc>
        <w:tc>
          <w:tcPr>
            <w:tcW w:w="81" w:type="dxa"/>
            <w:tcBorders/>
            <w:shd w:fill="CCEEFF" w:val="clear"/>
            <w:vAlign w:val="bottom"/>
          </w:tcPr>
          <w:p>
            <w:pPr>
              <w:pStyle w:val="TableContents"/>
              <w:spacing w:before="0" w:after="283"/>
              <w:rPr/>
            </w:pPr>
            <w:r>
              <w:rPr/>
              <w:t> </w:t>
            </w:r>
          </w:p>
        </w:tc>
        <w:tc>
          <w:tcPr>
            <w:tcW w:w="135" w:type="dxa"/>
            <w:tcBorders/>
            <w:shd w:fill="CCEEFF" w:val="clear"/>
            <w:vAlign w:val="bottom"/>
          </w:tcPr>
          <w:p>
            <w:pPr>
              <w:pStyle w:val="TableContents"/>
              <w:spacing w:before="0" w:after="283"/>
              <w:jc w:val="left"/>
              <w:rPr/>
            </w:pPr>
            <w:r>
              <w:rPr/>
              <w:t> </w:t>
            </w:r>
          </w:p>
        </w:tc>
        <w:tc>
          <w:tcPr>
            <w:tcW w:w="586" w:type="dxa"/>
            <w:tcBorders/>
            <w:shd w:fill="CCEEFF" w:val="clear"/>
            <w:vAlign w:val="bottom"/>
          </w:tcPr>
          <w:p>
            <w:pPr>
              <w:pStyle w:val="TableContents"/>
              <w:spacing w:before="0" w:after="283"/>
              <w:jc w:val="right"/>
              <w:rPr/>
            </w:pPr>
            <w:r>
              <w:rPr/>
              <w:t> </w:t>
            </w:r>
          </w:p>
        </w:tc>
        <w:tc>
          <w:tcPr>
            <w:tcW w:w="92" w:type="dxa"/>
            <w:tcBorders/>
            <w:shd w:fill="CCEEFF" w:val="clear"/>
            <w:vAlign w:val="bottom"/>
          </w:tcPr>
          <w:p>
            <w:pPr>
              <w:pStyle w:val="TableContents"/>
              <w:spacing w:before="0" w:after="283"/>
              <w:jc w:val="left"/>
              <w:rPr/>
            </w:pPr>
            <w:r>
              <w:rPr/>
              <w:t> </w:t>
            </w:r>
          </w:p>
        </w:tc>
        <w:tc>
          <w:tcPr>
            <w:tcW w:w="92" w:type="dxa"/>
            <w:tcBorders/>
            <w:shd w:fill="CCEEFF" w:val="clear"/>
            <w:vAlign w:val="bottom"/>
          </w:tcPr>
          <w:p>
            <w:pPr>
              <w:pStyle w:val="TableContents"/>
              <w:spacing w:before="0" w:after="283"/>
              <w:rPr/>
            </w:pPr>
            <w:r>
              <w:rPr/>
              <w:t> </w:t>
            </w:r>
          </w:p>
        </w:tc>
        <w:tc>
          <w:tcPr>
            <w:tcW w:w="292" w:type="dxa"/>
            <w:tcBorders/>
            <w:shd w:fill="CCEEFF" w:val="clear"/>
            <w:vAlign w:val="bottom"/>
          </w:tcPr>
          <w:p>
            <w:pPr>
              <w:pStyle w:val="TableContents"/>
              <w:spacing w:before="0" w:after="283"/>
              <w:jc w:val="left"/>
              <w:rPr/>
            </w:pPr>
            <w:r>
              <w:rPr/>
              <w:t> </w:t>
            </w:r>
          </w:p>
        </w:tc>
        <w:tc>
          <w:tcPr>
            <w:tcW w:w="334" w:type="dxa"/>
            <w:tcBorders/>
            <w:shd w:fill="CCEEFF" w:val="clear"/>
            <w:vAlign w:val="bottom"/>
          </w:tcPr>
          <w:p>
            <w:pPr>
              <w:pStyle w:val="TableContents"/>
              <w:spacing w:before="0" w:after="283"/>
              <w:jc w:val="right"/>
              <w:rPr/>
            </w:pPr>
            <w:r>
              <w:rPr/>
              <w:t> </w:t>
            </w:r>
          </w:p>
        </w:tc>
        <w:tc>
          <w:tcPr>
            <w:tcW w:w="81"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81" w:type="dxa"/>
            <w:tcBorders/>
            <w:shd w:fill="CCEEFF" w:val="clear"/>
            <w:vAlign w:val="bottom"/>
          </w:tcPr>
          <w:p>
            <w:pPr>
              <w:pStyle w:val="TableContents"/>
              <w:spacing w:before="0" w:after="283"/>
              <w:jc w:val="left"/>
              <w:rPr/>
            </w:pPr>
            <w:r>
              <w:rPr/>
              <w:t> </w:t>
            </w:r>
          </w:p>
        </w:tc>
        <w:tc>
          <w:tcPr>
            <w:tcW w:w="982" w:type="dxa"/>
            <w:tcBorders/>
            <w:shd w:fill="CCEEFF" w:val="clear"/>
            <w:vAlign w:val="bottom"/>
          </w:tcPr>
          <w:p>
            <w:pPr>
              <w:pStyle w:val="TableContents"/>
              <w:spacing w:before="0" w:after="283"/>
              <w:jc w:val="right"/>
              <w:rPr/>
            </w:pPr>
            <w:r>
              <w:rPr/>
              <w:t> </w:t>
            </w:r>
          </w:p>
        </w:tc>
        <w:tc>
          <w:tcPr>
            <w:tcW w:w="99"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139" w:type="dxa"/>
            <w:tcBorders/>
            <w:shd w:fill="CCEEFF" w:val="clear"/>
            <w:vAlign w:val="bottom"/>
          </w:tcPr>
          <w:p>
            <w:pPr>
              <w:pStyle w:val="TableContents"/>
              <w:spacing w:before="0" w:after="283"/>
              <w:jc w:val="left"/>
              <w:rPr/>
            </w:pPr>
            <w:r>
              <w:rPr/>
              <w:t> </w:t>
            </w:r>
          </w:p>
        </w:tc>
        <w:tc>
          <w:tcPr>
            <w:tcW w:w="641" w:type="dxa"/>
            <w:tcBorders/>
            <w:shd w:fill="CCEEFF" w:val="clear"/>
            <w:vAlign w:val="bottom"/>
          </w:tcPr>
          <w:p>
            <w:pPr>
              <w:pStyle w:val="TableContents"/>
              <w:spacing w:before="0" w:after="283"/>
              <w:jc w:val="right"/>
              <w:rPr/>
            </w:pPr>
            <w:r>
              <w:rPr/>
              <w:t> </w:t>
            </w:r>
          </w:p>
        </w:tc>
        <w:tc>
          <w:tcPr>
            <w:tcW w:w="99"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jc w:val="left"/>
              <w:rPr/>
            </w:pPr>
            <w:r>
              <w:rPr/>
              <w:t> </w:t>
            </w:r>
          </w:p>
        </w:tc>
        <w:tc>
          <w:tcPr>
            <w:tcW w:w="1077" w:type="dxa"/>
            <w:tcBorders/>
            <w:shd w:fill="CCEEFF" w:val="clear"/>
            <w:vAlign w:val="bottom"/>
          </w:tcPr>
          <w:p>
            <w:pPr>
              <w:pStyle w:val="TableContents"/>
              <w:spacing w:before="0" w:after="283"/>
              <w:jc w:val="right"/>
              <w:rPr/>
            </w:pPr>
            <w:r>
              <w:rPr/>
              <w:t> </w:t>
            </w:r>
          </w:p>
        </w:tc>
        <w:tc>
          <w:tcPr>
            <w:tcW w:w="99"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jc w:val="left"/>
              <w:rPr/>
            </w:pPr>
            <w:r>
              <w:rPr/>
              <w:t> </w:t>
            </w:r>
          </w:p>
        </w:tc>
        <w:tc>
          <w:tcPr>
            <w:tcW w:w="1132" w:type="dxa"/>
            <w:tcBorders/>
            <w:shd w:fill="CCEEFF" w:val="clear"/>
            <w:vAlign w:val="bottom"/>
          </w:tcPr>
          <w:p>
            <w:pPr>
              <w:pStyle w:val="TableContents"/>
              <w:spacing w:before="0" w:after="283"/>
              <w:jc w:val="right"/>
              <w:rPr/>
            </w:pPr>
            <w:r>
              <w:rPr/>
              <w:t> </w:t>
            </w:r>
          </w:p>
        </w:tc>
        <w:tc>
          <w:tcPr>
            <w:tcW w:w="99"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141" w:type="dxa"/>
            <w:tcBorders/>
            <w:shd w:fill="CCEEFF" w:val="clear"/>
            <w:vAlign w:val="bottom"/>
          </w:tcPr>
          <w:p>
            <w:pPr>
              <w:pStyle w:val="TableContents"/>
              <w:spacing w:before="0" w:after="283"/>
              <w:jc w:val="left"/>
              <w:rPr/>
            </w:pPr>
            <w:r>
              <w:rPr/>
              <w:t> </w:t>
            </w:r>
          </w:p>
        </w:tc>
        <w:tc>
          <w:tcPr>
            <w:tcW w:w="1045" w:type="dxa"/>
            <w:tcBorders/>
            <w:shd w:fill="CCEEFF" w:val="clear"/>
            <w:vAlign w:val="bottom"/>
          </w:tcPr>
          <w:p>
            <w:pPr>
              <w:pStyle w:val="TableContents"/>
              <w:spacing w:before="0" w:after="283"/>
              <w:jc w:val="right"/>
              <w:rPr/>
            </w:pPr>
            <w:r>
              <w:rPr/>
              <w:t> </w:t>
            </w:r>
          </w:p>
        </w:tc>
        <w:tc>
          <w:tcPr>
            <w:tcW w:w="123" w:type="dxa"/>
            <w:tcBorders/>
            <w:shd w:fill="CCEEFF" w:val="clear"/>
            <w:vAlign w:val="bottom"/>
          </w:tcPr>
          <w:p>
            <w:pPr>
              <w:pStyle w:val="TableContents"/>
              <w:spacing w:before="0" w:after="283"/>
              <w:jc w:val="left"/>
              <w:rPr/>
            </w:pPr>
            <w:r>
              <w:rPr/>
              <w:t> </w:t>
            </w:r>
          </w:p>
        </w:tc>
      </w:tr>
      <w:tr>
        <w:trPr/>
        <w:tc>
          <w:tcPr>
            <w:tcW w:w="2070" w:type="dxa"/>
            <w:tcBorders/>
            <w:shd w:fill="FFFFFF" w:val="clear"/>
            <w:vAlign w:val="bottom"/>
          </w:tcPr>
          <w:p>
            <w:pPr>
              <w:pStyle w:val="TableContents"/>
              <w:spacing w:before="0" w:after="0"/>
              <w:ind w:left="0" w:right="0" w:hanging="0"/>
              <w:jc w:val="left"/>
              <w:rPr/>
            </w:pPr>
            <w:r>
              <w:rPr/>
              <w:t> </w:t>
            </w:r>
            <w:r>
              <w:rPr>
                <w:rFonts w:ascii="helvetica" w:hAnsi="helvetica"/>
                <w:sz w:val="20"/>
              </w:rPr>
              <w:t>Estimated fair value of services contributed by</w:t>
            </w:r>
          </w:p>
        </w:tc>
        <w:tc>
          <w:tcPr>
            <w:tcW w:w="81" w:type="dxa"/>
            <w:tcBorders/>
            <w:shd w:fill="FFFFFF" w:val="clear"/>
            <w:vAlign w:val="bottom"/>
          </w:tcPr>
          <w:p>
            <w:pPr>
              <w:pStyle w:val="TableContents"/>
              <w:spacing w:before="0" w:after="283"/>
              <w:rPr/>
            </w:pPr>
            <w:r>
              <w:rPr/>
              <w:t> </w:t>
            </w:r>
          </w:p>
        </w:tc>
        <w:tc>
          <w:tcPr>
            <w:tcW w:w="135" w:type="dxa"/>
            <w:tcBorders/>
            <w:shd w:fill="FFFFFF" w:val="clear"/>
            <w:vAlign w:val="bottom"/>
          </w:tcPr>
          <w:p>
            <w:pPr>
              <w:pStyle w:val="TableContents"/>
              <w:spacing w:before="0" w:after="283"/>
              <w:jc w:val="left"/>
              <w:rPr/>
            </w:pPr>
            <w:r>
              <w:rPr/>
              <w:t> </w:t>
            </w:r>
          </w:p>
        </w:tc>
        <w:tc>
          <w:tcPr>
            <w:tcW w:w="586" w:type="dxa"/>
            <w:tcBorders/>
            <w:shd w:fill="FFFFFF" w:val="clear"/>
            <w:vAlign w:val="bottom"/>
          </w:tcPr>
          <w:p>
            <w:pPr>
              <w:pStyle w:val="TableContents"/>
              <w:spacing w:before="0" w:after="283"/>
              <w:jc w:val="right"/>
              <w:rPr/>
            </w:pPr>
            <w:r>
              <w:rPr/>
              <w:t> </w:t>
            </w:r>
          </w:p>
        </w:tc>
        <w:tc>
          <w:tcPr>
            <w:tcW w:w="92" w:type="dxa"/>
            <w:tcBorders/>
            <w:shd w:fill="FFFFFF" w:val="clear"/>
            <w:vAlign w:val="bottom"/>
          </w:tcPr>
          <w:p>
            <w:pPr>
              <w:pStyle w:val="TableContents"/>
              <w:spacing w:before="0" w:after="283"/>
              <w:jc w:val="left"/>
              <w:rPr/>
            </w:pPr>
            <w:r>
              <w:rPr/>
              <w:t> </w:t>
            </w:r>
          </w:p>
        </w:tc>
        <w:tc>
          <w:tcPr>
            <w:tcW w:w="92" w:type="dxa"/>
            <w:tcBorders/>
            <w:shd w:fill="FFFFFF" w:val="clear"/>
            <w:vAlign w:val="bottom"/>
          </w:tcPr>
          <w:p>
            <w:pPr>
              <w:pStyle w:val="TableContents"/>
              <w:spacing w:before="0" w:after="283"/>
              <w:rPr/>
            </w:pPr>
            <w:r>
              <w:rPr/>
              <w:t> </w:t>
            </w:r>
          </w:p>
        </w:tc>
        <w:tc>
          <w:tcPr>
            <w:tcW w:w="292" w:type="dxa"/>
            <w:tcBorders/>
            <w:shd w:fill="FFFFFF" w:val="clear"/>
            <w:vAlign w:val="bottom"/>
          </w:tcPr>
          <w:p>
            <w:pPr>
              <w:pStyle w:val="TableContents"/>
              <w:spacing w:before="0" w:after="283"/>
              <w:jc w:val="left"/>
              <w:rPr/>
            </w:pPr>
            <w:r>
              <w:rPr/>
              <w:t> </w:t>
            </w:r>
          </w:p>
        </w:tc>
        <w:tc>
          <w:tcPr>
            <w:tcW w:w="334" w:type="dxa"/>
            <w:tcBorders/>
            <w:shd w:fill="FFFFFF" w:val="clear"/>
            <w:vAlign w:val="bottom"/>
          </w:tcPr>
          <w:p>
            <w:pPr>
              <w:pStyle w:val="TableContents"/>
              <w:spacing w:before="0" w:after="283"/>
              <w:jc w:val="right"/>
              <w:rPr/>
            </w:pPr>
            <w:r>
              <w:rPr/>
              <w:t> </w:t>
            </w:r>
          </w:p>
        </w:tc>
        <w:tc>
          <w:tcPr>
            <w:tcW w:w="81"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81" w:type="dxa"/>
            <w:tcBorders/>
            <w:shd w:fill="FFFFFF" w:val="clear"/>
            <w:vAlign w:val="bottom"/>
          </w:tcPr>
          <w:p>
            <w:pPr>
              <w:pStyle w:val="TableContents"/>
              <w:spacing w:before="0" w:after="283"/>
              <w:jc w:val="left"/>
              <w:rPr/>
            </w:pPr>
            <w:r>
              <w:rPr/>
              <w:t> </w:t>
            </w:r>
          </w:p>
        </w:tc>
        <w:tc>
          <w:tcPr>
            <w:tcW w:w="982" w:type="dxa"/>
            <w:tcBorders/>
            <w:shd w:fill="FFFFFF" w:val="clear"/>
            <w:vAlign w:val="bottom"/>
          </w:tcPr>
          <w:p>
            <w:pPr>
              <w:pStyle w:val="TableContents"/>
              <w:spacing w:before="0" w:after="283"/>
              <w:jc w:val="right"/>
              <w:rPr/>
            </w:pPr>
            <w:r>
              <w:rPr/>
              <w:t> </w:t>
            </w:r>
          </w:p>
        </w:tc>
        <w:tc>
          <w:tcPr>
            <w:tcW w:w="99"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139" w:type="dxa"/>
            <w:tcBorders/>
            <w:shd w:fill="FFFFFF" w:val="clear"/>
            <w:vAlign w:val="bottom"/>
          </w:tcPr>
          <w:p>
            <w:pPr>
              <w:pStyle w:val="TableContents"/>
              <w:spacing w:before="0" w:after="283"/>
              <w:jc w:val="left"/>
              <w:rPr/>
            </w:pPr>
            <w:r>
              <w:rPr/>
              <w:t> </w:t>
            </w:r>
          </w:p>
        </w:tc>
        <w:tc>
          <w:tcPr>
            <w:tcW w:w="641" w:type="dxa"/>
            <w:tcBorders/>
            <w:shd w:fill="FFFFFF" w:val="clear"/>
            <w:vAlign w:val="bottom"/>
          </w:tcPr>
          <w:p>
            <w:pPr>
              <w:pStyle w:val="TableContents"/>
              <w:spacing w:before="0" w:after="283"/>
              <w:jc w:val="right"/>
              <w:rPr/>
            </w:pPr>
            <w:r>
              <w:rPr/>
              <w:t> </w:t>
            </w:r>
          </w:p>
        </w:tc>
        <w:tc>
          <w:tcPr>
            <w:tcW w:w="99"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283"/>
              <w:jc w:val="left"/>
              <w:rPr/>
            </w:pPr>
            <w:r>
              <w:rPr/>
              <w:t> </w:t>
            </w:r>
          </w:p>
        </w:tc>
        <w:tc>
          <w:tcPr>
            <w:tcW w:w="1077" w:type="dxa"/>
            <w:tcBorders/>
            <w:shd w:fill="FFFFFF" w:val="clear"/>
            <w:vAlign w:val="bottom"/>
          </w:tcPr>
          <w:p>
            <w:pPr>
              <w:pStyle w:val="TableContents"/>
              <w:spacing w:before="0" w:after="283"/>
              <w:jc w:val="right"/>
              <w:rPr/>
            </w:pPr>
            <w:r>
              <w:rPr/>
              <w:t> </w:t>
            </w:r>
          </w:p>
        </w:tc>
        <w:tc>
          <w:tcPr>
            <w:tcW w:w="99"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283"/>
              <w:jc w:val="left"/>
              <w:rPr/>
            </w:pPr>
            <w:r>
              <w:rPr/>
              <w:t> </w:t>
            </w:r>
          </w:p>
        </w:tc>
        <w:tc>
          <w:tcPr>
            <w:tcW w:w="1132" w:type="dxa"/>
            <w:tcBorders/>
            <w:shd w:fill="FFFFFF" w:val="clear"/>
            <w:vAlign w:val="bottom"/>
          </w:tcPr>
          <w:p>
            <w:pPr>
              <w:pStyle w:val="TableContents"/>
              <w:spacing w:before="0" w:after="283"/>
              <w:jc w:val="right"/>
              <w:rPr/>
            </w:pPr>
            <w:r>
              <w:rPr/>
              <w:t> </w:t>
            </w:r>
          </w:p>
        </w:tc>
        <w:tc>
          <w:tcPr>
            <w:tcW w:w="99"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141" w:type="dxa"/>
            <w:tcBorders/>
            <w:shd w:fill="FFFFFF" w:val="clear"/>
            <w:vAlign w:val="bottom"/>
          </w:tcPr>
          <w:p>
            <w:pPr>
              <w:pStyle w:val="TableContents"/>
              <w:spacing w:before="0" w:after="283"/>
              <w:jc w:val="left"/>
              <w:rPr/>
            </w:pPr>
            <w:r>
              <w:rPr/>
              <w:t> </w:t>
            </w:r>
          </w:p>
        </w:tc>
        <w:tc>
          <w:tcPr>
            <w:tcW w:w="1045" w:type="dxa"/>
            <w:tcBorders/>
            <w:shd w:fill="FFFFFF" w:val="clear"/>
            <w:vAlign w:val="bottom"/>
          </w:tcPr>
          <w:p>
            <w:pPr>
              <w:pStyle w:val="TableContents"/>
              <w:spacing w:before="0" w:after="283"/>
              <w:jc w:val="right"/>
              <w:rPr/>
            </w:pPr>
            <w:r>
              <w:rPr/>
              <w:t> </w:t>
            </w:r>
          </w:p>
        </w:tc>
        <w:tc>
          <w:tcPr>
            <w:tcW w:w="123" w:type="dxa"/>
            <w:tcBorders/>
            <w:shd w:fill="FFFFFF" w:val="clear"/>
            <w:vAlign w:val="bottom"/>
          </w:tcPr>
          <w:p>
            <w:pPr>
              <w:pStyle w:val="TableContents"/>
              <w:spacing w:before="0" w:after="283"/>
              <w:jc w:val="left"/>
              <w:rPr/>
            </w:pPr>
            <w:r>
              <w:rPr/>
              <w:t> </w:t>
            </w:r>
          </w:p>
        </w:tc>
      </w:tr>
      <w:tr>
        <w:trPr/>
        <w:tc>
          <w:tcPr>
            <w:tcW w:w="2070" w:type="dxa"/>
            <w:tcBorders/>
            <w:shd w:fill="CCEEFF" w:val="clear"/>
            <w:vAlign w:val="bottom"/>
          </w:tcPr>
          <w:p>
            <w:pPr>
              <w:pStyle w:val="TableContents"/>
              <w:spacing w:before="0" w:after="0"/>
              <w:ind w:left="0" w:right="0" w:hanging="0"/>
              <w:jc w:val="left"/>
              <w:rPr/>
            </w:pPr>
            <w:r>
              <w:rPr/>
              <w:t>   </w:t>
            </w:r>
            <w:r>
              <w:rPr>
                <w:rFonts w:ascii="helvetica" w:hAnsi="helvetica"/>
                <w:sz w:val="20"/>
              </w:rPr>
              <w:t>stockholders</w:t>
            </w:r>
          </w:p>
        </w:tc>
        <w:tc>
          <w:tcPr>
            <w:tcW w:w="81" w:type="dxa"/>
            <w:tcBorders/>
            <w:shd w:fill="CCEEFF" w:val="clear"/>
            <w:vAlign w:val="bottom"/>
          </w:tcPr>
          <w:p>
            <w:pPr>
              <w:pStyle w:val="TableContents"/>
              <w:spacing w:before="0" w:after="283"/>
              <w:rPr/>
            </w:pPr>
            <w:r>
              <w:rPr/>
              <w:t> </w:t>
            </w:r>
          </w:p>
        </w:tc>
        <w:tc>
          <w:tcPr>
            <w:tcW w:w="135" w:type="dxa"/>
            <w:tcBorders/>
            <w:shd w:fill="CCEEFF" w:val="clear"/>
            <w:vAlign w:val="bottom"/>
          </w:tcPr>
          <w:p>
            <w:pPr>
              <w:pStyle w:val="TableContents"/>
              <w:spacing w:before="0" w:after="283"/>
              <w:jc w:val="left"/>
              <w:rPr/>
            </w:pPr>
            <w:r>
              <w:rPr/>
              <w:t> </w:t>
            </w:r>
          </w:p>
        </w:tc>
        <w:tc>
          <w:tcPr>
            <w:tcW w:w="586"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w:t>
            </w:r>
          </w:p>
        </w:tc>
        <w:tc>
          <w:tcPr>
            <w:tcW w:w="92" w:type="dxa"/>
            <w:tcBorders/>
            <w:shd w:fill="CCEEFF" w:val="clear"/>
            <w:vAlign w:val="bottom"/>
          </w:tcPr>
          <w:p>
            <w:pPr>
              <w:pStyle w:val="TableContents"/>
              <w:spacing w:before="0" w:after="283"/>
              <w:jc w:val="left"/>
              <w:rPr/>
            </w:pPr>
            <w:r>
              <w:rPr/>
              <w:t> </w:t>
            </w:r>
          </w:p>
        </w:tc>
        <w:tc>
          <w:tcPr>
            <w:tcW w:w="92" w:type="dxa"/>
            <w:tcBorders/>
            <w:shd w:fill="CCEEFF" w:val="clear"/>
            <w:vAlign w:val="bottom"/>
          </w:tcPr>
          <w:p>
            <w:pPr>
              <w:pStyle w:val="TableContents"/>
              <w:spacing w:before="0" w:after="283"/>
              <w:rPr/>
            </w:pPr>
            <w:r>
              <w:rPr/>
              <w:t> </w:t>
            </w:r>
          </w:p>
        </w:tc>
        <w:tc>
          <w:tcPr>
            <w:tcW w:w="292" w:type="dxa"/>
            <w:tcBorders/>
            <w:shd w:fill="CCEEFF" w:val="clear"/>
            <w:vAlign w:val="bottom"/>
          </w:tcPr>
          <w:p>
            <w:pPr>
              <w:pStyle w:val="TableContents"/>
              <w:spacing w:before="0" w:after="283"/>
              <w:jc w:val="left"/>
              <w:rPr/>
            </w:pPr>
            <w:r>
              <w:rPr/>
              <w:t> </w:t>
            </w:r>
          </w:p>
        </w:tc>
        <w:tc>
          <w:tcPr>
            <w:tcW w:w="334"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w:t>
            </w:r>
          </w:p>
        </w:tc>
        <w:tc>
          <w:tcPr>
            <w:tcW w:w="81"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81" w:type="dxa"/>
            <w:tcBorders/>
            <w:shd w:fill="CCEEFF" w:val="clear"/>
            <w:vAlign w:val="bottom"/>
          </w:tcPr>
          <w:p>
            <w:pPr>
              <w:pStyle w:val="TableContents"/>
              <w:spacing w:before="0" w:after="283"/>
              <w:jc w:val="left"/>
              <w:rPr/>
            </w:pPr>
            <w:r>
              <w:rPr/>
              <w:t> </w:t>
            </w:r>
          </w:p>
        </w:tc>
        <w:tc>
          <w:tcPr>
            <w:tcW w:w="982"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w:t>
            </w:r>
          </w:p>
        </w:tc>
        <w:tc>
          <w:tcPr>
            <w:tcW w:w="99"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139" w:type="dxa"/>
            <w:tcBorders/>
            <w:shd w:fill="CCEEFF" w:val="clear"/>
            <w:vAlign w:val="bottom"/>
          </w:tcPr>
          <w:p>
            <w:pPr>
              <w:pStyle w:val="TableContents"/>
              <w:spacing w:before="0" w:after="283"/>
              <w:jc w:val="left"/>
              <w:rPr/>
            </w:pPr>
            <w:r>
              <w:rPr/>
              <w:t> </w:t>
            </w:r>
          </w:p>
        </w:tc>
        <w:tc>
          <w:tcPr>
            <w:tcW w:w="641"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w:t>
            </w:r>
          </w:p>
        </w:tc>
        <w:tc>
          <w:tcPr>
            <w:tcW w:w="99"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jc w:val="left"/>
              <w:rPr/>
            </w:pPr>
            <w:r>
              <w:rPr/>
              <w:t> </w:t>
            </w:r>
          </w:p>
        </w:tc>
        <w:tc>
          <w:tcPr>
            <w:tcW w:w="1077"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200,000</w:t>
            </w:r>
          </w:p>
        </w:tc>
        <w:tc>
          <w:tcPr>
            <w:tcW w:w="99"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jc w:val="left"/>
              <w:rPr/>
            </w:pPr>
            <w:r>
              <w:rPr/>
              <w:t> </w:t>
            </w:r>
          </w:p>
        </w:tc>
        <w:tc>
          <w:tcPr>
            <w:tcW w:w="1132"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w:t>
            </w:r>
          </w:p>
        </w:tc>
        <w:tc>
          <w:tcPr>
            <w:tcW w:w="99"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141" w:type="dxa"/>
            <w:tcBorders/>
            <w:shd w:fill="CCEEFF" w:val="clear"/>
            <w:vAlign w:val="bottom"/>
          </w:tcPr>
          <w:p>
            <w:pPr>
              <w:pStyle w:val="TableContents"/>
              <w:spacing w:before="0" w:after="283"/>
              <w:jc w:val="left"/>
              <w:rPr/>
            </w:pPr>
            <w:r>
              <w:rPr/>
              <w:t> </w:t>
            </w:r>
          </w:p>
        </w:tc>
        <w:tc>
          <w:tcPr>
            <w:tcW w:w="1045"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200,000</w:t>
            </w:r>
          </w:p>
        </w:tc>
        <w:tc>
          <w:tcPr>
            <w:tcW w:w="123" w:type="dxa"/>
            <w:tcBorders/>
            <w:shd w:fill="CCEEFF" w:val="clear"/>
            <w:vAlign w:val="bottom"/>
          </w:tcPr>
          <w:p>
            <w:pPr>
              <w:pStyle w:val="TableContents"/>
              <w:spacing w:before="0" w:after="283"/>
              <w:jc w:val="left"/>
              <w:rPr/>
            </w:pPr>
            <w:r>
              <w:rPr/>
              <w:t> </w:t>
            </w:r>
          </w:p>
        </w:tc>
      </w:tr>
      <w:tr>
        <w:trPr/>
        <w:tc>
          <w:tcPr>
            <w:tcW w:w="2070" w:type="dxa"/>
            <w:tcBorders/>
            <w:shd w:fill="FFFFFF" w:val="clear"/>
            <w:vAlign w:val="bottom"/>
          </w:tcPr>
          <w:p>
            <w:pPr>
              <w:pStyle w:val="TableContents"/>
              <w:spacing w:before="0" w:after="0"/>
              <w:ind w:left="0" w:right="0" w:hanging="0"/>
              <w:jc w:val="left"/>
              <w:rPr/>
            </w:pPr>
            <w:r>
              <w:rPr/>
              <w:t> </w:t>
            </w:r>
            <w:r>
              <w:rPr>
                <w:rFonts w:ascii="helvetica" w:hAnsi="helvetica"/>
                <w:sz w:val="20"/>
              </w:rPr>
              <w:t>Net loss</w:t>
            </w:r>
          </w:p>
        </w:tc>
        <w:tc>
          <w:tcPr>
            <w:tcW w:w="81" w:type="dxa"/>
            <w:tcBorders/>
            <w:shd w:fill="FFFFFF" w:val="clear"/>
            <w:vAlign w:val="bottom"/>
          </w:tcPr>
          <w:p>
            <w:pPr>
              <w:pStyle w:val="TableContents"/>
              <w:spacing w:before="0" w:after="283"/>
              <w:rPr/>
            </w:pPr>
            <w:r>
              <w:rPr/>
              <w:t> </w:t>
            </w:r>
          </w:p>
        </w:tc>
        <w:tc>
          <w:tcPr>
            <w:tcW w:w="13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586" w:type="dxa"/>
            <w:tcBorders>
              <w:bottom w:val="single" w:sz="12" w:space="0" w:color="000000"/>
            </w:tcBorders>
            <w:shd w:fill="FFFF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w:t>
            </w:r>
          </w:p>
        </w:tc>
        <w:tc>
          <w:tcPr>
            <w:tcW w:w="92" w:type="dxa"/>
            <w:tcBorders/>
            <w:shd w:fill="FFFFFF" w:val="clear"/>
            <w:vAlign w:val="bottom"/>
          </w:tcPr>
          <w:p>
            <w:pPr>
              <w:pStyle w:val="TableContents"/>
              <w:spacing w:before="0" w:after="283"/>
              <w:jc w:val="left"/>
              <w:rPr/>
            </w:pPr>
            <w:r>
              <w:rPr/>
              <w:t> </w:t>
            </w:r>
          </w:p>
        </w:tc>
        <w:tc>
          <w:tcPr>
            <w:tcW w:w="92" w:type="dxa"/>
            <w:tcBorders/>
            <w:shd w:fill="FFFFFF" w:val="clear"/>
            <w:vAlign w:val="bottom"/>
          </w:tcPr>
          <w:p>
            <w:pPr>
              <w:pStyle w:val="TableContents"/>
              <w:spacing w:before="0" w:after="283"/>
              <w:rPr/>
            </w:pPr>
            <w:r>
              <w:rPr/>
              <w:t> </w:t>
            </w:r>
          </w:p>
        </w:tc>
        <w:tc>
          <w:tcPr>
            <w:tcW w:w="292"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334" w:type="dxa"/>
            <w:tcBorders>
              <w:bottom w:val="single" w:sz="12" w:space="0" w:color="000000"/>
            </w:tcBorders>
            <w:shd w:fill="FFFF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w:t>
            </w:r>
          </w:p>
        </w:tc>
        <w:tc>
          <w:tcPr>
            <w:tcW w:w="81"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81"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982" w:type="dxa"/>
            <w:tcBorders>
              <w:bottom w:val="single" w:sz="12" w:space="0" w:color="000000"/>
            </w:tcBorders>
            <w:shd w:fill="FFFF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w:t>
            </w:r>
          </w:p>
        </w:tc>
        <w:tc>
          <w:tcPr>
            <w:tcW w:w="99"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139"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641" w:type="dxa"/>
            <w:tcBorders>
              <w:bottom w:val="single" w:sz="12" w:space="0" w:color="000000"/>
            </w:tcBorders>
            <w:shd w:fill="FFFF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w:t>
            </w:r>
          </w:p>
        </w:tc>
        <w:tc>
          <w:tcPr>
            <w:tcW w:w="99"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140"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77" w:type="dxa"/>
            <w:tcBorders>
              <w:bottom w:val="single" w:sz="12" w:space="0" w:color="000000"/>
            </w:tcBorders>
            <w:shd w:fill="FFFF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w:t>
            </w:r>
          </w:p>
        </w:tc>
        <w:tc>
          <w:tcPr>
            <w:tcW w:w="99"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140"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132" w:type="dxa"/>
            <w:tcBorders>
              <w:bottom w:val="single" w:sz="12" w:space="0" w:color="000000"/>
            </w:tcBorders>
            <w:shd w:fill="FFFF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(228,217</w:t>
            </w:r>
          </w:p>
        </w:tc>
        <w:tc>
          <w:tcPr>
            <w:tcW w:w="99" w:type="dxa"/>
            <w:tcBorders/>
            <w:shd w:fill="FFFFFF" w:val="clear"/>
            <w:vAlign w:val="bottom"/>
          </w:tcPr>
          <w:p>
            <w:pPr>
              <w:pStyle w:val="TableContents"/>
              <w:spacing w:before="0" w:after="283"/>
              <w:jc w:val="left"/>
              <w:rPr>
                <w:rFonts w:ascii="helvetica" w:hAnsi="helvetica"/>
                <w:sz w:val="20"/>
              </w:rPr>
            </w:pPr>
            <w:r>
              <w:rPr>
                <w:rFonts w:ascii="helvetica" w:hAnsi="helvetica"/>
                <w:sz w:val="20"/>
              </w:rPr>
              <w:t>)</w:t>
            </w:r>
          </w:p>
        </w:tc>
        <w:tc>
          <w:tcPr>
            <w:tcW w:w="81" w:type="dxa"/>
            <w:tcBorders/>
            <w:shd w:fill="FFFFFF" w:val="clear"/>
            <w:vAlign w:val="bottom"/>
          </w:tcPr>
          <w:p>
            <w:pPr>
              <w:pStyle w:val="TableContents"/>
              <w:spacing w:before="0" w:after="283"/>
              <w:rPr/>
            </w:pPr>
            <w:r>
              <w:rPr/>
              <w:t> </w:t>
            </w:r>
          </w:p>
        </w:tc>
        <w:tc>
          <w:tcPr>
            <w:tcW w:w="141"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45" w:type="dxa"/>
            <w:tcBorders>
              <w:bottom w:val="single" w:sz="12" w:space="0" w:color="000000"/>
            </w:tcBorders>
            <w:shd w:fill="FFFF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(228,217</w:t>
            </w:r>
          </w:p>
        </w:tc>
        <w:tc>
          <w:tcPr>
            <w:tcW w:w="123" w:type="dxa"/>
            <w:tcBorders/>
            <w:shd w:fill="FFFFFF" w:val="clear"/>
            <w:vAlign w:val="bottom"/>
          </w:tcPr>
          <w:p>
            <w:pPr>
              <w:pStyle w:val="TableContents"/>
              <w:spacing w:before="0" w:after="283"/>
              <w:jc w:val="left"/>
              <w:rPr>
                <w:rFonts w:ascii="helvetica" w:hAnsi="helvetica"/>
                <w:sz w:val="20"/>
              </w:rPr>
            </w:pPr>
            <w:r>
              <w:rPr>
                <w:rFonts w:ascii="helvetica" w:hAnsi="helvetica"/>
                <w:sz w:val="20"/>
              </w:rPr>
              <w:t>)</w:t>
            </w:r>
          </w:p>
        </w:tc>
      </w:tr>
      <w:tr>
        <w:trPr/>
        <w:tc>
          <w:tcPr>
            <w:tcW w:w="2070" w:type="dxa"/>
            <w:tcBorders/>
            <w:shd w:fill="CCEEFF" w:val="clear"/>
            <w:vAlign w:val="bottom"/>
          </w:tcPr>
          <w:p>
            <w:pPr>
              <w:pStyle w:val="TableContents"/>
              <w:spacing w:before="0" w:after="0"/>
              <w:ind w:left="0" w:right="0" w:hanging="0"/>
              <w:jc w:val="left"/>
              <w:rPr/>
            </w:pPr>
            <w:r>
              <w:rPr/>
              <w:t> </w:t>
            </w:r>
            <w:r>
              <w:rPr>
                <w:rFonts w:ascii="helvetica" w:hAnsi="helvetica"/>
                <w:sz w:val="20"/>
              </w:rPr>
              <w:t>Balance at December 31, 2002</w:t>
            </w:r>
          </w:p>
        </w:tc>
        <w:tc>
          <w:tcPr>
            <w:tcW w:w="81" w:type="dxa"/>
            <w:tcBorders/>
            <w:shd w:fill="CCEEFF" w:val="clear"/>
            <w:vAlign w:val="bottom"/>
          </w:tcPr>
          <w:p>
            <w:pPr>
              <w:pStyle w:val="TableContents"/>
              <w:spacing w:before="0" w:after="283"/>
              <w:rPr/>
            </w:pPr>
            <w:r>
              <w:rPr/>
              <w:t> </w:t>
            </w:r>
          </w:p>
        </w:tc>
        <w:tc>
          <w:tcPr>
            <w:tcW w:w="135" w:type="dxa"/>
            <w:tcBorders/>
            <w:shd w:fill="CCEEFF" w:val="clear"/>
            <w:vAlign w:val="bottom"/>
          </w:tcPr>
          <w:p>
            <w:pPr>
              <w:pStyle w:val="TableContents"/>
              <w:spacing w:before="0" w:after="283"/>
              <w:jc w:val="left"/>
              <w:rPr/>
            </w:pPr>
            <w:r>
              <w:rPr/>
              <w:t> </w:t>
            </w:r>
          </w:p>
        </w:tc>
        <w:tc>
          <w:tcPr>
            <w:tcW w:w="586"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w:t>
            </w:r>
          </w:p>
        </w:tc>
        <w:tc>
          <w:tcPr>
            <w:tcW w:w="92" w:type="dxa"/>
            <w:tcBorders/>
            <w:shd w:fill="CCEEFF" w:val="clear"/>
            <w:vAlign w:val="bottom"/>
          </w:tcPr>
          <w:p>
            <w:pPr>
              <w:pStyle w:val="TableContents"/>
              <w:spacing w:before="0" w:after="283"/>
              <w:jc w:val="left"/>
              <w:rPr/>
            </w:pPr>
            <w:r>
              <w:rPr/>
              <w:t> </w:t>
            </w:r>
          </w:p>
        </w:tc>
        <w:tc>
          <w:tcPr>
            <w:tcW w:w="92" w:type="dxa"/>
            <w:tcBorders/>
            <w:shd w:fill="CCEEFF" w:val="clear"/>
            <w:vAlign w:val="bottom"/>
          </w:tcPr>
          <w:p>
            <w:pPr>
              <w:pStyle w:val="TableContents"/>
              <w:spacing w:before="0" w:after="283"/>
              <w:rPr/>
            </w:pPr>
            <w:r>
              <w:rPr/>
              <w:t> </w:t>
            </w:r>
          </w:p>
        </w:tc>
        <w:tc>
          <w:tcPr>
            <w:tcW w:w="292" w:type="dxa"/>
            <w:tcBorders/>
            <w:shd w:fill="CCEEFF" w:val="clear"/>
            <w:vAlign w:val="bottom"/>
          </w:tcPr>
          <w:p>
            <w:pPr>
              <w:pStyle w:val="TableContents"/>
              <w:spacing w:before="0" w:after="283"/>
              <w:jc w:val="left"/>
              <w:rPr/>
            </w:pPr>
            <w:r>
              <w:rPr/>
              <w:t> </w:t>
            </w:r>
          </w:p>
        </w:tc>
        <w:tc>
          <w:tcPr>
            <w:tcW w:w="334"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w:t>
            </w:r>
          </w:p>
        </w:tc>
        <w:tc>
          <w:tcPr>
            <w:tcW w:w="81"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81" w:type="dxa"/>
            <w:tcBorders/>
            <w:shd w:fill="CCEEFF" w:val="clear"/>
            <w:vAlign w:val="bottom"/>
          </w:tcPr>
          <w:p>
            <w:pPr>
              <w:pStyle w:val="TableContents"/>
              <w:spacing w:before="0" w:after="283"/>
              <w:jc w:val="left"/>
              <w:rPr/>
            </w:pPr>
            <w:r>
              <w:rPr/>
              <w:t> </w:t>
            </w:r>
          </w:p>
        </w:tc>
        <w:tc>
          <w:tcPr>
            <w:tcW w:w="982"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117,188</w:t>
            </w:r>
          </w:p>
        </w:tc>
        <w:tc>
          <w:tcPr>
            <w:tcW w:w="99"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139" w:type="dxa"/>
            <w:tcBorders/>
            <w:shd w:fill="CCEEFF" w:val="clear"/>
            <w:vAlign w:val="bottom"/>
          </w:tcPr>
          <w:p>
            <w:pPr>
              <w:pStyle w:val="TableContents"/>
              <w:spacing w:before="0" w:after="283"/>
              <w:jc w:val="left"/>
              <w:rPr/>
            </w:pPr>
            <w:r>
              <w:rPr/>
              <w:t> </w:t>
            </w:r>
          </w:p>
        </w:tc>
        <w:tc>
          <w:tcPr>
            <w:tcW w:w="641"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117</w:t>
            </w:r>
          </w:p>
        </w:tc>
        <w:tc>
          <w:tcPr>
            <w:tcW w:w="99"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jc w:val="left"/>
              <w:rPr/>
            </w:pPr>
            <w:r>
              <w:rPr/>
              <w:t> </w:t>
            </w:r>
          </w:p>
        </w:tc>
        <w:tc>
          <w:tcPr>
            <w:tcW w:w="1077"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905,883</w:t>
            </w:r>
          </w:p>
        </w:tc>
        <w:tc>
          <w:tcPr>
            <w:tcW w:w="99"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jc w:val="left"/>
              <w:rPr/>
            </w:pPr>
            <w:r>
              <w:rPr/>
              <w:t> </w:t>
            </w:r>
          </w:p>
        </w:tc>
        <w:tc>
          <w:tcPr>
            <w:tcW w:w="1132"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(953,729</w:t>
            </w:r>
          </w:p>
        </w:tc>
        <w:tc>
          <w:tcPr>
            <w:tcW w:w="99" w:type="dxa"/>
            <w:tcBorders/>
            <w:shd w:fill="CCEEFF" w:val="clear"/>
            <w:vAlign w:val="bottom"/>
          </w:tcPr>
          <w:p>
            <w:pPr>
              <w:pStyle w:val="TableContents"/>
              <w:spacing w:before="0" w:after="283"/>
              <w:jc w:val="left"/>
              <w:rPr>
                <w:rFonts w:ascii="helvetica" w:hAnsi="helvetica"/>
                <w:sz w:val="20"/>
              </w:rPr>
            </w:pPr>
            <w:r>
              <w:rPr>
                <w:rFonts w:ascii="helvetica" w:hAnsi="helvetica"/>
                <w:sz w:val="20"/>
              </w:rPr>
              <w:t>)</w:t>
            </w:r>
          </w:p>
        </w:tc>
        <w:tc>
          <w:tcPr>
            <w:tcW w:w="81" w:type="dxa"/>
            <w:tcBorders/>
            <w:shd w:fill="CCEEFF" w:val="clear"/>
            <w:vAlign w:val="bottom"/>
          </w:tcPr>
          <w:p>
            <w:pPr>
              <w:pStyle w:val="TableContents"/>
              <w:spacing w:before="0" w:after="283"/>
              <w:rPr/>
            </w:pPr>
            <w:r>
              <w:rPr/>
              <w:t> </w:t>
            </w:r>
          </w:p>
        </w:tc>
        <w:tc>
          <w:tcPr>
            <w:tcW w:w="141" w:type="dxa"/>
            <w:tcBorders/>
            <w:shd w:fill="CCEEFF" w:val="clear"/>
            <w:vAlign w:val="bottom"/>
          </w:tcPr>
          <w:p>
            <w:pPr>
              <w:pStyle w:val="TableContents"/>
              <w:spacing w:before="0" w:after="283"/>
              <w:jc w:val="left"/>
              <w:rPr/>
            </w:pPr>
            <w:r>
              <w:rPr/>
              <w:t> </w:t>
            </w:r>
          </w:p>
        </w:tc>
        <w:tc>
          <w:tcPr>
            <w:tcW w:w="1045"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(47,729</w:t>
            </w:r>
          </w:p>
        </w:tc>
        <w:tc>
          <w:tcPr>
            <w:tcW w:w="123" w:type="dxa"/>
            <w:tcBorders/>
            <w:shd w:fill="CCEEFF" w:val="clear"/>
            <w:vAlign w:val="bottom"/>
          </w:tcPr>
          <w:p>
            <w:pPr>
              <w:pStyle w:val="TableContents"/>
              <w:spacing w:before="0" w:after="283"/>
              <w:jc w:val="left"/>
              <w:rPr>
                <w:rFonts w:ascii="helvetica" w:hAnsi="helvetica"/>
                <w:sz w:val="20"/>
              </w:rPr>
            </w:pPr>
            <w:r>
              <w:rPr>
                <w:rFonts w:ascii="helvetica" w:hAnsi="helvetica"/>
                <w:sz w:val="20"/>
              </w:rPr>
              <w:t>)</w:t>
            </w:r>
          </w:p>
        </w:tc>
      </w:tr>
      <w:tr>
        <w:trPr/>
        <w:tc>
          <w:tcPr>
            <w:tcW w:w="2070" w:type="dxa"/>
            <w:tcBorders/>
            <w:shd w:fill="FFFFFF" w:val="clear"/>
            <w:vAlign w:val="bottom"/>
          </w:tcPr>
          <w:p>
            <w:pPr>
              <w:pStyle w:val="TableContents"/>
              <w:spacing w:before="0" w:after="283"/>
              <w:rPr/>
            </w:pPr>
            <w:r>
              <w:rPr/>
              <w:t xml:space="preserve">  </w:t>
            </w:r>
          </w:p>
        </w:tc>
        <w:tc>
          <w:tcPr>
            <w:tcW w:w="81" w:type="dxa"/>
            <w:tcBorders/>
            <w:shd w:fill="FFFFFF" w:val="clear"/>
            <w:vAlign w:val="bottom"/>
          </w:tcPr>
          <w:p>
            <w:pPr>
              <w:pStyle w:val="TableContents"/>
              <w:spacing w:before="0" w:after="283"/>
              <w:rPr/>
            </w:pPr>
            <w:r>
              <w:rPr/>
              <w:t> </w:t>
            </w:r>
          </w:p>
        </w:tc>
        <w:tc>
          <w:tcPr>
            <w:tcW w:w="135" w:type="dxa"/>
            <w:tcBorders/>
            <w:shd w:fill="FFFFFF" w:val="clear"/>
            <w:vAlign w:val="bottom"/>
          </w:tcPr>
          <w:p>
            <w:pPr>
              <w:pStyle w:val="TableContents"/>
              <w:spacing w:before="0" w:after="283"/>
              <w:jc w:val="left"/>
              <w:rPr/>
            </w:pPr>
            <w:r>
              <w:rPr/>
              <w:t> </w:t>
            </w:r>
          </w:p>
        </w:tc>
        <w:tc>
          <w:tcPr>
            <w:tcW w:w="586" w:type="dxa"/>
            <w:tcBorders/>
            <w:shd w:fill="FFFFFF" w:val="clear"/>
            <w:vAlign w:val="bottom"/>
          </w:tcPr>
          <w:p>
            <w:pPr>
              <w:pStyle w:val="TableContents"/>
              <w:spacing w:before="0" w:after="283"/>
              <w:jc w:val="right"/>
              <w:rPr/>
            </w:pPr>
            <w:r>
              <w:rPr/>
              <w:t> </w:t>
            </w:r>
          </w:p>
        </w:tc>
        <w:tc>
          <w:tcPr>
            <w:tcW w:w="92" w:type="dxa"/>
            <w:tcBorders/>
            <w:shd w:fill="FFFFFF" w:val="clear"/>
            <w:vAlign w:val="bottom"/>
          </w:tcPr>
          <w:p>
            <w:pPr>
              <w:pStyle w:val="TableContents"/>
              <w:spacing w:before="0" w:after="283"/>
              <w:jc w:val="left"/>
              <w:rPr/>
            </w:pPr>
            <w:r>
              <w:rPr/>
              <w:t> </w:t>
            </w:r>
          </w:p>
        </w:tc>
        <w:tc>
          <w:tcPr>
            <w:tcW w:w="92" w:type="dxa"/>
            <w:tcBorders/>
            <w:shd w:fill="FFFFFF" w:val="clear"/>
            <w:vAlign w:val="bottom"/>
          </w:tcPr>
          <w:p>
            <w:pPr>
              <w:pStyle w:val="TableContents"/>
              <w:spacing w:before="0" w:after="283"/>
              <w:rPr/>
            </w:pPr>
            <w:r>
              <w:rPr/>
              <w:t> </w:t>
            </w:r>
          </w:p>
        </w:tc>
        <w:tc>
          <w:tcPr>
            <w:tcW w:w="292" w:type="dxa"/>
            <w:tcBorders/>
            <w:shd w:fill="FFFFFF" w:val="clear"/>
            <w:vAlign w:val="bottom"/>
          </w:tcPr>
          <w:p>
            <w:pPr>
              <w:pStyle w:val="TableContents"/>
              <w:spacing w:before="0" w:after="283"/>
              <w:jc w:val="left"/>
              <w:rPr/>
            </w:pPr>
            <w:r>
              <w:rPr/>
              <w:t> </w:t>
            </w:r>
          </w:p>
        </w:tc>
        <w:tc>
          <w:tcPr>
            <w:tcW w:w="334" w:type="dxa"/>
            <w:tcBorders/>
            <w:shd w:fill="FFFFFF" w:val="clear"/>
            <w:vAlign w:val="bottom"/>
          </w:tcPr>
          <w:p>
            <w:pPr>
              <w:pStyle w:val="TableContents"/>
              <w:spacing w:before="0" w:after="283"/>
              <w:jc w:val="right"/>
              <w:rPr/>
            </w:pPr>
            <w:r>
              <w:rPr/>
              <w:t> </w:t>
            </w:r>
          </w:p>
        </w:tc>
        <w:tc>
          <w:tcPr>
            <w:tcW w:w="81"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81" w:type="dxa"/>
            <w:tcBorders/>
            <w:shd w:fill="FFFFFF" w:val="clear"/>
            <w:vAlign w:val="bottom"/>
          </w:tcPr>
          <w:p>
            <w:pPr>
              <w:pStyle w:val="TableContents"/>
              <w:spacing w:before="0" w:after="283"/>
              <w:jc w:val="left"/>
              <w:rPr/>
            </w:pPr>
            <w:r>
              <w:rPr/>
              <w:t> </w:t>
            </w:r>
          </w:p>
        </w:tc>
        <w:tc>
          <w:tcPr>
            <w:tcW w:w="982" w:type="dxa"/>
            <w:tcBorders/>
            <w:shd w:fill="FFFFFF" w:val="clear"/>
            <w:vAlign w:val="bottom"/>
          </w:tcPr>
          <w:p>
            <w:pPr>
              <w:pStyle w:val="TableContents"/>
              <w:spacing w:before="0" w:after="283"/>
              <w:jc w:val="right"/>
              <w:rPr/>
            </w:pPr>
            <w:r>
              <w:rPr/>
              <w:t> </w:t>
            </w:r>
          </w:p>
        </w:tc>
        <w:tc>
          <w:tcPr>
            <w:tcW w:w="99"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139" w:type="dxa"/>
            <w:tcBorders/>
            <w:shd w:fill="FFFFFF" w:val="clear"/>
            <w:vAlign w:val="bottom"/>
          </w:tcPr>
          <w:p>
            <w:pPr>
              <w:pStyle w:val="TableContents"/>
              <w:spacing w:before="0" w:after="283"/>
              <w:jc w:val="left"/>
              <w:rPr/>
            </w:pPr>
            <w:r>
              <w:rPr/>
              <w:t> </w:t>
            </w:r>
          </w:p>
        </w:tc>
        <w:tc>
          <w:tcPr>
            <w:tcW w:w="641" w:type="dxa"/>
            <w:tcBorders/>
            <w:shd w:fill="FFFFFF" w:val="clear"/>
            <w:vAlign w:val="bottom"/>
          </w:tcPr>
          <w:p>
            <w:pPr>
              <w:pStyle w:val="TableContents"/>
              <w:spacing w:before="0" w:after="283"/>
              <w:jc w:val="right"/>
              <w:rPr/>
            </w:pPr>
            <w:r>
              <w:rPr/>
              <w:t> </w:t>
            </w:r>
          </w:p>
        </w:tc>
        <w:tc>
          <w:tcPr>
            <w:tcW w:w="99"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283"/>
              <w:jc w:val="left"/>
              <w:rPr/>
            </w:pPr>
            <w:r>
              <w:rPr/>
              <w:t> </w:t>
            </w:r>
          </w:p>
        </w:tc>
        <w:tc>
          <w:tcPr>
            <w:tcW w:w="1077" w:type="dxa"/>
            <w:tcBorders/>
            <w:shd w:fill="FFFFFF" w:val="clear"/>
            <w:vAlign w:val="bottom"/>
          </w:tcPr>
          <w:p>
            <w:pPr>
              <w:pStyle w:val="TableContents"/>
              <w:spacing w:before="0" w:after="283"/>
              <w:jc w:val="right"/>
              <w:rPr/>
            </w:pPr>
            <w:r>
              <w:rPr/>
              <w:t> </w:t>
            </w:r>
          </w:p>
        </w:tc>
        <w:tc>
          <w:tcPr>
            <w:tcW w:w="99"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283"/>
              <w:jc w:val="left"/>
              <w:rPr/>
            </w:pPr>
            <w:r>
              <w:rPr/>
              <w:t> </w:t>
            </w:r>
          </w:p>
        </w:tc>
        <w:tc>
          <w:tcPr>
            <w:tcW w:w="1132" w:type="dxa"/>
            <w:tcBorders/>
            <w:shd w:fill="FFFFFF" w:val="clear"/>
            <w:vAlign w:val="bottom"/>
          </w:tcPr>
          <w:p>
            <w:pPr>
              <w:pStyle w:val="TableContents"/>
              <w:spacing w:before="0" w:after="283"/>
              <w:jc w:val="right"/>
              <w:rPr/>
            </w:pPr>
            <w:r>
              <w:rPr/>
              <w:t> </w:t>
            </w:r>
          </w:p>
        </w:tc>
        <w:tc>
          <w:tcPr>
            <w:tcW w:w="99"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141" w:type="dxa"/>
            <w:tcBorders/>
            <w:shd w:fill="FFFFFF" w:val="clear"/>
            <w:vAlign w:val="bottom"/>
          </w:tcPr>
          <w:p>
            <w:pPr>
              <w:pStyle w:val="TableContents"/>
              <w:spacing w:before="0" w:after="283"/>
              <w:jc w:val="left"/>
              <w:rPr/>
            </w:pPr>
            <w:r>
              <w:rPr/>
              <w:t> </w:t>
            </w:r>
          </w:p>
        </w:tc>
        <w:tc>
          <w:tcPr>
            <w:tcW w:w="1045" w:type="dxa"/>
            <w:tcBorders/>
            <w:shd w:fill="FFFFFF" w:val="clear"/>
            <w:vAlign w:val="bottom"/>
          </w:tcPr>
          <w:p>
            <w:pPr>
              <w:pStyle w:val="TableContents"/>
              <w:spacing w:before="0" w:after="283"/>
              <w:jc w:val="right"/>
              <w:rPr/>
            </w:pPr>
            <w:r>
              <w:rPr/>
              <w:t> </w:t>
            </w:r>
          </w:p>
        </w:tc>
        <w:tc>
          <w:tcPr>
            <w:tcW w:w="123" w:type="dxa"/>
            <w:tcBorders/>
            <w:shd w:fill="FFFFFF" w:val="clear"/>
            <w:vAlign w:val="bottom"/>
          </w:tcPr>
          <w:p>
            <w:pPr>
              <w:pStyle w:val="TableContents"/>
              <w:spacing w:before="0" w:after="283"/>
              <w:jc w:val="left"/>
              <w:rPr/>
            </w:pPr>
            <w:r>
              <w:rPr/>
              <w:t> </w:t>
            </w:r>
          </w:p>
        </w:tc>
      </w:tr>
      <w:tr>
        <w:trPr/>
        <w:tc>
          <w:tcPr>
            <w:tcW w:w="2070" w:type="dxa"/>
            <w:tcBorders/>
            <w:shd w:fill="CCEEFF" w:val="clear"/>
            <w:vAlign w:val="bottom"/>
          </w:tcPr>
          <w:p>
            <w:pPr>
              <w:pStyle w:val="TableContents"/>
              <w:spacing w:before="0" w:after="0"/>
              <w:ind w:left="0" w:right="0" w:hanging="0"/>
              <w:jc w:val="left"/>
              <w:rPr/>
            </w:pPr>
            <w:r>
              <w:rPr/>
              <w:t> </w:t>
            </w:r>
            <w:r>
              <w:rPr>
                <w:rFonts w:ascii="helvetica" w:hAnsi="helvetica"/>
                <w:sz w:val="20"/>
              </w:rPr>
              <w:t>Estimated fair value of services contributed by</w:t>
            </w:r>
          </w:p>
        </w:tc>
        <w:tc>
          <w:tcPr>
            <w:tcW w:w="81" w:type="dxa"/>
            <w:tcBorders/>
            <w:shd w:fill="CCEEFF" w:val="clear"/>
            <w:vAlign w:val="bottom"/>
          </w:tcPr>
          <w:p>
            <w:pPr>
              <w:pStyle w:val="TableContents"/>
              <w:spacing w:before="0" w:after="283"/>
              <w:rPr/>
            </w:pPr>
            <w:r>
              <w:rPr/>
              <w:t> </w:t>
            </w:r>
          </w:p>
        </w:tc>
        <w:tc>
          <w:tcPr>
            <w:tcW w:w="135" w:type="dxa"/>
            <w:tcBorders/>
            <w:shd w:fill="CCEEFF" w:val="clear"/>
            <w:vAlign w:val="bottom"/>
          </w:tcPr>
          <w:p>
            <w:pPr>
              <w:pStyle w:val="TableContents"/>
              <w:spacing w:before="0" w:after="283"/>
              <w:jc w:val="left"/>
              <w:rPr/>
            </w:pPr>
            <w:r>
              <w:rPr/>
              <w:t> </w:t>
            </w:r>
          </w:p>
        </w:tc>
        <w:tc>
          <w:tcPr>
            <w:tcW w:w="586" w:type="dxa"/>
            <w:tcBorders/>
            <w:shd w:fill="CCEEFF" w:val="clear"/>
            <w:vAlign w:val="bottom"/>
          </w:tcPr>
          <w:p>
            <w:pPr>
              <w:pStyle w:val="TableContents"/>
              <w:spacing w:before="0" w:after="283"/>
              <w:jc w:val="right"/>
              <w:rPr/>
            </w:pPr>
            <w:r>
              <w:rPr/>
              <w:t> </w:t>
            </w:r>
          </w:p>
        </w:tc>
        <w:tc>
          <w:tcPr>
            <w:tcW w:w="92" w:type="dxa"/>
            <w:tcBorders/>
            <w:shd w:fill="CCEEFF" w:val="clear"/>
            <w:vAlign w:val="bottom"/>
          </w:tcPr>
          <w:p>
            <w:pPr>
              <w:pStyle w:val="TableContents"/>
              <w:spacing w:before="0" w:after="283"/>
              <w:jc w:val="left"/>
              <w:rPr/>
            </w:pPr>
            <w:r>
              <w:rPr/>
              <w:t> </w:t>
            </w:r>
          </w:p>
        </w:tc>
        <w:tc>
          <w:tcPr>
            <w:tcW w:w="92" w:type="dxa"/>
            <w:tcBorders/>
            <w:shd w:fill="CCEEFF" w:val="clear"/>
            <w:vAlign w:val="bottom"/>
          </w:tcPr>
          <w:p>
            <w:pPr>
              <w:pStyle w:val="TableContents"/>
              <w:spacing w:before="0" w:after="283"/>
              <w:rPr/>
            </w:pPr>
            <w:r>
              <w:rPr/>
              <w:t> </w:t>
            </w:r>
          </w:p>
        </w:tc>
        <w:tc>
          <w:tcPr>
            <w:tcW w:w="292" w:type="dxa"/>
            <w:tcBorders/>
            <w:shd w:fill="CCEEFF" w:val="clear"/>
            <w:vAlign w:val="bottom"/>
          </w:tcPr>
          <w:p>
            <w:pPr>
              <w:pStyle w:val="TableContents"/>
              <w:spacing w:before="0" w:after="283"/>
              <w:jc w:val="left"/>
              <w:rPr/>
            </w:pPr>
            <w:r>
              <w:rPr/>
              <w:t> </w:t>
            </w:r>
          </w:p>
        </w:tc>
        <w:tc>
          <w:tcPr>
            <w:tcW w:w="334" w:type="dxa"/>
            <w:tcBorders/>
            <w:shd w:fill="CCEEFF" w:val="clear"/>
            <w:vAlign w:val="bottom"/>
          </w:tcPr>
          <w:p>
            <w:pPr>
              <w:pStyle w:val="TableContents"/>
              <w:spacing w:before="0" w:after="283"/>
              <w:jc w:val="right"/>
              <w:rPr/>
            </w:pPr>
            <w:r>
              <w:rPr/>
              <w:t> </w:t>
            </w:r>
          </w:p>
        </w:tc>
        <w:tc>
          <w:tcPr>
            <w:tcW w:w="81"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81" w:type="dxa"/>
            <w:tcBorders/>
            <w:shd w:fill="CCEEFF" w:val="clear"/>
            <w:vAlign w:val="bottom"/>
          </w:tcPr>
          <w:p>
            <w:pPr>
              <w:pStyle w:val="TableContents"/>
              <w:spacing w:before="0" w:after="283"/>
              <w:jc w:val="left"/>
              <w:rPr/>
            </w:pPr>
            <w:r>
              <w:rPr/>
              <w:t> </w:t>
            </w:r>
          </w:p>
        </w:tc>
        <w:tc>
          <w:tcPr>
            <w:tcW w:w="982" w:type="dxa"/>
            <w:tcBorders/>
            <w:shd w:fill="CCEEFF" w:val="clear"/>
            <w:vAlign w:val="bottom"/>
          </w:tcPr>
          <w:p>
            <w:pPr>
              <w:pStyle w:val="TableContents"/>
              <w:spacing w:before="0" w:after="283"/>
              <w:jc w:val="right"/>
              <w:rPr/>
            </w:pPr>
            <w:r>
              <w:rPr/>
              <w:t> </w:t>
            </w:r>
          </w:p>
        </w:tc>
        <w:tc>
          <w:tcPr>
            <w:tcW w:w="99"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139" w:type="dxa"/>
            <w:tcBorders/>
            <w:shd w:fill="CCEEFF" w:val="clear"/>
            <w:vAlign w:val="bottom"/>
          </w:tcPr>
          <w:p>
            <w:pPr>
              <w:pStyle w:val="TableContents"/>
              <w:spacing w:before="0" w:after="283"/>
              <w:jc w:val="left"/>
              <w:rPr/>
            </w:pPr>
            <w:r>
              <w:rPr/>
              <w:t> </w:t>
            </w:r>
          </w:p>
        </w:tc>
        <w:tc>
          <w:tcPr>
            <w:tcW w:w="641" w:type="dxa"/>
            <w:tcBorders/>
            <w:shd w:fill="CCEEFF" w:val="clear"/>
            <w:vAlign w:val="bottom"/>
          </w:tcPr>
          <w:p>
            <w:pPr>
              <w:pStyle w:val="TableContents"/>
              <w:spacing w:before="0" w:after="283"/>
              <w:jc w:val="right"/>
              <w:rPr/>
            </w:pPr>
            <w:r>
              <w:rPr/>
              <w:t> </w:t>
            </w:r>
          </w:p>
        </w:tc>
        <w:tc>
          <w:tcPr>
            <w:tcW w:w="99"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jc w:val="left"/>
              <w:rPr/>
            </w:pPr>
            <w:r>
              <w:rPr/>
              <w:t> </w:t>
            </w:r>
          </w:p>
        </w:tc>
        <w:tc>
          <w:tcPr>
            <w:tcW w:w="1077" w:type="dxa"/>
            <w:tcBorders/>
            <w:shd w:fill="CCEEFF" w:val="clear"/>
            <w:vAlign w:val="bottom"/>
          </w:tcPr>
          <w:p>
            <w:pPr>
              <w:pStyle w:val="TableContents"/>
              <w:spacing w:before="0" w:after="283"/>
              <w:jc w:val="right"/>
              <w:rPr/>
            </w:pPr>
            <w:r>
              <w:rPr/>
              <w:t> </w:t>
            </w:r>
          </w:p>
        </w:tc>
        <w:tc>
          <w:tcPr>
            <w:tcW w:w="99"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jc w:val="left"/>
              <w:rPr/>
            </w:pPr>
            <w:r>
              <w:rPr/>
              <w:t> </w:t>
            </w:r>
          </w:p>
        </w:tc>
        <w:tc>
          <w:tcPr>
            <w:tcW w:w="1132" w:type="dxa"/>
            <w:tcBorders/>
            <w:shd w:fill="CCEEFF" w:val="clear"/>
            <w:vAlign w:val="bottom"/>
          </w:tcPr>
          <w:p>
            <w:pPr>
              <w:pStyle w:val="TableContents"/>
              <w:spacing w:before="0" w:after="283"/>
              <w:jc w:val="right"/>
              <w:rPr/>
            </w:pPr>
            <w:r>
              <w:rPr/>
              <w:t> </w:t>
            </w:r>
          </w:p>
        </w:tc>
        <w:tc>
          <w:tcPr>
            <w:tcW w:w="99"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141" w:type="dxa"/>
            <w:tcBorders/>
            <w:shd w:fill="CCEEFF" w:val="clear"/>
            <w:vAlign w:val="bottom"/>
          </w:tcPr>
          <w:p>
            <w:pPr>
              <w:pStyle w:val="TableContents"/>
              <w:spacing w:before="0" w:after="283"/>
              <w:jc w:val="left"/>
              <w:rPr/>
            </w:pPr>
            <w:r>
              <w:rPr/>
              <w:t> </w:t>
            </w:r>
          </w:p>
        </w:tc>
        <w:tc>
          <w:tcPr>
            <w:tcW w:w="1045" w:type="dxa"/>
            <w:tcBorders/>
            <w:shd w:fill="CCEEFF" w:val="clear"/>
            <w:vAlign w:val="bottom"/>
          </w:tcPr>
          <w:p>
            <w:pPr>
              <w:pStyle w:val="TableContents"/>
              <w:spacing w:before="0" w:after="283"/>
              <w:jc w:val="right"/>
              <w:rPr/>
            </w:pPr>
            <w:r>
              <w:rPr/>
              <w:t> </w:t>
            </w:r>
          </w:p>
        </w:tc>
        <w:tc>
          <w:tcPr>
            <w:tcW w:w="123" w:type="dxa"/>
            <w:tcBorders/>
            <w:shd w:fill="CCEEFF" w:val="clear"/>
            <w:vAlign w:val="bottom"/>
          </w:tcPr>
          <w:p>
            <w:pPr>
              <w:pStyle w:val="TableContents"/>
              <w:spacing w:before="0" w:after="283"/>
              <w:jc w:val="left"/>
              <w:rPr/>
            </w:pPr>
            <w:r>
              <w:rPr/>
              <w:t> </w:t>
            </w:r>
          </w:p>
        </w:tc>
      </w:tr>
      <w:tr>
        <w:trPr/>
        <w:tc>
          <w:tcPr>
            <w:tcW w:w="2070" w:type="dxa"/>
            <w:tcBorders/>
            <w:shd w:fill="FFFFFF" w:val="clear"/>
            <w:vAlign w:val="bottom"/>
          </w:tcPr>
          <w:p>
            <w:pPr>
              <w:pStyle w:val="TableContents"/>
              <w:spacing w:before="0" w:after="0"/>
              <w:ind w:left="0" w:right="0" w:hanging="0"/>
              <w:jc w:val="left"/>
              <w:rPr/>
            </w:pPr>
            <w:r>
              <w:rPr/>
              <w:t>   </w:t>
            </w:r>
            <w:r>
              <w:rPr>
                <w:rFonts w:ascii="helvetica" w:hAnsi="helvetica"/>
                <w:sz w:val="20"/>
              </w:rPr>
              <w:t>stockholders</w:t>
            </w:r>
          </w:p>
        </w:tc>
        <w:tc>
          <w:tcPr>
            <w:tcW w:w="81" w:type="dxa"/>
            <w:tcBorders/>
            <w:shd w:fill="FFFFFF" w:val="clear"/>
            <w:vAlign w:val="bottom"/>
          </w:tcPr>
          <w:p>
            <w:pPr>
              <w:pStyle w:val="TableContents"/>
              <w:spacing w:before="0" w:after="283"/>
              <w:rPr/>
            </w:pPr>
            <w:r>
              <w:rPr/>
              <w:t> </w:t>
            </w:r>
          </w:p>
        </w:tc>
        <w:tc>
          <w:tcPr>
            <w:tcW w:w="135" w:type="dxa"/>
            <w:tcBorders/>
            <w:shd w:fill="FFFFFF" w:val="clear"/>
            <w:vAlign w:val="bottom"/>
          </w:tcPr>
          <w:p>
            <w:pPr>
              <w:pStyle w:val="TableContents"/>
              <w:spacing w:before="0" w:after="283"/>
              <w:jc w:val="left"/>
              <w:rPr/>
            </w:pPr>
            <w:r>
              <w:rPr/>
              <w:t> </w:t>
            </w:r>
          </w:p>
        </w:tc>
        <w:tc>
          <w:tcPr>
            <w:tcW w:w="586"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w:t>
            </w:r>
          </w:p>
        </w:tc>
        <w:tc>
          <w:tcPr>
            <w:tcW w:w="92" w:type="dxa"/>
            <w:tcBorders/>
            <w:shd w:fill="FFFFFF" w:val="clear"/>
            <w:vAlign w:val="bottom"/>
          </w:tcPr>
          <w:p>
            <w:pPr>
              <w:pStyle w:val="TableContents"/>
              <w:spacing w:before="0" w:after="283"/>
              <w:jc w:val="left"/>
              <w:rPr/>
            </w:pPr>
            <w:r>
              <w:rPr/>
              <w:t> </w:t>
            </w:r>
          </w:p>
        </w:tc>
        <w:tc>
          <w:tcPr>
            <w:tcW w:w="92" w:type="dxa"/>
            <w:tcBorders/>
            <w:shd w:fill="FFFFFF" w:val="clear"/>
            <w:vAlign w:val="bottom"/>
          </w:tcPr>
          <w:p>
            <w:pPr>
              <w:pStyle w:val="TableContents"/>
              <w:spacing w:before="0" w:after="283"/>
              <w:rPr/>
            </w:pPr>
            <w:r>
              <w:rPr/>
              <w:t> </w:t>
            </w:r>
          </w:p>
        </w:tc>
        <w:tc>
          <w:tcPr>
            <w:tcW w:w="292" w:type="dxa"/>
            <w:tcBorders/>
            <w:shd w:fill="FFFFFF" w:val="clear"/>
            <w:vAlign w:val="bottom"/>
          </w:tcPr>
          <w:p>
            <w:pPr>
              <w:pStyle w:val="TableContents"/>
              <w:spacing w:before="0" w:after="283"/>
              <w:jc w:val="left"/>
              <w:rPr/>
            </w:pPr>
            <w:r>
              <w:rPr/>
              <w:t> </w:t>
            </w:r>
          </w:p>
        </w:tc>
        <w:tc>
          <w:tcPr>
            <w:tcW w:w="334"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w:t>
            </w:r>
          </w:p>
        </w:tc>
        <w:tc>
          <w:tcPr>
            <w:tcW w:w="81"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81" w:type="dxa"/>
            <w:tcBorders/>
            <w:shd w:fill="FFFFFF" w:val="clear"/>
            <w:vAlign w:val="bottom"/>
          </w:tcPr>
          <w:p>
            <w:pPr>
              <w:pStyle w:val="TableContents"/>
              <w:spacing w:before="0" w:after="283"/>
              <w:jc w:val="left"/>
              <w:rPr/>
            </w:pPr>
            <w:r>
              <w:rPr/>
              <w:t> </w:t>
            </w:r>
          </w:p>
        </w:tc>
        <w:tc>
          <w:tcPr>
            <w:tcW w:w="982"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w:t>
            </w:r>
          </w:p>
        </w:tc>
        <w:tc>
          <w:tcPr>
            <w:tcW w:w="99"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139" w:type="dxa"/>
            <w:tcBorders/>
            <w:shd w:fill="FFFFFF" w:val="clear"/>
            <w:vAlign w:val="bottom"/>
          </w:tcPr>
          <w:p>
            <w:pPr>
              <w:pStyle w:val="TableContents"/>
              <w:spacing w:before="0" w:after="283"/>
              <w:jc w:val="left"/>
              <w:rPr/>
            </w:pPr>
            <w:r>
              <w:rPr/>
              <w:t> </w:t>
            </w:r>
          </w:p>
        </w:tc>
        <w:tc>
          <w:tcPr>
            <w:tcW w:w="641"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w:t>
            </w:r>
          </w:p>
        </w:tc>
        <w:tc>
          <w:tcPr>
            <w:tcW w:w="99"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283"/>
              <w:jc w:val="left"/>
              <w:rPr/>
            </w:pPr>
            <w:r>
              <w:rPr/>
              <w:t> </w:t>
            </w:r>
          </w:p>
        </w:tc>
        <w:tc>
          <w:tcPr>
            <w:tcW w:w="1077"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200,000</w:t>
            </w:r>
          </w:p>
        </w:tc>
        <w:tc>
          <w:tcPr>
            <w:tcW w:w="99"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283"/>
              <w:jc w:val="left"/>
              <w:rPr/>
            </w:pPr>
            <w:r>
              <w:rPr/>
              <w:t> </w:t>
            </w:r>
          </w:p>
        </w:tc>
        <w:tc>
          <w:tcPr>
            <w:tcW w:w="1132"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w:t>
            </w:r>
          </w:p>
        </w:tc>
        <w:tc>
          <w:tcPr>
            <w:tcW w:w="99"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141" w:type="dxa"/>
            <w:tcBorders/>
            <w:shd w:fill="FFFFFF" w:val="clear"/>
            <w:vAlign w:val="bottom"/>
          </w:tcPr>
          <w:p>
            <w:pPr>
              <w:pStyle w:val="TableContents"/>
              <w:spacing w:before="0" w:after="283"/>
              <w:jc w:val="left"/>
              <w:rPr/>
            </w:pPr>
            <w:r>
              <w:rPr/>
              <w:t> </w:t>
            </w:r>
          </w:p>
        </w:tc>
        <w:tc>
          <w:tcPr>
            <w:tcW w:w="1045"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200,000</w:t>
            </w:r>
          </w:p>
        </w:tc>
        <w:tc>
          <w:tcPr>
            <w:tcW w:w="123" w:type="dxa"/>
            <w:tcBorders/>
            <w:shd w:fill="FFFFFF" w:val="clear"/>
            <w:vAlign w:val="bottom"/>
          </w:tcPr>
          <w:p>
            <w:pPr>
              <w:pStyle w:val="TableContents"/>
              <w:spacing w:before="0" w:after="283"/>
              <w:jc w:val="left"/>
              <w:rPr/>
            </w:pPr>
            <w:r>
              <w:rPr/>
              <w:t> </w:t>
            </w:r>
          </w:p>
        </w:tc>
      </w:tr>
      <w:tr>
        <w:trPr/>
        <w:tc>
          <w:tcPr>
            <w:tcW w:w="2070" w:type="dxa"/>
            <w:tcBorders/>
            <w:shd w:fill="CCEEFF" w:val="clear"/>
            <w:vAlign w:val="bottom"/>
          </w:tcPr>
          <w:p>
            <w:pPr>
              <w:pStyle w:val="TableContents"/>
              <w:spacing w:before="0" w:after="0"/>
              <w:ind w:left="0" w:right="0" w:hanging="0"/>
              <w:jc w:val="left"/>
              <w:rPr/>
            </w:pPr>
            <w:r>
              <w:rPr/>
              <w:t> </w:t>
            </w:r>
            <w:r>
              <w:rPr>
                <w:rFonts w:ascii="helvetica" w:hAnsi="helvetica"/>
                <w:sz w:val="20"/>
              </w:rPr>
              <w:t>Net loss</w:t>
            </w:r>
          </w:p>
        </w:tc>
        <w:tc>
          <w:tcPr>
            <w:tcW w:w="81" w:type="dxa"/>
            <w:tcBorders/>
            <w:shd w:fill="CCEEFF" w:val="clear"/>
            <w:vAlign w:val="bottom"/>
          </w:tcPr>
          <w:p>
            <w:pPr>
              <w:pStyle w:val="TableContents"/>
              <w:spacing w:before="0" w:after="283"/>
              <w:rPr/>
            </w:pPr>
            <w:r>
              <w:rPr/>
              <w:t> </w:t>
            </w:r>
          </w:p>
        </w:tc>
        <w:tc>
          <w:tcPr>
            <w:tcW w:w="13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586" w:type="dxa"/>
            <w:tcBorders>
              <w:bottom w:val="single" w:sz="12" w:space="0" w:color="000000"/>
            </w:tcBorders>
            <w:shd w:fill="CCEE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w:t>
            </w:r>
          </w:p>
        </w:tc>
        <w:tc>
          <w:tcPr>
            <w:tcW w:w="92" w:type="dxa"/>
            <w:tcBorders/>
            <w:shd w:fill="CCEEFF" w:val="clear"/>
            <w:vAlign w:val="bottom"/>
          </w:tcPr>
          <w:p>
            <w:pPr>
              <w:pStyle w:val="TableContents"/>
              <w:spacing w:before="0" w:after="283"/>
              <w:jc w:val="left"/>
              <w:rPr/>
            </w:pPr>
            <w:r>
              <w:rPr/>
              <w:t> </w:t>
            </w:r>
          </w:p>
        </w:tc>
        <w:tc>
          <w:tcPr>
            <w:tcW w:w="92" w:type="dxa"/>
            <w:tcBorders/>
            <w:shd w:fill="CCEEFF" w:val="clear"/>
            <w:vAlign w:val="bottom"/>
          </w:tcPr>
          <w:p>
            <w:pPr>
              <w:pStyle w:val="TableContents"/>
              <w:spacing w:before="0" w:after="283"/>
              <w:rPr/>
            </w:pPr>
            <w:r>
              <w:rPr/>
              <w:t> </w:t>
            </w:r>
          </w:p>
        </w:tc>
        <w:tc>
          <w:tcPr>
            <w:tcW w:w="292"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334" w:type="dxa"/>
            <w:tcBorders>
              <w:bottom w:val="single" w:sz="12" w:space="0" w:color="000000"/>
            </w:tcBorders>
            <w:shd w:fill="CCEE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w:t>
            </w:r>
          </w:p>
        </w:tc>
        <w:tc>
          <w:tcPr>
            <w:tcW w:w="81"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81"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982" w:type="dxa"/>
            <w:tcBorders>
              <w:bottom w:val="single" w:sz="12" w:space="0" w:color="000000"/>
            </w:tcBorders>
            <w:shd w:fill="CCEE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w:t>
            </w:r>
          </w:p>
        </w:tc>
        <w:tc>
          <w:tcPr>
            <w:tcW w:w="99"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139"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641" w:type="dxa"/>
            <w:tcBorders>
              <w:bottom w:val="single" w:sz="12" w:space="0" w:color="000000"/>
            </w:tcBorders>
            <w:shd w:fill="CCEE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w:t>
            </w:r>
          </w:p>
        </w:tc>
        <w:tc>
          <w:tcPr>
            <w:tcW w:w="99"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140"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77" w:type="dxa"/>
            <w:tcBorders>
              <w:bottom w:val="single" w:sz="12" w:space="0" w:color="000000"/>
            </w:tcBorders>
            <w:shd w:fill="CCEE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w:t>
            </w:r>
          </w:p>
        </w:tc>
        <w:tc>
          <w:tcPr>
            <w:tcW w:w="99"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140"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132" w:type="dxa"/>
            <w:tcBorders>
              <w:bottom w:val="single" w:sz="12" w:space="0" w:color="000000"/>
            </w:tcBorders>
            <w:shd w:fill="CCEE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(207,196</w:t>
            </w:r>
          </w:p>
        </w:tc>
        <w:tc>
          <w:tcPr>
            <w:tcW w:w="99" w:type="dxa"/>
            <w:tcBorders/>
            <w:shd w:fill="CCEEFF" w:val="clear"/>
            <w:vAlign w:val="bottom"/>
          </w:tcPr>
          <w:p>
            <w:pPr>
              <w:pStyle w:val="TableContents"/>
              <w:spacing w:before="0" w:after="283"/>
              <w:jc w:val="left"/>
              <w:rPr>
                <w:rFonts w:ascii="helvetica" w:hAnsi="helvetica"/>
                <w:sz w:val="20"/>
              </w:rPr>
            </w:pPr>
            <w:r>
              <w:rPr>
                <w:rFonts w:ascii="helvetica" w:hAnsi="helvetica"/>
                <w:sz w:val="20"/>
              </w:rPr>
              <w:t>)</w:t>
            </w:r>
          </w:p>
        </w:tc>
        <w:tc>
          <w:tcPr>
            <w:tcW w:w="81" w:type="dxa"/>
            <w:tcBorders/>
            <w:shd w:fill="CCEEFF" w:val="clear"/>
            <w:vAlign w:val="bottom"/>
          </w:tcPr>
          <w:p>
            <w:pPr>
              <w:pStyle w:val="TableContents"/>
              <w:spacing w:before="0" w:after="283"/>
              <w:rPr/>
            </w:pPr>
            <w:r>
              <w:rPr/>
              <w:t> </w:t>
            </w:r>
          </w:p>
        </w:tc>
        <w:tc>
          <w:tcPr>
            <w:tcW w:w="141"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45" w:type="dxa"/>
            <w:tcBorders>
              <w:bottom w:val="single" w:sz="12" w:space="0" w:color="000000"/>
            </w:tcBorders>
            <w:shd w:fill="CCEE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(207,196</w:t>
            </w:r>
          </w:p>
        </w:tc>
        <w:tc>
          <w:tcPr>
            <w:tcW w:w="123" w:type="dxa"/>
            <w:tcBorders/>
            <w:shd w:fill="CCEEFF" w:val="clear"/>
            <w:vAlign w:val="bottom"/>
          </w:tcPr>
          <w:p>
            <w:pPr>
              <w:pStyle w:val="TableContents"/>
              <w:spacing w:before="0" w:after="283"/>
              <w:jc w:val="left"/>
              <w:rPr>
                <w:rFonts w:ascii="helvetica" w:hAnsi="helvetica"/>
                <w:sz w:val="20"/>
              </w:rPr>
            </w:pPr>
            <w:r>
              <w:rPr>
                <w:rFonts w:ascii="helvetica" w:hAnsi="helvetica"/>
                <w:sz w:val="20"/>
              </w:rPr>
              <w:t>)</w:t>
            </w:r>
          </w:p>
        </w:tc>
      </w:tr>
      <w:tr>
        <w:trPr/>
        <w:tc>
          <w:tcPr>
            <w:tcW w:w="2070" w:type="dxa"/>
            <w:tcBorders/>
            <w:shd w:fill="FFFFFF" w:val="clear"/>
            <w:vAlign w:val="bottom"/>
          </w:tcPr>
          <w:p>
            <w:pPr>
              <w:pStyle w:val="TableContents"/>
              <w:spacing w:before="0" w:after="0"/>
              <w:ind w:left="0" w:right="0" w:hanging="0"/>
              <w:jc w:val="left"/>
              <w:rPr/>
            </w:pPr>
            <w:r>
              <w:rPr/>
              <w:t> </w:t>
            </w:r>
            <w:r>
              <w:rPr>
                <w:rFonts w:ascii="helvetica" w:hAnsi="helvetica"/>
                <w:sz w:val="20"/>
              </w:rPr>
              <w:t>Balance at December 31, 2003</w:t>
            </w:r>
          </w:p>
        </w:tc>
        <w:tc>
          <w:tcPr>
            <w:tcW w:w="81" w:type="dxa"/>
            <w:tcBorders/>
            <w:shd w:fill="FFFFFF" w:val="clear"/>
            <w:vAlign w:val="bottom"/>
          </w:tcPr>
          <w:p>
            <w:pPr>
              <w:pStyle w:val="TableContents"/>
              <w:spacing w:before="0" w:after="283"/>
              <w:rPr/>
            </w:pPr>
            <w:r>
              <w:rPr/>
              <w:t> </w:t>
            </w:r>
          </w:p>
        </w:tc>
        <w:tc>
          <w:tcPr>
            <w:tcW w:w="135" w:type="dxa"/>
            <w:tcBorders/>
            <w:shd w:fill="FFFFFF" w:val="clear"/>
            <w:vAlign w:val="bottom"/>
          </w:tcPr>
          <w:p>
            <w:pPr>
              <w:pStyle w:val="TableContents"/>
              <w:spacing w:before="0" w:after="283"/>
              <w:jc w:val="left"/>
              <w:rPr/>
            </w:pPr>
            <w:r>
              <w:rPr/>
              <w:t> </w:t>
            </w:r>
          </w:p>
        </w:tc>
        <w:tc>
          <w:tcPr>
            <w:tcW w:w="586"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w:t>
            </w:r>
          </w:p>
        </w:tc>
        <w:tc>
          <w:tcPr>
            <w:tcW w:w="92" w:type="dxa"/>
            <w:tcBorders/>
            <w:shd w:fill="FFFFFF" w:val="clear"/>
            <w:vAlign w:val="bottom"/>
          </w:tcPr>
          <w:p>
            <w:pPr>
              <w:pStyle w:val="TableContents"/>
              <w:spacing w:before="0" w:after="283"/>
              <w:jc w:val="left"/>
              <w:rPr/>
            </w:pPr>
            <w:r>
              <w:rPr/>
              <w:t> </w:t>
            </w:r>
          </w:p>
        </w:tc>
        <w:tc>
          <w:tcPr>
            <w:tcW w:w="92" w:type="dxa"/>
            <w:tcBorders/>
            <w:shd w:fill="FFFFFF" w:val="clear"/>
            <w:vAlign w:val="bottom"/>
          </w:tcPr>
          <w:p>
            <w:pPr>
              <w:pStyle w:val="TableContents"/>
              <w:spacing w:before="0" w:after="283"/>
              <w:rPr/>
            </w:pPr>
            <w:r>
              <w:rPr/>
              <w:t> </w:t>
            </w:r>
          </w:p>
        </w:tc>
        <w:tc>
          <w:tcPr>
            <w:tcW w:w="292" w:type="dxa"/>
            <w:tcBorders/>
            <w:shd w:fill="FFFFFF" w:val="clear"/>
            <w:vAlign w:val="bottom"/>
          </w:tcPr>
          <w:p>
            <w:pPr>
              <w:pStyle w:val="TableContents"/>
              <w:spacing w:before="0" w:after="283"/>
              <w:jc w:val="left"/>
              <w:rPr/>
            </w:pPr>
            <w:r>
              <w:rPr/>
              <w:t> </w:t>
            </w:r>
          </w:p>
        </w:tc>
        <w:tc>
          <w:tcPr>
            <w:tcW w:w="334"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w:t>
            </w:r>
          </w:p>
        </w:tc>
        <w:tc>
          <w:tcPr>
            <w:tcW w:w="81"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81" w:type="dxa"/>
            <w:tcBorders/>
            <w:shd w:fill="FFFFFF" w:val="clear"/>
            <w:vAlign w:val="bottom"/>
          </w:tcPr>
          <w:p>
            <w:pPr>
              <w:pStyle w:val="TableContents"/>
              <w:spacing w:before="0" w:after="283"/>
              <w:jc w:val="left"/>
              <w:rPr/>
            </w:pPr>
            <w:r>
              <w:rPr/>
              <w:t> </w:t>
            </w:r>
          </w:p>
        </w:tc>
        <w:tc>
          <w:tcPr>
            <w:tcW w:w="982"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117,188</w:t>
            </w:r>
          </w:p>
        </w:tc>
        <w:tc>
          <w:tcPr>
            <w:tcW w:w="99"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139" w:type="dxa"/>
            <w:tcBorders/>
            <w:shd w:fill="FFFFFF" w:val="clear"/>
            <w:vAlign w:val="bottom"/>
          </w:tcPr>
          <w:p>
            <w:pPr>
              <w:pStyle w:val="TableContents"/>
              <w:spacing w:before="0" w:after="283"/>
              <w:jc w:val="left"/>
              <w:rPr/>
            </w:pPr>
            <w:r>
              <w:rPr/>
              <w:t> </w:t>
            </w:r>
          </w:p>
        </w:tc>
        <w:tc>
          <w:tcPr>
            <w:tcW w:w="641"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117</w:t>
            </w:r>
          </w:p>
        </w:tc>
        <w:tc>
          <w:tcPr>
            <w:tcW w:w="99"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283"/>
              <w:jc w:val="left"/>
              <w:rPr/>
            </w:pPr>
            <w:r>
              <w:rPr/>
              <w:t> </w:t>
            </w:r>
          </w:p>
        </w:tc>
        <w:tc>
          <w:tcPr>
            <w:tcW w:w="1077"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1,105,883</w:t>
            </w:r>
          </w:p>
        </w:tc>
        <w:tc>
          <w:tcPr>
            <w:tcW w:w="99"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283"/>
              <w:jc w:val="left"/>
              <w:rPr/>
            </w:pPr>
            <w:r>
              <w:rPr/>
              <w:t> </w:t>
            </w:r>
          </w:p>
        </w:tc>
        <w:tc>
          <w:tcPr>
            <w:tcW w:w="1132"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(1,160,925</w:t>
            </w:r>
          </w:p>
        </w:tc>
        <w:tc>
          <w:tcPr>
            <w:tcW w:w="99" w:type="dxa"/>
            <w:tcBorders/>
            <w:shd w:fill="FFFFFF" w:val="clear"/>
            <w:vAlign w:val="bottom"/>
          </w:tcPr>
          <w:p>
            <w:pPr>
              <w:pStyle w:val="TableContents"/>
              <w:spacing w:before="0" w:after="283"/>
              <w:jc w:val="left"/>
              <w:rPr>
                <w:rFonts w:ascii="helvetica" w:hAnsi="helvetica"/>
                <w:sz w:val="20"/>
              </w:rPr>
            </w:pPr>
            <w:r>
              <w:rPr>
                <w:rFonts w:ascii="helvetica" w:hAnsi="helvetica"/>
                <w:sz w:val="20"/>
              </w:rPr>
              <w:t>)</w:t>
            </w:r>
          </w:p>
        </w:tc>
        <w:tc>
          <w:tcPr>
            <w:tcW w:w="81" w:type="dxa"/>
            <w:tcBorders/>
            <w:shd w:fill="FFFFFF" w:val="clear"/>
            <w:vAlign w:val="bottom"/>
          </w:tcPr>
          <w:p>
            <w:pPr>
              <w:pStyle w:val="TableContents"/>
              <w:spacing w:before="0" w:after="283"/>
              <w:rPr/>
            </w:pPr>
            <w:r>
              <w:rPr/>
              <w:t> </w:t>
            </w:r>
          </w:p>
        </w:tc>
        <w:tc>
          <w:tcPr>
            <w:tcW w:w="141" w:type="dxa"/>
            <w:tcBorders/>
            <w:shd w:fill="FFFFFF" w:val="clear"/>
            <w:vAlign w:val="bottom"/>
          </w:tcPr>
          <w:p>
            <w:pPr>
              <w:pStyle w:val="TableContents"/>
              <w:spacing w:before="0" w:after="283"/>
              <w:jc w:val="left"/>
              <w:rPr/>
            </w:pPr>
            <w:r>
              <w:rPr/>
              <w:t> </w:t>
            </w:r>
          </w:p>
        </w:tc>
        <w:tc>
          <w:tcPr>
            <w:tcW w:w="1045"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(54,925</w:t>
            </w:r>
          </w:p>
        </w:tc>
        <w:tc>
          <w:tcPr>
            <w:tcW w:w="123" w:type="dxa"/>
            <w:tcBorders/>
            <w:shd w:fill="FFFFFF" w:val="clear"/>
            <w:vAlign w:val="bottom"/>
          </w:tcPr>
          <w:p>
            <w:pPr>
              <w:pStyle w:val="TableContents"/>
              <w:spacing w:before="0" w:after="283"/>
              <w:jc w:val="left"/>
              <w:rPr>
                <w:rFonts w:ascii="helvetica" w:hAnsi="helvetica"/>
                <w:sz w:val="20"/>
              </w:rPr>
            </w:pPr>
            <w:r>
              <w:rPr>
                <w:rFonts w:ascii="helvetica" w:hAnsi="helvetica"/>
                <w:sz w:val="20"/>
              </w:rPr>
              <w:t>)</w:t>
            </w:r>
          </w:p>
        </w:tc>
      </w:tr>
      <w:tr>
        <w:trPr/>
        <w:tc>
          <w:tcPr>
            <w:tcW w:w="2070" w:type="dxa"/>
            <w:tcBorders/>
            <w:shd w:fill="CCEEFF" w:val="clear"/>
            <w:vAlign w:val="bottom"/>
          </w:tcPr>
          <w:p>
            <w:pPr>
              <w:pStyle w:val="TableContents"/>
              <w:spacing w:before="0" w:after="283"/>
              <w:rPr/>
            </w:pPr>
            <w:r>
              <w:rPr/>
              <w:t xml:space="preserve">  </w:t>
            </w:r>
          </w:p>
        </w:tc>
        <w:tc>
          <w:tcPr>
            <w:tcW w:w="81" w:type="dxa"/>
            <w:tcBorders/>
            <w:shd w:fill="CCEEFF" w:val="clear"/>
            <w:vAlign w:val="bottom"/>
          </w:tcPr>
          <w:p>
            <w:pPr>
              <w:pStyle w:val="TableContents"/>
              <w:spacing w:before="0" w:after="283"/>
              <w:rPr/>
            </w:pPr>
            <w:r>
              <w:rPr/>
              <w:t> </w:t>
            </w:r>
          </w:p>
        </w:tc>
        <w:tc>
          <w:tcPr>
            <w:tcW w:w="135" w:type="dxa"/>
            <w:tcBorders/>
            <w:shd w:fill="CCEEFF" w:val="clear"/>
            <w:vAlign w:val="bottom"/>
          </w:tcPr>
          <w:p>
            <w:pPr>
              <w:pStyle w:val="TableContents"/>
              <w:spacing w:before="0" w:after="283"/>
              <w:jc w:val="left"/>
              <w:rPr/>
            </w:pPr>
            <w:r>
              <w:rPr/>
              <w:t> </w:t>
            </w:r>
          </w:p>
        </w:tc>
        <w:tc>
          <w:tcPr>
            <w:tcW w:w="586" w:type="dxa"/>
            <w:tcBorders/>
            <w:shd w:fill="CCEEFF" w:val="clear"/>
            <w:vAlign w:val="bottom"/>
          </w:tcPr>
          <w:p>
            <w:pPr>
              <w:pStyle w:val="TableContents"/>
              <w:spacing w:before="0" w:after="283"/>
              <w:jc w:val="right"/>
              <w:rPr/>
            </w:pPr>
            <w:r>
              <w:rPr/>
              <w:t> </w:t>
            </w:r>
          </w:p>
        </w:tc>
        <w:tc>
          <w:tcPr>
            <w:tcW w:w="92" w:type="dxa"/>
            <w:tcBorders/>
            <w:shd w:fill="CCEEFF" w:val="clear"/>
            <w:vAlign w:val="bottom"/>
          </w:tcPr>
          <w:p>
            <w:pPr>
              <w:pStyle w:val="TableContents"/>
              <w:spacing w:before="0" w:after="283"/>
              <w:jc w:val="left"/>
              <w:rPr/>
            </w:pPr>
            <w:r>
              <w:rPr/>
              <w:t> </w:t>
            </w:r>
          </w:p>
        </w:tc>
        <w:tc>
          <w:tcPr>
            <w:tcW w:w="92" w:type="dxa"/>
            <w:tcBorders/>
            <w:shd w:fill="CCEEFF" w:val="clear"/>
            <w:vAlign w:val="bottom"/>
          </w:tcPr>
          <w:p>
            <w:pPr>
              <w:pStyle w:val="TableContents"/>
              <w:spacing w:before="0" w:after="283"/>
              <w:rPr/>
            </w:pPr>
            <w:r>
              <w:rPr/>
              <w:t> </w:t>
            </w:r>
          </w:p>
        </w:tc>
        <w:tc>
          <w:tcPr>
            <w:tcW w:w="292" w:type="dxa"/>
            <w:tcBorders/>
            <w:shd w:fill="CCEEFF" w:val="clear"/>
            <w:vAlign w:val="bottom"/>
          </w:tcPr>
          <w:p>
            <w:pPr>
              <w:pStyle w:val="TableContents"/>
              <w:spacing w:before="0" w:after="283"/>
              <w:jc w:val="left"/>
              <w:rPr/>
            </w:pPr>
            <w:r>
              <w:rPr/>
              <w:t> </w:t>
            </w:r>
          </w:p>
        </w:tc>
        <w:tc>
          <w:tcPr>
            <w:tcW w:w="334" w:type="dxa"/>
            <w:tcBorders/>
            <w:shd w:fill="CCEEFF" w:val="clear"/>
            <w:vAlign w:val="bottom"/>
          </w:tcPr>
          <w:p>
            <w:pPr>
              <w:pStyle w:val="TableContents"/>
              <w:spacing w:before="0" w:after="283"/>
              <w:jc w:val="right"/>
              <w:rPr/>
            </w:pPr>
            <w:r>
              <w:rPr/>
              <w:t> </w:t>
            </w:r>
          </w:p>
        </w:tc>
        <w:tc>
          <w:tcPr>
            <w:tcW w:w="81"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81" w:type="dxa"/>
            <w:tcBorders/>
            <w:shd w:fill="CCEEFF" w:val="clear"/>
            <w:vAlign w:val="bottom"/>
          </w:tcPr>
          <w:p>
            <w:pPr>
              <w:pStyle w:val="TableContents"/>
              <w:spacing w:before="0" w:after="283"/>
              <w:jc w:val="left"/>
              <w:rPr/>
            </w:pPr>
            <w:r>
              <w:rPr/>
              <w:t> </w:t>
            </w:r>
          </w:p>
        </w:tc>
        <w:tc>
          <w:tcPr>
            <w:tcW w:w="982" w:type="dxa"/>
            <w:tcBorders/>
            <w:shd w:fill="CCEEFF" w:val="clear"/>
            <w:vAlign w:val="bottom"/>
          </w:tcPr>
          <w:p>
            <w:pPr>
              <w:pStyle w:val="TableContents"/>
              <w:spacing w:before="0" w:after="283"/>
              <w:jc w:val="right"/>
              <w:rPr/>
            </w:pPr>
            <w:r>
              <w:rPr/>
              <w:t> </w:t>
            </w:r>
          </w:p>
        </w:tc>
        <w:tc>
          <w:tcPr>
            <w:tcW w:w="99"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139" w:type="dxa"/>
            <w:tcBorders/>
            <w:shd w:fill="CCEEFF" w:val="clear"/>
            <w:vAlign w:val="bottom"/>
          </w:tcPr>
          <w:p>
            <w:pPr>
              <w:pStyle w:val="TableContents"/>
              <w:spacing w:before="0" w:after="283"/>
              <w:jc w:val="left"/>
              <w:rPr/>
            </w:pPr>
            <w:r>
              <w:rPr/>
              <w:t> </w:t>
            </w:r>
          </w:p>
        </w:tc>
        <w:tc>
          <w:tcPr>
            <w:tcW w:w="641" w:type="dxa"/>
            <w:tcBorders/>
            <w:shd w:fill="CCEEFF" w:val="clear"/>
            <w:vAlign w:val="bottom"/>
          </w:tcPr>
          <w:p>
            <w:pPr>
              <w:pStyle w:val="TableContents"/>
              <w:spacing w:before="0" w:after="283"/>
              <w:jc w:val="right"/>
              <w:rPr/>
            </w:pPr>
            <w:r>
              <w:rPr/>
              <w:t> </w:t>
            </w:r>
          </w:p>
        </w:tc>
        <w:tc>
          <w:tcPr>
            <w:tcW w:w="99"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jc w:val="left"/>
              <w:rPr/>
            </w:pPr>
            <w:r>
              <w:rPr/>
              <w:t> </w:t>
            </w:r>
          </w:p>
        </w:tc>
        <w:tc>
          <w:tcPr>
            <w:tcW w:w="1077" w:type="dxa"/>
            <w:tcBorders/>
            <w:shd w:fill="CCEEFF" w:val="clear"/>
            <w:vAlign w:val="bottom"/>
          </w:tcPr>
          <w:p>
            <w:pPr>
              <w:pStyle w:val="TableContents"/>
              <w:spacing w:before="0" w:after="283"/>
              <w:jc w:val="right"/>
              <w:rPr/>
            </w:pPr>
            <w:r>
              <w:rPr/>
              <w:t> </w:t>
            </w:r>
          </w:p>
        </w:tc>
        <w:tc>
          <w:tcPr>
            <w:tcW w:w="99"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jc w:val="left"/>
              <w:rPr/>
            </w:pPr>
            <w:r>
              <w:rPr/>
              <w:t> </w:t>
            </w:r>
          </w:p>
        </w:tc>
        <w:tc>
          <w:tcPr>
            <w:tcW w:w="1132" w:type="dxa"/>
            <w:tcBorders/>
            <w:shd w:fill="CCEEFF" w:val="clear"/>
            <w:vAlign w:val="bottom"/>
          </w:tcPr>
          <w:p>
            <w:pPr>
              <w:pStyle w:val="TableContents"/>
              <w:spacing w:before="0" w:after="283"/>
              <w:jc w:val="right"/>
              <w:rPr/>
            </w:pPr>
            <w:r>
              <w:rPr/>
              <w:t> </w:t>
            </w:r>
          </w:p>
        </w:tc>
        <w:tc>
          <w:tcPr>
            <w:tcW w:w="99"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141" w:type="dxa"/>
            <w:tcBorders/>
            <w:shd w:fill="CCEEFF" w:val="clear"/>
            <w:vAlign w:val="bottom"/>
          </w:tcPr>
          <w:p>
            <w:pPr>
              <w:pStyle w:val="TableContents"/>
              <w:spacing w:before="0" w:after="283"/>
              <w:jc w:val="left"/>
              <w:rPr/>
            </w:pPr>
            <w:r>
              <w:rPr/>
              <w:t> </w:t>
            </w:r>
          </w:p>
        </w:tc>
        <w:tc>
          <w:tcPr>
            <w:tcW w:w="1045" w:type="dxa"/>
            <w:tcBorders/>
            <w:shd w:fill="CCEEFF" w:val="clear"/>
            <w:vAlign w:val="bottom"/>
          </w:tcPr>
          <w:p>
            <w:pPr>
              <w:pStyle w:val="TableContents"/>
              <w:spacing w:before="0" w:after="283"/>
              <w:jc w:val="right"/>
              <w:rPr/>
            </w:pPr>
            <w:r>
              <w:rPr/>
              <w:t> </w:t>
            </w:r>
          </w:p>
        </w:tc>
        <w:tc>
          <w:tcPr>
            <w:tcW w:w="123" w:type="dxa"/>
            <w:tcBorders/>
            <w:shd w:fill="CCEEFF" w:val="clear"/>
            <w:vAlign w:val="bottom"/>
          </w:tcPr>
          <w:p>
            <w:pPr>
              <w:pStyle w:val="TableContents"/>
              <w:spacing w:before="0" w:after="283"/>
              <w:jc w:val="left"/>
              <w:rPr/>
            </w:pPr>
            <w:r>
              <w:rPr/>
              <w:t> </w:t>
            </w:r>
          </w:p>
        </w:tc>
      </w:tr>
      <w:tr>
        <w:trPr/>
        <w:tc>
          <w:tcPr>
            <w:tcW w:w="2070" w:type="dxa"/>
            <w:tcBorders/>
            <w:shd w:fill="FFFFFF" w:val="clear"/>
            <w:vAlign w:val="bottom"/>
          </w:tcPr>
          <w:p>
            <w:pPr>
              <w:pStyle w:val="TableContents"/>
              <w:spacing w:before="0" w:after="0"/>
              <w:ind w:left="0" w:right="0" w:hanging="0"/>
              <w:jc w:val="left"/>
              <w:rPr/>
            </w:pPr>
            <w:r>
              <w:rPr/>
              <w:t> </w:t>
            </w:r>
            <w:r>
              <w:rPr>
                <w:rFonts w:ascii="helvetica" w:hAnsi="helvetica"/>
                <w:sz w:val="20"/>
              </w:rPr>
              <w:t>Estimated fair value of services contributed by</w:t>
            </w:r>
          </w:p>
        </w:tc>
        <w:tc>
          <w:tcPr>
            <w:tcW w:w="81" w:type="dxa"/>
            <w:tcBorders/>
            <w:shd w:fill="FFFFFF" w:val="clear"/>
            <w:vAlign w:val="bottom"/>
          </w:tcPr>
          <w:p>
            <w:pPr>
              <w:pStyle w:val="TableContents"/>
              <w:spacing w:before="0" w:after="283"/>
              <w:rPr/>
            </w:pPr>
            <w:r>
              <w:rPr/>
              <w:t> </w:t>
            </w:r>
          </w:p>
        </w:tc>
        <w:tc>
          <w:tcPr>
            <w:tcW w:w="135" w:type="dxa"/>
            <w:tcBorders/>
            <w:shd w:fill="FFFFFF" w:val="clear"/>
            <w:vAlign w:val="bottom"/>
          </w:tcPr>
          <w:p>
            <w:pPr>
              <w:pStyle w:val="TableContents"/>
              <w:spacing w:before="0" w:after="283"/>
              <w:jc w:val="left"/>
              <w:rPr/>
            </w:pPr>
            <w:r>
              <w:rPr/>
              <w:t> </w:t>
            </w:r>
          </w:p>
        </w:tc>
        <w:tc>
          <w:tcPr>
            <w:tcW w:w="586" w:type="dxa"/>
            <w:tcBorders/>
            <w:shd w:fill="FFFFFF" w:val="clear"/>
            <w:vAlign w:val="bottom"/>
          </w:tcPr>
          <w:p>
            <w:pPr>
              <w:pStyle w:val="TableContents"/>
              <w:spacing w:before="0" w:after="283"/>
              <w:jc w:val="right"/>
              <w:rPr/>
            </w:pPr>
            <w:r>
              <w:rPr/>
              <w:t> </w:t>
            </w:r>
          </w:p>
        </w:tc>
        <w:tc>
          <w:tcPr>
            <w:tcW w:w="92" w:type="dxa"/>
            <w:tcBorders/>
            <w:shd w:fill="FFFFFF" w:val="clear"/>
            <w:vAlign w:val="bottom"/>
          </w:tcPr>
          <w:p>
            <w:pPr>
              <w:pStyle w:val="TableContents"/>
              <w:spacing w:before="0" w:after="283"/>
              <w:jc w:val="left"/>
              <w:rPr/>
            </w:pPr>
            <w:r>
              <w:rPr/>
              <w:t> </w:t>
            </w:r>
          </w:p>
        </w:tc>
        <w:tc>
          <w:tcPr>
            <w:tcW w:w="92" w:type="dxa"/>
            <w:tcBorders/>
            <w:shd w:fill="FFFFFF" w:val="clear"/>
            <w:vAlign w:val="bottom"/>
          </w:tcPr>
          <w:p>
            <w:pPr>
              <w:pStyle w:val="TableContents"/>
              <w:spacing w:before="0" w:after="283"/>
              <w:rPr/>
            </w:pPr>
            <w:r>
              <w:rPr/>
              <w:t> </w:t>
            </w:r>
          </w:p>
        </w:tc>
        <w:tc>
          <w:tcPr>
            <w:tcW w:w="292" w:type="dxa"/>
            <w:tcBorders/>
            <w:shd w:fill="FFFFFF" w:val="clear"/>
            <w:vAlign w:val="bottom"/>
          </w:tcPr>
          <w:p>
            <w:pPr>
              <w:pStyle w:val="TableContents"/>
              <w:spacing w:before="0" w:after="283"/>
              <w:jc w:val="left"/>
              <w:rPr/>
            </w:pPr>
            <w:r>
              <w:rPr/>
              <w:t> </w:t>
            </w:r>
          </w:p>
        </w:tc>
        <w:tc>
          <w:tcPr>
            <w:tcW w:w="334" w:type="dxa"/>
            <w:tcBorders/>
            <w:shd w:fill="FFFFFF" w:val="clear"/>
            <w:vAlign w:val="bottom"/>
          </w:tcPr>
          <w:p>
            <w:pPr>
              <w:pStyle w:val="TableContents"/>
              <w:spacing w:before="0" w:after="283"/>
              <w:jc w:val="right"/>
              <w:rPr/>
            </w:pPr>
            <w:r>
              <w:rPr/>
              <w:t> </w:t>
            </w:r>
          </w:p>
        </w:tc>
        <w:tc>
          <w:tcPr>
            <w:tcW w:w="81"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81" w:type="dxa"/>
            <w:tcBorders/>
            <w:shd w:fill="FFFFFF" w:val="clear"/>
            <w:vAlign w:val="bottom"/>
          </w:tcPr>
          <w:p>
            <w:pPr>
              <w:pStyle w:val="TableContents"/>
              <w:spacing w:before="0" w:after="283"/>
              <w:jc w:val="left"/>
              <w:rPr/>
            </w:pPr>
            <w:r>
              <w:rPr/>
              <w:t> </w:t>
            </w:r>
          </w:p>
        </w:tc>
        <w:tc>
          <w:tcPr>
            <w:tcW w:w="982" w:type="dxa"/>
            <w:tcBorders/>
            <w:shd w:fill="FFFFFF" w:val="clear"/>
            <w:vAlign w:val="bottom"/>
          </w:tcPr>
          <w:p>
            <w:pPr>
              <w:pStyle w:val="TableContents"/>
              <w:spacing w:before="0" w:after="283"/>
              <w:jc w:val="right"/>
              <w:rPr/>
            </w:pPr>
            <w:r>
              <w:rPr/>
              <w:t> </w:t>
            </w:r>
          </w:p>
        </w:tc>
        <w:tc>
          <w:tcPr>
            <w:tcW w:w="99"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139" w:type="dxa"/>
            <w:tcBorders/>
            <w:shd w:fill="FFFFFF" w:val="clear"/>
            <w:vAlign w:val="bottom"/>
          </w:tcPr>
          <w:p>
            <w:pPr>
              <w:pStyle w:val="TableContents"/>
              <w:spacing w:before="0" w:after="283"/>
              <w:jc w:val="left"/>
              <w:rPr/>
            </w:pPr>
            <w:r>
              <w:rPr/>
              <w:t> </w:t>
            </w:r>
          </w:p>
        </w:tc>
        <w:tc>
          <w:tcPr>
            <w:tcW w:w="641" w:type="dxa"/>
            <w:tcBorders/>
            <w:shd w:fill="FFFFFF" w:val="clear"/>
            <w:vAlign w:val="bottom"/>
          </w:tcPr>
          <w:p>
            <w:pPr>
              <w:pStyle w:val="TableContents"/>
              <w:spacing w:before="0" w:after="283"/>
              <w:jc w:val="right"/>
              <w:rPr/>
            </w:pPr>
            <w:r>
              <w:rPr/>
              <w:t> </w:t>
            </w:r>
          </w:p>
        </w:tc>
        <w:tc>
          <w:tcPr>
            <w:tcW w:w="99"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283"/>
              <w:jc w:val="left"/>
              <w:rPr/>
            </w:pPr>
            <w:r>
              <w:rPr/>
              <w:t> </w:t>
            </w:r>
          </w:p>
        </w:tc>
        <w:tc>
          <w:tcPr>
            <w:tcW w:w="1077" w:type="dxa"/>
            <w:tcBorders/>
            <w:shd w:fill="FFFFFF" w:val="clear"/>
            <w:vAlign w:val="bottom"/>
          </w:tcPr>
          <w:p>
            <w:pPr>
              <w:pStyle w:val="TableContents"/>
              <w:spacing w:before="0" w:after="283"/>
              <w:jc w:val="right"/>
              <w:rPr/>
            </w:pPr>
            <w:r>
              <w:rPr/>
              <w:t> </w:t>
            </w:r>
          </w:p>
        </w:tc>
        <w:tc>
          <w:tcPr>
            <w:tcW w:w="99"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283"/>
              <w:jc w:val="left"/>
              <w:rPr/>
            </w:pPr>
            <w:r>
              <w:rPr/>
              <w:t> </w:t>
            </w:r>
          </w:p>
        </w:tc>
        <w:tc>
          <w:tcPr>
            <w:tcW w:w="1132" w:type="dxa"/>
            <w:tcBorders/>
            <w:shd w:fill="FFFFFF" w:val="clear"/>
            <w:vAlign w:val="bottom"/>
          </w:tcPr>
          <w:p>
            <w:pPr>
              <w:pStyle w:val="TableContents"/>
              <w:spacing w:before="0" w:after="283"/>
              <w:jc w:val="right"/>
              <w:rPr/>
            </w:pPr>
            <w:r>
              <w:rPr/>
              <w:t> </w:t>
            </w:r>
          </w:p>
        </w:tc>
        <w:tc>
          <w:tcPr>
            <w:tcW w:w="99"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141" w:type="dxa"/>
            <w:tcBorders/>
            <w:shd w:fill="FFFFFF" w:val="clear"/>
            <w:vAlign w:val="bottom"/>
          </w:tcPr>
          <w:p>
            <w:pPr>
              <w:pStyle w:val="TableContents"/>
              <w:spacing w:before="0" w:after="283"/>
              <w:jc w:val="left"/>
              <w:rPr/>
            </w:pPr>
            <w:r>
              <w:rPr/>
              <w:t> </w:t>
            </w:r>
          </w:p>
        </w:tc>
        <w:tc>
          <w:tcPr>
            <w:tcW w:w="1045" w:type="dxa"/>
            <w:tcBorders/>
            <w:shd w:fill="FFFFFF" w:val="clear"/>
            <w:vAlign w:val="bottom"/>
          </w:tcPr>
          <w:p>
            <w:pPr>
              <w:pStyle w:val="TableContents"/>
              <w:spacing w:before="0" w:after="283"/>
              <w:jc w:val="right"/>
              <w:rPr/>
            </w:pPr>
            <w:r>
              <w:rPr/>
              <w:t> </w:t>
            </w:r>
          </w:p>
        </w:tc>
        <w:tc>
          <w:tcPr>
            <w:tcW w:w="123" w:type="dxa"/>
            <w:tcBorders/>
            <w:shd w:fill="FFFFFF" w:val="clear"/>
            <w:vAlign w:val="bottom"/>
          </w:tcPr>
          <w:p>
            <w:pPr>
              <w:pStyle w:val="TableContents"/>
              <w:spacing w:before="0" w:after="283"/>
              <w:jc w:val="left"/>
              <w:rPr/>
            </w:pPr>
            <w:r>
              <w:rPr/>
              <w:t> </w:t>
            </w:r>
          </w:p>
        </w:tc>
      </w:tr>
      <w:tr>
        <w:trPr/>
        <w:tc>
          <w:tcPr>
            <w:tcW w:w="2070" w:type="dxa"/>
            <w:tcBorders/>
            <w:shd w:fill="CCEEFF" w:val="clear"/>
            <w:vAlign w:val="bottom"/>
          </w:tcPr>
          <w:p>
            <w:pPr>
              <w:pStyle w:val="TableContents"/>
              <w:spacing w:before="0" w:after="0"/>
              <w:ind w:left="0" w:right="0" w:hanging="0"/>
              <w:jc w:val="left"/>
              <w:rPr/>
            </w:pPr>
            <w:r>
              <w:rPr/>
              <w:t>   </w:t>
            </w:r>
            <w:r>
              <w:rPr>
                <w:rFonts w:ascii="helvetica" w:hAnsi="helvetica"/>
                <w:sz w:val="20"/>
              </w:rPr>
              <w:t>stockholders</w:t>
            </w:r>
          </w:p>
        </w:tc>
        <w:tc>
          <w:tcPr>
            <w:tcW w:w="81" w:type="dxa"/>
            <w:tcBorders/>
            <w:shd w:fill="CCEEFF" w:val="clear"/>
            <w:vAlign w:val="bottom"/>
          </w:tcPr>
          <w:p>
            <w:pPr>
              <w:pStyle w:val="TableContents"/>
              <w:spacing w:before="0" w:after="283"/>
              <w:rPr/>
            </w:pPr>
            <w:r>
              <w:rPr/>
              <w:t> </w:t>
            </w:r>
          </w:p>
        </w:tc>
        <w:tc>
          <w:tcPr>
            <w:tcW w:w="135" w:type="dxa"/>
            <w:tcBorders/>
            <w:shd w:fill="CCEEFF" w:val="clear"/>
            <w:vAlign w:val="bottom"/>
          </w:tcPr>
          <w:p>
            <w:pPr>
              <w:pStyle w:val="TableContents"/>
              <w:spacing w:before="0" w:after="283"/>
              <w:jc w:val="left"/>
              <w:rPr/>
            </w:pPr>
            <w:r>
              <w:rPr/>
              <w:t> </w:t>
            </w:r>
          </w:p>
        </w:tc>
        <w:tc>
          <w:tcPr>
            <w:tcW w:w="586"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w:t>
            </w:r>
          </w:p>
        </w:tc>
        <w:tc>
          <w:tcPr>
            <w:tcW w:w="92" w:type="dxa"/>
            <w:tcBorders/>
            <w:shd w:fill="CCEEFF" w:val="clear"/>
            <w:vAlign w:val="bottom"/>
          </w:tcPr>
          <w:p>
            <w:pPr>
              <w:pStyle w:val="TableContents"/>
              <w:spacing w:before="0" w:after="283"/>
              <w:jc w:val="left"/>
              <w:rPr/>
            </w:pPr>
            <w:r>
              <w:rPr/>
              <w:t> </w:t>
            </w:r>
          </w:p>
        </w:tc>
        <w:tc>
          <w:tcPr>
            <w:tcW w:w="92" w:type="dxa"/>
            <w:tcBorders/>
            <w:shd w:fill="CCEEFF" w:val="clear"/>
            <w:vAlign w:val="bottom"/>
          </w:tcPr>
          <w:p>
            <w:pPr>
              <w:pStyle w:val="TableContents"/>
              <w:spacing w:before="0" w:after="283"/>
              <w:rPr/>
            </w:pPr>
            <w:r>
              <w:rPr/>
              <w:t> </w:t>
            </w:r>
          </w:p>
        </w:tc>
        <w:tc>
          <w:tcPr>
            <w:tcW w:w="292" w:type="dxa"/>
            <w:tcBorders/>
            <w:shd w:fill="CCEEFF" w:val="clear"/>
            <w:vAlign w:val="bottom"/>
          </w:tcPr>
          <w:p>
            <w:pPr>
              <w:pStyle w:val="TableContents"/>
              <w:spacing w:before="0" w:after="283"/>
              <w:jc w:val="left"/>
              <w:rPr/>
            </w:pPr>
            <w:r>
              <w:rPr/>
              <w:t> </w:t>
            </w:r>
          </w:p>
        </w:tc>
        <w:tc>
          <w:tcPr>
            <w:tcW w:w="334"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w:t>
            </w:r>
          </w:p>
        </w:tc>
        <w:tc>
          <w:tcPr>
            <w:tcW w:w="81"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81" w:type="dxa"/>
            <w:tcBorders/>
            <w:shd w:fill="CCEEFF" w:val="clear"/>
            <w:vAlign w:val="bottom"/>
          </w:tcPr>
          <w:p>
            <w:pPr>
              <w:pStyle w:val="TableContents"/>
              <w:spacing w:before="0" w:after="283"/>
              <w:jc w:val="left"/>
              <w:rPr/>
            </w:pPr>
            <w:r>
              <w:rPr/>
              <w:t> </w:t>
            </w:r>
          </w:p>
        </w:tc>
        <w:tc>
          <w:tcPr>
            <w:tcW w:w="982"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w:t>
            </w:r>
          </w:p>
        </w:tc>
        <w:tc>
          <w:tcPr>
            <w:tcW w:w="99"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139" w:type="dxa"/>
            <w:tcBorders/>
            <w:shd w:fill="CCEEFF" w:val="clear"/>
            <w:vAlign w:val="bottom"/>
          </w:tcPr>
          <w:p>
            <w:pPr>
              <w:pStyle w:val="TableContents"/>
              <w:spacing w:before="0" w:after="283"/>
              <w:jc w:val="left"/>
              <w:rPr/>
            </w:pPr>
            <w:r>
              <w:rPr/>
              <w:t> </w:t>
            </w:r>
          </w:p>
        </w:tc>
        <w:tc>
          <w:tcPr>
            <w:tcW w:w="641"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w:t>
            </w:r>
          </w:p>
        </w:tc>
        <w:tc>
          <w:tcPr>
            <w:tcW w:w="99"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jc w:val="left"/>
              <w:rPr/>
            </w:pPr>
            <w:r>
              <w:rPr/>
              <w:t> </w:t>
            </w:r>
          </w:p>
        </w:tc>
        <w:tc>
          <w:tcPr>
            <w:tcW w:w="1077"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400,000</w:t>
            </w:r>
          </w:p>
        </w:tc>
        <w:tc>
          <w:tcPr>
            <w:tcW w:w="99"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jc w:val="left"/>
              <w:rPr/>
            </w:pPr>
            <w:r>
              <w:rPr/>
              <w:t> </w:t>
            </w:r>
          </w:p>
        </w:tc>
        <w:tc>
          <w:tcPr>
            <w:tcW w:w="1132"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w:t>
            </w:r>
          </w:p>
        </w:tc>
        <w:tc>
          <w:tcPr>
            <w:tcW w:w="99"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141" w:type="dxa"/>
            <w:tcBorders/>
            <w:shd w:fill="CCEEFF" w:val="clear"/>
            <w:vAlign w:val="bottom"/>
          </w:tcPr>
          <w:p>
            <w:pPr>
              <w:pStyle w:val="TableContents"/>
              <w:spacing w:before="0" w:after="283"/>
              <w:jc w:val="left"/>
              <w:rPr/>
            </w:pPr>
            <w:r>
              <w:rPr/>
              <w:t> </w:t>
            </w:r>
          </w:p>
        </w:tc>
        <w:tc>
          <w:tcPr>
            <w:tcW w:w="1045"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400,000</w:t>
            </w:r>
          </w:p>
        </w:tc>
        <w:tc>
          <w:tcPr>
            <w:tcW w:w="123" w:type="dxa"/>
            <w:tcBorders/>
            <w:shd w:fill="CCEEFF" w:val="clear"/>
            <w:vAlign w:val="bottom"/>
          </w:tcPr>
          <w:p>
            <w:pPr>
              <w:pStyle w:val="TableContents"/>
              <w:spacing w:before="0" w:after="283"/>
              <w:jc w:val="left"/>
              <w:rPr/>
            </w:pPr>
            <w:r>
              <w:rPr/>
              <w:t> </w:t>
            </w:r>
          </w:p>
        </w:tc>
      </w:tr>
      <w:tr>
        <w:trPr/>
        <w:tc>
          <w:tcPr>
            <w:tcW w:w="2070" w:type="dxa"/>
            <w:tcBorders/>
            <w:shd w:fill="FFFFFF" w:val="clear"/>
            <w:vAlign w:val="bottom"/>
          </w:tcPr>
          <w:p>
            <w:pPr>
              <w:pStyle w:val="TableContents"/>
              <w:spacing w:before="0" w:after="0"/>
              <w:ind w:left="0" w:right="0" w:hanging="0"/>
              <w:jc w:val="left"/>
              <w:rPr/>
            </w:pPr>
            <w:r>
              <w:rPr/>
              <w:t> </w:t>
            </w:r>
            <w:r>
              <w:rPr>
                <w:rFonts w:ascii="helvetica" w:hAnsi="helvetica"/>
                <w:sz w:val="20"/>
              </w:rPr>
              <w:t>Net loss</w:t>
            </w:r>
          </w:p>
        </w:tc>
        <w:tc>
          <w:tcPr>
            <w:tcW w:w="81" w:type="dxa"/>
            <w:tcBorders/>
            <w:shd w:fill="FFFFFF" w:val="clear"/>
            <w:vAlign w:val="bottom"/>
          </w:tcPr>
          <w:p>
            <w:pPr>
              <w:pStyle w:val="TableContents"/>
              <w:spacing w:before="0" w:after="283"/>
              <w:rPr/>
            </w:pPr>
            <w:r>
              <w:rPr/>
              <w:t> </w:t>
            </w:r>
          </w:p>
        </w:tc>
        <w:tc>
          <w:tcPr>
            <w:tcW w:w="13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586" w:type="dxa"/>
            <w:tcBorders>
              <w:bottom w:val="single" w:sz="12" w:space="0" w:color="000000"/>
            </w:tcBorders>
            <w:shd w:fill="FFFF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w:t>
            </w:r>
          </w:p>
        </w:tc>
        <w:tc>
          <w:tcPr>
            <w:tcW w:w="92" w:type="dxa"/>
            <w:tcBorders/>
            <w:shd w:fill="FFFFFF" w:val="clear"/>
            <w:vAlign w:val="bottom"/>
          </w:tcPr>
          <w:p>
            <w:pPr>
              <w:pStyle w:val="TableContents"/>
              <w:spacing w:before="0" w:after="283"/>
              <w:jc w:val="left"/>
              <w:rPr/>
            </w:pPr>
            <w:r>
              <w:rPr/>
              <w:t> </w:t>
            </w:r>
          </w:p>
        </w:tc>
        <w:tc>
          <w:tcPr>
            <w:tcW w:w="92" w:type="dxa"/>
            <w:tcBorders/>
            <w:shd w:fill="FFFFFF" w:val="clear"/>
            <w:vAlign w:val="bottom"/>
          </w:tcPr>
          <w:p>
            <w:pPr>
              <w:pStyle w:val="TableContents"/>
              <w:spacing w:before="0" w:after="283"/>
              <w:rPr/>
            </w:pPr>
            <w:r>
              <w:rPr/>
              <w:t> </w:t>
            </w:r>
          </w:p>
        </w:tc>
        <w:tc>
          <w:tcPr>
            <w:tcW w:w="292"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334" w:type="dxa"/>
            <w:tcBorders>
              <w:bottom w:val="single" w:sz="12" w:space="0" w:color="000000"/>
            </w:tcBorders>
            <w:shd w:fill="FFFF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w:t>
            </w:r>
          </w:p>
        </w:tc>
        <w:tc>
          <w:tcPr>
            <w:tcW w:w="81"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81"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982" w:type="dxa"/>
            <w:tcBorders>
              <w:bottom w:val="single" w:sz="12" w:space="0" w:color="000000"/>
            </w:tcBorders>
            <w:shd w:fill="FFFF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w:t>
            </w:r>
          </w:p>
        </w:tc>
        <w:tc>
          <w:tcPr>
            <w:tcW w:w="99"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139"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641" w:type="dxa"/>
            <w:tcBorders>
              <w:bottom w:val="single" w:sz="12" w:space="0" w:color="000000"/>
            </w:tcBorders>
            <w:shd w:fill="FFFF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w:t>
            </w:r>
          </w:p>
        </w:tc>
        <w:tc>
          <w:tcPr>
            <w:tcW w:w="99"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140"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77" w:type="dxa"/>
            <w:tcBorders>
              <w:bottom w:val="single" w:sz="12" w:space="0" w:color="000000"/>
            </w:tcBorders>
            <w:shd w:fill="FFFF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w:t>
            </w:r>
          </w:p>
        </w:tc>
        <w:tc>
          <w:tcPr>
            <w:tcW w:w="99"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140"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132" w:type="dxa"/>
            <w:tcBorders>
              <w:bottom w:val="single" w:sz="12" w:space="0" w:color="000000"/>
            </w:tcBorders>
            <w:shd w:fill="FFFF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(508,226</w:t>
            </w:r>
          </w:p>
        </w:tc>
        <w:tc>
          <w:tcPr>
            <w:tcW w:w="99" w:type="dxa"/>
            <w:tcBorders/>
            <w:shd w:fill="FFFFFF" w:val="clear"/>
            <w:vAlign w:val="bottom"/>
          </w:tcPr>
          <w:p>
            <w:pPr>
              <w:pStyle w:val="TableContents"/>
              <w:spacing w:before="0" w:after="283"/>
              <w:jc w:val="left"/>
              <w:rPr>
                <w:rFonts w:ascii="helvetica" w:hAnsi="helvetica"/>
                <w:sz w:val="20"/>
              </w:rPr>
            </w:pPr>
            <w:r>
              <w:rPr>
                <w:rFonts w:ascii="helvetica" w:hAnsi="helvetica"/>
                <w:sz w:val="20"/>
              </w:rPr>
              <w:t>)</w:t>
            </w:r>
          </w:p>
        </w:tc>
        <w:tc>
          <w:tcPr>
            <w:tcW w:w="81" w:type="dxa"/>
            <w:tcBorders/>
            <w:shd w:fill="FFFFFF" w:val="clear"/>
            <w:vAlign w:val="bottom"/>
          </w:tcPr>
          <w:p>
            <w:pPr>
              <w:pStyle w:val="TableContents"/>
              <w:spacing w:before="0" w:after="283"/>
              <w:rPr/>
            </w:pPr>
            <w:r>
              <w:rPr/>
              <w:t> </w:t>
            </w:r>
          </w:p>
        </w:tc>
        <w:tc>
          <w:tcPr>
            <w:tcW w:w="141"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45" w:type="dxa"/>
            <w:tcBorders>
              <w:bottom w:val="single" w:sz="12" w:space="0" w:color="000000"/>
            </w:tcBorders>
            <w:shd w:fill="FFFF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(508,226</w:t>
            </w:r>
          </w:p>
        </w:tc>
        <w:tc>
          <w:tcPr>
            <w:tcW w:w="123" w:type="dxa"/>
            <w:tcBorders/>
            <w:shd w:fill="FFFFFF" w:val="clear"/>
            <w:vAlign w:val="bottom"/>
          </w:tcPr>
          <w:p>
            <w:pPr>
              <w:pStyle w:val="TableContents"/>
              <w:spacing w:before="0" w:after="283"/>
              <w:jc w:val="left"/>
              <w:rPr>
                <w:rFonts w:ascii="helvetica" w:hAnsi="helvetica"/>
                <w:sz w:val="20"/>
              </w:rPr>
            </w:pPr>
            <w:r>
              <w:rPr>
                <w:rFonts w:ascii="helvetica" w:hAnsi="helvetica"/>
                <w:sz w:val="20"/>
              </w:rPr>
              <w:t>)</w:t>
            </w:r>
          </w:p>
        </w:tc>
      </w:tr>
      <w:tr>
        <w:trPr/>
        <w:tc>
          <w:tcPr>
            <w:tcW w:w="2070" w:type="dxa"/>
            <w:tcBorders/>
            <w:shd w:fill="CCEEFF" w:val="clear"/>
            <w:vAlign w:val="bottom"/>
          </w:tcPr>
          <w:p>
            <w:pPr>
              <w:pStyle w:val="TableContents"/>
              <w:spacing w:before="0" w:after="0"/>
              <w:ind w:left="0" w:right="0" w:hanging="0"/>
              <w:jc w:val="left"/>
              <w:rPr/>
            </w:pPr>
            <w:r>
              <w:rPr/>
              <w:t> </w:t>
            </w:r>
            <w:r>
              <w:rPr>
                <w:rFonts w:ascii="helvetica" w:hAnsi="helvetica"/>
                <w:sz w:val="20"/>
              </w:rPr>
              <w:t>Balance at December 31, 2004</w:t>
            </w:r>
          </w:p>
        </w:tc>
        <w:tc>
          <w:tcPr>
            <w:tcW w:w="81" w:type="dxa"/>
            <w:tcBorders/>
            <w:shd w:fill="CCEEFF" w:val="clear"/>
            <w:vAlign w:val="bottom"/>
          </w:tcPr>
          <w:p>
            <w:pPr>
              <w:pStyle w:val="TableContents"/>
              <w:spacing w:before="0" w:after="283"/>
              <w:rPr/>
            </w:pPr>
            <w:r>
              <w:rPr/>
              <w:t> </w:t>
            </w:r>
          </w:p>
        </w:tc>
        <w:tc>
          <w:tcPr>
            <w:tcW w:w="135" w:type="dxa"/>
            <w:tcBorders/>
            <w:shd w:fill="CCEEFF" w:val="clear"/>
            <w:vAlign w:val="bottom"/>
          </w:tcPr>
          <w:p>
            <w:pPr>
              <w:pStyle w:val="TableContents"/>
              <w:spacing w:before="0" w:after="283"/>
              <w:jc w:val="left"/>
              <w:rPr/>
            </w:pPr>
            <w:r>
              <w:rPr/>
              <w:t> </w:t>
            </w:r>
          </w:p>
        </w:tc>
        <w:tc>
          <w:tcPr>
            <w:tcW w:w="586"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w:t>
            </w:r>
          </w:p>
        </w:tc>
        <w:tc>
          <w:tcPr>
            <w:tcW w:w="92" w:type="dxa"/>
            <w:tcBorders/>
            <w:shd w:fill="CCEEFF" w:val="clear"/>
            <w:vAlign w:val="bottom"/>
          </w:tcPr>
          <w:p>
            <w:pPr>
              <w:pStyle w:val="TableContents"/>
              <w:spacing w:before="0" w:after="283"/>
              <w:jc w:val="left"/>
              <w:rPr/>
            </w:pPr>
            <w:r>
              <w:rPr/>
              <w:t> </w:t>
            </w:r>
          </w:p>
        </w:tc>
        <w:tc>
          <w:tcPr>
            <w:tcW w:w="92" w:type="dxa"/>
            <w:tcBorders/>
            <w:shd w:fill="CCEEFF" w:val="clear"/>
            <w:vAlign w:val="bottom"/>
          </w:tcPr>
          <w:p>
            <w:pPr>
              <w:pStyle w:val="TableContents"/>
              <w:spacing w:before="0" w:after="283"/>
              <w:rPr/>
            </w:pPr>
            <w:r>
              <w:rPr/>
              <w:t> </w:t>
            </w:r>
          </w:p>
        </w:tc>
        <w:tc>
          <w:tcPr>
            <w:tcW w:w="292" w:type="dxa"/>
            <w:tcBorders/>
            <w:shd w:fill="CCEEFF" w:val="clear"/>
            <w:vAlign w:val="bottom"/>
          </w:tcPr>
          <w:p>
            <w:pPr>
              <w:pStyle w:val="TableContents"/>
              <w:spacing w:before="0" w:after="283"/>
              <w:jc w:val="left"/>
              <w:rPr/>
            </w:pPr>
            <w:r>
              <w:rPr/>
              <w:t> </w:t>
            </w:r>
          </w:p>
        </w:tc>
        <w:tc>
          <w:tcPr>
            <w:tcW w:w="334"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w:t>
            </w:r>
          </w:p>
        </w:tc>
        <w:tc>
          <w:tcPr>
            <w:tcW w:w="81"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81" w:type="dxa"/>
            <w:tcBorders/>
            <w:shd w:fill="CCEEFF" w:val="clear"/>
            <w:vAlign w:val="bottom"/>
          </w:tcPr>
          <w:p>
            <w:pPr>
              <w:pStyle w:val="TableContents"/>
              <w:spacing w:before="0" w:after="283"/>
              <w:jc w:val="left"/>
              <w:rPr/>
            </w:pPr>
            <w:r>
              <w:rPr/>
              <w:t> </w:t>
            </w:r>
          </w:p>
        </w:tc>
        <w:tc>
          <w:tcPr>
            <w:tcW w:w="982"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117,188</w:t>
            </w:r>
          </w:p>
        </w:tc>
        <w:tc>
          <w:tcPr>
            <w:tcW w:w="99"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139" w:type="dxa"/>
            <w:tcBorders/>
            <w:shd w:fill="CCEEFF" w:val="clear"/>
            <w:vAlign w:val="bottom"/>
          </w:tcPr>
          <w:p>
            <w:pPr>
              <w:pStyle w:val="TableContents"/>
              <w:spacing w:before="0" w:after="283"/>
              <w:jc w:val="left"/>
              <w:rPr/>
            </w:pPr>
            <w:r>
              <w:rPr/>
              <w:t> </w:t>
            </w:r>
          </w:p>
        </w:tc>
        <w:tc>
          <w:tcPr>
            <w:tcW w:w="641"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117</w:t>
            </w:r>
          </w:p>
        </w:tc>
        <w:tc>
          <w:tcPr>
            <w:tcW w:w="99"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jc w:val="left"/>
              <w:rPr/>
            </w:pPr>
            <w:r>
              <w:rPr/>
              <w:t> </w:t>
            </w:r>
          </w:p>
        </w:tc>
        <w:tc>
          <w:tcPr>
            <w:tcW w:w="1077"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1,505,883</w:t>
            </w:r>
          </w:p>
        </w:tc>
        <w:tc>
          <w:tcPr>
            <w:tcW w:w="99"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jc w:val="left"/>
              <w:rPr/>
            </w:pPr>
            <w:r>
              <w:rPr/>
              <w:t> </w:t>
            </w:r>
          </w:p>
        </w:tc>
        <w:tc>
          <w:tcPr>
            <w:tcW w:w="1132"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(1,669,151</w:t>
            </w:r>
          </w:p>
        </w:tc>
        <w:tc>
          <w:tcPr>
            <w:tcW w:w="99" w:type="dxa"/>
            <w:tcBorders/>
            <w:shd w:fill="CCEEFF" w:val="clear"/>
            <w:vAlign w:val="bottom"/>
          </w:tcPr>
          <w:p>
            <w:pPr>
              <w:pStyle w:val="TableContents"/>
              <w:spacing w:before="0" w:after="283"/>
              <w:jc w:val="left"/>
              <w:rPr>
                <w:rFonts w:ascii="helvetica" w:hAnsi="helvetica"/>
                <w:sz w:val="20"/>
              </w:rPr>
            </w:pPr>
            <w:r>
              <w:rPr>
                <w:rFonts w:ascii="helvetica" w:hAnsi="helvetica"/>
                <w:sz w:val="20"/>
              </w:rPr>
              <w:t>)</w:t>
            </w:r>
          </w:p>
        </w:tc>
        <w:tc>
          <w:tcPr>
            <w:tcW w:w="81" w:type="dxa"/>
            <w:tcBorders/>
            <w:shd w:fill="CCEEFF" w:val="clear"/>
            <w:vAlign w:val="bottom"/>
          </w:tcPr>
          <w:p>
            <w:pPr>
              <w:pStyle w:val="TableContents"/>
              <w:spacing w:before="0" w:after="283"/>
              <w:rPr/>
            </w:pPr>
            <w:r>
              <w:rPr/>
              <w:t> </w:t>
            </w:r>
          </w:p>
        </w:tc>
        <w:tc>
          <w:tcPr>
            <w:tcW w:w="141" w:type="dxa"/>
            <w:tcBorders/>
            <w:shd w:fill="CCEEFF" w:val="clear"/>
            <w:vAlign w:val="bottom"/>
          </w:tcPr>
          <w:p>
            <w:pPr>
              <w:pStyle w:val="TableContents"/>
              <w:spacing w:before="0" w:after="283"/>
              <w:jc w:val="left"/>
              <w:rPr/>
            </w:pPr>
            <w:r>
              <w:rPr/>
              <w:t> </w:t>
            </w:r>
          </w:p>
        </w:tc>
        <w:tc>
          <w:tcPr>
            <w:tcW w:w="1045"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(163,151</w:t>
            </w:r>
          </w:p>
        </w:tc>
        <w:tc>
          <w:tcPr>
            <w:tcW w:w="123" w:type="dxa"/>
            <w:tcBorders/>
            <w:shd w:fill="CCEEFF" w:val="clear"/>
            <w:vAlign w:val="bottom"/>
          </w:tcPr>
          <w:p>
            <w:pPr>
              <w:pStyle w:val="TableContents"/>
              <w:spacing w:before="0" w:after="283"/>
              <w:jc w:val="left"/>
              <w:rPr>
                <w:rFonts w:ascii="helvetica" w:hAnsi="helvetica"/>
                <w:sz w:val="20"/>
              </w:rPr>
            </w:pPr>
            <w:r>
              <w:rPr>
                <w:rFonts w:ascii="helvetica" w:hAnsi="helvetica"/>
                <w:sz w:val="20"/>
              </w:rPr>
              <w:t>)</w:t>
            </w:r>
          </w:p>
        </w:tc>
      </w:tr>
      <w:tr>
        <w:trPr/>
        <w:tc>
          <w:tcPr>
            <w:tcW w:w="2070" w:type="dxa"/>
            <w:tcBorders/>
            <w:shd w:fill="FFFFFF" w:val="clear"/>
            <w:vAlign w:val="bottom"/>
          </w:tcPr>
          <w:p>
            <w:pPr>
              <w:pStyle w:val="TableContents"/>
              <w:spacing w:before="0" w:after="283"/>
              <w:rPr/>
            </w:pPr>
            <w:r>
              <w:rPr/>
              <w:t xml:space="preserve">  </w:t>
            </w:r>
          </w:p>
        </w:tc>
        <w:tc>
          <w:tcPr>
            <w:tcW w:w="81" w:type="dxa"/>
            <w:tcBorders/>
            <w:shd w:fill="FFFFFF" w:val="clear"/>
            <w:vAlign w:val="bottom"/>
          </w:tcPr>
          <w:p>
            <w:pPr>
              <w:pStyle w:val="TableContents"/>
              <w:spacing w:before="0" w:after="283"/>
              <w:rPr/>
            </w:pPr>
            <w:r>
              <w:rPr/>
              <w:t> </w:t>
            </w:r>
          </w:p>
        </w:tc>
        <w:tc>
          <w:tcPr>
            <w:tcW w:w="135" w:type="dxa"/>
            <w:tcBorders/>
            <w:shd w:fill="FFFFFF" w:val="clear"/>
            <w:vAlign w:val="bottom"/>
          </w:tcPr>
          <w:p>
            <w:pPr>
              <w:pStyle w:val="TableContents"/>
              <w:spacing w:before="0" w:after="283"/>
              <w:jc w:val="left"/>
              <w:rPr/>
            </w:pPr>
            <w:r>
              <w:rPr/>
              <w:t> </w:t>
            </w:r>
          </w:p>
        </w:tc>
        <w:tc>
          <w:tcPr>
            <w:tcW w:w="586" w:type="dxa"/>
            <w:tcBorders/>
            <w:shd w:fill="FFFFFF" w:val="clear"/>
            <w:vAlign w:val="bottom"/>
          </w:tcPr>
          <w:p>
            <w:pPr>
              <w:pStyle w:val="TableContents"/>
              <w:spacing w:before="0" w:after="283"/>
              <w:jc w:val="right"/>
              <w:rPr/>
            </w:pPr>
            <w:r>
              <w:rPr/>
              <w:t> </w:t>
            </w:r>
          </w:p>
        </w:tc>
        <w:tc>
          <w:tcPr>
            <w:tcW w:w="92" w:type="dxa"/>
            <w:tcBorders/>
            <w:shd w:fill="FFFFFF" w:val="clear"/>
            <w:vAlign w:val="bottom"/>
          </w:tcPr>
          <w:p>
            <w:pPr>
              <w:pStyle w:val="TableContents"/>
              <w:spacing w:before="0" w:after="283"/>
              <w:jc w:val="left"/>
              <w:rPr/>
            </w:pPr>
            <w:r>
              <w:rPr/>
              <w:t> </w:t>
            </w:r>
          </w:p>
        </w:tc>
        <w:tc>
          <w:tcPr>
            <w:tcW w:w="92" w:type="dxa"/>
            <w:tcBorders/>
            <w:shd w:fill="FFFFFF" w:val="clear"/>
            <w:vAlign w:val="bottom"/>
          </w:tcPr>
          <w:p>
            <w:pPr>
              <w:pStyle w:val="TableContents"/>
              <w:spacing w:before="0" w:after="283"/>
              <w:rPr/>
            </w:pPr>
            <w:r>
              <w:rPr/>
              <w:t> </w:t>
            </w:r>
          </w:p>
        </w:tc>
        <w:tc>
          <w:tcPr>
            <w:tcW w:w="292" w:type="dxa"/>
            <w:tcBorders/>
            <w:shd w:fill="FFFFFF" w:val="clear"/>
            <w:vAlign w:val="bottom"/>
          </w:tcPr>
          <w:p>
            <w:pPr>
              <w:pStyle w:val="TableContents"/>
              <w:spacing w:before="0" w:after="283"/>
              <w:jc w:val="left"/>
              <w:rPr/>
            </w:pPr>
            <w:r>
              <w:rPr/>
              <w:t> </w:t>
            </w:r>
          </w:p>
        </w:tc>
        <w:tc>
          <w:tcPr>
            <w:tcW w:w="334" w:type="dxa"/>
            <w:tcBorders/>
            <w:shd w:fill="FFFFFF" w:val="clear"/>
            <w:vAlign w:val="bottom"/>
          </w:tcPr>
          <w:p>
            <w:pPr>
              <w:pStyle w:val="TableContents"/>
              <w:spacing w:before="0" w:after="283"/>
              <w:jc w:val="right"/>
              <w:rPr/>
            </w:pPr>
            <w:r>
              <w:rPr/>
              <w:t> </w:t>
            </w:r>
          </w:p>
        </w:tc>
        <w:tc>
          <w:tcPr>
            <w:tcW w:w="81"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81" w:type="dxa"/>
            <w:tcBorders/>
            <w:shd w:fill="FFFFFF" w:val="clear"/>
            <w:vAlign w:val="bottom"/>
          </w:tcPr>
          <w:p>
            <w:pPr>
              <w:pStyle w:val="TableContents"/>
              <w:spacing w:before="0" w:after="283"/>
              <w:jc w:val="left"/>
              <w:rPr/>
            </w:pPr>
            <w:r>
              <w:rPr/>
              <w:t> </w:t>
            </w:r>
          </w:p>
        </w:tc>
        <w:tc>
          <w:tcPr>
            <w:tcW w:w="982" w:type="dxa"/>
            <w:tcBorders/>
            <w:shd w:fill="FFFFFF" w:val="clear"/>
            <w:vAlign w:val="bottom"/>
          </w:tcPr>
          <w:p>
            <w:pPr>
              <w:pStyle w:val="TableContents"/>
              <w:spacing w:before="0" w:after="283"/>
              <w:jc w:val="right"/>
              <w:rPr/>
            </w:pPr>
            <w:r>
              <w:rPr/>
              <w:t> </w:t>
            </w:r>
          </w:p>
        </w:tc>
        <w:tc>
          <w:tcPr>
            <w:tcW w:w="99"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139" w:type="dxa"/>
            <w:tcBorders/>
            <w:shd w:fill="FFFFFF" w:val="clear"/>
            <w:vAlign w:val="bottom"/>
          </w:tcPr>
          <w:p>
            <w:pPr>
              <w:pStyle w:val="TableContents"/>
              <w:spacing w:before="0" w:after="283"/>
              <w:jc w:val="left"/>
              <w:rPr/>
            </w:pPr>
            <w:r>
              <w:rPr/>
              <w:t> </w:t>
            </w:r>
          </w:p>
        </w:tc>
        <w:tc>
          <w:tcPr>
            <w:tcW w:w="641" w:type="dxa"/>
            <w:tcBorders/>
            <w:shd w:fill="FFFFFF" w:val="clear"/>
            <w:vAlign w:val="bottom"/>
          </w:tcPr>
          <w:p>
            <w:pPr>
              <w:pStyle w:val="TableContents"/>
              <w:spacing w:before="0" w:after="283"/>
              <w:jc w:val="right"/>
              <w:rPr/>
            </w:pPr>
            <w:r>
              <w:rPr/>
              <w:t> </w:t>
            </w:r>
          </w:p>
        </w:tc>
        <w:tc>
          <w:tcPr>
            <w:tcW w:w="99"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283"/>
              <w:jc w:val="left"/>
              <w:rPr/>
            </w:pPr>
            <w:r>
              <w:rPr/>
              <w:t> </w:t>
            </w:r>
          </w:p>
        </w:tc>
        <w:tc>
          <w:tcPr>
            <w:tcW w:w="1077" w:type="dxa"/>
            <w:tcBorders/>
            <w:shd w:fill="FFFFFF" w:val="clear"/>
            <w:vAlign w:val="bottom"/>
          </w:tcPr>
          <w:p>
            <w:pPr>
              <w:pStyle w:val="TableContents"/>
              <w:spacing w:before="0" w:after="283"/>
              <w:jc w:val="right"/>
              <w:rPr/>
            </w:pPr>
            <w:r>
              <w:rPr/>
              <w:t> </w:t>
            </w:r>
          </w:p>
        </w:tc>
        <w:tc>
          <w:tcPr>
            <w:tcW w:w="99"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283"/>
              <w:jc w:val="left"/>
              <w:rPr/>
            </w:pPr>
            <w:r>
              <w:rPr/>
              <w:t> </w:t>
            </w:r>
          </w:p>
        </w:tc>
        <w:tc>
          <w:tcPr>
            <w:tcW w:w="1132" w:type="dxa"/>
            <w:tcBorders/>
            <w:shd w:fill="FFFFFF" w:val="clear"/>
            <w:vAlign w:val="bottom"/>
          </w:tcPr>
          <w:p>
            <w:pPr>
              <w:pStyle w:val="TableContents"/>
              <w:spacing w:before="0" w:after="283"/>
              <w:jc w:val="right"/>
              <w:rPr/>
            </w:pPr>
            <w:r>
              <w:rPr/>
              <w:t> </w:t>
            </w:r>
          </w:p>
        </w:tc>
        <w:tc>
          <w:tcPr>
            <w:tcW w:w="99"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141" w:type="dxa"/>
            <w:tcBorders/>
            <w:shd w:fill="FFFFFF" w:val="clear"/>
            <w:vAlign w:val="bottom"/>
          </w:tcPr>
          <w:p>
            <w:pPr>
              <w:pStyle w:val="TableContents"/>
              <w:spacing w:before="0" w:after="283"/>
              <w:jc w:val="left"/>
              <w:rPr/>
            </w:pPr>
            <w:r>
              <w:rPr/>
              <w:t> </w:t>
            </w:r>
          </w:p>
        </w:tc>
        <w:tc>
          <w:tcPr>
            <w:tcW w:w="1045" w:type="dxa"/>
            <w:tcBorders/>
            <w:shd w:fill="FFFFFF" w:val="clear"/>
            <w:vAlign w:val="bottom"/>
          </w:tcPr>
          <w:p>
            <w:pPr>
              <w:pStyle w:val="TableContents"/>
              <w:spacing w:before="0" w:after="283"/>
              <w:jc w:val="right"/>
              <w:rPr/>
            </w:pPr>
            <w:r>
              <w:rPr/>
              <w:t> </w:t>
            </w:r>
          </w:p>
        </w:tc>
        <w:tc>
          <w:tcPr>
            <w:tcW w:w="123" w:type="dxa"/>
            <w:tcBorders/>
            <w:shd w:fill="FFFFFF" w:val="clear"/>
            <w:vAlign w:val="bottom"/>
          </w:tcPr>
          <w:p>
            <w:pPr>
              <w:pStyle w:val="TableContents"/>
              <w:spacing w:before="0" w:after="283"/>
              <w:jc w:val="left"/>
              <w:rPr/>
            </w:pPr>
            <w:r>
              <w:rPr/>
              <w:t> </w:t>
            </w:r>
          </w:p>
        </w:tc>
      </w:tr>
      <w:tr>
        <w:trPr/>
        <w:tc>
          <w:tcPr>
            <w:tcW w:w="2070" w:type="dxa"/>
            <w:tcBorders/>
            <w:shd w:fill="CCEEFF" w:val="clear"/>
            <w:vAlign w:val="bottom"/>
          </w:tcPr>
          <w:p>
            <w:pPr>
              <w:pStyle w:val="TableContents"/>
              <w:spacing w:before="0" w:after="0"/>
              <w:ind w:left="0" w:right="0" w:hanging="0"/>
              <w:jc w:val="left"/>
              <w:rPr/>
            </w:pPr>
            <w:r>
              <w:rPr/>
              <w:t> </w:t>
            </w:r>
            <w:r>
              <w:rPr>
                <w:rFonts w:ascii="helvetica" w:hAnsi="helvetica"/>
                <w:sz w:val="20"/>
              </w:rPr>
              <w:t>Capital contributions</w:t>
            </w:r>
          </w:p>
        </w:tc>
        <w:tc>
          <w:tcPr>
            <w:tcW w:w="81" w:type="dxa"/>
            <w:tcBorders/>
            <w:shd w:fill="CCEEFF" w:val="clear"/>
            <w:vAlign w:val="bottom"/>
          </w:tcPr>
          <w:p>
            <w:pPr>
              <w:pStyle w:val="TableContents"/>
              <w:spacing w:before="0" w:after="283"/>
              <w:rPr/>
            </w:pPr>
            <w:r>
              <w:rPr/>
              <w:t> </w:t>
            </w:r>
          </w:p>
        </w:tc>
        <w:tc>
          <w:tcPr>
            <w:tcW w:w="135" w:type="dxa"/>
            <w:tcBorders/>
            <w:shd w:fill="CCEEFF" w:val="clear"/>
            <w:vAlign w:val="bottom"/>
          </w:tcPr>
          <w:p>
            <w:pPr>
              <w:pStyle w:val="TableContents"/>
              <w:spacing w:before="0" w:after="283"/>
              <w:jc w:val="left"/>
              <w:rPr/>
            </w:pPr>
            <w:r>
              <w:rPr/>
              <w:t> </w:t>
            </w:r>
          </w:p>
        </w:tc>
        <w:tc>
          <w:tcPr>
            <w:tcW w:w="586"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w:t>
            </w:r>
          </w:p>
        </w:tc>
        <w:tc>
          <w:tcPr>
            <w:tcW w:w="92" w:type="dxa"/>
            <w:tcBorders/>
            <w:shd w:fill="CCEEFF" w:val="clear"/>
            <w:vAlign w:val="bottom"/>
          </w:tcPr>
          <w:p>
            <w:pPr>
              <w:pStyle w:val="TableContents"/>
              <w:spacing w:before="0" w:after="283"/>
              <w:jc w:val="left"/>
              <w:rPr/>
            </w:pPr>
            <w:r>
              <w:rPr/>
              <w:t> </w:t>
            </w:r>
          </w:p>
        </w:tc>
        <w:tc>
          <w:tcPr>
            <w:tcW w:w="92" w:type="dxa"/>
            <w:tcBorders/>
            <w:shd w:fill="CCEEFF" w:val="clear"/>
            <w:vAlign w:val="bottom"/>
          </w:tcPr>
          <w:p>
            <w:pPr>
              <w:pStyle w:val="TableContents"/>
              <w:spacing w:before="0" w:after="283"/>
              <w:rPr/>
            </w:pPr>
            <w:r>
              <w:rPr/>
              <w:t> </w:t>
            </w:r>
          </w:p>
        </w:tc>
        <w:tc>
          <w:tcPr>
            <w:tcW w:w="292" w:type="dxa"/>
            <w:tcBorders/>
            <w:shd w:fill="CCEEFF" w:val="clear"/>
            <w:vAlign w:val="bottom"/>
          </w:tcPr>
          <w:p>
            <w:pPr>
              <w:pStyle w:val="TableContents"/>
              <w:spacing w:before="0" w:after="283"/>
              <w:jc w:val="left"/>
              <w:rPr/>
            </w:pPr>
            <w:r>
              <w:rPr/>
              <w:t> </w:t>
            </w:r>
          </w:p>
        </w:tc>
        <w:tc>
          <w:tcPr>
            <w:tcW w:w="334"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w:t>
            </w:r>
          </w:p>
        </w:tc>
        <w:tc>
          <w:tcPr>
            <w:tcW w:w="81"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81" w:type="dxa"/>
            <w:tcBorders/>
            <w:shd w:fill="CCEEFF" w:val="clear"/>
            <w:vAlign w:val="bottom"/>
          </w:tcPr>
          <w:p>
            <w:pPr>
              <w:pStyle w:val="TableContents"/>
              <w:spacing w:before="0" w:after="283"/>
              <w:jc w:val="left"/>
              <w:rPr/>
            </w:pPr>
            <w:r>
              <w:rPr/>
              <w:t> </w:t>
            </w:r>
          </w:p>
        </w:tc>
        <w:tc>
          <w:tcPr>
            <w:tcW w:w="982"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w:t>
            </w:r>
          </w:p>
        </w:tc>
        <w:tc>
          <w:tcPr>
            <w:tcW w:w="99"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139" w:type="dxa"/>
            <w:tcBorders/>
            <w:shd w:fill="CCEEFF" w:val="clear"/>
            <w:vAlign w:val="bottom"/>
          </w:tcPr>
          <w:p>
            <w:pPr>
              <w:pStyle w:val="TableContents"/>
              <w:spacing w:before="0" w:after="283"/>
              <w:jc w:val="left"/>
              <w:rPr/>
            </w:pPr>
            <w:r>
              <w:rPr/>
              <w:t> </w:t>
            </w:r>
          </w:p>
        </w:tc>
        <w:tc>
          <w:tcPr>
            <w:tcW w:w="641"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w:t>
            </w:r>
          </w:p>
        </w:tc>
        <w:tc>
          <w:tcPr>
            <w:tcW w:w="99"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jc w:val="left"/>
              <w:rPr/>
            </w:pPr>
            <w:r>
              <w:rPr/>
              <w:t> </w:t>
            </w:r>
          </w:p>
        </w:tc>
        <w:tc>
          <w:tcPr>
            <w:tcW w:w="1077"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14,200</w:t>
            </w:r>
          </w:p>
        </w:tc>
        <w:tc>
          <w:tcPr>
            <w:tcW w:w="99"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jc w:val="left"/>
              <w:rPr/>
            </w:pPr>
            <w:r>
              <w:rPr/>
              <w:t> </w:t>
            </w:r>
          </w:p>
        </w:tc>
        <w:tc>
          <w:tcPr>
            <w:tcW w:w="1132"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w:t>
            </w:r>
          </w:p>
        </w:tc>
        <w:tc>
          <w:tcPr>
            <w:tcW w:w="99"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141" w:type="dxa"/>
            <w:tcBorders/>
            <w:shd w:fill="CCEEFF" w:val="clear"/>
            <w:vAlign w:val="bottom"/>
          </w:tcPr>
          <w:p>
            <w:pPr>
              <w:pStyle w:val="TableContents"/>
              <w:spacing w:before="0" w:after="283"/>
              <w:jc w:val="left"/>
              <w:rPr/>
            </w:pPr>
            <w:r>
              <w:rPr/>
              <w:t> </w:t>
            </w:r>
          </w:p>
        </w:tc>
        <w:tc>
          <w:tcPr>
            <w:tcW w:w="1045"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14,200</w:t>
            </w:r>
          </w:p>
        </w:tc>
        <w:tc>
          <w:tcPr>
            <w:tcW w:w="123" w:type="dxa"/>
            <w:tcBorders/>
            <w:shd w:fill="CCEEFF" w:val="clear"/>
            <w:vAlign w:val="bottom"/>
          </w:tcPr>
          <w:p>
            <w:pPr>
              <w:pStyle w:val="TableContents"/>
              <w:spacing w:before="0" w:after="283"/>
              <w:jc w:val="left"/>
              <w:rPr/>
            </w:pPr>
            <w:r>
              <w:rPr/>
              <w:t> </w:t>
            </w:r>
          </w:p>
        </w:tc>
      </w:tr>
      <w:tr>
        <w:trPr/>
        <w:tc>
          <w:tcPr>
            <w:tcW w:w="2070" w:type="dxa"/>
            <w:tcBorders/>
            <w:shd w:fill="FFFFFF" w:val="clear"/>
            <w:vAlign w:val="bottom"/>
          </w:tcPr>
          <w:p>
            <w:pPr>
              <w:pStyle w:val="TableContents"/>
              <w:spacing w:before="0" w:after="0"/>
              <w:ind w:left="0" w:right="0" w:hanging="0"/>
              <w:jc w:val="left"/>
              <w:rPr/>
            </w:pPr>
            <w:r>
              <w:rPr/>
              <w:t> </w:t>
            </w:r>
            <w:r>
              <w:rPr>
                <w:rFonts w:ascii="helvetica" w:hAnsi="helvetica"/>
                <w:sz w:val="20"/>
              </w:rPr>
              <w:t>Issuance of common stock at $0.0512 per share in</w:t>
            </w:r>
          </w:p>
        </w:tc>
        <w:tc>
          <w:tcPr>
            <w:tcW w:w="81" w:type="dxa"/>
            <w:tcBorders/>
            <w:shd w:fill="FFFFFF" w:val="clear"/>
            <w:vAlign w:val="bottom"/>
          </w:tcPr>
          <w:p>
            <w:pPr>
              <w:pStyle w:val="TableContents"/>
              <w:spacing w:before="0" w:after="283"/>
              <w:rPr/>
            </w:pPr>
            <w:r>
              <w:rPr/>
              <w:t> </w:t>
            </w:r>
          </w:p>
        </w:tc>
        <w:tc>
          <w:tcPr>
            <w:tcW w:w="135" w:type="dxa"/>
            <w:tcBorders/>
            <w:shd w:fill="FFFFFF" w:val="clear"/>
            <w:vAlign w:val="bottom"/>
          </w:tcPr>
          <w:p>
            <w:pPr>
              <w:pStyle w:val="TableContents"/>
              <w:spacing w:before="0" w:after="283"/>
              <w:jc w:val="left"/>
              <w:rPr/>
            </w:pPr>
            <w:r>
              <w:rPr/>
              <w:t> </w:t>
            </w:r>
          </w:p>
        </w:tc>
        <w:tc>
          <w:tcPr>
            <w:tcW w:w="586" w:type="dxa"/>
            <w:tcBorders/>
            <w:shd w:fill="FFFFFF" w:val="clear"/>
            <w:vAlign w:val="bottom"/>
          </w:tcPr>
          <w:p>
            <w:pPr>
              <w:pStyle w:val="TableContents"/>
              <w:spacing w:before="0" w:after="283"/>
              <w:jc w:val="right"/>
              <w:rPr/>
            </w:pPr>
            <w:r>
              <w:rPr/>
              <w:t> </w:t>
            </w:r>
          </w:p>
        </w:tc>
        <w:tc>
          <w:tcPr>
            <w:tcW w:w="92" w:type="dxa"/>
            <w:tcBorders/>
            <w:shd w:fill="FFFFFF" w:val="clear"/>
            <w:vAlign w:val="bottom"/>
          </w:tcPr>
          <w:p>
            <w:pPr>
              <w:pStyle w:val="TableContents"/>
              <w:spacing w:before="0" w:after="283"/>
              <w:jc w:val="left"/>
              <w:rPr/>
            </w:pPr>
            <w:r>
              <w:rPr/>
              <w:t> </w:t>
            </w:r>
          </w:p>
        </w:tc>
        <w:tc>
          <w:tcPr>
            <w:tcW w:w="92" w:type="dxa"/>
            <w:tcBorders/>
            <w:shd w:fill="FFFFFF" w:val="clear"/>
            <w:vAlign w:val="bottom"/>
          </w:tcPr>
          <w:p>
            <w:pPr>
              <w:pStyle w:val="TableContents"/>
              <w:spacing w:before="0" w:after="283"/>
              <w:rPr/>
            </w:pPr>
            <w:r>
              <w:rPr/>
              <w:t> </w:t>
            </w:r>
          </w:p>
        </w:tc>
        <w:tc>
          <w:tcPr>
            <w:tcW w:w="292" w:type="dxa"/>
            <w:tcBorders/>
            <w:shd w:fill="FFFFFF" w:val="clear"/>
            <w:vAlign w:val="bottom"/>
          </w:tcPr>
          <w:p>
            <w:pPr>
              <w:pStyle w:val="TableContents"/>
              <w:spacing w:before="0" w:after="283"/>
              <w:jc w:val="left"/>
              <w:rPr/>
            </w:pPr>
            <w:r>
              <w:rPr/>
              <w:t> </w:t>
            </w:r>
          </w:p>
        </w:tc>
        <w:tc>
          <w:tcPr>
            <w:tcW w:w="334" w:type="dxa"/>
            <w:tcBorders/>
            <w:shd w:fill="FFFFFF" w:val="clear"/>
            <w:vAlign w:val="bottom"/>
          </w:tcPr>
          <w:p>
            <w:pPr>
              <w:pStyle w:val="TableContents"/>
              <w:spacing w:before="0" w:after="283"/>
              <w:jc w:val="right"/>
              <w:rPr/>
            </w:pPr>
            <w:r>
              <w:rPr/>
              <w:t> </w:t>
            </w:r>
          </w:p>
        </w:tc>
        <w:tc>
          <w:tcPr>
            <w:tcW w:w="81"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81" w:type="dxa"/>
            <w:tcBorders/>
            <w:shd w:fill="FFFFFF" w:val="clear"/>
            <w:vAlign w:val="bottom"/>
          </w:tcPr>
          <w:p>
            <w:pPr>
              <w:pStyle w:val="TableContents"/>
              <w:spacing w:before="0" w:after="283"/>
              <w:jc w:val="left"/>
              <w:rPr/>
            </w:pPr>
            <w:r>
              <w:rPr/>
              <w:t> </w:t>
            </w:r>
          </w:p>
        </w:tc>
        <w:tc>
          <w:tcPr>
            <w:tcW w:w="982" w:type="dxa"/>
            <w:tcBorders/>
            <w:shd w:fill="FFFFFF" w:val="clear"/>
            <w:vAlign w:val="bottom"/>
          </w:tcPr>
          <w:p>
            <w:pPr>
              <w:pStyle w:val="TableContents"/>
              <w:spacing w:before="0" w:after="283"/>
              <w:jc w:val="right"/>
              <w:rPr/>
            </w:pPr>
            <w:r>
              <w:rPr/>
              <w:t> </w:t>
            </w:r>
          </w:p>
        </w:tc>
        <w:tc>
          <w:tcPr>
            <w:tcW w:w="99"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139" w:type="dxa"/>
            <w:tcBorders/>
            <w:shd w:fill="FFFFFF" w:val="clear"/>
            <w:vAlign w:val="bottom"/>
          </w:tcPr>
          <w:p>
            <w:pPr>
              <w:pStyle w:val="TableContents"/>
              <w:spacing w:before="0" w:after="283"/>
              <w:jc w:val="left"/>
              <w:rPr/>
            </w:pPr>
            <w:r>
              <w:rPr/>
              <w:t> </w:t>
            </w:r>
          </w:p>
        </w:tc>
        <w:tc>
          <w:tcPr>
            <w:tcW w:w="641" w:type="dxa"/>
            <w:tcBorders/>
            <w:shd w:fill="FFFFFF" w:val="clear"/>
            <w:vAlign w:val="bottom"/>
          </w:tcPr>
          <w:p>
            <w:pPr>
              <w:pStyle w:val="TableContents"/>
              <w:spacing w:before="0" w:after="283"/>
              <w:jc w:val="right"/>
              <w:rPr/>
            </w:pPr>
            <w:r>
              <w:rPr/>
              <w:t> </w:t>
            </w:r>
          </w:p>
        </w:tc>
        <w:tc>
          <w:tcPr>
            <w:tcW w:w="99"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283"/>
              <w:jc w:val="left"/>
              <w:rPr/>
            </w:pPr>
            <w:r>
              <w:rPr/>
              <w:t> </w:t>
            </w:r>
          </w:p>
        </w:tc>
        <w:tc>
          <w:tcPr>
            <w:tcW w:w="1077" w:type="dxa"/>
            <w:tcBorders/>
            <w:shd w:fill="FFFFFF" w:val="clear"/>
            <w:vAlign w:val="bottom"/>
          </w:tcPr>
          <w:p>
            <w:pPr>
              <w:pStyle w:val="TableContents"/>
              <w:spacing w:before="0" w:after="283"/>
              <w:jc w:val="right"/>
              <w:rPr/>
            </w:pPr>
            <w:r>
              <w:rPr/>
              <w:t> </w:t>
            </w:r>
          </w:p>
        </w:tc>
        <w:tc>
          <w:tcPr>
            <w:tcW w:w="99"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283"/>
              <w:jc w:val="left"/>
              <w:rPr/>
            </w:pPr>
            <w:r>
              <w:rPr/>
              <w:t> </w:t>
            </w:r>
          </w:p>
        </w:tc>
        <w:tc>
          <w:tcPr>
            <w:tcW w:w="1132" w:type="dxa"/>
            <w:tcBorders/>
            <w:shd w:fill="FFFFFF" w:val="clear"/>
            <w:vAlign w:val="bottom"/>
          </w:tcPr>
          <w:p>
            <w:pPr>
              <w:pStyle w:val="TableContents"/>
              <w:spacing w:before="0" w:after="283"/>
              <w:jc w:val="right"/>
              <w:rPr/>
            </w:pPr>
            <w:r>
              <w:rPr/>
              <w:t> </w:t>
            </w:r>
          </w:p>
        </w:tc>
        <w:tc>
          <w:tcPr>
            <w:tcW w:w="99"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141" w:type="dxa"/>
            <w:tcBorders/>
            <w:shd w:fill="FFFFFF" w:val="clear"/>
            <w:vAlign w:val="bottom"/>
          </w:tcPr>
          <w:p>
            <w:pPr>
              <w:pStyle w:val="TableContents"/>
              <w:spacing w:before="0" w:after="283"/>
              <w:jc w:val="left"/>
              <w:rPr/>
            </w:pPr>
            <w:r>
              <w:rPr/>
              <w:t> </w:t>
            </w:r>
          </w:p>
        </w:tc>
        <w:tc>
          <w:tcPr>
            <w:tcW w:w="1045" w:type="dxa"/>
            <w:tcBorders/>
            <w:shd w:fill="FFFFFF" w:val="clear"/>
            <w:vAlign w:val="bottom"/>
          </w:tcPr>
          <w:p>
            <w:pPr>
              <w:pStyle w:val="TableContents"/>
              <w:spacing w:before="0" w:after="283"/>
              <w:jc w:val="right"/>
              <w:rPr/>
            </w:pPr>
            <w:r>
              <w:rPr/>
              <w:t> </w:t>
            </w:r>
          </w:p>
        </w:tc>
        <w:tc>
          <w:tcPr>
            <w:tcW w:w="123" w:type="dxa"/>
            <w:tcBorders/>
            <w:shd w:fill="FFFFFF" w:val="clear"/>
            <w:vAlign w:val="bottom"/>
          </w:tcPr>
          <w:p>
            <w:pPr>
              <w:pStyle w:val="TableContents"/>
              <w:spacing w:before="0" w:after="283"/>
              <w:jc w:val="left"/>
              <w:rPr/>
            </w:pPr>
            <w:r>
              <w:rPr/>
              <w:t> </w:t>
            </w:r>
          </w:p>
        </w:tc>
      </w:tr>
      <w:tr>
        <w:trPr/>
        <w:tc>
          <w:tcPr>
            <w:tcW w:w="2070" w:type="dxa"/>
            <w:tcBorders/>
            <w:shd w:fill="CCEEFF" w:val="clear"/>
            <w:vAlign w:val="bottom"/>
          </w:tcPr>
          <w:p>
            <w:pPr>
              <w:pStyle w:val="TableContents"/>
              <w:spacing w:before="0" w:after="0"/>
              <w:ind w:left="0" w:right="0" w:hanging="0"/>
              <w:jc w:val="left"/>
              <w:rPr/>
            </w:pPr>
            <w:r>
              <w:rPr/>
              <w:t>   </w:t>
            </w:r>
            <w:r>
              <w:rPr>
                <w:rFonts w:ascii="helvetica" w:hAnsi="helvetica"/>
                <w:sz w:val="20"/>
              </w:rPr>
              <w:t>August 2005</w:t>
            </w:r>
          </w:p>
        </w:tc>
        <w:tc>
          <w:tcPr>
            <w:tcW w:w="81" w:type="dxa"/>
            <w:tcBorders/>
            <w:shd w:fill="CCEEFF" w:val="clear"/>
            <w:vAlign w:val="bottom"/>
          </w:tcPr>
          <w:p>
            <w:pPr>
              <w:pStyle w:val="TableContents"/>
              <w:spacing w:before="0" w:after="283"/>
              <w:rPr/>
            </w:pPr>
            <w:r>
              <w:rPr/>
              <w:t> </w:t>
            </w:r>
          </w:p>
        </w:tc>
        <w:tc>
          <w:tcPr>
            <w:tcW w:w="135" w:type="dxa"/>
            <w:tcBorders/>
            <w:shd w:fill="CCEEFF" w:val="clear"/>
            <w:vAlign w:val="bottom"/>
          </w:tcPr>
          <w:p>
            <w:pPr>
              <w:pStyle w:val="TableContents"/>
              <w:spacing w:before="0" w:after="283"/>
              <w:jc w:val="left"/>
              <w:rPr/>
            </w:pPr>
            <w:r>
              <w:rPr/>
              <w:t> </w:t>
            </w:r>
          </w:p>
        </w:tc>
        <w:tc>
          <w:tcPr>
            <w:tcW w:w="586"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w:t>
            </w:r>
          </w:p>
        </w:tc>
        <w:tc>
          <w:tcPr>
            <w:tcW w:w="92" w:type="dxa"/>
            <w:tcBorders/>
            <w:shd w:fill="CCEEFF" w:val="clear"/>
            <w:vAlign w:val="bottom"/>
          </w:tcPr>
          <w:p>
            <w:pPr>
              <w:pStyle w:val="TableContents"/>
              <w:spacing w:before="0" w:after="283"/>
              <w:jc w:val="left"/>
              <w:rPr/>
            </w:pPr>
            <w:r>
              <w:rPr/>
              <w:t> </w:t>
            </w:r>
          </w:p>
        </w:tc>
        <w:tc>
          <w:tcPr>
            <w:tcW w:w="92" w:type="dxa"/>
            <w:tcBorders/>
            <w:shd w:fill="CCEEFF" w:val="clear"/>
            <w:vAlign w:val="bottom"/>
          </w:tcPr>
          <w:p>
            <w:pPr>
              <w:pStyle w:val="TableContents"/>
              <w:spacing w:before="0" w:after="283"/>
              <w:rPr/>
            </w:pPr>
            <w:r>
              <w:rPr/>
              <w:t> </w:t>
            </w:r>
          </w:p>
        </w:tc>
        <w:tc>
          <w:tcPr>
            <w:tcW w:w="292" w:type="dxa"/>
            <w:tcBorders/>
            <w:shd w:fill="CCEEFF" w:val="clear"/>
            <w:vAlign w:val="bottom"/>
          </w:tcPr>
          <w:p>
            <w:pPr>
              <w:pStyle w:val="TableContents"/>
              <w:spacing w:before="0" w:after="283"/>
              <w:jc w:val="left"/>
              <w:rPr/>
            </w:pPr>
            <w:r>
              <w:rPr/>
              <w:t> </w:t>
            </w:r>
          </w:p>
        </w:tc>
        <w:tc>
          <w:tcPr>
            <w:tcW w:w="334"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w:t>
            </w:r>
          </w:p>
        </w:tc>
        <w:tc>
          <w:tcPr>
            <w:tcW w:w="81"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81" w:type="dxa"/>
            <w:tcBorders/>
            <w:shd w:fill="CCEEFF" w:val="clear"/>
            <w:vAlign w:val="bottom"/>
          </w:tcPr>
          <w:p>
            <w:pPr>
              <w:pStyle w:val="TableContents"/>
              <w:spacing w:before="0" w:after="283"/>
              <w:jc w:val="left"/>
              <w:rPr/>
            </w:pPr>
            <w:r>
              <w:rPr/>
              <w:t> </w:t>
            </w:r>
          </w:p>
        </w:tc>
        <w:tc>
          <w:tcPr>
            <w:tcW w:w="982"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306,641</w:t>
            </w:r>
          </w:p>
        </w:tc>
        <w:tc>
          <w:tcPr>
            <w:tcW w:w="99"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139" w:type="dxa"/>
            <w:tcBorders/>
            <w:shd w:fill="CCEEFF" w:val="clear"/>
            <w:vAlign w:val="bottom"/>
          </w:tcPr>
          <w:p>
            <w:pPr>
              <w:pStyle w:val="TableContents"/>
              <w:spacing w:before="0" w:after="283"/>
              <w:jc w:val="left"/>
              <w:rPr/>
            </w:pPr>
            <w:r>
              <w:rPr/>
              <w:t> </w:t>
            </w:r>
          </w:p>
        </w:tc>
        <w:tc>
          <w:tcPr>
            <w:tcW w:w="641"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307</w:t>
            </w:r>
          </w:p>
        </w:tc>
        <w:tc>
          <w:tcPr>
            <w:tcW w:w="99"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jc w:val="left"/>
              <w:rPr/>
            </w:pPr>
            <w:r>
              <w:rPr/>
              <w:t> </w:t>
            </w:r>
          </w:p>
        </w:tc>
        <w:tc>
          <w:tcPr>
            <w:tcW w:w="1077"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15,393</w:t>
            </w:r>
          </w:p>
        </w:tc>
        <w:tc>
          <w:tcPr>
            <w:tcW w:w="99"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jc w:val="left"/>
              <w:rPr/>
            </w:pPr>
            <w:r>
              <w:rPr/>
              <w:t> </w:t>
            </w:r>
          </w:p>
        </w:tc>
        <w:tc>
          <w:tcPr>
            <w:tcW w:w="1132"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w:t>
            </w:r>
          </w:p>
        </w:tc>
        <w:tc>
          <w:tcPr>
            <w:tcW w:w="99"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141" w:type="dxa"/>
            <w:tcBorders/>
            <w:shd w:fill="CCEEFF" w:val="clear"/>
            <w:vAlign w:val="bottom"/>
          </w:tcPr>
          <w:p>
            <w:pPr>
              <w:pStyle w:val="TableContents"/>
              <w:spacing w:before="0" w:after="283"/>
              <w:jc w:val="left"/>
              <w:rPr/>
            </w:pPr>
            <w:r>
              <w:rPr/>
              <w:t> </w:t>
            </w:r>
          </w:p>
        </w:tc>
        <w:tc>
          <w:tcPr>
            <w:tcW w:w="1045"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15,700</w:t>
            </w:r>
          </w:p>
        </w:tc>
        <w:tc>
          <w:tcPr>
            <w:tcW w:w="123" w:type="dxa"/>
            <w:tcBorders/>
            <w:shd w:fill="CCEEFF" w:val="clear"/>
            <w:vAlign w:val="bottom"/>
          </w:tcPr>
          <w:p>
            <w:pPr>
              <w:pStyle w:val="TableContents"/>
              <w:spacing w:before="0" w:after="283"/>
              <w:jc w:val="left"/>
              <w:rPr/>
            </w:pPr>
            <w:r>
              <w:rPr/>
              <w:t> </w:t>
            </w:r>
          </w:p>
        </w:tc>
      </w:tr>
      <w:tr>
        <w:trPr/>
        <w:tc>
          <w:tcPr>
            <w:tcW w:w="2070" w:type="dxa"/>
            <w:tcBorders/>
            <w:shd w:fill="FFFFFF" w:val="clear"/>
            <w:vAlign w:val="bottom"/>
          </w:tcPr>
          <w:p>
            <w:pPr>
              <w:pStyle w:val="TableContents"/>
              <w:spacing w:before="0" w:after="0"/>
              <w:ind w:left="0" w:right="0" w:hanging="0"/>
              <w:jc w:val="left"/>
              <w:rPr/>
            </w:pPr>
            <w:r>
              <w:rPr/>
              <w:t> </w:t>
            </w:r>
            <w:r>
              <w:rPr>
                <w:rFonts w:ascii="helvetica" w:hAnsi="helvetica"/>
                <w:sz w:val="20"/>
              </w:rPr>
              <w:t>Exercise of stock options at $0.0512 per share in</w:t>
            </w:r>
          </w:p>
        </w:tc>
        <w:tc>
          <w:tcPr>
            <w:tcW w:w="81" w:type="dxa"/>
            <w:tcBorders/>
            <w:shd w:fill="FFFFFF" w:val="clear"/>
            <w:vAlign w:val="bottom"/>
          </w:tcPr>
          <w:p>
            <w:pPr>
              <w:pStyle w:val="TableContents"/>
              <w:spacing w:before="0" w:after="283"/>
              <w:rPr/>
            </w:pPr>
            <w:r>
              <w:rPr/>
              <w:t> </w:t>
            </w:r>
          </w:p>
        </w:tc>
        <w:tc>
          <w:tcPr>
            <w:tcW w:w="135" w:type="dxa"/>
            <w:tcBorders/>
            <w:shd w:fill="FFFFFF" w:val="clear"/>
            <w:vAlign w:val="bottom"/>
          </w:tcPr>
          <w:p>
            <w:pPr>
              <w:pStyle w:val="TableContents"/>
              <w:spacing w:before="0" w:after="283"/>
              <w:jc w:val="left"/>
              <w:rPr/>
            </w:pPr>
            <w:r>
              <w:rPr/>
              <w:t> </w:t>
            </w:r>
          </w:p>
        </w:tc>
        <w:tc>
          <w:tcPr>
            <w:tcW w:w="586" w:type="dxa"/>
            <w:tcBorders/>
            <w:shd w:fill="FFFFFF" w:val="clear"/>
            <w:vAlign w:val="bottom"/>
          </w:tcPr>
          <w:p>
            <w:pPr>
              <w:pStyle w:val="TableContents"/>
              <w:spacing w:before="0" w:after="283"/>
              <w:jc w:val="right"/>
              <w:rPr/>
            </w:pPr>
            <w:r>
              <w:rPr/>
              <w:t> </w:t>
            </w:r>
          </w:p>
        </w:tc>
        <w:tc>
          <w:tcPr>
            <w:tcW w:w="92" w:type="dxa"/>
            <w:tcBorders/>
            <w:shd w:fill="FFFFFF" w:val="clear"/>
            <w:vAlign w:val="bottom"/>
          </w:tcPr>
          <w:p>
            <w:pPr>
              <w:pStyle w:val="TableContents"/>
              <w:spacing w:before="0" w:after="283"/>
              <w:jc w:val="left"/>
              <w:rPr/>
            </w:pPr>
            <w:r>
              <w:rPr/>
              <w:t> </w:t>
            </w:r>
          </w:p>
        </w:tc>
        <w:tc>
          <w:tcPr>
            <w:tcW w:w="92" w:type="dxa"/>
            <w:tcBorders/>
            <w:shd w:fill="FFFFFF" w:val="clear"/>
            <w:vAlign w:val="bottom"/>
          </w:tcPr>
          <w:p>
            <w:pPr>
              <w:pStyle w:val="TableContents"/>
              <w:spacing w:before="0" w:after="283"/>
              <w:rPr/>
            </w:pPr>
            <w:r>
              <w:rPr/>
              <w:t> </w:t>
            </w:r>
          </w:p>
        </w:tc>
        <w:tc>
          <w:tcPr>
            <w:tcW w:w="292" w:type="dxa"/>
            <w:tcBorders/>
            <w:shd w:fill="FFFFFF" w:val="clear"/>
            <w:vAlign w:val="bottom"/>
          </w:tcPr>
          <w:p>
            <w:pPr>
              <w:pStyle w:val="TableContents"/>
              <w:spacing w:before="0" w:after="283"/>
              <w:jc w:val="left"/>
              <w:rPr/>
            </w:pPr>
            <w:r>
              <w:rPr/>
              <w:t> </w:t>
            </w:r>
          </w:p>
        </w:tc>
        <w:tc>
          <w:tcPr>
            <w:tcW w:w="334" w:type="dxa"/>
            <w:tcBorders/>
            <w:shd w:fill="FFFFFF" w:val="clear"/>
            <w:vAlign w:val="bottom"/>
          </w:tcPr>
          <w:p>
            <w:pPr>
              <w:pStyle w:val="TableContents"/>
              <w:spacing w:before="0" w:after="283"/>
              <w:jc w:val="right"/>
              <w:rPr/>
            </w:pPr>
            <w:r>
              <w:rPr/>
              <w:t> </w:t>
            </w:r>
          </w:p>
        </w:tc>
        <w:tc>
          <w:tcPr>
            <w:tcW w:w="81"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81" w:type="dxa"/>
            <w:tcBorders/>
            <w:shd w:fill="FFFFFF" w:val="clear"/>
            <w:vAlign w:val="bottom"/>
          </w:tcPr>
          <w:p>
            <w:pPr>
              <w:pStyle w:val="TableContents"/>
              <w:spacing w:before="0" w:after="283"/>
              <w:jc w:val="left"/>
              <w:rPr/>
            </w:pPr>
            <w:r>
              <w:rPr/>
              <w:t> </w:t>
            </w:r>
          </w:p>
        </w:tc>
        <w:tc>
          <w:tcPr>
            <w:tcW w:w="982" w:type="dxa"/>
            <w:tcBorders/>
            <w:shd w:fill="FFFFFF" w:val="clear"/>
            <w:vAlign w:val="bottom"/>
          </w:tcPr>
          <w:p>
            <w:pPr>
              <w:pStyle w:val="TableContents"/>
              <w:spacing w:before="0" w:after="283"/>
              <w:jc w:val="right"/>
              <w:rPr/>
            </w:pPr>
            <w:r>
              <w:rPr/>
              <w:t> </w:t>
            </w:r>
          </w:p>
        </w:tc>
        <w:tc>
          <w:tcPr>
            <w:tcW w:w="99"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139" w:type="dxa"/>
            <w:tcBorders/>
            <w:shd w:fill="FFFFFF" w:val="clear"/>
            <w:vAlign w:val="bottom"/>
          </w:tcPr>
          <w:p>
            <w:pPr>
              <w:pStyle w:val="TableContents"/>
              <w:spacing w:before="0" w:after="283"/>
              <w:jc w:val="left"/>
              <w:rPr/>
            </w:pPr>
            <w:r>
              <w:rPr/>
              <w:t> </w:t>
            </w:r>
          </w:p>
        </w:tc>
        <w:tc>
          <w:tcPr>
            <w:tcW w:w="641" w:type="dxa"/>
            <w:tcBorders/>
            <w:shd w:fill="FFFFFF" w:val="clear"/>
            <w:vAlign w:val="bottom"/>
          </w:tcPr>
          <w:p>
            <w:pPr>
              <w:pStyle w:val="TableContents"/>
              <w:spacing w:before="0" w:after="283"/>
              <w:jc w:val="right"/>
              <w:rPr/>
            </w:pPr>
            <w:r>
              <w:rPr/>
              <w:t> </w:t>
            </w:r>
          </w:p>
        </w:tc>
        <w:tc>
          <w:tcPr>
            <w:tcW w:w="99"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283"/>
              <w:jc w:val="left"/>
              <w:rPr/>
            </w:pPr>
            <w:r>
              <w:rPr/>
              <w:t> </w:t>
            </w:r>
          </w:p>
        </w:tc>
        <w:tc>
          <w:tcPr>
            <w:tcW w:w="1077" w:type="dxa"/>
            <w:tcBorders/>
            <w:shd w:fill="FFFFFF" w:val="clear"/>
            <w:vAlign w:val="bottom"/>
          </w:tcPr>
          <w:p>
            <w:pPr>
              <w:pStyle w:val="TableContents"/>
              <w:spacing w:before="0" w:after="283"/>
              <w:jc w:val="right"/>
              <w:rPr/>
            </w:pPr>
            <w:r>
              <w:rPr/>
              <w:t> </w:t>
            </w:r>
          </w:p>
        </w:tc>
        <w:tc>
          <w:tcPr>
            <w:tcW w:w="99"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283"/>
              <w:jc w:val="left"/>
              <w:rPr/>
            </w:pPr>
            <w:r>
              <w:rPr/>
              <w:t> </w:t>
            </w:r>
          </w:p>
        </w:tc>
        <w:tc>
          <w:tcPr>
            <w:tcW w:w="1132" w:type="dxa"/>
            <w:tcBorders/>
            <w:shd w:fill="FFFFFF" w:val="clear"/>
            <w:vAlign w:val="bottom"/>
          </w:tcPr>
          <w:p>
            <w:pPr>
              <w:pStyle w:val="TableContents"/>
              <w:spacing w:before="0" w:after="283"/>
              <w:jc w:val="right"/>
              <w:rPr/>
            </w:pPr>
            <w:r>
              <w:rPr/>
              <w:t> </w:t>
            </w:r>
          </w:p>
        </w:tc>
        <w:tc>
          <w:tcPr>
            <w:tcW w:w="99"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141" w:type="dxa"/>
            <w:tcBorders/>
            <w:shd w:fill="FFFFFF" w:val="clear"/>
            <w:vAlign w:val="bottom"/>
          </w:tcPr>
          <w:p>
            <w:pPr>
              <w:pStyle w:val="TableContents"/>
              <w:spacing w:before="0" w:after="283"/>
              <w:jc w:val="left"/>
              <w:rPr/>
            </w:pPr>
            <w:r>
              <w:rPr/>
              <w:t> </w:t>
            </w:r>
          </w:p>
        </w:tc>
        <w:tc>
          <w:tcPr>
            <w:tcW w:w="1045" w:type="dxa"/>
            <w:tcBorders/>
            <w:shd w:fill="FFFFFF" w:val="clear"/>
            <w:vAlign w:val="bottom"/>
          </w:tcPr>
          <w:p>
            <w:pPr>
              <w:pStyle w:val="TableContents"/>
              <w:spacing w:before="0" w:after="283"/>
              <w:jc w:val="right"/>
              <w:rPr/>
            </w:pPr>
            <w:r>
              <w:rPr/>
              <w:t> </w:t>
            </w:r>
          </w:p>
        </w:tc>
        <w:tc>
          <w:tcPr>
            <w:tcW w:w="123" w:type="dxa"/>
            <w:tcBorders/>
            <w:shd w:fill="FFFFFF" w:val="clear"/>
            <w:vAlign w:val="bottom"/>
          </w:tcPr>
          <w:p>
            <w:pPr>
              <w:pStyle w:val="TableContents"/>
              <w:spacing w:before="0" w:after="283"/>
              <w:jc w:val="left"/>
              <w:rPr/>
            </w:pPr>
            <w:r>
              <w:rPr/>
              <w:t> </w:t>
            </w:r>
          </w:p>
        </w:tc>
      </w:tr>
      <w:tr>
        <w:trPr/>
        <w:tc>
          <w:tcPr>
            <w:tcW w:w="2070" w:type="dxa"/>
            <w:tcBorders/>
            <w:shd w:fill="CCEEFF" w:val="clear"/>
            <w:vAlign w:val="bottom"/>
          </w:tcPr>
          <w:p>
            <w:pPr>
              <w:pStyle w:val="TableContents"/>
              <w:spacing w:before="0" w:after="0"/>
              <w:ind w:left="0" w:right="0" w:hanging="0"/>
              <w:jc w:val="left"/>
              <w:rPr/>
            </w:pPr>
            <w:r>
              <w:rPr/>
              <w:t>   </w:t>
            </w:r>
            <w:r>
              <w:rPr>
                <w:rFonts w:ascii="helvetica" w:hAnsi="helvetica"/>
                <w:sz w:val="20"/>
              </w:rPr>
              <w:t>August 2005</w:t>
            </w:r>
          </w:p>
        </w:tc>
        <w:tc>
          <w:tcPr>
            <w:tcW w:w="81" w:type="dxa"/>
            <w:tcBorders/>
            <w:shd w:fill="CCEEFF" w:val="clear"/>
            <w:vAlign w:val="bottom"/>
          </w:tcPr>
          <w:p>
            <w:pPr>
              <w:pStyle w:val="TableContents"/>
              <w:spacing w:before="0" w:after="283"/>
              <w:rPr/>
            </w:pPr>
            <w:r>
              <w:rPr/>
              <w:t> </w:t>
            </w:r>
          </w:p>
        </w:tc>
        <w:tc>
          <w:tcPr>
            <w:tcW w:w="135" w:type="dxa"/>
            <w:tcBorders/>
            <w:shd w:fill="CCEEFF" w:val="clear"/>
            <w:vAlign w:val="bottom"/>
          </w:tcPr>
          <w:p>
            <w:pPr>
              <w:pStyle w:val="TableContents"/>
              <w:spacing w:before="0" w:after="283"/>
              <w:jc w:val="left"/>
              <w:rPr/>
            </w:pPr>
            <w:r>
              <w:rPr/>
              <w:t> </w:t>
            </w:r>
          </w:p>
        </w:tc>
        <w:tc>
          <w:tcPr>
            <w:tcW w:w="586"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w:t>
            </w:r>
          </w:p>
        </w:tc>
        <w:tc>
          <w:tcPr>
            <w:tcW w:w="92" w:type="dxa"/>
            <w:tcBorders/>
            <w:shd w:fill="CCEEFF" w:val="clear"/>
            <w:vAlign w:val="bottom"/>
          </w:tcPr>
          <w:p>
            <w:pPr>
              <w:pStyle w:val="TableContents"/>
              <w:spacing w:before="0" w:after="283"/>
              <w:jc w:val="left"/>
              <w:rPr/>
            </w:pPr>
            <w:r>
              <w:rPr/>
              <w:t> </w:t>
            </w:r>
          </w:p>
        </w:tc>
        <w:tc>
          <w:tcPr>
            <w:tcW w:w="92" w:type="dxa"/>
            <w:tcBorders/>
            <w:shd w:fill="CCEEFF" w:val="clear"/>
            <w:vAlign w:val="bottom"/>
          </w:tcPr>
          <w:p>
            <w:pPr>
              <w:pStyle w:val="TableContents"/>
              <w:spacing w:before="0" w:after="283"/>
              <w:rPr/>
            </w:pPr>
            <w:r>
              <w:rPr/>
              <w:t> </w:t>
            </w:r>
          </w:p>
        </w:tc>
        <w:tc>
          <w:tcPr>
            <w:tcW w:w="292" w:type="dxa"/>
            <w:tcBorders/>
            <w:shd w:fill="CCEEFF" w:val="clear"/>
            <w:vAlign w:val="bottom"/>
          </w:tcPr>
          <w:p>
            <w:pPr>
              <w:pStyle w:val="TableContents"/>
              <w:spacing w:before="0" w:after="283"/>
              <w:jc w:val="left"/>
              <w:rPr/>
            </w:pPr>
            <w:r>
              <w:rPr/>
              <w:t> </w:t>
            </w:r>
          </w:p>
        </w:tc>
        <w:tc>
          <w:tcPr>
            <w:tcW w:w="334"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w:t>
            </w:r>
          </w:p>
        </w:tc>
        <w:tc>
          <w:tcPr>
            <w:tcW w:w="81"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81" w:type="dxa"/>
            <w:tcBorders/>
            <w:shd w:fill="CCEEFF" w:val="clear"/>
            <w:vAlign w:val="bottom"/>
          </w:tcPr>
          <w:p>
            <w:pPr>
              <w:pStyle w:val="TableContents"/>
              <w:spacing w:before="0" w:after="283"/>
              <w:jc w:val="left"/>
              <w:rPr/>
            </w:pPr>
            <w:r>
              <w:rPr/>
              <w:t> </w:t>
            </w:r>
          </w:p>
        </w:tc>
        <w:tc>
          <w:tcPr>
            <w:tcW w:w="982"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1,953</w:t>
            </w:r>
          </w:p>
        </w:tc>
        <w:tc>
          <w:tcPr>
            <w:tcW w:w="99"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139" w:type="dxa"/>
            <w:tcBorders/>
            <w:shd w:fill="CCEEFF" w:val="clear"/>
            <w:vAlign w:val="bottom"/>
          </w:tcPr>
          <w:p>
            <w:pPr>
              <w:pStyle w:val="TableContents"/>
              <w:spacing w:before="0" w:after="283"/>
              <w:jc w:val="left"/>
              <w:rPr/>
            </w:pPr>
            <w:r>
              <w:rPr/>
              <w:t> </w:t>
            </w:r>
          </w:p>
        </w:tc>
        <w:tc>
          <w:tcPr>
            <w:tcW w:w="641"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2</w:t>
            </w:r>
          </w:p>
        </w:tc>
        <w:tc>
          <w:tcPr>
            <w:tcW w:w="99"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jc w:val="left"/>
              <w:rPr/>
            </w:pPr>
            <w:r>
              <w:rPr/>
              <w:t> </w:t>
            </w:r>
          </w:p>
        </w:tc>
        <w:tc>
          <w:tcPr>
            <w:tcW w:w="1077"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98</w:t>
            </w:r>
          </w:p>
        </w:tc>
        <w:tc>
          <w:tcPr>
            <w:tcW w:w="99"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jc w:val="left"/>
              <w:rPr/>
            </w:pPr>
            <w:r>
              <w:rPr/>
              <w:t> </w:t>
            </w:r>
          </w:p>
        </w:tc>
        <w:tc>
          <w:tcPr>
            <w:tcW w:w="1132"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w:t>
            </w:r>
          </w:p>
        </w:tc>
        <w:tc>
          <w:tcPr>
            <w:tcW w:w="99"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141" w:type="dxa"/>
            <w:tcBorders/>
            <w:shd w:fill="CCEEFF" w:val="clear"/>
            <w:vAlign w:val="bottom"/>
          </w:tcPr>
          <w:p>
            <w:pPr>
              <w:pStyle w:val="TableContents"/>
              <w:spacing w:before="0" w:after="283"/>
              <w:jc w:val="left"/>
              <w:rPr/>
            </w:pPr>
            <w:r>
              <w:rPr/>
              <w:t> </w:t>
            </w:r>
          </w:p>
        </w:tc>
        <w:tc>
          <w:tcPr>
            <w:tcW w:w="1045"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100</w:t>
            </w:r>
          </w:p>
        </w:tc>
        <w:tc>
          <w:tcPr>
            <w:tcW w:w="123" w:type="dxa"/>
            <w:tcBorders/>
            <w:shd w:fill="CCEEFF" w:val="clear"/>
            <w:vAlign w:val="bottom"/>
          </w:tcPr>
          <w:p>
            <w:pPr>
              <w:pStyle w:val="TableContents"/>
              <w:spacing w:before="0" w:after="283"/>
              <w:jc w:val="left"/>
              <w:rPr/>
            </w:pPr>
            <w:r>
              <w:rPr/>
              <w:t> </w:t>
            </w:r>
          </w:p>
        </w:tc>
      </w:tr>
      <w:tr>
        <w:trPr/>
        <w:tc>
          <w:tcPr>
            <w:tcW w:w="2070" w:type="dxa"/>
            <w:tcBorders/>
            <w:shd w:fill="FFFFFF" w:val="clear"/>
            <w:vAlign w:val="bottom"/>
          </w:tcPr>
          <w:p>
            <w:pPr>
              <w:pStyle w:val="TableContents"/>
              <w:spacing w:before="0" w:after="0"/>
              <w:ind w:left="0" w:right="0" w:hanging="0"/>
              <w:jc w:val="left"/>
              <w:rPr/>
            </w:pPr>
            <w:r>
              <w:rPr/>
              <w:t> </w:t>
            </w:r>
            <w:r>
              <w:rPr>
                <w:rFonts w:ascii="helvetica" w:hAnsi="helvetica"/>
                <w:sz w:val="20"/>
              </w:rPr>
              <w:t>Estimated fair value of services contributed by</w:t>
            </w:r>
          </w:p>
        </w:tc>
        <w:tc>
          <w:tcPr>
            <w:tcW w:w="81" w:type="dxa"/>
            <w:tcBorders/>
            <w:shd w:fill="FFFFFF" w:val="clear"/>
            <w:vAlign w:val="bottom"/>
          </w:tcPr>
          <w:p>
            <w:pPr>
              <w:pStyle w:val="TableContents"/>
              <w:spacing w:before="0" w:after="283"/>
              <w:rPr/>
            </w:pPr>
            <w:r>
              <w:rPr/>
              <w:t> </w:t>
            </w:r>
          </w:p>
        </w:tc>
        <w:tc>
          <w:tcPr>
            <w:tcW w:w="135" w:type="dxa"/>
            <w:tcBorders/>
            <w:shd w:fill="FFFFFF" w:val="clear"/>
            <w:vAlign w:val="bottom"/>
          </w:tcPr>
          <w:p>
            <w:pPr>
              <w:pStyle w:val="TableContents"/>
              <w:spacing w:before="0" w:after="283"/>
              <w:jc w:val="left"/>
              <w:rPr/>
            </w:pPr>
            <w:r>
              <w:rPr/>
              <w:t> </w:t>
            </w:r>
          </w:p>
        </w:tc>
        <w:tc>
          <w:tcPr>
            <w:tcW w:w="586" w:type="dxa"/>
            <w:tcBorders/>
            <w:shd w:fill="FFFFFF" w:val="clear"/>
            <w:vAlign w:val="bottom"/>
          </w:tcPr>
          <w:p>
            <w:pPr>
              <w:pStyle w:val="TableContents"/>
              <w:spacing w:before="0" w:after="283"/>
              <w:jc w:val="right"/>
              <w:rPr/>
            </w:pPr>
            <w:r>
              <w:rPr/>
              <w:t> </w:t>
            </w:r>
          </w:p>
        </w:tc>
        <w:tc>
          <w:tcPr>
            <w:tcW w:w="92" w:type="dxa"/>
            <w:tcBorders/>
            <w:shd w:fill="FFFFFF" w:val="clear"/>
            <w:vAlign w:val="bottom"/>
          </w:tcPr>
          <w:p>
            <w:pPr>
              <w:pStyle w:val="TableContents"/>
              <w:spacing w:before="0" w:after="283"/>
              <w:jc w:val="left"/>
              <w:rPr/>
            </w:pPr>
            <w:r>
              <w:rPr/>
              <w:t> </w:t>
            </w:r>
          </w:p>
        </w:tc>
        <w:tc>
          <w:tcPr>
            <w:tcW w:w="92" w:type="dxa"/>
            <w:tcBorders/>
            <w:shd w:fill="FFFFFF" w:val="clear"/>
            <w:vAlign w:val="bottom"/>
          </w:tcPr>
          <w:p>
            <w:pPr>
              <w:pStyle w:val="TableContents"/>
              <w:spacing w:before="0" w:after="283"/>
              <w:rPr/>
            </w:pPr>
            <w:r>
              <w:rPr/>
              <w:t> </w:t>
            </w:r>
          </w:p>
        </w:tc>
        <w:tc>
          <w:tcPr>
            <w:tcW w:w="292" w:type="dxa"/>
            <w:tcBorders/>
            <w:shd w:fill="FFFFFF" w:val="clear"/>
            <w:vAlign w:val="bottom"/>
          </w:tcPr>
          <w:p>
            <w:pPr>
              <w:pStyle w:val="TableContents"/>
              <w:spacing w:before="0" w:after="283"/>
              <w:jc w:val="left"/>
              <w:rPr/>
            </w:pPr>
            <w:r>
              <w:rPr/>
              <w:t> </w:t>
            </w:r>
          </w:p>
        </w:tc>
        <w:tc>
          <w:tcPr>
            <w:tcW w:w="334" w:type="dxa"/>
            <w:tcBorders/>
            <w:shd w:fill="FFFFFF" w:val="clear"/>
            <w:vAlign w:val="bottom"/>
          </w:tcPr>
          <w:p>
            <w:pPr>
              <w:pStyle w:val="TableContents"/>
              <w:spacing w:before="0" w:after="283"/>
              <w:jc w:val="right"/>
              <w:rPr/>
            </w:pPr>
            <w:r>
              <w:rPr/>
              <w:t> </w:t>
            </w:r>
          </w:p>
        </w:tc>
        <w:tc>
          <w:tcPr>
            <w:tcW w:w="81"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81" w:type="dxa"/>
            <w:tcBorders/>
            <w:shd w:fill="FFFFFF" w:val="clear"/>
            <w:vAlign w:val="bottom"/>
          </w:tcPr>
          <w:p>
            <w:pPr>
              <w:pStyle w:val="TableContents"/>
              <w:spacing w:before="0" w:after="283"/>
              <w:jc w:val="left"/>
              <w:rPr/>
            </w:pPr>
            <w:r>
              <w:rPr/>
              <w:t> </w:t>
            </w:r>
          </w:p>
        </w:tc>
        <w:tc>
          <w:tcPr>
            <w:tcW w:w="982" w:type="dxa"/>
            <w:tcBorders/>
            <w:shd w:fill="FFFFFF" w:val="clear"/>
            <w:vAlign w:val="bottom"/>
          </w:tcPr>
          <w:p>
            <w:pPr>
              <w:pStyle w:val="TableContents"/>
              <w:spacing w:before="0" w:after="283"/>
              <w:jc w:val="right"/>
              <w:rPr/>
            </w:pPr>
            <w:r>
              <w:rPr/>
              <w:t> </w:t>
            </w:r>
          </w:p>
        </w:tc>
        <w:tc>
          <w:tcPr>
            <w:tcW w:w="99"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139" w:type="dxa"/>
            <w:tcBorders/>
            <w:shd w:fill="FFFFFF" w:val="clear"/>
            <w:vAlign w:val="bottom"/>
          </w:tcPr>
          <w:p>
            <w:pPr>
              <w:pStyle w:val="TableContents"/>
              <w:spacing w:before="0" w:after="283"/>
              <w:jc w:val="left"/>
              <w:rPr/>
            </w:pPr>
            <w:r>
              <w:rPr/>
              <w:t> </w:t>
            </w:r>
          </w:p>
        </w:tc>
        <w:tc>
          <w:tcPr>
            <w:tcW w:w="641" w:type="dxa"/>
            <w:tcBorders/>
            <w:shd w:fill="FFFFFF" w:val="clear"/>
            <w:vAlign w:val="bottom"/>
          </w:tcPr>
          <w:p>
            <w:pPr>
              <w:pStyle w:val="TableContents"/>
              <w:spacing w:before="0" w:after="283"/>
              <w:jc w:val="right"/>
              <w:rPr/>
            </w:pPr>
            <w:r>
              <w:rPr/>
              <w:t> </w:t>
            </w:r>
          </w:p>
        </w:tc>
        <w:tc>
          <w:tcPr>
            <w:tcW w:w="99"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283"/>
              <w:jc w:val="left"/>
              <w:rPr/>
            </w:pPr>
            <w:r>
              <w:rPr/>
              <w:t> </w:t>
            </w:r>
          </w:p>
        </w:tc>
        <w:tc>
          <w:tcPr>
            <w:tcW w:w="1077" w:type="dxa"/>
            <w:tcBorders/>
            <w:shd w:fill="FFFFFF" w:val="clear"/>
            <w:vAlign w:val="bottom"/>
          </w:tcPr>
          <w:p>
            <w:pPr>
              <w:pStyle w:val="TableContents"/>
              <w:spacing w:before="0" w:after="283"/>
              <w:jc w:val="right"/>
              <w:rPr/>
            </w:pPr>
            <w:r>
              <w:rPr/>
              <w:t> </w:t>
            </w:r>
          </w:p>
        </w:tc>
        <w:tc>
          <w:tcPr>
            <w:tcW w:w="99"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283"/>
              <w:jc w:val="left"/>
              <w:rPr/>
            </w:pPr>
            <w:r>
              <w:rPr/>
              <w:t> </w:t>
            </w:r>
          </w:p>
        </w:tc>
        <w:tc>
          <w:tcPr>
            <w:tcW w:w="1132" w:type="dxa"/>
            <w:tcBorders/>
            <w:shd w:fill="FFFFFF" w:val="clear"/>
            <w:vAlign w:val="bottom"/>
          </w:tcPr>
          <w:p>
            <w:pPr>
              <w:pStyle w:val="TableContents"/>
              <w:spacing w:before="0" w:after="283"/>
              <w:jc w:val="right"/>
              <w:rPr/>
            </w:pPr>
            <w:r>
              <w:rPr/>
              <w:t> </w:t>
            </w:r>
          </w:p>
        </w:tc>
        <w:tc>
          <w:tcPr>
            <w:tcW w:w="99"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141" w:type="dxa"/>
            <w:tcBorders/>
            <w:shd w:fill="FFFFFF" w:val="clear"/>
            <w:vAlign w:val="bottom"/>
          </w:tcPr>
          <w:p>
            <w:pPr>
              <w:pStyle w:val="TableContents"/>
              <w:spacing w:before="0" w:after="283"/>
              <w:jc w:val="left"/>
              <w:rPr/>
            </w:pPr>
            <w:r>
              <w:rPr/>
              <w:t> </w:t>
            </w:r>
          </w:p>
        </w:tc>
        <w:tc>
          <w:tcPr>
            <w:tcW w:w="1045" w:type="dxa"/>
            <w:tcBorders/>
            <w:shd w:fill="FFFFFF" w:val="clear"/>
            <w:vAlign w:val="bottom"/>
          </w:tcPr>
          <w:p>
            <w:pPr>
              <w:pStyle w:val="TableContents"/>
              <w:spacing w:before="0" w:after="283"/>
              <w:jc w:val="right"/>
              <w:rPr/>
            </w:pPr>
            <w:r>
              <w:rPr/>
              <w:t> </w:t>
            </w:r>
          </w:p>
        </w:tc>
        <w:tc>
          <w:tcPr>
            <w:tcW w:w="123" w:type="dxa"/>
            <w:tcBorders/>
            <w:shd w:fill="FFFFFF" w:val="clear"/>
            <w:vAlign w:val="bottom"/>
          </w:tcPr>
          <w:p>
            <w:pPr>
              <w:pStyle w:val="TableContents"/>
              <w:spacing w:before="0" w:after="283"/>
              <w:jc w:val="left"/>
              <w:rPr/>
            </w:pPr>
            <w:r>
              <w:rPr/>
              <w:t> </w:t>
            </w:r>
          </w:p>
        </w:tc>
      </w:tr>
      <w:tr>
        <w:trPr/>
        <w:tc>
          <w:tcPr>
            <w:tcW w:w="2070" w:type="dxa"/>
            <w:tcBorders/>
            <w:shd w:fill="CCEEFF" w:val="clear"/>
            <w:vAlign w:val="bottom"/>
          </w:tcPr>
          <w:p>
            <w:pPr>
              <w:pStyle w:val="TableContents"/>
              <w:spacing w:before="0" w:after="0"/>
              <w:ind w:left="0" w:right="0" w:hanging="0"/>
              <w:jc w:val="left"/>
              <w:rPr/>
            </w:pPr>
            <w:r>
              <w:rPr/>
              <w:t>   </w:t>
            </w:r>
            <w:r>
              <w:rPr>
                <w:rFonts w:ascii="helvetica" w:hAnsi="helvetica"/>
                <w:sz w:val="20"/>
              </w:rPr>
              <w:t>stockholders</w:t>
            </w:r>
          </w:p>
        </w:tc>
        <w:tc>
          <w:tcPr>
            <w:tcW w:w="81" w:type="dxa"/>
            <w:tcBorders/>
            <w:shd w:fill="CCEEFF" w:val="clear"/>
            <w:vAlign w:val="bottom"/>
          </w:tcPr>
          <w:p>
            <w:pPr>
              <w:pStyle w:val="TableContents"/>
              <w:spacing w:before="0" w:after="283"/>
              <w:rPr/>
            </w:pPr>
            <w:r>
              <w:rPr/>
              <w:t> </w:t>
            </w:r>
          </w:p>
        </w:tc>
        <w:tc>
          <w:tcPr>
            <w:tcW w:w="135" w:type="dxa"/>
            <w:tcBorders/>
            <w:shd w:fill="CCEEFF" w:val="clear"/>
            <w:vAlign w:val="bottom"/>
          </w:tcPr>
          <w:p>
            <w:pPr>
              <w:pStyle w:val="TableContents"/>
              <w:spacing w:before="0" w:after="283"/>
              <w:jc w:val="left"/>
              <w:rPr/>
            </w:pPr>
            <w:r>
              <w:rPr/>
              <w:t> </w:t>
            </w:r>
          </w:p>
        </w:tc>
        <w:tc>
          <w:tcPr>
            <w:tcW w:w="586"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w:t>
            </w:r>
          </w:p>
        </w:tc>
        <w:tc>
          <w:tcPr>
            <w:tcW w:w="92" w:type="dxa"/>
            <w:tcBorders/>
            <w:shd w:fill="CCEEFF" w:val="clear"/>
            <w:vAlign w:val="bottom"/>
          </w:tcPr>
          <w:p>
            <w:pPr>
              <w:pStyle w:val="TableContents"/>
              <w:spacing w:before="0" w:after="283"/>
              <w:jc w:val="left"/>
              <w:rPr/>
            </w:pPr>
            <w:r>
              <w:rPr/>
              <w:t> </w:t>
            </w:r>
          </w:p>
        </w:tc>
        <w:tc>
          <w:tcPr>
            <w:tcW w:w="92" w:type="dxa"/>
            <w:tcBorders/>
            <w:shd w:fill="CCEEFF" w:val="clear"/>
            <w:vAlign w:val="bottom"/>
          </w:tcPr>
          <w:p>
            <w:pPr>
              <w:pStyle w:val="TableContents"/>
              <w:spacing w:before="0" w:after="283"/>
              <w:rPr/>
            </w:pPr>
            <w:r>
              <w:rPr/>
              <w:t> </w:t>
            </w:r>
          </w:p>
        </w:tc>
        <w:tc>
          <w:tcPr>
            <w:tcW w:w="292" w:type="dxa"/>
            <w:tcBorders/>
            <w:shd w:fill="CCEEFF" w:val="clear"/>
            <w:vAlign w:val="bottom"/>
          </w:tcPr>
          <w:p>
            <w:pPr>
              <w:pStyle w:val="TableContents"/>
              <w:spacing w:before="0" w:after="283"/>
              <w:jc w:val="left"/>
              <w:rPr/>
            </w:pPr>
            <w:r>
              <w:rPr/>
              <w:t> </w:t>
            </w:r>
          </w:p>
        </w:tc>
        <w:tc>
          <w:tcPr>
            <w:tcW w:w="334"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w:t>
            </w:r>
          </w:p>
        </w:tc>
        <w:tc>
          <w:tcPr>
            <w:tcW w:w="81"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81" w:type="dxa"/>
            <w:tcBorders/>
            <w:shd w:fill="CCEEFF" w:val="clear"/>
            <w:vAlign w:val="bottom"/>
          </w:tcPr>
          <w:p>
            <w:pPr>
              <w:pStyle w:val="TableContents"/>
              <w:spacing w:before="0" w:after="283"/>
              <w:jc w:val="left"/>
              <w:rPr/>
            </w:pPr>
            <w:r>
              <w:rPr/>
              <w:t> </w:t>
            </w:r>
          </w:p>
        </w:tc>
        <w:tc>
          <w:tcPr>
            <w:tcW w:w="982"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w:t>
            </w:r>
          </w:p>
        </w:tc>
        <w:tc>
          <w:tcPr>
            <w:tcW w:w="99"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139" w:type="dxa"/>
            <w:tcBorders/>
            <w:shd w:fill="CCEEFF" w:val="clear"/>
            <w:vAlign w:val="bottom"/>
          </w:tcPr>
          <w:p>
            <w:pPr>
              <w:pStyle w:val="TableContents"/>
              <w:spacing w:before="0" w:after="283"/>
              <w:jc w:val="left"/>
              <w:rPr/>
            </w:pPr>
            <w:r>
              <w:rPr/>
              <w:t> </w:t>
            </w:r>
          </w:p>
        </w:tc>
        <w:tc>
          <w:tcPr>
            <w:tcW w:w="641"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w:t>
            </w:r>
          </w:p>
        </w:tc>
        <w:tc>
          <w:tcPr>
            <w:tcW w:w="99"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jc w:val="left"/>
              <w:rPr/>
            </w:pPr>
            <w:r>
              <w:rPr/>
              <w:t> </w:t>
            </w:r>
          </w:p>
        </w:tc>
        <w:tc>
          <w:tcPr>
            <w:tcW w:w="1077"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400,000</w:t>
            </w:r>
          </w:p>
        </w:tc>
        <w:tc>
          <w:tcPr>
            <w:tcW w:w="99"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jc w:val="left"/>
              <w:rPr/>
            </w:pPr>
            <w:r>
              <w:rPr/>
              <w:t> </w:t>
            </w:r>
          </w:p>
        </w:tc>
        <w:tc>
          <w:tcPr>
            <w:tcW w:w="1132"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w:t>
            </w:r>
          </w:p>
        </w:tc>
        <w:tc>
          <w:tcPr>
            <w:tcW w:w="99"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141" w:type="dxa"/>
            <w:tcBorders/>
            <w:shd w:fill="CCEEFF" w:val="clear"/>
            <w:vAlign w:val="bottom"/>
          </w:tcPr>
          <w:p>
            <w:pPr>
              <w:pStyle w:val="TableContents"/>
              <w:spacing w:before="0" w:after="283"/>
              <w:jc w:val="left"/>
              <w:rPr/>
            </w:pPr>
            <w:r>
              <w:rPr/>
              <w:t> </w:t>
            </w:r>
          </w:p>
        </w:tc>
        <w:tc>
          <w:tcPr>
            <w:tcW w:w="1045"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400,000</w:t>
            </w:r>
          </w:p>
        </w:tc>
        <w:tc>
          <w:tcPr>
            <w:tcW w:w="123" w:type="dxa"/>
            <w:tcBorders/>
            <w:shd w:fill="CCEEFF" w:val="clear"/>
            <w:vAlign w:val="bottom"/>
          </w:tcPr>
          <w:p>
            <w:pPr>
              <w:pStyle w:val="TableContents"/>
              <w:spacing w:before="0" w:after="283"/>
              <w:jc w:val="left"/>
              <w:rPr/>
            </w:pPr>
            <w:r>
              <w:rPr/>
              <w:t> </w:t>
            </w:r>
          </w:p>
        </w:tc>
      </w:tr>
      <w:tr>
        <w:trPr/>
        <w:tc>
          <w:tcPr>
            <w:tcW w:w="2070" w:type="dxa"/>
            <w:tcBorders/>
            <w:shd w:fill="FFFFFF" w:val="clear"/>
            <w:vAlign w:val="bottom"/>
          </w:tcPr>
          <w:p>
            <w:pPr>
              <w:pStyle w:val="TableContents"/>
              <w:spacing w:before="0" w:after="0"/>
              <w:ind w:left="0" w:right="0" w:hanging="0"/>
              <w:jc w:val="left"/>
              <w:rPr/>
            </w:pPr>
            <w:r>
              <w:rPr/>
              <w:t> </w:t>
            </w:r>
            <w:r>
              <w:rPr>
                <w:rFonts w:ascii="helvetica" w:hAnsi="helvetica"/>
                <w:sz w:val="20"/>
              </w:rPr>
              <w:t>Net loss</w:t>
            </w:r>
          </w:p>
        </w:tc>
        <w:tc>
          <w:tcPr>
            <w:tcW w:w="81" w:type="dxa"/>
            <w:tcBorders/>
            <w:shd w:fill="FFFFFF" w:val="clear"/>
            <w:vAlign w:val="bottom"/>
          </w:tcPr>
          <w:p>
            <w:pPr>
              <w:pStyle w:val="TableContents"/>
              <w:spacing w:before="0" w:after="283"/>
              <w:rPr/>
            </w:pPr>
            <w:r>
              <w:rPr/>
              <w:t> </w:t>
            </w:r>
          </w:p>
        </w:tc>
        <w:tc>
          <w:tcPr>
            <w:tcW w:w="13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586" w:type="dxa"/>
            <w:tcBorders>
              <w:bottom w:val="single" w:sz="12" w:space="0" w:color="000000"/>
            </w:tcBorders>
            <w:shd w:fill="FFFF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w:t>
            </w:r>
          </w:p>
        </w:tc>
        <w:tc>
          <w:tcPr>
            <w:tcW w:w="92" w:type="dxa"/>
            <w:tcBorders/>
            <w:shd w:fill="FFFFFF" w:val="clear"/>
            <w:vAlign w:val="bottom"/>
          </w:tcPr>
          <w:p>
            <w:pPr>
              <w:pStyle w:val="TableContents"/>
              <w:spacing w:before="0" w:after="283"/>
              <w:jc w:val="left"/>
              <w:rPr/>
            </w:pPr>
            <w:r>
              <w:rPr/>
              <w:t> </w:t>
            </w:r>
          </w:p>
        </w:tc>
        <w:tc>
          <w:tcPr>
            <w:tcW w:w="92" w:type="dxa"/>
            <w:tcBorders/>
            <w:shd w:fill="FFFFFF" w:val="clear"/>
            <w:vAlign w:val="bottom"/>
          </w:tcPr>
          <w:p>
            <w:pPr>
              <w:pStyle w:val="TableContents"/>
              <w:spacing w:before="0" w:after="283"/>
              <w:rPr/>
            </w:pPr>
            <w:r>
              <w:rPr/>
              <w:t> </w:t>
            </w:r>
          </w:p>
        </w:tc>
        <w:tc>
          <w:tcPr>
            <w:tcW w:w="292"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334" w:type="dxa"/>
            <w:tcBorders>
              <w:bottom w:val="single" w:sz="12" w:space="0" w:color="000000"/>
            </w:tcBorders>
            <w:shd w:fill="FFFF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w:t>
            </w:r>
          </w:p>
        </w:tc>
        <w:tc>
          <w:tcPr>
            <w:tcW w:w="81"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81"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982" w:type="dxa"/>
            <w:tcBorders>
              <w:bottom w:val="single" w:sz="12" w:space="0" w:color="000000"/>
            </w:tcBorders>
            <w:shd w:fill="FFFF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w:t>
            </w:r>
          </w:p>
        </w:tc>
        <w:tc>
          <w:tcPr>
            <w:tcW w:w="99"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139"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641" w:type="dxa"/>
            <w:tcBorders>
              <w:bottom w:val="single" w:sz="12" w:space="0" w:color="000000"/>
            </w:tcBorders>
            <w:shd w:fill="FFFF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w:t>
            </w:r>
          </w:p>
        </w:tc>
        <w:tc>
          <w:tcPr>
            <w:tcW w:w="99"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140"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77" w:type="dxa"/>
            <w:tcBorders>
              <w:bottom w:val="single" w:sz="12" w:space="0" w:color="000000"/>
            </w:tcBorders>
            <w:shd w:fill="FFFF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w:t>
            </w:r>
          </w:p>
        </w:tc>
        <w:tc>
          <w:tcPr>
            <w:tcW w:w="99"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140"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132" w:type="dxa"/>
            <w:tcBorders>
              <w:bottom w:val="single" w:sz="12" w:space="0" w:color="000000"/>
            </w:tcBorders>
            <w:shd w:fill="FFFF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(539,622</w:t>
            </w:r>
          </w:p>
        </w:tc>
        <w:tc>
          <w:tcPr>
            <w:tcW w:w="99" w:type="dxa"/>
            <w:tcBorders/>
            <w:shd w:fill="FFFFFF" w:val="clear"/>
            <w:vAlign w:val="bottom"/>
          </w:tcPr>
          <w:p>
            <w:pPr>
              <w:pStyle w:val="TableContents"/>
              <w:spacing w:before="0" w:after="283"/>
              <w:jc w:val="left"/>
              <w:rPr>
                <w:rFonts w:ascii="helvetica" w:hAnsi="helvetica"/>
                <w:sz w:val="20"/>
              </w:rPr>
            </w:pPr>
            <w:r>
              <w:rPr>
                <w:rFonts w:ascii="helvetica" w:hAnsi="helvetica"/>
                <w:sz w:val="20"/>
              </w:rPr>
              <w:t>)</w:t>
            </w:r>
          </w:p>
        </w:tc>
        <w:tc>
          <w:tcPr>
            <w:tcW w:w="81" w:type="dxa"/>
            <w:tcBorders/>
            <w:shd w:fill="FFFFFF" w:val="clear"/>
            <w:vAlign w:val="bottom"/>
          </w:tcPr>
          <w:p>
            <w:pPr>
              <w:pStyle w:val="TableContents"/>
              <w:spacing w:before="0" w:after="283"/>
              <w:rPr/>
            </w:pPr>
            <w:r>
              <w:rPr/>
              <w:t> </w:t>
            </w:r>
          </w:p>
        </w:tc>
        <w:tc>
          <w:tcPr>
            <w:tcW w:w="141"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45" w:type="dxa"/>
            <w:tcBorders>
              <w:bottom w:val="single" w:sz="12" w:space="0" w:color="000000"/>
            </w:tcBorders>
            <w:shd w:fill="FFFF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(539,622</w:t>
            </w:r>
          </w:p>
        </w:tc>
        <w:tc>
          <w:tcPr>
            <w:tcW w:w="123" w:type="dxa"/>
            <w:tcBorders/>
            <w:shd w:fill="FFFFFF" w:val="clear"/>
            <w:vAlign w:val="bottom"/>
          </w:tcPr>
          <w:p>
            <w:pPr>
              <w:pStyle w:val="TableContents"/>
              <w:spacing w:before="0" w:after="283"/>
              <w:jc w:val="left"/>
              <w:rPr>
                <w:rFonts w:ascii="helvetica" w:hAnsi="helvetica"/>
                <w:sz w:val="20"/>
              </w:rPr>
            </w:pPr>
            <w:r>
              <w:rPr>
                <w:rFonts w:ascii="helvetica" w:hAnsi="helvetica"/>
                <w:sz w:val="20"/>
              </w:rPr>
              <w:t>)</w:t>
            </w:r>
          </w:p>
        </w:tc>
      </w:tr>
      <w:tr>
        <w:trPr/>
        <w:tc>
          <w:tcPr>
            <w:tcW w:w="2070" w:type="dxa"/>
            <w:tcBorders/>
            <w:shd w:fill="CCEEFF" w:val="clear"/>
            <w:vAlign w:val="bottom"/>
          </w:tcPr>
          <w:p>
            <w:pPr>
              <w:pStyle w:val="TableContents"/>
              <w:spacing w:before="0" w:after="0"/>
              <w:ind w:left="0" w:right="0" w:hanging="0"/>
              <w:jc w:val="left"/>
              <w:rPr/>
            </w:pPr>
            <w:r>
              <w:rPr/>
              <w:t> </w:t>
            </w:r>
            <w:r>
              <w:rPr>
                <w:rFonts w:ascii="helvetica" w:hAnsi="helvetica"/>
                <w:sz w:val="20"/>
              </w:rPr>
              <w:t>Balance at December 31, 2005</w:t>
            </w:r>
          </w:p>
        </w:tc>
        <w:tc>
          <w:tcPr>
            <w:tcW w:w="81" w:type="dxa"/>
            <w:tcBorders/>
            <w:shd w:fill="CCEEFF" w:val="clear"/>
            <w:vAlign w:val="bottom"/>
          </w:tcPr>
          <w:p>
            <w:pPr>
              <w:pStyle w:val="TableContents"/>
              <w:spacing w:before="0" w:after="283"/>
              <w:rPr/>
            </w:pPr>
            <w:r>
              <w:rPr/>
              <w:t> </w:t>
            </w:r>
          </w:p>
        </w:tc>
        <w:tc>
          <w:tcPr>
            <w:tcW w:w="135" w:type="dxa"/>
            <w:tcBorders/>
            <w:shd w:fill="CCEEFF" w:val="clear"/>
            <w:vAlign w:val="bottom"/>
          </w:tcPr>
          <w:p>
            <w:pPr>
              <w:pStyle w:val="TableContents"/>
              <w:spacing w:before="0" w:after="283"/>
              <w:jc w:val="left"/>
              <w:rPr/>
            </w:pPr>
            <w:r>
              <w:rPr/>
              <w:t> </w:t>
            </w:r>
          </w:p>
        </w:tc>
        <w:tc>
          <w:tcPr>
            <w:tcW w:w="586"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w:t>
            </w:r>
          </w:p>
        </w:tc>
        <w:tc>
          <w:tcPr>
            <w:tcW w:w="92" w:type="dxa"/>
            <w:tcBorders/>
            <w:shd w:fill="CCEEFF" w:val="clear"/>
            <w:vAlign w:val="bottom"/>
          </w:tcPr>
          <w:p>
            <w:pPr>
              <w:pStyle w:val="TableContents"/>
              <w:spacing w:before="0" w:after="283"/>
              <w:jc w:val="left"/>
              <w:rPr/>
            </w:pPr>
            <w:r>
              <w:rPr/>
              <w:t> </w:t>
            </w:r>
          </w:p>
        </w:tc>
        <w:tc>
          <w:tcPr>
            <w:tcW w:w="92" w:type="dxa"/>
            <w:tcBorders/>
            <w:shd w:fill="CCEEFF" w:val="clear"/>
            <w:vAlign w:val="bottom"/>
          </w:tcPr>
          <w:p>
            <w:pPr>
              <w:pStyle w:val="TableContents"/>
              <w:spacing w:before="0" w:after="283"/>
              <w:rPr/>
            </w:pPr>
            <w:r>
              <w:rPr/>
              <w:t> </w:t>
            </w:r>
          </w:p>
        </w:tc>
        <w:tc>
          <w:tcPr>
            <w:tcW w:w="292" w:type="dxa"/>
            <w:tcBorders/>
            <w:shd w:fill="CCEEFF" w:val="clear"/>
            <w:vAlign w:val="bottom"/>
          </w:tcPr>
          <w:p>
            <w:pPr>
              <w:pStyle w:val="TableContents"/>
              <w:spacing w:before="0" w:after="283"/>
              <w:jc w:val="left"/>
              <w:rPr/>
            </w:pPr>
            <w:r>
              <w:rPr/>
              <w:t> </w:t>
            </w:r>
          </w:p>
        </w:tc>
        <w:tc>
          <w:tcPr>
            <w:tcW w:w="334"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w:t>
            </w:r>
          </w:p>
        </w:tc>
        <w:tc>
          <w:tcPr>
            <w:tcW w:w="81"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81" w:type="dxa"/>
            <w:tcBorders/>
            <w:shd w:fill="CCEEFF" w:val="clear"/>
            <w:vAlign w:val="bottom"/>
          </w:tcPr>
          <w:p>
            <w:pPr>
              <w:pStyle w:val="TableContents"/>
              <w:spacing w:before="0" w:after="283"/>
              <w:jc w:val="left"/>
              <w:rPr/>
            </w:pPr>
            <w:r>
              <w:rPr/>
              <w:t> </w:t>
            </w:r>
          </w:p>
        </w:tc>
        <w:tc>
          <w:tcPr>
            <w:tcW w:w="982"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425,782</w:t>
            </w:r>
          </w:p>
        </w:tc>
        <w:tc>
          <w:tcPr>
            <w:tcW w:w="99"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139" w:type="dxa"/>
            <w:tcBorders/>
            <w:shd w:fill="CCEEFF" w:val="clear"/>
            <w:vAlign w:val="bottom"/>
          </w:tcPr>
          <w:p>
            <w:pPr>
              <w:pStyle w:val="TableContents"/>
              <w:spacing w:before="0" w:after="283"/>
              <w:jc w:val="left"/>
              <w:rPr/>
            </w:pPr>
            <w:r>
              <w:rPr/>
              <w:t> </w:t>
            </w:r>
          </w:p>
        </w:tc>
        <w:tc>
          <w:tcPr>
            <w:tcW w:w="641"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426</w:t>
            </w:r>
          </w:p>
        </w:tc>
        <w:tc>
          <w:tcPr>
            <w:tcW w:w="99"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jc w:val="left"/>
              <w:rPr/>
            </w:pPr>
            <w:r>
              <w:rPr/>
              <w:t> </w:t>
            </w:r>
          </w:p>
        </w:tc>
        <w:tc>
          <w:tcPr>
            <w:tcW w:w="1077"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1,935,574</w:t>
            </w:r>
          </w:p>
        </w:tc>
        <w:tc>
          <w:tcPr>
            <w:tcW w:w="99"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jc w:val="left"/>
              <w:rPr/>
            </w:pPr>
            <w:r>
              <w:rPr/>
              <w:t> </w:t>
            </w:r>
          </w:p>
        </w:tc>
        <w:tc>
          <w:tcPr>
            <w:tcW w:w="1132"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(2,208,773</w:t>
            </w:r>
          </w:p>
        </w:tc>
        <w:tc>
          <w:tcPr>
            <w:tcW w:w="99" w:type="dxa"/>
            <w:tcBorders/>
            <w:shd w:fill="CCEEFF" w:val="clear"/>
            <w:vAlign w:val="bottom"/>
          </w:tcPr>
          <w:p>
            <w:pPr>
              <w:pStyle w:val="TableContents"/>
              <w:spacing w:before="0" w:after="283"/>
              <w:jc w:val="left"/>
              <w:rPr>
                <w:rFonts w:ascii="helvetica" w:hAnsi="helvetica"/>
                <w:sz w:val="20"/>
              </w:rPr>
            </w:pPr>
            <w:r>
              <w:rPr>
                <w:rFonts w:ascii="helvetica" w:hAnsi="helvetica"/>
                <w:sz w:val="20"/>
              </w:rPr>
              <w:t>)</w:t>
            </w:r>
          </w:p>
        </w:tc>
        <w:tc>
          <w:tcPr>
            <w:tcW w:w="81" w:type="dxa"/>
            <w:tcBorders/>
            <w:shd w:fill="CCEEFF" w:val="clear"/>
            <w:vAlign w:val="bottom"/>
          </w:tcPr>
          <w:p>
            <w:pPr>
              <w:pStyle w:val="TableContents"/>
              <w:spacing w:before="0" w:after="283"/>
              <w:rPr/>
            </w:pPr>
            <w:r>
              <w:rPr/>
              <w:t> </w:t>
            </w:r>
          </w:p>
        </w:tc>
        <w:tc>
          <w:tcPr>
            <w:tcW w:w="141" w:type="dxa"/>
            <w:tcBorders/>
            <w:shd w:fill="CCEEFF" w:val="clear"/>
            <w:vAlign w:val="bottom"/>
          </w:tcPr>
          <w:p>
            <w:pPr>
              <w:pStyle w:val="TableContents"/>
              <w:spacing w:before="0" w:after="283"/>
              <w:jc w:val="left"/>
              <w:rPr/>
            </w:pPr>
            <w:r>
              <w:rPr/>
              <w:t> </w:t>
            </w:r>
          </w:p>
        </w:tc>
        <w:tc>
          <w:tcPr>
            <w:tcW w:w="1045"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(272,773</w:t>
            </w:r>
          </w:p>
        </w:tc>
        <w:tc>
          <w:tcPr>
            <w:tcW w:w="123" w:type="dxa"/>
            <w:tcBorders/>
            <w:shd w:fill="CCEEFF" w:val="clear"/>
            <w:vAlign w:val="bottom"/>
          </w:tcPr>
          <w:p>
            <w:pPr>
              <w:pStyle w:val="TableContents"/>
              <w:spacing w:before="0" w:after="283"/>
              <w:jc w:val="left"/>
              <w:rPr>
                <w:rFonts w:ascii="helvetica" w:hAnsi="helvetica"/>
                <w:sz w:val="20"/>
              </w:rPr>
            </w:pPr>
            <w:r>
              <w:rPr>
                <w:rFonts w:ascii="helvetica" w:hAnsi="helvetica"/>
                <w:sz w:val="20"/>
              </w:rPr>
              <w:t>)</w:t>
            </w:r>
          </w:p>
        </w:tc>
      </w:tr>
      <w:tr>
        <w:trPr/>
        <w:tc>
          <w:tcPr>
            <w:tcW w:w="2070" w:type="dxa"/>
            <w:tcBorders/>
            <w:shd w:fill="FFFFFF" w:val="clear"/>
            <w:vAlign w:val="bottom"/>
          </w:tcPr>
          <w:p>
            <w:pPr>
              <w:pStyle w:val="TableContents"/>
              <w:spacing w:before="0" w:after="283"/>
              <w:rPr/>
            </w:pPr>
            <w:r>
              <w:rPr/>
              <w:t xml:space="preserve">  </w:t>
            </w:r>
          </w:p>
        </w:tc>
        <w:tc>
          <w:tcPr>
            <w:tcW w:w="81" w:type="dxa"/>
            <w:tcBorders/>
            <w:shd w:fill="FFFFFF" w:val="clear"/>
            <w:vAlign w:val="bottom"/>
          </w:tcPr>
          <w:p>
            <w:pPr>
              <w:pStyle w:val="TableContents"/>
              <w:spacing w:before="0" w:after="283"/>
              <w:rPr/>
            </w:pPr>
            <w:r>
              <w:rPr/>
              <w:t> </w:t>
            </w:r>
          </w:p>
        </w:tc>
        <w:tc>
          <w:tcPr>
            <w:tcW w:w="135" w:type="dxa"/>
            <w:tcBorders/>
            <w:shd w:fill="FFFFFF" w:val="clear"/>
            <w:vAlign w:val="bottom"/>
          </w:tcPr>
          <w:p>
            <w:pPr>
              <w:pStyle w:val="TableContents"/>
              <w:spacing w:before="0" w:after="283"/>
              <w:jc w:val="left"/>
              <w:rPr/>
            </w:pPr>
            <w:r>
              <w:rPr/>
              <w:t> </w:t>
            </w:r>
          </w:p>
        </w:tc>
        <w:tc>
          <w:tcPr>
            <w:tcW w:w="586" w:type="dxa"/>
            <w:tcBorders/>
            <w:shd w:fill="FFFFFF" w:val="clear"/>
            <w:vAlign w:val="bottom"/>
          </w:tcPr>
          <w:p>
            <w:pPr>
              <w:pStyle w:val="TableContents"/>
              <w:spacing w:before="0" w:after="283"/>
              <w:jc w:val="right"/>
              <w:rPr/>
            </w:pPr>
            <w:r>
              <w:rPr/>
              <w:t> </w:t>
            </w:r>
          </w:p>
        </w:tc>
        <w:tc>
          <w:tcPr>
            <w:tcW w:w="92" w:type="dxa"/>
            <w:tcBorders/>
            <w:shd w:fill="FFFFFF" w:val="clear"/>
            <w:vAlign w:val="bottom"/>
          </w:tcPr>
          <w:p>
            <w:pPr>
              <w:pStyle w:val="TableContents"/>
              <w:spacing w:before="0" w:after="283"/>
              <w:jc w:val="left"/>
              <w:rPr/>
            </w:pPr>
            <w:r>
              <w:rPr/>
              <w:t> </w:t>
            </w:r>
          </w:p>
        </w:tc>
        <w:tc>
          <w:tcPr>
            <w:tcW w:w="92" w:type="dxa"/>
            <w:tcBorders/>
            <w:shd w:fill="FFFFFF" w:val="clear"/>
            <w:vAlign w:val="bottom"/>
          </w:tcPr>
          <w:p>
            <w:pPr>
              <w:pStyle w:val="TableContents"/>
              <w:spacing w:before="0" w:after="283"/>
              <w:rPr/>
            </w:pPr>
            <w:r>
              <w:rPr/>
              <w:t> </w:t>
            </w:r>
          </w:p>
        </w:tc>
        <w:tc>
          <w:tcPr>
            <w:tcW w:w="292" w:type="dxa"/>
            <w:tcBorders/>
            <w:shd w:fill="FFFFFF" w:val="clear"/>
            <w:vAlign w:val="bottom"/>
          </w:tcPr>
          <w:p>
            <w:pPr>
              <w:pStyle w:val="TableContents"/>
              <w:spacing w:before="0" w:after="283"/>
              <w:jc w:val="left"/>
              <w:rPr/>
            </w:pPr>
            <w:r>
              <w:rPr/>
              <w:t> </w:t>
            </w:r>
          </w:p>
        </w:tc>
        <w:tc>
          <w:tcPr>
            <w:tcW w:w="334" w:type="dxa"/>
            <w:tcBorders/>
            <w:shd w:fill="FFFFFF" w:val="clear"/>
            <w:vAlign w:val="bottom"/>
          </w:tcPr>
          <w:p>
            <w:pPr>
              <w:pStyle w:val="TableContents"/>
              <w:spacing w:before="0" w:after="283"/>
              <w:jc w:val="right"/>
              <w:rPr/>
            </w:pPr>
            <w:r>
              <w:rPr/>
              <w:t> </w:t>
            </w:r>
          </w:p>
        </w:tc>
        <w:tc>
          <w:tcPr>
            <w:tcW w:w="81"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81" w:type="dxa"/>
            <w:tcBorders/>
            <w:shd w:fill="FFFFFF" w:val="clear"/>
            <w:vAlign w:val="bottom"/>
          </w:tcPr>
          <w:p>
            <w:pPr>
              <w:pStyle w:val="TableContents"/>
              <w:spacing w:before="0" w:after="283"/>
              <w:jc w:val="left"/>
              <w:rPr/>
            </w:pPr>
            <w:r>
              <w:rPr/>
              <w:t> </w:t>
            </w:r>
          </w:p>
        </w:tc>
        <w:tc>
          <w:tcPr>
            <w:tcW w:w="982" w:type="dxa"/>
            <w:tcBorders/>
            <w:shd w:fill="FFFFFF" w:val="clear"/>
            <w:vAlign w:val="bottom"/>
          </w:tcPr>
          <w:p>
            <w:pPr>
              <w:pStyle w:val="TableContents"/>
              <w:spacing w:before="0" w:after="283"/>
              <w:jc w:val="right"/>
              <w:rPr/>
            </w:pPr>
            <w:r>
              <w:rPr/>
              <w:t> </w:t>
            </w:r>
          </w:p>
        </w:tc>
        <w:tc>
          <w:tcPr>
            <w:tcW w:w="99"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139" w:type="dxa"/>
            <w:tcBorders/>
            <w:shd w:fill="FFFFFF" w:val="clear"/>
            <w:vAlign w:val="bottom"/>
          </w:tcPr>
          <w:p>
            <w:pPr>
              <w:pStyle w:val="TableContents"/>
              <w:spacing w:before="0" w:after="283"/>
              <w:jc w:val="left"/>
              <w:rPr/>
            </w:pPr>
            <w:r>
              <w:rPr/>
              <w:t> </w:t>
            </w:r>
          </w:p>
        </w:tc>
        <w:tc>
          <w:tcPr>
            <w:tcW w:w="641" w:type="dxa"/>
            <w:tcBorders/>
            <w:shd w:fill="FFFFFF" w:val="clear"/>
            <w:vAlign w:val="bottom"/>
          </w:tcPr>
          <w:p>
            <w:pPr>
              <w:pStyle w:val="TableContents"/>
              <w:spacing w:before="0" w:after="283"/>
              <w:jc w:val="right"/>
              <w:rPr/>
            </w:pPr>
            <w:r>
              <w:rPr/>
              <w:t> </w:t>
            </w:r>
          </w:p>
        </w:tc>
        <w:tc>
          <w:tcPr>
            <w:tcW w:w="99"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283"/>
              <w:jc w:val="left"/>
              <w:rPr/>
            </w:pPr>
            <w:r>
              <w:rPr/>
              <w:t> </w:t>
            </w:r>
          </w:p>
        </w:tc>
        <w:tc>
          <w:tcPr>
            <w:tcW w:w="1077" w:type="dxa"/>
            <w:tcBorders/>
            <w:shd w:fill="FFFFFF" w:val="clear"/>
            <w:vAlign w:val="bottom"/>
          </w:tcPr>
          <w:p>
            <w:pPr>
              <w:pStyle w:val="TableContents"/>
              <w:spacing w:before="0" w:after="283"/>
              <w:jc w:val="right"/>
              <w:rPr/>
            </w:pPr>
            <w:r>
              <w:rPr/>
              <w:t> </w:t>
            </w:r>
          </w:p>
        </w:tc>
        <w:tc>
          <w:tcPr>
            <w:tcW w:w="99"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283"/>
              <w:jc w:val="left"/>
              <w:rPr/>
            </w:pPr>
            <w:r>
              <w:rPr/>
              <w:t> </w:t>
            </w:r>
          </w:p>
        </w:tc>
        <w:tc>
          <w:tcPr>
            <w:tcW w:w="1132" w:type="dxa"/>
            <w:tcBorders/>
            <w:shd w:fill="FFFFFF" w:val="clear"/>
            <w:vAlign w:val="bottom"/>
          </w:tcPr>
          <w:p>
            <w:pPr>
              <w:pStyle w:val="TableContents"/>
              <w:spacing w:before="0" w:after="283"/>
              <w:jc w:val="right"/>
              <w:rPr/>
            </w:pPr>
            <w:r>
              <w:rPr/>
              <w:t> </w:t>
            </w:r>
          </w:p>
        </w:tc>
        <w:tc>
          <w:tcPr>
            <w:tcW w:w="99"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141" w:type="dxa"/>
            <w:tcBorders/>
            <w:shd w:fill="FFFFFF" w:val="clear"/>
            <w:vAlign w:val="bottom"/>
          </w:tcPr>
          <w:p>
            <w:pPr>
              <w:pStyle w:val="TableContents"/>
              <w:spacing w:before="0" w:after="283"/>
              <w:jc w:val="left"/>
              <w:rPr/>
            </w:pPr>
            <w:r>
              <w:rPr/>
              <w:t> </w:t>
            </w:r>
          </w:p>
        </w:tc>
        <w:tc>
          <w:tcPr>
            <w:tcW w:w="1045" w:type="dxa"/>
            <w:tcBorders/>
            <w:shd w:fill="FFFFFF" w:val="clear"/>
            <w:vAlign w:val="bottom"/>
          </w:tcPr>
          <w:p>
            <w:pPr>
              <w:pStyle w:val="TableContents"/>
              <w:spacing w:before="0" w:after="283"/>
              <w:jc w:val="right"/>
              <w:rPr/>
            </w:pPr>
            <w:r>
              <w:rPr/>
              <w:t> </w:t>
            </w:r>
          </w:p>
        </w:tc>
        <w:tc>
          <w:tcPr>
            <w:tcW w:w="123" w:type="dxa"/>
            <w:tcBorders/>
            <w:shd w:fill="FFFFFF" w:val="clear"/>
            <w:vAlign w:val="bottom"/>
          </w:tcPr>
          <w:p>
            <w:pPr>
              <w:pStyle w:val="TableContents"/>
              <w:spacing w:before="0" w:after="283"/>
              <w:jc w:val="left"/>
              <w:rPr/>
            </w:pPr>
            <w:r>
              <w:rPr/>
              <w:t> </w:t>
            </w:r>
          </w:p>
        </w:tc>
      </w:tr>
      <w:tr>
        <w:trPr/>
        <w:tc>
          <w:tcPr>
            <w:tcW w:w="2070" w:type="dxa"/>
            <w:tcBorders/>
            <w:shd w:fill="CCEEFF" w:val="clear"/>
            <w:vAlign w:val="bottom"/>
          </w:tcPr>
          <w:p>
            <w:pPr>
              <w:pStyle w:val="TableContents"/>
              <w:spacing w:before="0" w:after="0"/>
              <w:ind w:left="0" w:right="0" w:hanging="0"/>
              <w:jc w:val="left"/>
              <w:rPr/>
            </w:pPr>
            <w:r>
              <w:rPr/>
              <w:t> </w:t>
            </w:r>
            <w:r>
              <w:rPr>
                <w:rFonts w:ascii="helvetica" w:hAnsi="helvetica"/>
                <w:sz w:val="20"/>
              </w:rPr>
              <w:t>Capital contributions</w:t>
            </w:r>
          </w:p>
        </w:tc>
        <w:tc>
          <w:tcPr>
            <w:tcW w:w="81" w:type="dxa"/>
            <w:tcBorders/>
            <w:shd w:fill="CCEEFF" w:val="clear"/>
            <w:vAlign w:val="bottom"/>
          </w:tcPr>
          <w:p>
            <w:pPr>
              <w:pStyle w:val="TableContents"/>
              <w:spacing w:before="0" w:after="283"/>
              <w:rPr/>
            </w:pPr>
            <w:r>
              <w:rPr/>
              <w:t> </w:t>
            </w:r>
          </w:p>
        </w:tc>
        <w:tc>
          <w:tcPr>
            <w:tcW w:w="135" w:type="dxa"/>
            <w:tcBorders/>
            <w:shd w:fill="CCEEFF" w:val="clear"/>
            <w:vAlign w:val="bottom"/>
          </w:tcPr>
          <w:p>
            <w:pPr>
              <w:pStyle w:val="TableContents"/>
              <w:spacing w:before="0" w:after="283"/>
              <w:jc w:val="left"/>
              <w:rPr/>
            </w:pPr>
            <w:r>
              <w:rPr/>
              <w:t> </w:t>
            </w:r>
          </w:p>
        </w:tc>
        <w:tc>
          <w:tcPr>
            <w:tcW w:w="586"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w:t>
            </w:r>
          </w:p>
        </w:tc>
        <w:tc>
          <w:tcPr>
            <w:tcW w:w="92" w:type="dxa"/>
            <w:tcBorders/>
            <w:shd w:fill="CCEEFF" w:val="clear"/>
            <w:vAlign w:val="bottom"/>
          </w:tcPr>
          <w:p>
            <w:pPr>
              <w:pStyle w:val="TableContents"/>
              <w:spacing w:before="0" w:after="283"/>
              <w:jc w:val="left"/>
              <w:rPr/>
            </w:pPr>
            <w:r>
              <w:rPr/>
              <w:t> </w:t>
            </w:r>
          </w:p>
        </w:tc>
        <w:tc>
          <w:tcPr>
            <w:tcW w:w="92" w:type="dxa"/>
            <w:tcBorders/>
            <w:shd w:fill="CCEEFF" w:val="clear"/>
            <w:vAlign w:val="bottom"/>
          </w:tcPr>
          <w:p>
            <w:pPr>
              <w:pStyle w:val="TableContents"/>
              <w:spacing w:before="0" w:after="283"/>
              <w:rPr/>
            </w:pPr>
            <w:r>
              <w:rPr/>
              <w:t> </w:t>
            </w:r>
          </w:p>
        </w:tc>
        <w:tc>
          <w:tcPr>
            <w:tcW w:w="292" w:type="dxa"/>
            <w:tcBorders/>
            <w:shd w:fill="CCEEFF" w:val="clear"/>
            <w:vAlign w:val="bottom"/>
          </w:tcPr>
          <w:p>
            <w:pPr>
              <w:pStyle w:val="TableContents"/>
              <w:spacing w:before="0" w:after="283"/>
              <w:jc w:val="left"/>
              <w:rPr/>
            </w:pPr>
            <w:r>
              <w:rPr/>
              <w:t> </w:t>
            </w:r>
          </w:p>
        </w:tc>
        <w:tc>
          <w:tcPr>
            <w:tcW w:w="334"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w:t>
            </w:r>
          </w:p>
        </w:tc>
        <w:tc>
          <w:tcPr>
            <w:tcW w:w="81"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81" w:type="dxa"/>
            <w:tcBorders/>
            <w:shd w:fill="CCEEFF" w:val="clear"/>
            <w:vAlign w:val="bottom"/>
          </w:tcPr>
          <w:p>
            <w:pPr>
              <w:pStyle w:val="TableContents"/>
              <w:spacing w:before="0" w:after="283"/>
              <w:jc w:val="left"/>
              <w:rPr/>
            </w:pPr>
            <w:r>
              <w:rPr/>
              <w:t> </w:t>
            </w:r>
          </w:p>
        </w:tc>
        <w:tc>
          <w:tcPr>
            <w:tcW w:w="982"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w:t>
            </w:r>
          </w:p>
        </w:tc>
        <w:tc>
          <w:tcPr>
            <w:tcW w:w="99"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139" w:type="dxa"/>
            <w:tcBorders/>
            <w:shd w:fill="CCEEFF" w:val="clear"/>
            <w:vAlign w:val="bottom"/>
          </w:tcPr>
          <w:p>
            <w:pPr>
              <w:pStyle w:val="TableContents"/>
              <w:spacing w:before="0" w:after="283"/>
              <w:jc w:val="left"/>
              <w:rPr/>
            </w:pPr>
            <w:r>
              <w:rPr/>
              <w:t> </w:t>
            </w:r>
          </w:p>
        </w:tc>
        <w:tc>
          <w:tcPr>
            <w:tcW w:w="641"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w:t>
            </w:r>
          </w:p>
        </w:tc>
        <w:tc>
          <w:tcPr>
            <w:tcW w:w="99"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jc w:val="left"/>
              <w:rPr/>
            </w:pPr>
            <w:r>
              <w:rPr/>
              <w:t> </w:t>
            </w:r>
          </w:p>
        </w:tc>
        <w:tc>
          <w:tcPr>
            <w:tcW w:w="1077"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48,600</w:t>
            </w:r>
          </w:p>
        </w:tc>
        <w:tc>
          <w:tcPr>
            <w:tcW w:w="99"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jc w:val="left"/>
              <w:rPr/>
            </w:pPr>
            <w:r>
              <w:rPr/>
              <w:t> </w:t>
            </w:r>
          </w:p>
        </w:tc>
        <w:tc>
          <w:tcPr>
            <w:tcW w:w="1132"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w:t>
            </w:r>
          </w:p>
        </w:tc>
        <w:tc>
          <w:tcPr>
            <w:tcW w:w="99"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141" w:type="dxa"/>
            <w:tcBorders/>
            <w:shd w:fill="CCEEFF" w:val="clear"/>
            <w:vAlign w:val="bottom"/>
          </w:tcPr>
          <w:p>
            <w:pPr>
              <w:pStyle w:val="TableContents"/>
              <w:spacing w:before="0" w:after="283"/>
              <w:jc w:val="left"/>
              <w:rPr/>
            </w:pPr>
            <w:r>
              <w:rPr/>
              <w:t> </w:t>
            </w:r>
          </w:p>
        </w:tc>
        <w:tc>
          <w:tcPr>
            <w:tcW w:w="1045"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48,600</w:t>
            </w:r>
          </w:p>
        </w:tc>
        <w:tc>
          <w:tcPr>
            <w:tcW w:w="123" w:type="dxa"/>
            <w:tcBorders/>
            <w:shd w:fill="CCEEFF" w:val="clear"/>
            <w:vAlign w:val="bottom"/>
          </w:tcPr>
          <w:p>
            <w:pPr>
              <w:pStyle w:val="TableContents"/>
              <w:spacing w:before="0" w:after="283"/>
              <w:jc w:val="left"/>
              <w:rPr/>
            </w:pPr>
            <w:r>
              <w:rPr/>
              <w:t> </w:t>
            </w:r>
          </w:p>
        </w:tc>
      </w:tr>
      <w:tr>
        <w:trPr/>
        <w:tc>
          <w:tcPr>
            <w:tcW w:w="2070" w:type="dxa"/>
            <w:tcBorders/>
            <w:shd w:fill="FFFFFF" w:val="clear"/>
            <w:vAlign w:val="bottom"/>
          </w:tcPr>
          <w:p>
            <w:pPr>
              <w:pStyle w:val="TableContents"/>
              <w:spacing w:before="0" w:after="0"/>
              <w:ind w:left="0" w:right="0" w:hanging="0"/>
              <w:jc w:val="left"/>
              <w:rPr/>
            </w:pPr>
            <w:r>
              <w:rPr/>
              <w:t> </w:t>
            </w:r>
            <w:r>
              <w:rPr>
                <w:rFonts w:ascii="helvetica" w:hAnsi="helvetica"/>
                <w:sz w:val="20"/>
              </w:rPr>
              <w:t>Exercise of stock options at $0.0512 per share in June</w:t>
            </w:r>
          </w:p>
        </w:tc>
        <w:tc>
          <w:tcPr>
            <w:tcW w:w="81" w:type="dxa"/>
            <w:tcBorders/>
            <w:shd w:fill="FFFFFF" w:val="clear"/>
            <w:vAlign w:val="bottom"/>
          </w:tcPr>
          <w:p>
            <w:pPr>
              <w:pStyle w:val="TableContents"/>
              <w:spacing w:before="0" w:after="283"/>
              <w:rPr/>
            </w:pPr>
            <w:r>
              <w:rPr/>
              <w:t> </w:t>
            </w:r>
          </w:p>
        </w:tc>
        <w:tc>
          <w:tcPr>
            <w:tcW w:w="135" w:type="dxa"/>
            <w:tcBorders/>
            <w:shd w:fill="FFFFFF" w:val="clear"/>
            <w:vAlign w:val="bottom"/>
          </w:tcPr>
          <w:p>
            <w:pPr>
              <w:pStyle w:val="TableContents"/>
              <w:spacing w:before="0" w:after="283"/>
              <w:jc w:val="left"/>
              <w:rPr/>
            </w:pPr>
            <w:r>
              <w:rPr/>
              <w:t> </w:t>
            </w:r>
          </w:p>
        </w:tc>
        <w:tc>
          <w:tcPr>
            <w:tcW w:w="586" w:type="dxa"/>
            <w:tcBorders/>
            <w:shd w:fill="FFFFFF" w:val="clear"/>
            <w:vAlign w:val="bottom"/>
          </w:tcPr>
          <w:p>
            <w:pPr>
              <w:pStyle w:val="TableContents"/>
              <w:spacing w:before="0" w:after="283"/>
              <w:jc w:val="right"/>
              <w:rPr/>
            </w:pPr>
            <w:r>
              <w:rPr/>
              <w:t> </w:t>
            </w:r>
          </w:p>
        </w:tc>
        <w:tc>
          <w:tcPr>
            <w:tcW w:w="92" w:type="dxa"/>
            <w:tcBorders/>
            <w:shd w:fill="FFFFFF" w:val="clear"/>
            <w:vAlign w:val="bottom"/>
          </w:tcPr>
          <w:p>
            <w:pPr>
              <w:pStyle w:val="TableContents"/>
              <w:spacing w:before="0" w:after="283"/>
              <w:jc w:val="left"/>
              <w:rPr/>
            </w:pPr>
            <w:r>
              <w:rPr/>
              <w:t> </w:t>
            </w:r>
          </w:p>
        </w:tc>
        <w:tc>
          <w:tcPr>
            <w:tcW w:w="92" w:type="dxa"/>
            <w:tcBorders/>
            <w:shd w:fill="FFFFFF" w:val="clear"/>
            <w:vAlign w:val="bottom"/>
          </w:tcPr>
          <w:p>
            <w:pPr>
              <w:pStyle w:val="TableContents"/>
              <w:spacing w:before="0" w:after="283"/>
              <w:rPr/>
            </w:pPr>
            <w:r>
              <w:rPr/>
              <w:t> </w:t>
            </w:r>
          </w:p>
        </w:tc>
        <w:tc>
          <w:tcPr>
            <w:tcW w:w="292" w:type="dxa"/>
            <w:tcBorders/>
            <w:shd w:fill="FFFFFF" w:val="clear"/>
            <w:vAlign w:val="bottom"/>
          </w:tcPr>
          <w:p>
            <w:pPr>
              <w:pStyle w:val="TableContents"/>
              <w:spacing w:before="0" w:after="283"/>
              <w:jc w:val="left"/>
              <w:rPr/>
            </w:pPr>
            <w:r>
              <w:rPr/>
              <w:t> </w:t>
            </w:r>
          </w:p>
        </w:tc>
        <w:tc>
          <w:tcPr>
            <w:tcW w:w="334" w:type="dxa"/>
            <w:tcBorders/>
            <w:shd w:fill="FFFFFF" w:val="clear"/>
            <w:vAlign w:val="bottom"/>
          </w:tcPr>
          <w:p>
            <w:pPr>
              <w:pStyle w:val="TableContents"/>
              <w:spacing w:before="0" w:after="283"/>
              <w:jc w:val="right"/>
              <w:rPr/>
            </w:pPr>
            <w:r>
              <w:rPr/>
              <w:t> </w:t>
            </w:r>
          </w:p>
        </w:tc>
        <w:tc>
          <w:tcPr>
            <w:tcW w:w="81"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81" w:type="dxa"/>
            <w:tcBorders/>
            <w:shd w:fill="FFFFFF" w:val="clear"/>
            <w:vAlign w:val="bottom"/>
          </w:tcPr>
          <w:p>
            <w:pPr>
              <w:pStyle w:val="TableContents"/>
              <w:spacing w:before="0" w:after="283"/>
              <w:jc w:val="left"/>
              <w:rPr/>
            </w:pPr>
            <w:r>
              <w:rPr/>
              <w:t> </w:t>
            </w:r>
          </w:p>
        </w:tc>
        <w:tc>
          <w:tcPr>
            <w:tcW w:w="982" w:type="dxa"/>
            <w:tcBorders/>
            <w:shd w:fill="FFFFFF" w:val="clear"/>
            <w:vAlign w:val="bottom"/>
          </w:tcPr>
          <w:p>
            <w:pPr>
              <w:pStyle w:val="TableContents"/>
              <w:spacing w:before="0" w:after="283"/>
              <w:jc w:val="right"/>
              <w:rPr/>
            </w:pPr>
            <w:r>
              <w:rPr/>
              <w:t> </w:t>
            </w:r>
          </w:p>
        </w:tc>
        <w:tc>
          <w:tcPr>
            <w:tcW w:w="99"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139" w:type="dxa"/>
            <w:tcBorders/>
            <w:shd w:fill="FFFFFF" w:val="clear"/>
            <w:vAlign w:val="bottom"/>
          </w:tcPr>
          <w:p>
            <w:pPr>
              <w:pStyle w:val="TableContents"/>
              <w:spacing w:before="0" w:after="283"/>
              <w:jc w:val="left"/>
              <w:rPr/>
            </w:pPr>
            <w:r>
              <w:rPr/>
              <w:t> </w:t>
            </w:r>
          </w:p>
        </w:tc>
        <w:tc>
          <w:tcPr>
            <w:tcW w:w="641" w:type="dxa"/>
            <w:tcBorders/>
            <w:shd w:fill="FFFFFF" w:val="clear"/>
            <w:vAlign w:val="bottom"/>
          </w:tcPr>
          <w:p>
            <w:pPr>
              <w:pStyle w:val="TableContents"/>
              <w:spacing w:before="0" w:after="283"/>
              <w:jc w:val="right"/>
              <w:rPr/>
            </w:pPr>
            <w:r>
              <w:rPr/>
              <w:t> </w:t>
            </w:r>
          </w:p>
        </w:tc>
        <w:tc>
          <w:tcPr>
            <w:tcW w:w="99"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283"/>
              <w:jc w:val="left"/>
              <w:rPr/>
            </w:pPr>
            <w:r>
              <w:rPr/>
              <w:t> </w:t>
            </w:r>
          </w:p>
        </w:tc>
        <w:tc>
          <w:tcPr>
            <w:tcW w:w="1077" w:type="dxa"/>
            <w:tcBorders/>
            <w:shd w:fill="FFFFFF" w:val="clear"/>
            <w:vAlign w:val="bottom"/>
          </w:tcPr>
          <w:p>
            <w:pPr>
              <w:pStyle w:val="TableContents"/>
              <w:spacing w:before="0" w:after="283"/>
              <w:jc w:val="right"/>
              <w:rPr/>
            </w:pPr>
            <w:r>
              <w:rPr/>
              <w:t> </w:t>
            </w:r>
          </w:p>
        </w:tc>
        <w:tc>
          <w:tcPr>
            <w:tcW w:w="99"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283"/>
              <w:jc w:val="left"/>
              <w:rPr/>
            </w:pPr>
            <w:r>
              <w:rPr/>
              <w:t> </w:t>
            </w:r>
          </w:p>
        </w:tc>
        <w:tc>
          <w:tcPr>
            <w:tcW w:w="1132" w:type="dxa"/>
            <w:tcBorders/>
            <w:shd w:fill="FFFFFF" w:val="clear"/>
            <w:vAlign w:val="bottom"/>
          </w:tcPr>
          <w:p>
            <w:pPr>
              <w:pStyle w:val="TableContents"/>
              <w:spacing w:before="0" w:after="283"/>
              <w:jc w:val="right"/>
              <w:rPr/>
            </w:pPr>
            <w:r>
              <w:rPr/>
              <w:t> </w:t>
            </w:r>
          </w:p>
        </w:tc>
        <w:tc>
          <w:tcPr>
            <w:tcW w:w="99"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141" w:type="dxa"/>
            <w:tcBorders/>
            <w:shd w:fill="FFFFFF" w:val="clear"/>
            <w:vAlign w:val="bottom"/>
          </w:tcPr>
          <w:p>
            <w:pPr>
              <w:pStyle w:val="TableContents"/>
              <w:spacing w:before="0" w:after="283"/>
              <w:jc w:val="left"/>
              <w:rPr/>
            </w:pPr>
            <w:r>
              <w:rPr/>
              <w:t> </w:t>
            </w:r>
          </w:p>
        </w:tc>
        <w:tc>
          <w:tcPr>
            <w:tcW w:w="1045" w:type="dxa"/>
            <w:tcBorders/>
            <w:shd w:fill="FFFFFF" w:val="clear"/>
            <w:vAlign w:val="bottom"/>
          </w:tcPr>
          <w:p>
            <w:pPr>
              <w:pStyle w:val="TableContents"/>
              <w:spacing w:before="0" w:after="283"/>
              <w:jc w:val="right"/>
              <w:rPr/>
            </w:pPr>
            <w:r>
              <w:rPr/>
              <w:t> </w:t>
            </w:r>
          </w:p>
        </w:tc>
        <w:tc>
          <w:tcPr>
            <w:tcW w:w="123" w:type="dxa"/>
            <w:tcBorders/>
            <w:shd w:fill="FFFFFF" w:val="clear"/>
            <w:vAlign w:val="bottom"/>
          </w:tcPr>
          <w:p>
            <w:pPr>
              <w:pStyle w:val="TableContents"/>
              <w:spacing w:before="0" w:after="283"/>
              <w:jc w:val="left"/>
              <w:rPr/>
            </w:pPr>
            <w:r>
              <w:rPr/>
              <w:t> </w:t>
            </w:r>
          </w:p>
        </w:tc>
      </w:tr>
      <w:tr>
        <w:trPr/>
        <w:tc>
          <w:tcPr>
            <w:tcW w:w="2070" w:type="dxa"/>
            <w:tcBorders/>
            <w:shd w:fill="CCEEFF" w:val="clear"/>
            <w:vAlign w:val="bottom"/>
          </w:tcPr>
          <w:p>
            <w:pPr>
              <w:pStyle w:val="TableContents"/>
              <w:spacing w:before="0" w:after="0"/>
              <w:ind w:left="0" w:right="0" w:hanging="0"/>
              <w:jc w:val="left"/>
              <w:rPr/>
            </w:pPr>
            <w:r>
              <w:rPr/>
              <w:t>    </w:t>
            </w:r>
            <w:r>
              <w:rPr>
                <w:rFonts w:ascii="helvetica" w:hAnsi="helvetica"/>
                <w:sz w:val="20"/>
              </w:rPr>
              <w:t>and July 2006</w:t>
            </w:r>
          </w:p>
        </w:tc>
        <w:tc>
          <w:tcPr>
            <w:tcW w:w="81" w:type="dxa"/>
            <w:tcBorders/>
            <w:shd w:fill="CCEEFF" w:val="clear"/>
            <w:vAlign w:val="bottom"/>
          </w:tcPr>
          <w:p>
            <w:pPr>
              <w:pStyle w:val="TableContents"/>
              <w:spacing w:before="0" w:after="283"/>
              <w:rPr/>
            </w:pPr>
            <w:r>
              <w:rPr/>
              <w:t> </w:t>
            </w:r>
          </w:p>
        </w:tc>
        <w:tc>
          <w:tcPr>
            <w:tcW w:w="135" w:type="dxa"/>
            <w:tcBorders/>
            <w:shd w:fill="CCEEFF" w:val="clear"/>
            <w:vAlign w:val="bottom"/>
          </w:tcPr>
          <w:p>
            <w:pPr>
              <w:pStyle w:val="TableContents"/>
              <w:spacing w:before="0" w:after="283"/>
              <w:jc w:val="left"/>
              <w:rPr/>
            </w:pPr>
            <w:r>
              <w:rPr/>
              <w:t> </w:t>
            </w:r>
          </w:p>
        </w:tc>
        <w:tc>
          <w:tcPr>
            <w:tcW w:w="586"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w:t>
            </w:r>
          </w:p>
        </w:tc>
        <w:tc>
          <w:tcPr>
            <w:tcW w:w="92" w:type="dxa"/>
            <w:tcBorders/>
            <w:shd w:fill="CCEEFF" w:val="clear"/>
            <w:vAlign w:val="bottom"/>
          </w:tcPr>
          <w:p>
            <w:pPr>
              <w:pStyle w:val="TableContents"/>
              <w:spacing w:before="0" w:after="283"/>
              <w:jc w:val="left"/>
              <w:rPr/>
            </w:pPr>
            <w:r>
              <w:rPr/>
              <w:t> </w:t>
            </w:r>
          </w:p>
        </w:tc>
        <w:tc>
          <w:tcPr>
            <w:tcW w:w="92" w:type="dxa"/>
            <w:tcBorders/>
            <w:shd w:fill="CCEEFF" w:val="clear"/>
            <w:vAlign w:val="bottom"/>
          </w:tcPr>
          <w:p>
            <w:pPr>
              <w:pStyle w:val="TableContents"/>
              <w:spacing w:before="0" w:after="283"/>
              <w:rPr/>
            </w:pPr>
            <w:r>
              <w:rPr/>
              <w:t> </w:t>
            </w:r>
          </w:p>
        </w:tc>
        <w:tc>
          <w:tcPr>
            <w:tcW w:w="292" w:type="dxa"/>
            <w:tcBorders/>
            <w:shd w:fill="CCEEFF" w:val="clear"/>
            <w:vAlign w:val="bottom"/>
          </w:tcPr>
          <w:p>
            <w:pPr>
              <w:pStyle w:val="TableContents"/>
              <w:spacing w:before="0" w:after="283"/>
              <w:jc w:val="left"/>
              <w:rPr/>
            </w:pPr>
            <w:r>
              <w:rPr/>
              <w:t> </w:t>
            </w:r>
          </w:p>
        </w:tc>
        <w:tc>
          <w:tcPr>
            <w:tcW w:w="334"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w:t>
            </w:r>
          </w:p>
        </w:tc>
        <w:tc>
          <w:tcPr>
            <w:tcW w:w="81"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81" w:type="dxa"/>
            <w:tcBorders/>
            <w:shd w:fill="CCEEFF" w:val="clear"/>
            <w:vAlign w:val="bottom"/>
          </w:tcPr>
          <w:p>
            <w:pPr>
              <w:pStyle w:val="TableContents"/>
              <w:spacing w:before="0" w:after="283"/>
              <w:jc w:val="left"/>
              <w:rPr/>
            </w:pPr>
            <w:r>
              <w:rPr/>
              <w:t> </w:t>
            </w:r>
          </w:p>
        </w:tc>
        <w:tc>
          <w:tcPr>
            <w:tcW w:w="982"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46,875</w:t>
            </w:r>
          </w:p>
        </w:tc>
        <w:tc>
          <w:tcPr>
            <w:tcW w:w="99"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139" w:type="dxa"/>
            <w:tcBorders/>
            <w:shd w:fill="CCEEFF" w:val="clear"/>
            <w:vAlign w:val="bottom"/>
          </w:tcPr>
          <w:p>
            <w:pPr>
              <w:pStyle w:val="TableContents"/>
              <w:spacing w:before="0" w:after="283"/>
              <w:jc w:val="left"/>
              <w:rPr/>
            </w:pPr>
            <w:r>
              <w:rPr/>
              <w:t> </w:t>
            </w:r>
          </w:p>
        </w:tc>
        <w:tc>
          <w:tcPr>
            <w:tcW w:w="641"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47</w:t>
            </w:r>
          </w:p>
        </w:tc>
        <w:tc>
          <w:tcPr>
            <w:tcW w:w="99"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jc w:val="left"/>
              <w:rPr/>
            </w:pPr>
            <w:r>
              <w:rPr/>
              <w:t> </w:t>
            </w:r>
          </w:p>
        </w:tc>
        <w:tc>
          <w:tcPr>
            <w:tcW w:w="1077"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2,353</w:t>
            </w:r>
          </w:p>
        </w:tc>
        <w:tc>
          <w:tcPr>
            <w:tcW w:w="99"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jc w:val="left"/>
              <w:rPr/>
            </w:pPr>
            <w:r>
              <w:rPr/>
              <w:t> </w:t>
            </w:r>
          </w:p>
        </w:tc>
        <w:tc>
          <w:tcPr>
            <w:tcW w:w="1132"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w:t>
            </w:r>
          </w:p>
        </w:tc>
        <w:tc>
          <w:tcPr>
            <w:tcW w:w="99"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141" w:type="dxa"/>
            <w:tcBorders/>
            <w:shd w:fill="CCEEFF" w:val="clear"/>
            <w:vAlign w:val="bottom"/>
          </w:tcPr>
          <w:p>
            <w:pPr>
              <w:pStyle w:val="TableContents"/>
              <w:spacing w:before="0" w:after="283"/>
              <w:jc w:val="left"/>
              <w:rPr/>
            </w:pPr>
            <w:r>
              <w:rPr/>
              <w:t> </w:t>
            </w:r>
          </w:p>
        </w:tc>
        <w:tc>
          <w:tcPr>
            <w:tcW w:w="1045"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2,400</w:t>
            </w:r>
          </w:p>
        </w:tc>
        <w:tc>
          <w:tcPr>
            <w:tcW w:w="123" w:type="dxa"/>
            <w:tcBorders/>
            <w:shd w:fill="CCEEFF" w:val="clear"/>
            <w:vAlign w:val="bottom"/>
          </w:tcPr>
          <w:p>
            <w:pPr>
              <w:pStyle w:val="TableContents"/>
              <w:spacing w:before="0" w:after="283"/>
              <w:jc w:val="left"/>
              <w:rPr/>
            </w:pPr>
            <w:r>
              <w:rPr/>
              <w:t> </w:t>
            </w:r>
          </w:p>
        </w:tc>
      </w:tr>
      <w:tr>
        <w:trPr/>
        <w:tc>
          <w:tcPr>
            <w:tcW w:w="2070" w:type="dxa"/>
            <w:tcBorders/>
            <w:shd w:fill="FFFFFF" w:val="clear"/>
            <w:vAlign w:val="bottom"/>
          </w:tcPr>
          <w:p>
            <w:pPr>
              <w:pStyle w:val="TableContents"/>
              <w:spacing w:before="0" w:after="0"/>
              <w:ind w:left="0" w:right="0" w:hanging="0"/>
              <w:jc w:val="left"/>
              <w:rPr/>
            </w:pPr>
            <w:r>
              <w:rPr/>
              <w:t> </w:t>
            </w:r>
            <w:r>
              <w:rPr>
                <w:rFonts w:ascii="helvetica" w:hAnsi="helvetica"/>
                <w:sz w:val="20"/>
              </w:rPr>
              <w:t>Estimated fair value of services contributed by</w:t>
            </w:r>
          </w:p>
        </w:tc>
        <w:tc>
          <w:tcPr>
            <w:tcW w:w="81" w:type="dxa"/>
            <w:tcBorders/>
            <w:shd w:fill="FFFFFF" w:val="clear"/>
            <w:vAlign w:val="bottom"/>
          </w:tcPr>
          <w:p>
            <w:pPr>
              <w:pStyle w:val="TableContents"/>
              <w:spacing w:before="0" w:after="283"/>
              <w:rPr/>
            </w:pPr>
            <w:r>
              <w:rPr/>
              <w:t> </w:t>
            </w:r>
          </w:p>
        </w:tc>
        <w:tc>
          <w:tcPr>
            <w:tcW w:w="135" w:type="dxa"/>
            <w:tcBorders/>
            <w:shd w:fill="FFFFFF" w:val="clear"/>
            <w:vAlign w:val="bottom"/>
          </w:tcPr>
          <w:p>
            <w:pPr>
              <w:pStyle w:val="TableContents"/>
              <w:spacing w:before="0" w:after="283"/>
              <w:jc w:val="left"/>
              <w:rPr/>
            </w:pPr>
            <w:r>
              <w:rPr/>
              <w:t> </w:t>
            </w:r>
          </w:p>
        </w:tc>
        <w:tc>
          <w:tcPr>
            <w:tcW w:w="586" w:type="dxa"/>
            <w:tcBorders/>
            <w:shd w:fill="FFFFFF" w:val="clear"/>
            <w:vAlign w:val="bottom"/>
          </w:tcPr>
          <w:p>
            <w:pPr>
              <w:pStyle w:val="TableContents"/>
              <w:spacing w:before="0" w:after="283"/>
              <w:jc w:val="right"/>
              <w:rPr/>
            </w:pPr>
            <w:r>
              <w:rPr/>
              <w:t> </w:t>
            </w:r>
          </w:p>
        </w:tc>
        <w:tc>
          <w:tcPr>
            <w:tcW w:w="92" w:type="dxa"/>
            <w:tcBorders/>
            <w:shd w:fill="FFFFFF" w:val="clear"/>
            <w:vAlign w:val="bottom"/>
          </w:tcPr>
          <w:p>
            <w:pPr>
              <w:pStyle w:val="TableContents"/>
              <w:spacing w:before="0" w:after="283"/>
              <w:jc w:val="left"/>
              <w:rPr/>
            </w:pPr>
            <w:r>
              <w:rPr/>
              <w:t> </w:t>
            </w:r>
          </w:p>
        </w:tc>
        <w:tc>
          <w:tcPr>
            <w:tcW w:w="92" w:type="dxa"/>
            <w:tcBorders/>
            <w:shd w:fill="FFFFFF" w:val="clear"/>
            <w:vAlign w:val="bottom"/>
          </w:tcPr>
          <w:p>
            <w:pPr>
              <w:pStyle w:val="TableContents"/>
              <w:spacing w:before="0" w:after="283"/>
              <w:rPr/>
            </w:pPr>
            <w:r>
              <w:rPr/>
              <w:t> </w:t>
            </w:r>
          </w:p>
        </w:tc>
        <w:tc>
          <w:tcPr>
            <w:tcW w:w="292" w:type="dxa"/>
            <w:tcBorders/>
            <w:shd w:fill="FFFFFF" w:val="clear"/>
            <w:vAlign w:val="bottom"/>
          </w:tcPr>
          <w:p>
            <w:pPr>
              <w:pStyle w:val="TableContents"/>
              <w:spacing w:before="0" w:after="283"/>
              <w:jc w:val="left"/>
              <w:rPr/>
            </w:pPr>
            <w:r>
              <w:rPr/>
              <w:t> </w:t>
            </w:r>
          </w:p>
        </w:tc>
        <w:tc>
          <w:tcPr>
            <w:tcW w:w="334" w:type="dxa"/>
            <w:tcBorders/>
            <w:shd w:fill="FFFFFF" w:val="clear"/>
            <w:vAlign w:val="bottom"/>
          </w:tcPr>
          <w:p>
            <w:pPr>
              <w:pStyle w:val="TableContents"/>
              <w:spacing w:before="0" w:after="283"/>
              <w:jc w:val="right"/>
              <w:rPr/>
            </w:pPr>
            <w:r>
              <w:rPr/>
              <w:t> </w:t>
            </w:r>
          </w:p>
        </w:tc>
        <w:tc>
          <w:tcPr>
            <w:tcW w:w="81"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81" w:type="dxa"/>
            <w:tcBorders/>
            <w:shd w:fill="FFFFFF" w:val="clear"/>
            <w:vAlign w:val="bottom"/>
          </w:tcPr>
          <w:p>
            <w:pPr>
              <w:pStyle w:val="TableContents"/>
              <w:spacing w:before="0" w:after="283"/>
              <w:jc w:val="left"/>
              <w:rPr/>
            </w:pPr>
            <w:r>
              <w:rPr/>
              <w:t> </w:t>
            </w:r>
          </w:p>
        </w:tc>
        <w:tc>
          <w:tcPr>
            <w:tcW w:w="982" w:type="dxa"/>
            <w:tcBorders/>
            <w:shd w:fill="FFFFFF" w:val="clear"/>
            <w:vAlign w:val="bottom"/>
          </w:tcPr>
          <w:p>
            <w:pPr>
              <w:pStyle w:val="TableContents"/>
              <w:spacing w:before="0" w:after="283"/>
              <w:jc w:val="right"/>
              <w:rPr/>
            </w:pPr>
            <w:r>
              <w:rPr/>
              <w:t> </w:t>
            </w:r>
          </w:p>
        </w:tc>
        <w:tc>
          <w:tcPr>
            <w:tcW w:w="99"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139" w:type="dxa"/>
            <w:tcBorders/>
            <w:shd w:fill="FFFFFF" w:val="clear"/>
            <w:vAlign w:val="bottom"/>
          </w:tcPr>
          <w:p>
            <w:pPr>
              <w:pStyle w:val="TableContents"/>
              <w:spacing w:before="0" w:after="283"/>
              <w:jc w:val="left"/>
              <w:rPr/>
            </w:pPr>
            <w:r>
              <w:rPr/>
              <w:t> </w:t>
            </w:r>
          </w:p>
        </w:tc>
        <w:tc>
          <w:tcPr>
            <w:tcW w:w="641" w:type="dxa"/>
            <w:tcBorders/>
            <w:shd w:fill="FFFFFF" w:val="clear"/>
            <w:vAlign w:val="bottom"/>
          </w:tcPr>
          <w:p>
            <w:pPr>
              <w:pStyle w:val="TableContents"/>
              <w:spacing w:before="0" w:after="283"/>
              <w:jc w:val="right"/>
              <w:rPr/>
            </w:pPr>
            <w:r>
              <w:rPr/>
              <w:t> </w:t>
            </w:r>
          </w:p>
        </w:tc>
        <w:tc>
          <w:tcPr>
            <w:tcW w:w="99"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283"/>
              <w:jc w:val="left"/>
              <w:rPr/>
            </w:pPr>
            <w:r>
              <w:rPr/>
              <w:t> </w:t>
            </w:r>
          </w:p>
        </w:tc>
        <w:tc>
          <w:tcPr>
            <w:tcW w:w="1077" w:type="dxa"/>
            <w:tcBorders/>
            <w:shd w:fill="FFFFFF" w:val="clear"/>
            <w:vAlign w:val="bottom"/>
          </w:tcPr>
          <w:p>
            <w:pPr>
              <w:pStyle w:val="TableContents"/>
              <w:spacing w:before="0" w:after="283"/>
              <w:jc w:val="right"/>
              <w:rPr/>
            </w:pPr>
            <w:r>
              <w:rPr/>
              <w:t> </w:t>
            </w:r>
          </w:p>
        </w:tc>
        <w:tc>
          <w:tcPr>
            <w:tcW w:w="99"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283"/>
              <w:jc w:val="left"/>
              <w:rPr/>
            </w:pPr>
            <w:r>
              <w:rPr/>
              <w:t> </w:t>
            </w:r>
          </w:p>
        </w:tc>
        <w:tc>
          <w:tcPr>
            <w:tcW w:w="1132" w:type="dxa"/>
            <w:tcBorders/>
            <w:shd w:fill="FFFFFF" w:val="clear"/>
            <w:vAlign w:val="bottom"/>
          </w:tcPr>
          <w:p>
            <w:pPr>
              <w:pStyle w:val="TableContents"/>
              <w:spacing w:before="0" w:after="283"/>
              <w:jc w:val="right"/>
              <w:rPr/>
            </w:pPr>
            <w:r>
              <w:rPr/>
              <w:t> </w:t>
            </w:r>
          </w:p>
        </w:tc>
        <w:tc>
          <w:tcPr>
            <w:tcW w:w="99"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141" w:type="dxa"/>
            <w:tcBorders/>
            <w:shd w:fill="FFFFFF" w:val="clear"/>
            <w:vAlign w:val="bottom"/>
          </w:tcPr>
          <w:p>
            <w:pPr>
              <w:pStyle w:val="TableContents"/>
              <w:spacing w:before="0" w:after="283"/>
              <w:jc w:val="left"/>
              <w:rPr/>
            </w:pPr>
            <w:r>
              <w:rPr/>
              <w:t> </w:t>
            </w:r>
          </w:p>
        </w:tc>
        <w:tc>
          <w:tcPr>
            <w:tcW w:w="1045" w:type="dxa"/>
            <w:tcBorders/>
            <w:shd w:fill="FFFFFF" w:val="clear"/>
            <w:vAlign w:val="bottom"/>
          </w:tcPr>
          <w:p>
            <w:pPr>
              <w:pStyle w:val="TableContents"/>
              <w:spacing w:before="0" w:after="283"/>
              <w:jc w:val="right"/>
              <w:rPr/>
            </w:pPr>
            <w:r>
              <w:rPr/>
              <w:t> </w:t>
            </w:r>
          </w:p>
        </w:tc>
        <w:tc>
          <w:tcPr>
            <w:tcW w:w="123" w:type="dxa"/>
            <w:tcBorders/>
            <w:shd w:fill="FFFFFF" w:val="clear"/>
            <w:vAlign w:val="bottom"/>
          </w:tcPr>
          <w:p>
            <w:pPr>
              <w:pStyle w:val="TableContents"/>
              <w:spacing w:before="0" w:after="283"/>
              <w:jc w:val="left"/>
              <w:rPr/>
            </w:pPr>
            <w:r>
              <w:rPr/>
              <w:t> </w:t>
            </w:r>
          </w:p>
        </w:tc>
      </w:tr>
      <w:tr>
        <w:trPr/>
        <w:tc>
          <w:tcPr>
            <w:tcW w:w="2070" w:type="dxa"/>
            <w:tcBorders/>
            <w:shd w:fill="CCEEFF" w:val="clear"/>
            <w:vAlign w:val="bottom"/>
          </w:tcPr>
          <w:p>
            <w:pPr>
              <w:pStyle w:val="TableContents"/>
              <w:spacing w:before="0" w:after="0"/>
              <w:ind w:left="0" w:right="0" w:hanging="0"/>
              <w:jc w:val="left"/>
              <w:rPr/>
            </w:pPr>
            <w:r>
              <w:rPr/>
              <w:t>   </w:t>
            </w:r>
            <w:r>
              <w:rPr>
                <w:rFonts w:ascii="helvetica" w:hAnsi="helvetica"/>
                <w:sz w:val="20"/>
              </w:rPr>
              <w:t>stockholders</w:t>
            </w:r>
          </w:p>
        </w:tc>
        <w:tc>
          <w:tcPr>
            <w:tcW w:w="81" w:type="dxa"/>
            <w:tcBorders/>
            <w:shd w:fill="CCEEFF" w:val="clear"/>
            <w:vAlign w:val="bottom"/>
          </w:tcPr>
          <w:p>
            <w:pPr>
              <w:pStyle w:val="TableContents"/>
              <w:spacing w:before="0" w:after="283"/>
              <w:rPr/>
            </w:pPr>
            <w:r>
              <w:rPr/>
              <w:t> </w:t>
            </w:r>
          </w:p>
        </w:tc>
        <w:tc>
          <w:tcPr>
            <w:tcW w:w="135" w:type="dxa"/>
            <w:tcBorders/>
            <w:shd w:fill="CCEEFF" w:val="clear"/>
            <w:vAlign w:val="bottom"/>
          </w:tcPr>
          <w:p>
            <w:pPr>
              <w:pStyle w:val="TableContents"/>
              <w:spacing w:before="0" w:after="283"/>
              <w:jc w:val="left"/>
              <w:rPr/>
            </w:pPr>
            <w:r>
              <w:rPr/>
              <w:t> </w:t>
            </w:r>
          </w:p>
        </w:tc>
        <w:tc>
          <w:tcPr>
            <w:tcW w:w="586"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w:t>
            </w:r>
          </w:p>
        </w:tc>
        <w:tc>
          <w:tcPr>
            <w:tcW w:w="92" w:type="dxa"/>
            <w:tcBorders/>
            <w:shd w:fill="CCEEFF" w:val="clear"/>
            <w:vAlign w:val="bottom"/>
          </w:tcPr>
          <w:p>
            <w:pPr>
              <w:pStyle w:val="TableContents"/>
              <w:spacing w:before="0" w:after="283"/>
              <w:jc w:val="left"/>
              <w:rPr/>
            </w:pPr>
            <w:r>
              <w:rPr/>
              <w:t> </w:t>
            </w:r>
          </w:p>
        </w:tc>
        <w:tc>
          <w:tcPr>
            <w:tcW w:w="92" w:type="dxa"/>
            <w:tcBorders/>
            <w:shd w:fill="CCEEFF" w:val="clear"/>
            <w:vAlign w:val="bottom"/>
          </w:tcPr>
          <w:p>
            <w:pPr>
              <w:pStyle w:val="TableContents"/>
              <w:spacing w:before="0" w:after="283"/>
              <w:rPr/>
            </w:pPr>
            <w:r>
              <w:rPr/>
              <w:t> </w:t>
            </w:r>
          </w:p>
        </w:tc>
        <w:tc>
          <w:tcPr>
            <w:tcW w:w="292" w:type="dxa"/>
            <w:tcBorders/>
            <w:shd w:fill="CCEEFF" w:val="clear"/>
            <w:vAlign w:val="bottom"/>
          </w:tcPr>
          <w:p>
            <w:pPr>
              <w:pStyle w:val="TableContents"/>
              <w:spacing w:before="0" w:after="283"/>
              <w:jc w:val="left"/>
              <w:rPr/>
            </w:pPr>
            <w:r>
              <w:rPr/>
              <w:t> </w:t>
            </w:r>
          </w:p>
        </w:tc>
        <w:tc>
          <w:tcPr>
            <w:tcW w:w="334"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w:t>
            </w:r>
          </w:p>
        </w:tc>
        <w:tc>
          <w:tcPr>
            <w:tcW w:w="81"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81" w:type="dxa"/>
            <w:tcBorders/>
            <w:shd w:fill="CCEEFF" w:val="clear"/>
            <w:vAlign w:val="bottom"/>
          </w:tcPr>
          <w:p>
            <w:pPr>
              <w:pStyle w:val="TableContents"/>
              <w:spacing w:before="0" w:after="283"/>
              <w:jc w:val="left"/>
              <w:rPr/>
            </w:pPr>
            <w:r>
              <w:rPr/>
              <w:t> </w:t>
            </w:r>
          </w:p>
        </w:tc>
        <w:tc>
          <w:tcPr>
            <w:tcW w:w="982"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w:t>
            </w:r>
          </w:p>
        </w:tc>
        <w:tc>
          <w:tcPr>
            <w:tcW w:w="99"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139" w:type="dxa"/>
            <w:tcBorders/>
            <w:shd w:fill="CCEEFF" w:val="clear"/>
            <w:vAlign w:val="bottom"/>
          </w:tcPr>
          <w:p>
            <w:pPr>
              <w:pStyle w:val="TableContents"/>
              <w:spacing w:before="0" w:after="283"/>
              <w:jc w:val="left"/>
              <w:rPr/>
            </w:pPr>
            <w:r>
              <w:rPr/>
              <w:t> </w:t>
            </w:r>
          </w:p>
        </w:tc>
        <w:tc>
          <w:tcPr>
            <w:tcW w:w="641"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w:t>
            </w:r>
          </w:p>
        </w:tc>
        <w:tc>
          <w:tcPr>
            <w:tcW w:w="99"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jc w:val="left"/>
              <w:rPr/>
            </w:pPr>
            <w:r>
              <w:rPr/>
              <w:t> </w:t>
            </w:r>
          </w:p>
        </w:tc>
        <w:tc>
          <w:tcPr>
            <w:tcW w:w="1077"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400,000</w:t>
            </w:r>
          </w:p>
        </w:tc>
        <w:tc>
          <w:tcPr>
            <w:tcW w:w="99"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jc w:val="left"/>
              <w:rPr/>
            </w:pPr>
            <w:r>
              <w:rPr/>
              <w:t> </w:t>
            </w:r>
          </w:p>
        </w:tc>
        <w:tc>
          <w:tcPr>
            <w:tcW w:w="1132"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w:t>
            </w:r>
          </w:p>
        </w:tc>
        <w:tc>
          <w:tcPr>
            <w:tcW w:w="99"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141" w:type="dxa"/>
            <w:tcBorders/>
            <w:shd w:fill="CCEEFF" w:val="clear"/>
            <w:vAlign w:val="bottom"/>
          </w:tcPr>
          <w:p>
            <w:pPr>
              <w:pStyle w:val="TableContents"/>
              <w:spacing w:before="0" w:after="283"/>
              <w:jc w:val="left"/>
              <w:rPr/>
            </w:pPr>
            <w:r>
              <w:rPr/>
              <w:t> </w:t>
            </w:r>
          </w:p>
        </w:tc>
        <w:tc>
          <w:tcPr>
            <w:tcW w:w="1045"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400,000</w:t>
            </w:r>
          </w:p>
        </w:tc>
        <w:tc>
          <w:tcPr>
            <w:tcW w:w="123" w:type="dxa"/>
            <w:tcBorders/>
            <w:shd w:fill="CCEEFF" w:val="clear"/>
            <w:vAlign w:val="bottom"/>
          </w:tcPr>
          <w:p>
            <w:pPr>
              <w:pStyle w:val="TableContents"/>
              <w:spacing w:before="0" w:after="283"/>
              <w:jc w:val="left"/>
              <w:rPr/>
            </w:pPr>
            <w:r>
              <w:rPr/>
              <w:t> </w:t>
            </w:r>
          </w:p>
        </w:tc>
      </w:tr>
      <w:tr>
        <w:trPr/>
        <w:tc>
          <w:tcPr>
            <w:tcW w:w="2070" w:type="dxa"/>
            <w:tcBorders/>
            <w:shd w:fill="FFFFFF" w:val="clear"/>
            <w:vAlign w:val="bottom"/>
          </w:tcPr>
          <w:p>
            <w:pPr>
              <w:pStyle w:val="TableContents"/>
              <w:spacing w:before="0" w:after="0"/>
              <w:ind w:left="0" w:right="0" w:hanging="0"/>
              <w:jc w:val="left"/>
              <w:rPr/>
            </w:pPr>
            <w:r>
              <w:rPr/>
              <w:t> </w:t>
            </w:r>
            <w:r>
              <w:rPr>
                <w:rFonts w:ascii="helvetica" w:hAnsi="helvetica"/>
                <w:sz w:val="20"/>
              </w:rPr>
              <w:t>Net loss</w:t>
            </w:r>
          </w:p>
        </w:tc>
        <w:tc>
          <w:tcPr>
            <w:tcW w:w="81" w:type="dxa"/>
            <w:tcBorders/>
            <w:shd w:fill="FFFFFF" w:val="clear"/>
            <w:vAlign w:val="bottom"/>
          </w:tcPr>
          <w:p>
            <w:pPr>
              <w:pStyle w:val="TableContents"/>
              <w:spacing w:before="0" w:after="283"/>
              <w:rPr/>
            </w:pPr>
            <w:r>
              <w:rPr/>
              <w:t> </w:t>
            </w:r>
          </w:p>
        </w:tc>
        <w:tc>
          <w:tcPr>
            <w:tcW w:w="13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586" w:type="dxa"/>
            <w:tcBorders>
              <w:bottom w:val="single" w:sz="12" w:space="0" w:color="000000"/>
            </w:tcBorders>
            <w:shd w:fill="FFFF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w:t>
            </w:r>
          </w:p>
        </w:tc>
        <w:tc>
          <w:tcPr>
            <w:tcW w:w="92" w:type="dxa"/>
            <w:tcBorders/>
            <w:shd w:fill="FFFFFF" w:val="clear"/>
            <w:vAlign w:val="bottom"/>
          </w:tcPr>
          <w:p>
            <w:pPr>
              <w:pStyle w:val="TableContents"/>
              <w:spacing w:before="0" w:after="283"/>
              <w:jc w:val="left"/>
              <w:rPr/>
            </w:pPr>
            <w:r>
              <w:rPr/>
              <w:t> </w:t>
            </w:r>
          </w:p>
        </w:tc>
        <w:tc>
          <w:tcPr>
            <w:tcW w:w="92" w:type="dxa"/>
            <w:tcBorders/>
            <w:shd w:fill="FFFFFF" w:val="clear"/>
            <w:vAlign w:val="bottom"/>
          </w:tcPr>
          <w:p>
            <w:pPr>
              <w:pStyle w:val="TableContents"/>
              <w:spacing w:before="0" w:after="283"/>
              <w:rPr/>
            </w:pPr>
            <w:r>
              <w:rPr/>
              <w:t> </w:t>
            </w:r>
          </w:p>
        </w:tc>
        <w:tc>
          <w:tcPr>
            <w:tcW w:w="292"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334" w:type="dxa"/>
            <w:tcBorders>
              <w:bottom w:val="single" w:sz="12" w:space="0" w:color="000000"/>
            </w:tcBorders>
            <w:shd w:fill="FFFF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w:t>
            </w:r>
          </w:p>
        </w:tc>
        <w:tc>
          <w:tcPr>
            <w:tcW w:w="81"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81"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982" w:type="dxa"/>
            <w:tcBorders>
              <w:bottom w:val="single" w:sz="12" w:space="0" w:color="000000"/>
            </w:tcBorders>
            <w:shd w:fill="FFFF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w:t>
            </w:r>
          </w:p>
        </w:tc>
        <w:tc>
          <w:tcPr>
            <w:tcW w:w="99"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139"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641" w:type="dxa"/>
            <w:tcBorders>
              <w:bottom w:val="single" w:sz="12" w:space="0" w:color="000000"/>
            </w:tcBorders>
            <w:shd w:fill="FFFF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w:t>
            </w:r>
          </w:p>
        </w:tc>
        <w:tc>
          <w:tcPr>
            <w:tcW w:w="99"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140"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77" w:type="dxa"/>
            <w:tcBorders>
              <w:bottom w:val="single" w:sz="12" w:space="0" w:color="000000"/>
            </w:tcBorders>
            <w:shd w:fill="FFFF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w:t>
            </w:r>
          </w:p>
        </w:tc>
        <w:tc>
          <w:tcPr>
            <w:tcW w:w="99"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140"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132" w:type="dxa"/>
            <w:tcBorders>
              <w:bottom w:val="single" w:sz="12" w:space="0" w:color="000000"/>
            </w:tcBorders>
            <w:shd w:fill="FFFF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(584,232</w:t>
            </w:r>
          </w:p>
        </w:tc>
        <w:tc>
          <w:tcPr>
            <w:tcW w:w="99" w:type="dxa"/>
            <w:tcBorders/>
            <w:shd w:fill="FFFFFF" w:val="clear"/>
            <w:vAlign w:val="bottom"/>
          </w:tcPr>
          <w:p>
            <w:pPr>
              <w:pStyle w:val="TableContents"/>
              <w:spacing w:before="0" w:after="283"/>
              <w:jc w:val="left"/>
              <w:rPr>
                <w:rFonts w:ascii="helvetica" w:hAnsi="helvetica"/>
                <w:sz w:val="20"/>
              </w:rPr>
            </w:pPr>
            <w:r>
              <w:rPr>
                <w:rFonts w:ascii="helvetica" w:hAnsi="helvetica"/>
                <w:sz w:val="20"/>
              </w:rPr>
              <w:t>)</w:t>
            </w:r>
          </w:p>
        </w:tc>
        <w:tc>
          <w:tcPr>
            <w:tcW w:w="81" w:type="dxa"/>
            <w:tcBorders/>
            <w:shd w:fill="FFFFFF" w:val="clear"/>
            <w:vAlign w:val="bottom"/>
          </w:tcPr>
          <w:p>
            <w:pPr>
              <w:pStyle w:val="TableContents"/>
              <w:spacing w:before="0" w:after="283"/>
              <w:rPr/>
            </w:pPr>
            <w:r>
              <w:rPr/>
              <w:t> </w:t>
            </w:r>
          </w:p>
        </w:tc>
        <w:tc>
          <w:tcPr>
            <w:tcW w:w="141"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45" w:type="dxa"/>
            <w:tcBorders>
              <w:bottom w:val="single" w:sz="12" w:space="0" w:color="000000"/>
            </w:tcBorders>
            <w:shd w:fill="FFFF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(584,232</w:t>
            </w:r>
          </w:p>
        </w:tc>
        <w:tc>
          <w:tcPr>
            <w:tcW w:w="123" w:type="dxa"/>
            <w:tcBorders/>
            <w:shd w:fill="FFFFFF" w:val="clear"/>
            <w:vAlign w:val="bottom"/>
          </w:tcPr>
          <w:p>
            <w:pPr>
              <w:pStyle w:val="TableContents"/>
              <w:spacing w:before="0" w:after="283"/>
              <w:jc w:val="left"/>
              <w:rPr>
                <w:rFonts w:ascii="helvetica" w:hAnsi="helvetica"/>
                <w:sz w:val="20"/>
              </w:rPr>
            </w:pPr>
            <w:r>
              <w:rPr>
                <w:rFonts w:ascii="helvetica" w:hAnsi="helvetica"/>
                <w:sz w:val="20"/>
              </w:rPr>
              <w:t>)</w:t>
            </w:r>
          </w:p>
        </w:tc>
      </w:tr>
      <w:tr>
        <w:trPr/>
        <w:tc>
          <w:tcPr>
            <w:tcW w:w="2070" w:type="dxa"/>
            <w:tcBorders/>
            <w:shd w:fill="CCEEFF" w:val="clear"/>
            <w:vAlign w:val="bottom"/>
          </w:tcPr>
          <w:p>
            <w:pPr>
              <w:pStyle w:val="TableContents"/>
              <w:spacing w:before="0" w:after="0"/>
              <w:ind w:left="0" w:right="0" w:hanging="0"/>
              <w:jc w:val="left"/>
              <w:rPr/>
            </w:pPr>
            <w:r>
              <w:rPr/>
              <w:t> </w:t>
            </w:r>
            <w:r>
              <w:rPr>
                <w:rFonts w:ascii="helvetica" w:hAnsi="helvetica"/>
                <w:sz w:val="20"/>
              </w:rPr>
              <w:t>Balance at December 31, 2006</w:t>
            </w:r>
          </w:p>
        </w:tc>
        <w:tc>
          <w:tcPr>
            <w:tcW w:w="81" w:type="dxa"/>
            <w:tcBorders/>
            <w:shd w:fill="CCEEFF" w:val="clear"/>
            <w:vAlign w:val="bottom"/>
          </w:tcPr>
          <w:p>
            <w:pPr>
              <w:pStyle w:val="TableContents"/>
              <w:spacing w:before="0" w:after="283"/>
              <w:rPr/>
            </w:pPr>
            <w:r>
              <w:rPr/>
              <w:t> </w:t>
            </w:r>
          </w:p>
        </w:tc>
        <w:tc>
          <w:tcPr>
            <w:tcW w:w="135" w:type="dxa"/>
            <w:tcBorders/>
            <w:shd w:fill="CCEEFF" w:val="clear"/>
            <w:vAlign w:val="bottom"/>
          </w:tcPr>
          <w:p>
            <w:pPr>
              <w:pStyle w:val="TableContents"/>
              <w:spacing w:before="0" w:after="283"/>
              <w:jc w:val="left"/>
              <w:rPr/>
            </w:pPr>
            <w:r>
              <w:rPr/>
              <w:t> </w:t>
            </w:r>
          </w:p>
        </w:tc>
        <w:tc>
          <w:tcPr>
            <w:tcW w:w="586"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w:t>
            </w:r>
          </w:p>
        </w:tc>
        <w:tc>
          <w:tcPr>
            <w:tcW w:w="92" w:type="dxa"/>
            <w:tcBorders/>
            <w:shd w:fill="CCEEFF" w:val="clear"/>
            <w:vAlign w:val="bottom"/>
          </w:tcPr>
          <w:p>
            <w:pPr>
              <w:pStyle w:val="TableContents"/>
              <w:spacing w:before="0" w:after="283"/>
              <w:jc w:val="left"/>
              <w:rPr/>
            </w:pPr>
            <w:r>
              <w:rPr/>
              <w:t> </w:t>
            </w:r>
          </w:p>
        </w:tc>
        <w:tc>
          <w:tcPr>
            <w:tcW w:w="92" w:type="dxa"/>
            <w:tcBorders/>
            <w:shd w:fill="CCEEFF" w:val="clear"/>
            <w:vAlign w:val="bottom"/>
          </w:tcPr>
          <w:p>
            <w:pPr>
              <w:pStyle w:val="TableContents"/>
              <w:spacing w:before="0" w:after="283"/>
              <w:rPr/>
            </w:pPr>
            <w:r>
              <w:rPr/>
              <w:t> </w:t>
            </w:r>
          </w:p>
        </w:tc>
        <w:tc>
          <w:tcPr>
            <w:tcW w:w="292" w:type="dxa"/>
            <w:tcBorders/>
            <w:shd w:fill="CCEEFF" w:val="clear"/>
            <w:vAlign w:val="bottom"/>
          </w:tcPr>
          <w:p>
            <w:pPr>
              <w:pStyle w:val="TableContents"/>
              <w:spacing w:before="0" w:after="283"/>
              <w:jc w:val="left"/>
              <w:rPr/>
            </w:pPr>
            <w:r>
              <w:rPr/>
              <w:t> </w:t>
            </w:r>
          </w:p>
        </w:tc>
        <w:tc>
          <w:tcPr>
            <w:tcW w:w="334"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w:t>
            </w:r>
          </w:p>
        </w:tc>
        <w:tc>
          <w:tcPr>
            <w:tcW w:w="81"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81" w:type="dxa"/>
            <w:tcBorders/>
            <w:shd w:fill="CCEEFF" w:val="clear"/>
            <w:vAlign w:val="bottom"/>
          </w:tcPr>
          <w:p>
            <w:pPr>
              <w:pStyle w:val="TableContents"/>
              <w:spacing w:before="0" w:after="283"/>
              <w:jc w:val="left"/>
              <w:rPr/>
            </w:pPr>
            <w:r>
              <w:rPr/>
              <w:t> </w:t>
            </w:r>
          </w:p>
        </w:tc>
        <w:tc>
          <w:tcPr>
            <w:tcW w:w="982"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472,657</w:t>
            </w:r>
          </w:p>
        </w:tc>
        <w:tc>
          <w:tcPr>
            <w:tcW w:w="99"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139" w:type="dxa"/>
            <w:tcBorders/>
            <w:shd w:fill="CCEEFF" w:val="clear"/>
            <w:vAlign w:val="bottom"/>
          </w:tcPr>
          <w:p>
            <w:pPr>
              <w:pStyle w:val="TableContents"/>
              <w:spacing w:before="0" w:after="283"/>
              <w:jc w:val="left"/>
              <w:rPr/>
            </w:pPr>
            <w:r>
              <w:rPr/>
              <w:t> </w:t>
            </w:r>
          </w:p>
        </w:tc>
        <w:tc>
          <w:tcPr>
            <w:tcW w:w="641"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473</w:t>
            </w:r>
          </w:p>
        </w:tc>
        <w:tc>
          <w:tcPr>
            <w:tcW w:w="99"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jc w:val="left"/>
              <w:rPr/>
            </w:pPr>
            <w:r>
              <w:rPr/>
              <w:t> </w:t>
            </w:r>
          </w:p>
        </w:tc>
        <w:tc>
          <w:tcPr>
            <w:tcW w:w="1077"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2,386,527</w:t>
            </w:r>
          </w:p>
        </w:tc>
        <w:tc>
          <w:tcPr>
            <w:tcW w:w="99"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jc w:val="left"/>
              <w:rPr/>
            </w:pPr>
            <w:r>
              <w:rPr/>
              <w:t> </w:t>
            </w:r>
          </w:p>
        </w:tc>
        <w:tc>
          <w:tcPr>
            <w:tcW w:w="1132"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(2,793,005</w:t>
            </w:r>
          </w:p>
        </w:tc>
        <w:tc>
          <w:tcPr>
            <w:tcW w:w="99" w:type="dxa"/>
            <w:tcBorders/>
            <w:shd w:fill="CCEEFF" w:val="clear"/>
            <w:vAlign w:val="bottom"/>
          </w:tcPr>
          <w:p>
            <w:pPr>
              <w:pStyle w:val="TableContents"/>
              <w:spacing w:before="0" w:after="283"/>
              <w:jc w:val="left"/>
              <w:rPr>
                <w:rFonts w:ascii="helvetica" w:hAnsi="helvetica"/>
                <w:sz w:val="20"/>
              </w:rPr>
            </w:pPr>
            <w:r>
              <w:rPr>
                <w:rFonts w:ascii="helvetica" w:hAnsi="helvetica"/>
                <w:sz w:val="20"/>
              </w:rPr>
              <w:t>)</w:t>
            </w:r>
          </w:p>
        </w:tc>
        <w:tc>
          <w:tcPr>
            <w:tcW w:w="81" w:type="dxa"/>
            <w:tcBorders/>
            <w:shd w:fill="CCEEFF" w:val="clear"/>
            <w:vAlign w:val="bottom"/>
          </w:tcPr>
          <w:p>
            <w:pPr>
              <w:pStyle w:val="TableContents"/>
              <w:spacing w:before="0" w:after="283"/>
              <w:rPr/>
            </w:pPr>
            <w:r>
              <w:rPr/>
              <w:t> </w:t>
            </w:r>
          </w:p>
        </w:tc>
        <w:tc>
          <w:tcPr>
            <w:tcW w:w="141" w:type="dxa"/>
            <w:tcBorders/>
            <w:shd w:fill="CCEEFF" w:val="clear"/>
            <w:vAlign w:val="bottom"/>
          </w:tcPr>
          <w:p>
            <w:pPr>
              <w:pStyle w:val="TableContents"/>
              <w:spacing w:before="0" w:after="283"/>
              <w:jc w:val="left"/>
              <w:rPr/>
            </w:pPr>
            <w:r>
              <w:rPr/>
              <w:t> </w:t>
            </w:r>
          </w:p>
        </w:tc>
        <w:tc>
          <w:tcPr>
            <w:tcW w:w="1045"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(406,005</w:t>
            </w:r>
          </w:p>
        </w:tc>
        <w:tc>
          <w:tcPr>
            <w:tcW w:w="123" w:type="dxa"/>
            <w:tcBorders/>
            <w:shd w:fill="CCEEFF" w:val="clear"/>
            <w:vAlign w:val="bottom"/>
          </w:tcPr>
          <w:p>
            <w:pPr>
              <w:pStyle w:val="TableContents"/>
              <w:spacing w:before="0" w:after="283"/>
              <w:jc w:val="left"/>
              <w:rPr>
                <w:rFonts w:ascii="helvetica" w:hAnsi="helvetica"/>
                <w:sz w:val="20"/>
              </w:rPr>
            </w:pPr>
            <w:r>
              <w:rPr>
                <w:rFonts w:ascii="helvetica" w:hAnsi="helvetica"/>
                <w:sz w:val="20"/>
              </w:rPr>
              <w:t>)</w:t>
            </w:r>
          </w:p>
        </w:tc>
      </w:tr>
      <w:tr>
        <w:trPr/>
        <w:tc>
          <w:tcPr>
            <w:tcW w:w="2070" w:type="dxa"/>
            <w:tcBorders/>
            <w:shd w:fill="FFFFFF" w:val="clear"/>
            <w:vAlign w:val="bottom"/>
          </w:tcPr>
          <w:p>
            <w:pPr>
              <w:pStyle w:val="TableContents"/>
              <w:spacing w:before="0" w:after="283"/>
              <w:rPr/>
            </w:pPr>
            <w:r>
              <w:rPr/>
              <w:t xml:space="preserve">  </w:t>
            </w:r>
          </w:p>
        </w:tc>
        <w:tc>
          <w:tcPr>
            <w:tcW w:w="81" w:type="dxa"/>
            <w:tcBorders/>
            <w:shd w:fill="FFFFFF" w:val="clear"/>
            <w:vAlign w:val="bottom"/>
          </w:tcPr>
          <w:p>
            <w:pPr>
              <w:pStyle w:val="TableContents"/>
              <w:spacing w:before="0" w:after="283"/>
              <w:rPr/>
            </w:pPr>
            <w:r>
              <w:rPr/>
              <w:t> </w:t>
            </w:r>
          </w:p>
        </w:tc>
        <w:tc>
          <w:tcPr>
            <w:tcW w:w="135" w:type="dxa"/>
            <w:tcBorders/>
            <w:shd w:fill="FFFFFF" w:val="clear"/>
            <w:vAlign w:val="bottom"/>
          </w:tcPr>
          <w:p>
            <w:pPr>
              <w:pStyle w:val="TableContents"/>
              <w:spacing w:before="0" w:after="283"/>
              <w:jc w:val="left"/>
              <w:rPr/>
            </w:pPr>
            <w:r>
              <w:rPr/>
              <w:t> </w:t>
            </w:r>
          </w:p>
        </w:tc>
        <w:tc>
          <w:tcPr>
            <w:tcW w:w="586" w:type="dxa"/>
            <w:tcBorders/>
            <w:shd w:fill="FFFFFF" w:val="clear"/>
            <w:vAlign w:val="bottom"/>
          </w:tcPr>
          <w:p>
            <w:pPr>
              <w:pStyle w:val="TableContents"/>
              <w:spacing w:before="0" w:after="283"/>
              <w:jc w:val="right"/>
              <w:rPr/>
            </w:pPr>
            <w:r>
              <w:rPr/>
              <w:t> </w:t>
            </w:r>
          </w:p>
        </w:tc>
        <w:tc>
          <w:tcPr>
            <w:tcW w:w="92" w:type="dxa"/>
            <w:tcBorders/>
            <w:shd w:fill="FFFFFF" w:val="clear"/>
            <w:vAlign w:val="bottom"/>
          </w:tcPr>
          <w:p>
            <w:pPr>
              <w:pStyle w:val="TableContents"/>
              <w:spacing w:before="0" w:after="283"/>
              <w:jc w:val="left"/>
              <w:rPr/>
            </w:pPr>
            <w:r>
              <w:rPr/>
              <w:t> </w:t>
            </w:r>
          </w:p>
        </w:tc>
        <w:tc>
          <w:tcPr>
            <w:tcW w:w="92" w:type="dxa"/>
            <w:tcBorders/>
            <w:shd w:fill="FFFFFF" w:val="clear"/>
            <w:vAlign w:val="bottom"/>
          </w:tcPr>
          <w:p>
            <w:pPr>
              <w:pStyle w:val="TableContents"/>
              <w:spacing w:before="0" w:after="283"/>
              <w:rPr/>
            </w:pPr>
            <w:r>
              <w:rPr/>
              <w:t> </w:t>
            </w:r>
          </w:p>
        </w:tc>
        <w:tc>
          <w:tcPr>
            <w:tcW w:w="292" w:type="dxa"/>
            <w:tcBorders/>
            <w:shd w:fill="FFFFFF" w:val="clear"/>
            <w:vAlign w:val="bottom"/>
          </w:tcPr>
          <w:p>
            <w:pPr>
              <w:pStyle w:val="TableContents"/>
              <w:spacing w:before="0" w:after="283"/>
              <w:jc w:val="left"/>
              <w:rPr/>
            </w:pPr>
            <w:r>
              <w:rPr/>
              <w:t> </w:t>
            </w:r>
          </w:p>
        </w:tc>
        <w:tc>
          <w:tcPr>
            <w:tcW w:w="334" w:type="dxa"/>
            <w:tcBorders/>
            <w:shd w:fill="FFFFFF" w:val="clear"/>
            <w:vAlign w:val="bottom"/>
          </w:tcPr>
          <w:p>
            <w:pPr>
              <w:pStyle w:val="TableContents"/>
              <w:spacing w:before="0" w:after="283"/>
              <w:jc w:val="right"/>
              <w:rPr/>
            </w:pPr>
            <w:r>
              <w:rPr/>
              <w:t> </w:t>
            </w:r>
          </w:p>
        </w:tc>
        <w:tc>
          <w:tcPr>
            <w:tcW w:w="81"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81" w:type="dxa"/>
            <w:tcBorders/>
            <w:shd w:fill="FFFFFF" w:val="clear"/>
            <w:vAlign w:val="bottom"/>
          </w:tcPr>
          <w:p>
            <w:pPr>
              <w:pStyle w:val="TableContents"/>
              <w:spacing w:before="0" w:after="283"/>
              <w:jc w:val="left"/>
              <w:rPr/>
            </w:pPr>
            <w:r>
              <w:rPr/>
              <w:t> </w:t>
            </w:r>
          </w:p>
        </w:tc>
        <w:tc>
          <w:tcPr>
            <w:tcW w:w="982" w:type="dxa"/>
            <w:tcBorders/>
            <w:shd w:fill="FFFFFF" w:val="clear"/>
            <w:vAlign w:val="bottom"/>
          </w:tcPr>
          <w:p>
            <w:pPr>
              <w:pStyle w:val="TableContents"/>
              <w:spacing w:before="0" w:after="283"/>
              <w:jc w:val="right"/>
              <w:rPr/>
            </w:pPr>
            <w:r>
              <w:rPr/>
              <w:t> </w:t>
            </w:r>
          </w:p>
        </w:tc>
        <w:tc>
          <w:tcPr>
            <w:tcW w:w="99"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139" w:type="dxa"/>
            <w:tcBorders/>
            <w:shd w:fill="FFFFFF" w:val="clear"/>
            <w:vAlign w:val="bottom"/>
          </w:tcPr>
          <w:p>
            <w:pPr>
              <w:pStyle w:val="TableContents"/>
              <w:spacing w:before="0" w:after="283"/>
              <w:jc w:val="left"/>
              <w:rPr/>
            </w:pPr>
            <w:r>
              <w:rPr/>
              <w:t> </w:t>
            </w:r>
          </w:p>
        </w:tc>
        <w:tc>
          <w:tcPr>
            <w:tcW w:w="641" w:type="dxa"/>
            <w:tcBorders/>
            <w:shd w:fill="FFFFFF" w:val="clear"/>
            <w:vAlign w:val="bottom"/>
          </w:tcPr>
          <w:p>
            <w:pPr>
              <w:pStyle w:val="TableContents"/>
              <w:spacing w:before="0" w:after="283"/>
              <w:jc w:val="right"/>
              <w:rPr/>
            </w:pPr>
            <w:r>
              <w:rPr/>
              <w:t> </w:t>
            </w:r>
          </w:p>
        </w:tc>
        <w:tc>
          <w:tcPr>
            <w:tcW w:w="99"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283"/>
              <w:jc w:val="left"/>
              <w:rPr/>
            </w:pPr>
            <w:r>
              <w:rPr/>
              <w:t> </w:t>
            </w:r>
          </w:p>
        </w:tc>
        <w:tc>
          <w:tcPr>
            <w:tcW w:w="1077" w:type="dxa"/>
            <w:tcBorders/>
            <w:shd w:fill="FFFFFF" w:val="clear"/>
            <w:vAlign w:val="bottom"/>
          </w:tcPr>
          <w:p>
            <w:pPr>
              <w:pStyle w:val="TableContents"/>
              <w:spacing w:before="0" w:after="283"/>
              <w:jc w:val="right"/>
              <w:rPr/>
            </w:pPr>
            <w:r>
              <w:rPr/>
              <w:t> </w:t>
            </w:r>
          </w:p>
        </w:tc>
        <w:tc>
          <w:tcPr>
            <w:tcW w:w="99"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283"/>
              <w:jc w:val="left"/>
              <w:rPr/>
            </w:pPr>
            <w:r>
              <w:rPr/>
              <w:t> </w:t>
            </w:r>
          </w:p>
        </w:tc>
        <w:tc>
          <w:tcPr>
            <w:tcW w:w="1132" w:type="dxa"/>
            <w:tcBorders/>
            <w:shd w:fill="FFFFFF" w:val="clear"/>
            <w:vAlign w:val="bottom"/>
          </w:tcPr>
          <w:p>
            <w:pPr>
              <w:pStyle w:val="TableContents"/>
              <w:spacing w:before="0" w:after="283"/>
              <w:jc w:val="right"/>
              <w:rPr/>
            </w:pPr>
            <w:r>
              <w:rPr/>
              <w:t> </w:t>
            </w:r>
          </w:p>
        </w:tc>
        <w:tc>
          <w:tcPr>
            <w:tcW w:w="99"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141" w:type="dxa"/>
            <w:tcBorders/>
            <w:shd w:fill="FFFFFF" w:val="clear"/>
            <w:vAlign w:val="bottom"/>
          </w:tcPr>
          <w:p>
            <w:pPr>
              <w:pStyle w:val="TableContents"/>
              <w:spacing w:before="0" w:after="283"/>
              <w:jc w:val="left"/>
              <w:rPr/>
            </w:pPr>
            <w:r>
              <w:rPr/>
              <w:t> </w:t>
            </w:r>
          </w:p>
        </w:tc>
        <w:tc>
          <w:tcPr>
            <w:tcW w:w="1045" w:type="dxa"/>
            <w:tcBorders/>
            <w:shd w:fill="FFFFFF" w:val="clear"/>
            <w:vAlign w:val="bottom"/>
          </w:tcPr>
          <w:p>
            <w:pPr>
              <w:pStyle w:val="TableContents"/>
              <w:spacing w:before="0" w:after="283"/>
              <w:jc w:val="right"/>
              <w:rPr/>
            </w:pPr>
            <w:r>
              <w:rPr/>
              <w:t> </w:t>
            </w:r>
          </w:p>
        </w:tc>
        <w:tc>
          <w:tcPr>
            <w:tcW w:w="123" w:type="dxa"/>
            <w:tcBorders/>
            <w:shd w:fill="FFFFFF" w:val="clear"/>
            <w:vAlign w:val="bottom"/>
          </w:tcPr>
          <w:p>
            <w:pPr>
              <w:pStyle w:val="TableContents"/>
              <w:spacing w:before="0" w:after="283"/>
              <w:jc w:val="left"/>
              <w:rPr/>
            </w:pPr>
            <w:r>
              <w:rPr/>
              <w:t> </w:t>
            </w:r>
          </w:p>
        </w:tc>
      </w:tr>
      <w:tr>
        <w:trPr/>
        <w:tc>
          <w:tcPr>
            <w:tcW w:w="2070" w:type="dxa"/>
            <w:tcBorders/>
            <w:shd w:fill="CCEEFF" w:val="clear"/>
            <w:vAlign w:val="bottom"/>
          </w:tcPr>
          <w:p>
            <w:pPr>
              <w:pStyle w:val="TableContents"/>
              <w:spacing w:before="0" w:after="0"/>
              <w:ind w:left="0" w:right="0" w:hanging="0"/>
              <w:jc w:val="left"/>
              <w:rPr/>
            </w:pPr>
            <w:r>
              <w:rPr/>
              <w:t> </w:t>
            </w:r>
            <w:r>
              <w:rPr>
                <w:rFonts w:ascii="helvetica" w:hAnsi="helvetica"/>
                <w:sz w:val="20"/>
              </w:rPr>
              <w:t>Issuance of common stock at $0.0512 per share</w:t>
            </w:r>
          </w:p>
        </w:tc>
        <w:tc>
          <w:tcPr>
            <w:tcW w:w="81" w:type="dxa"/>
            <w:tcBorders/>
            <w:shd w:fill="CCEEFF" w:val="clear"/>
            <w:vAlign w:val="bottom"/>
          </w:tcPr>
          <w:p>
            <w:pPr>
              <w:pStyle w:val="TableContents"/>
              <w:spacing w:before="0" w:after="283"/>
              <w:rPr/>
            </w:pPr>
            <w:r>
              <w:rPr/>
              <w:t> </w:t>
            </w:r>
          </w:p>
        </w:tc>
        <w:tc>
          <w:tcPr>
            <w:tcW w:w="135" w:type="dxa"/>
            <w:tcBorders/>
            <w:shd w:fill="CCEEFF" w:val="clear"/>
            <w:vAlign w:val="bottom"/>
          </w:tcPr>
          <w:p>
            <w:pPr>
              <w:pStyle w:val="TableContents"/>
              <w:spacing w:before="0" w:after="283"/>
              <w:jc w:val="left"/>
              <w:rPr/>
            </w:pPr>
            <w:r>
              <w:rPr/>
              <w:t> </w:t>
            </w:r>
          </w:p>
        </w:tc>
        <w:tc>
          <w:tcPr>
            <w:tcW w:w="586" w:type="dxa"/>
            <w:tcBorders/>
            <w:shd w:fill="CCEEFF" w:val="clear"/>
            <w:vAlign w:val="bottom"/>
          </w:tcPr>
          <w:p>
            <w:pPr>
              <w:pStyle w:val="TableContents"/>
              <w:spacing w:before="0" w:after="283"/>
              <w:jc w:val="right"/>
              <w:rPr/>
            </w:pPr>
            <w:r>
              <w:rPr/>
              <w:t> </w:t>
            </w:r>
          </w:p>
        </w:tc>
        <w:tc>
          <w:tcPr>
            <w:tcW w:w="92" w:type="dxa"/>
            <w:tcBorders/>
            <w:shd w:fill="CCEEFF" w:val="clear"/>
            <w:vAlign w:val="bottom"/>
          </w:tcPr>
          <w:p>
            <w:pPr>
              <w:pStyle w:val="TableContents"/>
              <w:spacing w:before="0" w:after="283"/>
              <w:jc w:val="left"/>
              <w:rPr/>
            </w:pPr>
            <w:r>
              <w:rPr/>
              <w:t> </w:t>
            </w:r>
          </w:p>
        </w:tc>
        <w:tc>
          <w:tcPr>
            <w:tcW w:w="92" w:type="dxa"/>
            <w:tcBorders/>
            <w:shd w:fill="CCEEFF" w:val="clear"/>
            <w:vAlign w:val="bottom"/>
          </w:tcPr>
          <w:p>
            <w:pPr>
              <w:pStyle w:val="TableContents"/>
              <w:spacing w:before="0" w:after="283"/>
              <w:rPr/>
            </w:pPr>
            <w:r>
              <w:rPr/>
              <w:t> </w:t>
            </w:r>
          </w:p>
        </w:tc>
        <w:tc>
          <w:tcPr>
            <w:tcW w:w="292" w:type="dxa"/>
            <w:tcBorders/>
            <w:shd w:fill="CCEEFF" w:val="clear"/>
            <w:vAlign w:val="bottom"/>
          </w:tcPr>
          <w:p>
            <w:pPr>
              <w:pStyle w:val="TableContents"/>
              <w:spacing w:before="0" w:after="283"/>
              <w:jc w:val="left"/>
              <w:rPr/>
            </w:pPr>
            <w:r>
              <w:rPr/>
              <w:t> </w:t>
            </w:r>
          </w:p>
        </w:tc>
        <w:tc>
          <w:tcPr>
            <w:tcW w:w="334" w:type="dxa"/>
            <w:tcBorders/>
            <w:shd w:fill="CCEEFF" w:val="clear"/>
            <w:vAlign w:val="bottom"/>
          </w:tcPr>
          <w:p>
            <w:pPr>
              <w:pStyle w:val="TableContents"/>
              <w:spacing w:before="0" w:after="283"/>
              <w:jc w:val="right"/>
              <w:rPr/>
            </w:pPr>
            <w:r>
              <w:rPr/>
              <w:t> </w:t>
            </w:r>
          </w:p>
        </w:tc>
        <w:tc>
          <w:tcPr>
            <w:tcW w:w="81"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81" w:type="dxa"/>
            <w:tcBorders/>
            <w:shd w:fill="CCEEFF" w:val="clear"/>
            <w:vAlign w:val="bottom"/>
          </w:tcPr>
          <w:p>
            <w:pPr>
              <w:pStyle w:val="TableContents"/>
              <w:spacing w:before="0" w:after="283"/>
              <w:jc w:val="left"/>
              <w:rPr/>
            </w:pPr>
            <w:r>
              <w:rPr/>
              <w:t> </w:t>
            </w:r>
          </w:p>
        </w:tc>
        <w:tc>
          <w:tcPr>
            <w:tcW w:w="982" w:type="dxa"/>
            <w:tcBorders/>
            <w:shd w:fill="CCEEFF" w:val="clear"/>
            <w:vAlign w:val="bottom"/>
          </w:tcPr>
          <w:p>
            <w:pPr>
              <w:pStyle w:val="TableContents"/>
              <w:spacing w:before="0" w:after="283"/>
              <w:jc w:val="right"/>
              <w:rPr/>
            </w:pPr>
            <w:r>
              <w:rPr/>
              <w:t> </w:t>
            </w:r>
          </w:p>
        </w:tc>
        <w:tc>
          <w:tcPr>
            <w:tcW w:w="99"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139" w:type="dxa"/>
            <w:tcBorders/>
            <w:shd w:fill="CCEEFF" w:val="clear"/>
            <w:vAlign w:val="bottom"/>
          </w:tcPr>
          <w:p>
            <w:pPr>
              <w:pStyle w:val="TableContents"/>
              <w:spacing w:before="0" w:after="283"/>
              <w:jc w:val="left"/>
              <w:rPr/>
            </w:pPr>
            <w:r>
              <w:rPr/>
              <w:t> </w:t>
            </w:r>
          </w:p>
        </w:tc>
        <w:tc>
          <w:tcPr>
            <w:tcW w:w="641" w:type="dxa"/>
            <w:tcBorders/>
            <w:shd w:fill="CCEEFF" w:val="clear"/>
            <w:vAlign w:val="bottom"/>
          </w:tcPr>
          <w:p>
            <w:pPr>
              <w:pStyle w:val="TableContents"/>
              <w:spacing w:before="0" w:after="283"/>
              <w:jc w:val="right"/>
              <w:rPr/>
            </w:pPr>
            <w:r>
              <w:rPr/>
              <w:t> </w:t>
            </w:r>
          </w:p>
        </w:tc>
        <w:tc>
          <w:tcPr>
            <w:tcW w:w="99"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jc w:val="left"/>
              <w:rPr/>
            </w:pPr>
            <w:r>
              <w:rPr/>
              <w:t> </w:t>
            </w:r>
          </w:p>
        </w:tc>
        <w:tc>
          <w:tcPr>
            <w:tcW w:w="1077" w:type="dxa"/>
            <w:tcBorders/>
            <w:shd w:fill="CCEEFF" w:val="clear"/>
            <w:vAlign w:val="bottom"/>
          </w:tcPr>
          <w:p>
            <w:pPr>
              <w:pStyle w:val="TableContents"/>
              <w:spacing w:before="0" w:after="283"/>
              <w:jc w:val="right"/>
              <w:rPr/>
            </w:pPr>
            <w:r>
              <w:rPr/>
              <w:t> </w:t>
            </w:r>
          </w:p>
        </w:tc>
        <w:tc>
          <w:tcPr>
            <w:tcW w:w="99"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jc w:val="left"/>
              <w:rPr/>
            </w:pPr>
            <w:r>
              <w:rPr/>
              <w:t> </w:t>
            </w:r>
          </w:p>
        </w:tc>
        <w:tc>
          <w:tcPr>
            <w:tcW w:w="1132" w:type="dxa"/>
            <w:tcBorders/>
            <w:shd w:fill="CCEEFF" w:val="clear"/>
            <w:vAlign w:val="bottom"/>
          </w:tcPr>
          <w:p>
            <w:pPr>
              <w:pStyle w:val="TableContents"/>
              <w:spacing w:before="0" w:after="283"/>
              <w:jc w:val="right"/>
              <w:rPr/>
            </w:pPr>
            <w:r>
              <w:rPr/>
              <w:t> </w:t>
            </w:r>
          </w:p>
        </w:tc>
        <w:tc>
          <w:tcPr>
            <w:tcW w:w="99"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141" w:type="dxa"/>
            <w:tcBorders/>
            <w:shd w:fill="CCEEFF" w:val="clear"/>
            <w:vAlign w:val="bottom"/>
          </w:tcPr>
          <w:p>
            <w:pPr>
              <w:pStyle w:val="TableContents"/>
              <w:spacing w:before="0" w:after="283"/>
              <w:jc w:val="left"/>
              <w:rPr/>
            </w:pPr>
            <w:r>
              <w:rPr/>
              <w:t> </w:t>
            </w:r>
          </w:p>
        </w:tc>
        <w:tc>
          <w:tcPr>
            <w:tcW w:w="1045" w:type="dxa"/>
            <w:tcBorders/>
            <w:shd w:fill="CCEEFF" w:val="clear"/>
            <w:vAlign w:val="bottom"/>
          </w:tcPr>
          <w:p>
            <w:pPr>
              <w:pStyle w:val="TableContents"/>
              <w:spacing w:before="0" w:after="283"/>
              <w:jc w:val="right"/>
              <w:rPr/>
            </w:pPr>
            <w:r>
              <w:rPr/>
              <w:t> </w:t>
            </w:r>
          </w:p>
        </w:tc>
        <w:tc>
          <w:tcPr>
            <w:tcW w:w="123" w:type="dxa"/>
            <w:tcBorders/>
            <w:shd w:fill="CCEEFF" w:val="clear"/>
            <w:vAlign w:val="bottom"/>
          </w:tcPr>
          <w:p>
            <w:pPr>
              <w:pStyle w:val="TableContents"/>
              <w:spacing w:before="0" w:after="283"/>
              <w:jc w:val="left"/>
              <w:rPr/>
            </w:pPr>
            <w:r>
              <w:rPr/>
              <w:t> </w:t>
            </w:r>
          </w:p>
        </w:tc>
      </w:tr>
      <w:tr>
        <w:trPr/>
        <w:tc>
          <w:tcPr>
            <w:tcW w:w="2070" w:type="dxa"/>
            <w:tcBorders/>
            <w:shd w:fill="FFFFFF" w:val="clear"/>
            <w:vAlign w:val="bottom"/>
          </w:tcPr>
          <w:p>
            <w:pPr>
              <w:pStyle w:val="TableContents"/>
              <w:spacing w:before="0" w:after="0"/>
              <w:ind w:left="0" w:right="0" w:hanging="0"/>
              <w:jc w:val="left"/>
              <w:rPr/>
            </w:pPr>
            <w:r>
              <w:rPr/>
              <w:t>   </w:t>
            </w:r>
            <w:r>
              <w:rPr>
                <w:rFonts w:ascii="helvetica" w:hAnsi="helvetica"/>
                <w:sz w:val="20"/>
              </w:rPr>
              <w:t>during January and March 2007</w:t>
            </w:r>
          </w:p>
        </w:tc>
        <w:tc>
          <w:tcPr>
            <w:tcW w:w="81" w:type="dxa"/>
            <w:tcBorders/>
            <w:shd w:fill="FFFFFF" w:val="clear"/>
            <w:vAlign w:val="bottom"/>
          </w:tcPr>
          <w:p>
            <w:pPr>
              <w:pStyle w:val="TableContents"/>
              <w:spacing w:before="0" w:after="283"/>
              <w:rPr/>
            </w:pPr>
            <w:r>
              <w:rPr/>
              <w:t> </w:t>
            </w:r>
          </w:p>
        </w:tc>
        <w:tc>
          <w:tcPr>
            <w:tcW w:w="135" w:type="dxa"/>
            <w:tcBorders/>
            <w:shd w:fill="FFFFFF" w:val="clear"/>
            <w:vAlign w:val="bottom"/>
          </w:tcPr>
          <w:p>
            <w:pPr>
              <w:pStyle w:val="TableContents"/>
              <w:spacing w:before="0" w:after="283"/>
              <w:jc w:val="left"/>
              <w:rPr/>
            </w:pPr>
            <w:r>
              <w:rPr/>
              <w:t> </w:t>
            </w:r>
          </w:p>
        </w:tc>
        <w:tc>
          <w:tcPr>
            <w:tcW w:w="586"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w:t>
            </w:r>
          </w:p>
        </w:tc>
        <w:tc>
          <w:tcPr>
            <w:tcW w:w="92" w:type="dxa"/>
            <w:tcBorders/>
            <w:shd w:fill="FFFFFF" w:val="clear"/>
            <w:vAlign w:val="bottom"/>
          </w:tcPr>
          <w:p>
            <w:pPr>
              <w:pStyle w:val="TableContents"/>
              <w:spacing w:before="0" w:after="283"/>
              <w:jc w:val="left"/>
              <w:rPr/>
            </w:pPr>
            <w:r>
              <w:rPr/>
              <w:t> </w:t>
            </w:r>
          </w:p>
        </w:tc>
        <w:tc>
          <w:tcPr>
            <w:tcW w:w="92" w:type="dxa"/>
            <w:tcBorders/>
            <w:shd w:fill="FFFFFF" w:val="clear"/>
            <w:vAlign w:val="bottom"/>
          </w:tcPr>
          <w:p>
            <w:pPr>
              <w:pStyle w:val="TableContents"/>
              <w:spacing w:before="0" w:after="283"/>
              <w:rPr/>
            </w:pPr>
            <w:r>
              <w:rPr/>
              <w:t> </w:t>
            </w:r>
          </w:p>
        </w:tc>
        <w:tc>
          <w:tcPr>
            <w:tcW w:w="292" w:type="dxa"/>
            <w:tcBorders/>
            <w:shd w:fill="FFFFFF" w:val="clear"/>
            <w:vAlign w:val="bottom"/>
          </w:tcPr>
          <w:p>
            <w:pPr>
              <w:pStyle w:val="TableContents"/>
              <w:spacing w:before="0" w:after="283"/>
              <w:jc w:val="left"/>
              <w:rPr/>
            </w:pPr>
            <w:r>
              <w:rPr/>
              <w:t> </w:t>
            </w:r>
          </w:p>
        </w:tc>
        <w:tc>
          <w:tcPr>
            <w:tcW w:w="334"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w:t>
            </w:r>
          </w:p>
        </w:tc>
        <w:tc>
          <w:tcPr>
            <w:tcW w:w="81"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81" w:type="dxa"/>
            <w:tcBorders/>
            <w:shd w:fill="FFFFFF" w:val="clear"/>
            <w:vAlign w:val="bottom"/>
          </w:tcPr>
          <w:p>
            <w:pPr>
              <w:pStyle w:val="TableContents"/>
              <w:spacing w:before="0" w:after="283"/>
              <w:jc w:val="left"/>
              <w:rPr/>
            </w:pPr>
            <w:r>
              <w:rPr/>
              <w:t> </w:t>
            </w:r>
          </w:p>
        </w:tc>
        <w:tc>
          <w:tcPr>
            <w:tcW w:w="982"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498,047</w:t>
            </w:r>
          </w:p>
        </w:tc>
        <w:tc>
          <w:tcPr>
            <w:tcW w:w="99"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139" w:type="dxa"/>
            <w:tcBorders/>
            <w:shd w:fill="FFFFFF" w:val="clear"/>
            <w:vAlign w:val="bottom"/>
          </w:tcPr>
          <w:p>
            <w:pPr>
              <w:pStyle w:val="TableContents"/>
              <w:spacing w:before="0" w:after="283"/>
              <w:jc w:val="left"/>
              <w:rPr/>
            </w:pPr>
            <w:r>
              <w:rPr/>
              <w:t> </w:t>
            </w:r>
          </w:p>
        </w:tc>
        <w:tc>
          <w:tcPr>
            <w:tcW w:w="641"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498</w:t>
            </w:r>
          </w:p>
        </w:tc>
        <w:tc>
          <w:tcPr>
            <w:tcW w:w="99"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283"/>
              <w:jc w:val="left"/>
              <w:rPr/>
            </w:pPr>
            <w:r>
              <w:rPr/>
              <w:t> </w:t>
            </w:r>
          </w:p>
        </w:tc>
        <w:tc>
          <w:tcPr>
            <w:tcW w:w="1077"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25,002</w:t>
            </w:r>
          </w:p>
        </w:tc>
        <w:tc>
          <w:tcPr>
            <w:tcW w:w="99"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283"/>
              <w:jc w:val="left"/>
              <w:rPr/>
            </w:pPr>
            <w:r>
              <w:rPr/>
              <w:t> </w:t>
            </w:r>
          </w:p>
        </w:tc>
        <w:tc>
          <w:tcPr>
            <w:tcW w:w="1132"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w:t>
            </w:r>
          </w:p>
        </w:tc>
        <w:tc>
          <w:tcPr>
            <w:tcW w:w="99"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141" w:type="dxa"/>
            <w:tcBorders/>
            <w:shd w:fill="FFFFFF" w:val="clear"/>
            <w:vAlign w:val="bottom"/>
          </w:tcPr>
          <w:p>
            <w:pPr>
              <w:pStyle w:val="TableContents"/>
              <w:spacing w:before="0" w:after="283"/>
              <w:jc w:val="left"/>
              <w:rPr/>
            </w:pPr>
            <w:r>
              <w:rPr/>
              <w:t> </w:t>
            </w:r>
          </w:p>
        </w:tc>
        <w:tc>
          <w:tcPr>
            <w:tcW w:w="1045"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25,500</w:t>
            </w:r>
          </w:p>
        </w:tc>
        <w:tc>
          <w:tcPr>
            <w:tcW w:w="123" w:type="dxa"/>
            <w:tcBorders/>
            <w:shd w:fill="FFFFFF" w:val="clear"/>
            <w:vAlign w:val="bottom"/>
          </w:tcPr>
          <w:p>
            <w:pPr>
              <w:pStyle w:val="TableContents"/>
              <w:spacing w:before="0" w:after="283"/>
              <w:jc w:val="left"/>
              <w:rPr/>
            </w:pPr>
            <w:r>
              <w:rPr/>
              <w:t> </w:t>
            </w:r>
          </w:p>
        </w:tc>
      </w:tr>
      <w:tr>
        <w:trPr/>
        <w:tc>
          <w:tcPr>
            <w:tcW w:w="2070" w:type="dxa"/>
            <w:tcBorders/>
            <w:shd w:fill="CCEEFF" w:val="clear"/>
            <w:vAlign w:val="bottom"/>
          </w:tcPr>
          <w:p>
            <w:pPr>
              <w:pStyle w:val="TableContents"/>
              <w:spacing w:before="0" w:after="0"/>
              <w:ind w:left="0" w:right="0" w:hanging="0"/>
              <w:jc w:val="left"/>
              <w:rPr/>
            </w:pPr>
            <w:r>
              <w:rPr/>
              <w:t> </w:t>
            </w:r>
            <w:r>
              <w:rPr>
                <w:rFonts w:ascii="helvetica" w:hAnsi="helvetica"/>
                <w:sz w:val="20"/>
              </w:rPr>
              <w:t>Exercise of stock options and warrants at $0.0512</w:t>
            </w:r>
          </w:p>
        </w:tc>
        <w:tc>
          <w:tcPr>
            <w:tcW w:w="81" w:type="dxa"/>
            <w:tcBorders/>
            <w:shd w:fill="CCEEFF" w:val="clear"/>
            <w:vAlign w:val="bottom"/>
          </w:tcPr>
          <w:p>
            <w:pPr>
              <w:pStyle w:val="TableContents"/>
              <w:spacing w:before="0" w:after="283"/>
              <w:rPr/>
            </w:pPr>
            <w:r>
              <w:rPr/>
              <w:t> </w:t>
            </w:r>
          </w:p>
        </w:tc>
        <w:tc>
          <w:tcPr>
            <w:tcW w:w="135" w:type="dxa"/>
            <w:tcBorders/>
            <w:shd w:fill="CCEEFF" w:val="clear"/>
            <w:vAlign w:val="bottom"/>
          </w:tcPr>
          <w:p>
            <w:pPr>
              <w:pStyle w:val="TableContents"/>
              <w:spacing w:before="0" w:after="283"/>
              <w:jc w:val="left"/>
              <w:rPr/>
            </w:pPr>
            <w:r>
              <w:rPr/>
              <w:t> </w:t>
            </w:r>
          </w:p>
        </w:tc>
        <w:tc>
          <w:tcPr>
            <w:tcW w:w="586" w:type="dxa"/>
            <w:tcBorders/>
            <w:shd w:fill="CCEEFF" w:val="clear"/>
            <w:vAlign w:val="bottom"/>
          </w:tcPr>
          <w:p>
            <w:pPr>
              <w:pStyle w:val="TableContents"/>
              <w:spacing w:before="0" w:after="283"/>
              <w:jc w:val="right"/>
              <w:rPr/>
            </w:pPr>
            <w:r>
              <w:rPr/>
              <w:t> </w:t>
            </w:r>
          </w:p>
        </w:tc>
        <w:tc>
          <w:tcPr>
            <w:tcW w:w="92" w:type="dxa"/>
            <w:tcBorders/>
            <w:shd w:fill="CCEEFF" w:val="clear"/>
            <w:vAlign w:val="bottom"/>
          </w:tcPr>
          <w:p>
            <w:pPr>
              <w:pStyle w:val="TableContents"/>
              <w:spacing w:before="0" w:after="283"/>
              <w:jc w:val="left"/>
              <w:rPr/>
            </w:pPr>
            <w:r>
              <w:rPr/>
              <w:t> </w:t>
            </w:r>
          </w:p>
        </w:tc>
        <w:tc>
          <w:tcPr>
            <w:tcW w:w="92" w:type="dxa"/>
            <w:tcBorders/>
            <w:shd w:fill="CCEEFF" w:val="clear"/>
            <w:vAlign w:val="bottom"/>
          </w:tcPr>
          <w:p>
            <w:pPr>
              <w:pStyle w:val="TableContents"/>
              <w:spacing w:before="0" w:after="283"/>
              <w:rPr/>
            </w:pPr>
            <w:r>
              <w:rPr/>
              <w:t> </w:t>
            </w:r>
          </w:p>
        </w:tc>
        <w:tc>
          <w:tcPr>
            <w:tcW w:w="292" w:type="dxa"/>
            <w:tcBorders/>
            <w:shd w:fill="CCEEFF" w:val="clear"/>
            <w:vAlign w:val="bottom"/>
          </w:tcPr>
          <w:p>
            <w:pPr>
              <w:pStyle w:val="TableContents"/>
              <w:spacing w:before="0" w:after="283"/>
              <w:jc w:val="left"/>
              <w:rPr/>
            </w:pPr>
            <w:r>
              <w:rPr/>
              <w:t> </w:t>
            </w:r>
          </w:p>
        </w:tc>
        <w:tc>
          <w:tcPr>
            <w:tcW w:w="334" w:type="dxa"/>
            <w:tcBorders/>
            <w:shd w:fill="CCEEFF" w:val="clear"/>
            <w:vAlign w:val="bottom"/>
          </w:tcPr>
          <w:p>
            <w:pPr>
              <w:pStyle w:val="TableContents"/>
              <w:spacing w:before="0" w:after="283"/>
              <w:jc w:val="right"/>
              <w:rPr/>
            </w:pPr>
            <w:r>
              <w:rPr/>
              <w:t> </w:t>
            </w:r>
          </w:p>
        </w:tc>
        <w:tc>
          <w:tcPr>
            <w:tcW w:w="81"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81" w:type="dxa"/>
            <w:tcBorders/>
            <w:shd w:fill="CCEEFF" w:val="clear"/>
            <w:vAlign w:val="bottom"/>
          </w:tcPr>
          <w:p>
            <w:pPr>
              <w:pStyle w:val="TableContents"/>
              <w:spacing w:before="0" w:after="283"/>
              <w:jc w:val="left"/>
              <w:rPr/>
            </w:pPr>
            <w:r>
              <w:rPr/>
              <w:t> </w:t>
            </w:r>
          </w:p>
        </w:tc>
        <w:tc>
          <w:tcPr>
            <w:tcW w:w="982" w:type="dxa"/>
            <w:tcBorders/>
            <w:shd w:fill="CCEEFF" w:val="clear"/>
            <w:vAlign w:val="bottom"/>
          </w:tcPr>
          <w:p>
            <w:pPr>
              <w:pStyle w:val="TableContents"/>
              <w:spacing w:before="0" w:after="283"/>
              <w:jc w:val="right"/>
              <w:rPr/>
            </w:pPr>
            <w:r>
              <w:rPr/>
              <w:t> </w:t>
            </w:r>
          </w:p>
        </w:tc>
        <w:tc>
          <w:tcPr>
            <w:tcW w:w="99"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139" w:type="dxa"/>
            <w:tcBorders/>
            <w:shd w:fill="CCEEFF" w:val="clear"/>
            <w:vAlign w:val="bottom"/>
          </w:tcPr>
          <w:p>
            <w:pPr>
              <w:pStyle w:val="TableContents"/>
              <w:spacing w:before="0" w:after="283"/>
              <w:jc w:val="left"/>
              <w:rPr/>
            </w:pPr>
            <w:r>
              <w:rPr/>
              <w:t> </w:t>
            </w:r>
          </w:p>
        </w:tc>
        <w:tc>
          <w:tcPr>
            <w:tcW w:w="641" w:type="dxa"/>
            <w:tcBorders/>
            <w:shd w:fill="CCEEFF" w:val="clear"/>
            <w:vAlign w:val="bottom"/>
          </w:tcPr>
          <w:p>
            <w:pPr>
              <w:pStyle w:val="TableContents"/>
              <w:spacing w:before="0" w:after="283"/>
              <w:jc w:val="right"/>
              <w:rPr/>
            </w:pPr>
            <w:r>
              <w:rPr/>
              <w:t> </w:t>
            </w:r>
          </w:p>
        </w:tc>
        <w:tc>
          <w:tcPr>
            <w:tcW w:w="99"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jc w:val="left"/>
              <w:rPr/>
            </w:pPr>
            <w:r>
              <w:rPr/>
              <w:t> </w:t>
            </w:r>
          </w:p>
        </w:tc>
        <w:tc>
          <w:tcPr>
            <w:tcW w:w="1077" w:type="dxa"/>
            <w:tcBorders/>
            <w:shd w:fill="CCEEFF" w:val="clear"/>
            <w:vAlign w:val="bottom"/>
          </w:tcPr>
          <w:p>
            <w:pPr>
              <w:pStyle w:val="TableContents"/>
              <w:spacing w:before="0" w:after="283"/>
              <w:jc w:val="right"/>
              <w:rPr/>
            </w:pPr>
            <w:r>
              <w:rPr/>
              <w:t> </w:t>
            </w:r>
          </w:p>
        </w:tc>
        <w:tc>
          <w:tcPr>
            <w:tcW w:w="99"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jc w:val="left"/>
              <w:rPr/>
            </w:pPr>
            <w:r>
              <w:rPr/>
              <w:t> </w:t>
            </w:r>
          </w:p>
        </w:tc>
        <w:tc>
          <w:tcPr>
            <w:tcW w:w="1132" w:type="dxa"/>
            <w:tcBorders/>
            <w:shd w:fill="CCEEFF" w:val="clear"/>
            <w:vAlign w:val="bottom"/>
          </w:tcPr>
          <w:p>
            <w:pPr>
              <w:pStyle w:val="TableContents"/>
              <w:spacing w:before="0" w:after="283"/>
              <w:jc w:val="right"/>
              <w:rPr/>
            </w:pPr>
            <w:r>
              <w:rPr/>
              <w:t> </w:t>
            </w:r>
          </w:p>
        </w:tc>
        <w:tc>
          <w:tcPr>
            <w:tcW w:w="99"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141" w:type="dxa"/>
            <w:tcBorders/>
            <w:shd w:fill="CCEEFF" w:val="clear"/>
            <w:vAlign w:val="bottom"/>
          </w:tcPr>
          <w:p>
            <w:pPr>
              <w:pStyle w:val="TableContents"/>
              <w:spacing w:before="0" w:after="283"/>
              <w:jc w:val="left"/>
              <w:rPr/>
            </w:pPr>
            <w:r>
              <w:rPr/>
              <w:t> </w:t>
            </w:r>
          </w:p>
        </w:tc>
        <w:tc>
          <w:tcPr>
            <w:tcW w:w="1045" w:type="dxa"/>
            <w:tcBorders/>
            <w:shd w:fill="CCEEFF" w:val="clear"/>
            <w:vAlign w:val="bottom"/>
          </w:tcPr>
          <w:p>
            <w:pPr>
              <w:pStyle w:val="TableContents"/>
              <w:spacing w:before="0" w:after="283"/>
              <w:jc w:val="right"/>
              <w:rPr/>
            </w:pPr>
            <w:r>
              <w:rPr/>
              <w:t> </w:t>
            </w:r>
          </w:p>
        </w:tc>
        <w:tc>
          <w:tcPr>
            <w:tcW w:w="123" w:type="dxa"/>
            <w:tcBorders/>
            <w:shd w:fill="CCEEFF" w:val="clear"/>
            <w:vAlign w:val="bottom"/>
          </w:tcPr>
          <w:p>
            <w:pPr>
              <w:pStyle w:val="TableContents"/>
              <w:spacing w:before="0" w:after="283"/>
              <w:jc w:val="left"/>
              <w:rPr/>
            </w:pPr>
            <w:r>
              <w:rPr/>
              <w:t> </w:t>
            </w:r>
          </w:p>
        </w:tc>
      </w:tr>
      <w:tr>
        <w:trPr/>
        <w:tc>
          <w:tcPr>
            <w:tcW w:w="2070" w:type="dxa"/>
            <w:tcBorders/>
            <w:shd w:fill="FFFFFF" w:val="clear"/>
            <w:vAlign w:val="bottom"/>
          </w:tcPr>
          <w:p>
            <w:pPr>
              <w:pStyle w:val="TableContents"/>
              <w:spacing w:before="0" w:after="0"/>
              <w:ind w:left="0" w:right="0" w:hanging="0"/>
              <w:jc w:val="left"/>
              <w:rPr/>
            </w:pPr>
            <w:r>
              <w:rPr/>
              <w:t>   </w:t>
            </w:r>
            <w:r>
              <w:rPr>
                <w:rFonts w:ascii="helvetica" w:hAnsi="helvetica"/>
                <w:sz w:val="20"/>
              </w:rPr>
              <w:t>per share in April and August 2007</w:t>
            </w:r>
          </w:p>
        </w:tc>
        <w:tc>
          <w:tcPr>
            <w:tcW w:w="81" w:type="dxa"/>
            <w:tcBorders/>
            <w:shd w:fill="FFFFFF" w:val="clear"/>
            <w:vAlign w:val="bottom"/>
          </w:tcPr>
          <w:p>
            <w:pPr>
              <w:pStyle w:val="TableContents"/>
              <w:spacing w:before="0" w:after="283"/>
              <w:rPr/>
            </w:pPr>
            <w:r>
              <w:rPr/>
              <w:t> </w:t>
            </w:r>
          </w:p>
        </w:tc>
        <w:tc>
          <w:tcPr>
            <w:tcW w:w="135" w:type="dxa"/>
            <w:tcBorders/>
            <w:shd w:fill="FFFFFF" w:val="clear"/>
            <w:vAlign w:val="bottom"/>
          </w:tcPr>
          <w:p>
            <w:pPr>
              <w:pStyle w:val="TableContents"/>
              <w:spacing w:before="0" w:after="283"/>
              <w:jc w:val="left"/>
              <w:rPr/>
            </w:pPr>
            <w:r>
              <w:rPr/>
              <w:t> </w:t>
            </w:r>
          </w:p>
        </w:tc>
        <w:tc>
          <w:tcPr>
            <w:tcW w:w="586"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w:t>
            </w:r>
          </w:p>
        </w:tc>
        <w:tc>
          <w:tcPr>
            <w:tcW w:w="92" w:type="dxa"/>
            <w:tcBorders/>
            <w:shd w:fill="FFFFFF" w:val="clear"/>
            <w:vAlign w:val="bottom"/>
          </w:tcPr>
          <w:p>
            <w:pPr>
              <w:pStyle w:val="TableContents"/>
              <w:spacing w:before="0" w:after="283"/>
              <w:jc w:val="left"/>
              <w:rPr/>
            </w:pPr>
            <w:r>
              <w:rPr/>
              <w:t> </w:t>
            </w:r>
          </w:p>
        </w:tc>
        <w:tc>
          <w:tcPr>
            <w:tcW w:w="92" w:type="dxa"/>
            <w:tcBorders/>
            <w:shd w:fill="FFFFFF" w:val="clear"/>
            <w:vAlign w:val="bottom"/>
          </w:tcPr>
          <w:p>
            <w:pPr>
              <w:pStyle w:val="TableContents"/>
              <w:spacing w:before="0" w:after="283"/>
              <w:rPr/>
            </w:pPr>
            <w:r>
              <w:rPr/>
              <w:t> </w:t>
            </w:r>
          </w:p>
        </w:tc>
        <w:tc>
          <w:tcPr>
            <w:tcW w:w="292" w:type="dxa"/>
            <w:tcBorders/>
            <w:shd w:fill="FFFFFF" w:val="clear"/>
            <w:vAlign w:val="bottom"/>
          </w:tcPr>
          <w:p>
            <w:pPr>
              <w:pStyle w:val="TableContents"/>
              <w:spacing w:before="0" w:after="283"/>
              <w:jc w:val="left"/>
              <w:rPr/>
            </w:pPr>
            <w:r>
              <w:rPr/>
              <w:t> </w:t>
            </w:r>
          </w:p>
        </w:tc>
        <w:tc>
          <w:tcPr>
            <w:tcW w:w="334"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w:t>
            </w:r>
          </w:p>
        </w:tc>
        <w:tc>
          <w:tcPr>
            <w:tcW w:w="81"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81" w:type="dxa"/>
            <w:tcBorders/>
            <w:shd w:fill="FFFFFF" w:val="clear"/>
            <w:vAlign w:val="bottom"/>
          </w:tcPr>
          <w:p>
            <w:pPr>
              <w:pStyle w:val="TableContents"/>
              <w:spacing w:before="0" w:after="283"/>
              <w:jc w:val="left"/>
              <w:rPr/>
            </w:pPr>
            <w:r>
              <w:rPr/>
              <w:t> </w:t>
            </w:r>
          </w:p>
        </w:tc>
        <w:tc>
          <w:tcPr>
            <w:tcW w:w="982"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4,883</w:t>
            </w:r>
          </w:p>
        </w:tc>
        <w:tc>
          <w:tcPr>
            <w:tcW w:w="99"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139" w:type="dxa"/>
            <w:tcBorders/>
            <w:shd w:fill="FFFFFF" w:val="clear"/>
            <w:vAlign w:val="bottom"/>
          </w:tcPr>
          <w:p>
            <w:pPr>
              <w:pStyle w:val="TableContents"/>
              <w:spacing w:before="0" w:after="283"/>
              <w:jc w:val="left"/>
              <w:rPr/>
            </w:pPr>
            <w:r>
              <w:rPr/>
              <w:t> </w:t>
            </w:r>
          </w:p>
        </w:tc>
        <w:tc>
          <w:tcPr>
            <w:tcW w:w="641"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5</w:t>
            </w:r>
          </w:p>
        </w:tc>
        <w:tc>
          <w:tcPr>
            <w:tcW w:w="99"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283"/>
              <w:jc w:val="left"/>
              <w:rPr/>
            </w:pPr>
            <w:r>
              <w:rPr/>
              <w:t> </w:t>
            </w:r>
          </w:p>
        </w:tc>
        <w:tc>
          <w:tcPr>
            <w:tcW w:w="1077"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245</w:t>
            </w:r>
          </w:p>
        </w:tc>
        <w:tc>
          <w:tcPr>
            <w:tcW w:w="99"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283"/>
              <w:jc w:val="left"/>
              <w:rPr/>
            </w:pPr>
            <w:r>
              <w:rPr/>
              <w:t> </w:t>
            </w:r>
          </w:p>
        </w:tc>
        <w:tc>
          <w:tcPr>
            <w:tcW w:w="1132"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w:t>
            </w:r>
          </w:p>
        </w:tc>
        <w:tc>
          <w:tcPr>
            <w:tcW w:w="99"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141" w:type="dxa"/>
            <w:tcBorders/>
            <w:shd w:fill="FFFFFF" w:val="clear"/>
            <w:vAlign w:val="bottom"/>
          </w:tcPr>
          <w:p>
            <w:pPr>
              <w:pStyle w:val="TableContents"/>
              <w:spacing w:before="0" w:after="283"/>
              <w:jc w:val="left"/>
              <w:rPr/>
            </w:pPr>
            <w:r>
              <w:rPr/>
              <w:t> </w:t>
            </w:r>
          </w:p>
        </w:tc>
        <w:tc>
          <w:tcPr>
            <w:tcW w:w="1045"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250</w:t>
            </w:r>
          </w:p>
        </w:tc>
        <w:tc>
          <w:tcPr>
            <w:tcW w:w="123" w:type="dxa"/>
            <w:tcBorders/>
            <w:shd w:fill="FFFFFF" w:val="clear"/>
            <w:vAlign w:val="bottom"/>
          </w:tcPr>
          <w:p>
            <w:pPr>
              <w:pStyle w:val="TableContents"/>
              <w:spacing w:before="0" w:after="283"/>
              <w:jc w:val="left"/>
              <w:rPr/>
            </w:pPr>
            <w:r>
              <w:rPr/>
              <w:t> </w:t>
            </w:r>
          </w:p>
        </w:tc>
      </w:tr>
      <w:tr>
        <w:trPr/>
        <w:tc>
          <w:tcPr>
            <w:tcW w:w="2070" w:type="dxa"/>
            <w:tcBorders/>
            <w:shd w:fill="CCEEFF" w:val="clear"/>
            <w:vAlign w:val="bottom"/>
          </w:tcPr>
          <w:p>
            <w:pPr>
              <w:pStyle w:val="TableContents"/>
              <w:spacing w:before="0" w:after="0"/>
              <w:ind w:left="0" w:right="0" w:hanging="0"/>
              <w:jc w:val="left"/>
              <w:rPr/>
            </w:pPr>
            <w:r>
              <w:rPr/>
              <w:t> </w:t>
            </w:r>
            <w:r>
              <w:rPr>
                <w:rFonts w:ascii="helvetica" w:hAnsi="helvetica"/>
                <w:sz w:val="20"/>
              </w:rPr>
              <w:t>Estimated fair value of services contributed by</w:t>
            </w:r>
          </w:p>
        </w:tc>
        <w:tc>
          <w:tcPr>
            <w:tcW w:w="81" w:type="dxa"/>
            <w:tcBorders/>
            <w:shd w:fill="CCEEFF" w:val="clear"/>
            <w:vAlign w:val="bottom"/>
          </w:tcPr>
          <w:p>
            <w:pPr>
              <w:pStyle w:val="TableContents"/>
              <w:spacing w:before="0" w:after="283"/>
              <w:rPr/>
            </w:pPr>
            <w:r>
              <w:rPr/>
              <w:t> </w:t>
            </w:r>
          </w:p>
        </w:tc>
        <w:tc>
          <w:tcPr>
            <w:tcW w:w="135" w:type="dxa"/>
            <w:tcBorders/>
            <w:shd w:fill="CCEEFF" w:val="clear"/>
            <w:vAlign w:val="bottom"/>
          </w:tcPr>
          <w:p>
            <w:pPr>
              <w:pStyle w:val="TableContents"/>
              <w:spacing w:before="0" w:after="283"/>
              <w:jc w:val="left"/>
              <w:rPr/>
            </w:pPr>
            <w:r>
              <w:rPr/>
              <w:t> </w:t>
            </w:r>
          </w:p>
        </w:tc>
        <w:tc>
          <w:tcPr>
            <w:tcW w:w="586" w:type="dxa"/>
            <w:tcBorders/>
            <w:shd w:fill="CCEEFF" w:val="clear"/>
            <w:vAlign w:val="bottom"/>
          </w:tcPr>
          <w:p>
            <w:pPr>
              <w:pStyle w:val="TableContents"/>
              <w:spacing w:before="0" w:after="283"/>
              <w:jc w:val="right"/>
              <w:rPr/>
            </w:pPr>
            <w:r>
              <w:rPr/>
              <w:t> </w:t>
            </w:r>
          </w:p>
        </w:tc>
        <w:tc>
          <w:tcPr>
            <w:tcW w:w="92" w:type="dxa"/>
            <w:tcBorders/>
            <w:shd w:fill="CCEEFF" w:val="clear"/>
            <w:vAlign w:val="bottom"/>
          </w:tcPr>
          <w:p>
            <w:pPr>
              <w:pStyle w:val="TableContents"/>
              <w:spacing w:before="0" w:after="283"/>
              <w:jc w:val="left"/>
              <w:rPr/>
            </w:pPr>
            <w:r>
              <w:rPr/>
              <w:t> </w:t>
            </w:r>
          </w:p>
        </w:tc>
        <w:tc>
          <w:tcPr>
            <w:tcW w:w="92" w:type="dxa"/>
            <w:tcBorders/>
            <w:shd w:fill="CCEEFF" w:val="clear"/>
            <w:vAlign w:val="bottom"/>
          </w:tcPr>
          <w:p>
            <w:pPr>
              <w:pStyle w:val="TableContents"/>
              <w:spacing w:before="0" w:after="283"/>
              <w:rPr/>
            </w:pPr>
            <w:r>
              <w:rPr/>
              <w:t> </w:t>
            </w:r>
          </w:p>
        </w:tc>
        <w:tc>
          <w:tcPr>
            <w:tcW w:w="292" w:type="dxa"/>
            <w:tcBorders/>
            <w:shd w:fill="CCEEFF" w:val="clear"/>
            <w:vAlign w:val="bottom"/>
          </w:tcPr>
          <w:p>
            <w:pPr>
              <w:pStyle w:val="TableContents"/>
              <w:spacing w:before="0" w:after="283"/>
              <w:jc w:val="left"/>
              <w:rPr/>
            </w:pPr>
            <w:r>
              <w:rPr/>
              <w:t> </w:t>
            </w:r>
          </w:p>
        </w:tc>
        <w:tc>
          <w:tcPr>
            <w:tcW w:w="334" w:type="dxa"/>
            <w:tcBorders/>
            <w:shd w:fill="CCEEFF" w:val="clear"/>
            <w:vAlign w:val="bottom"/>
          </w:tcPr>
          <w:p>
            <w:pPr>
              <w:pStyle w:val="TableContents"/>
              <w:spacing w:before="0" w:after="283"/>
              <w:jc w:val="right"/>
              <w:rPr/>
            </w:pPr>
            <w:r>
              <w:rPr/>
              <w:t> </w:t>
            </w:r>
          </w:p>
        </w:tc>
        <w:tc>
          <w:tcPr>
            <w:tcW w:w="81"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81" w:type="dxa"/>
            <w:tcBorders/>
            <w:shd w:fill="CCEEFF" w:val="clear"/>
            <w:vAlign w:val="bottom"/>
          </w:tcPr>
          <w:p>
            <w:pPr>
              <w:pStyle w:val="TableContents"/>
              <w:spacing w:before="0" w:after="283"/>
              <w:jc w:val="left"/>
              <w:rPr/>
            </w:pPr>
            <w:r>
              <w:rPr/>
              <w:t> </w:t>
            </w:r>
          </w:p>
        </w:tc>
        <w:tc>
          <w:tcPr>
            <w:tcW w:w="982" w:type="dxa"/>
            <w:tcBorders/>
            <w:shd w:fill="CCEEFF" w:val="clear"/>
            <w:vAlign w:val="bottom"/>
          </w:tcPr>
          <w:p>
            <w:pPr>
              <w:pStyle w:val="TableContents"/>
              <w:spacing w:before="0" w:after="283"/>
              <w:jc w:val="right"/>
              <w:rPr/>
            </w:pPr>
            <w:r>
              <w:rPr/>
              <w:t> </w:t>
            </w:r>
          </w:p>
        </w:tc>
        <w:tc>
          <w:tcPr>
            <w:tcW w:w="99"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139" w:type="dxa"/>
            <w:tcBorders/>
            <w:shd w:fill="CCEEFF" w:val="clear"/>
            <w:vAlign w:val="bottom"/>
          </w:tcPr>
          <w:p>
            <w:pPr>
              <w:pStyle w:val="TableContents"/>
              <w:spacing w:before="0" w:after="283"/>
              <w:jc w:val="left"/>
              <w:rPr/>
            </w:pPr>
            <w:r>
              <w:rPr/>
              <w:t> </w:t>
            </w:r>
          </w:p>
        </w:tc>
        <w:tc>
          <w:tcPr>
            <w:tcW w:w="641" w:type="dxa"/>
            <w:tcBorders/>
            <w:shd w:fill="CCEEFF" w:val="clear"/>
            <w:vAlign w:val="bottom"/>
          </w:tcPr>
          <w:p>
            <w:pPr>
              <w:pStyle w:val="TableContents"/>
              <w:spacing w:before="0" w:after="283"/>
              <w:jc w:val="right"/>
              <w:rPr/>
            </w:pPr>
            <w:r>
              <w:rPr/>
              <w:t> </w:t>
            </w:r>
          </w:p>
        </w:tc>
        <w:tc>
          <w:tcPr>
            <w:tcW w:w="99"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jc w:val="left"/>
              <w:rPr/>
            </w:pPr>
            <w:r>
              <w:rPr/>
              <w:t> </w:t>
            </w:r>
          </w:p>
        </w:tc>
        <w:tc>
          <w:tcPr>
            <w:tcW w:w="1077" w:type="dxa"/>
            <w:tcBorders/>
            <w:shd w:fill="CCEEFF" w:val="clear"/>
            <w:vAlign w:val="bottom"/>
          </w:tcPr>
          <w:p>
            <w:pPr>
              <w:pStyle w:val="TableContents"/>
              <w:spacing w:before="0" w:after="283"/>
              <w:jc w:val="right"/>
              <w:rPr/>
            </w:pPr>
            <w:r>
              <w:rPr/>
              <w:t> </w:t>
            </w:r>
          </w:p>
        </w:tc>
        <w:tc>
          <w:tcPr>
            <w:tcW w:w="99"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jc w:val="left"/>
              <w:rPr/>
            </w:pPr>
            <w:r>
              <w:rPr/>
              <w:t> </w:t>
            </w:r>
          </w:p>
        </w:tc>
        <w:tc>
          <w:tcPr>
            <w:tcW w:w="1132" w:type="dxa"/>
            <w:tcBorders/>
            <w:shd w:fill="CCEEFF" w:val="clear"/>
            <w:vAlign w:val="bottom"/>
          </w:tcPr>
          <w:p>
            <w:pPr>
              <w:pStyle w:val="TableContents"/>
              <w:spacing w:before="0" w:after="283"/>
              <w:jc w:val="right"/>
              <w:rPr/>
            </w:pPr>
            <w:r>
              <w:rPr/>
              <w:t> </w:t>
            </w:r>
          </w:p>
        </w:tc>
        <w:tc>
          <w:tcPr>
            <w:tcW w:w="99"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141" w:type="dxa"/>
            <w:tcBorders/>
            <w:shd w:fill="CCEEFF" w:val="clear"/>
            <w:vAlign w:val="bottom"/>
          </w:tcPr>
          <w:p>
            <w:pPr>
              <w:pStyle w:val="TableContents"/>
              <w:spacing w:before="0" w:after="283"/>
              <w:jc w:val="left"/>
              <w:rPr/>
            </w:pPr>
            <w:r>
              <w:rPr/>
              <w:t> </w:t>
            </w:r>
          </w:p>
        </w:tc>
        <w:tc>
          <w:tcPr>
            <w:tcW w:w="1045" w:type="dxa"/>
            <w:tcBorders/>
            <w:shd w:fill="CCEEFF" w:val="clear"/>
            <w:vAlign w:val="bottom"/>
          </w:tcPr>
          <w:p>
            <w:pPr>
              <w:pStyle w:val="TableContents"/>
              <w:spacing w:before="0" w:after="283"/>
              <w:jc w:val="right"/>
              <w:rPr/>
            </w:pPr>
            <w:r>
              <w:rPr/>
              <w:t> </w:t>
            </w:r>
          </w:p>
        </w:tc>
        <w:tc>
          <w:tcPr>
            <w:tcW w:w="123" w:type="dxa"/>
            <w:tcBorders/>
            <w:shd w:fill="CCEEFF" w:val="clear"/>
            <w:vAlign w:val="bottom"/>
          </w:tcPr>
          <w:p>
            <w:pPr>
              <w:pStyle w:val="TableContents"/>
              <w:spacing w:before="0" w:after="283"/>
              <w:jc w:val="left"/>
              <w:rPr/>
            </w:pPr>
            <w:r>
              <w:rPr/>
              <w:t> </w:t>
            </w:r>
          </w:p>
        </w:tc>
      </w:tr>
      <w:tr>
        <w:trPr/>
        <w:tc>
          <w:tcPr>
            <w:tcW w:w="2070" w:type="dxa"/>
            <w:tcBorders/>
            <w:shd w:fill="FFFFFF" w:val="clear"/>
            <w:vAlign w:val="bottom"/>
          </w:tcPr>
          <w:p>
            <w:pPr>
              <w:pStyle w:val="TableContents"/>
              <w:spacing w:before="0" w:after="0"/>
              <w:ind w:left="0" w:right="0" w:hanging="0"/>
              <w:jc w:val="left"/>
              <w:rPr/>
            </w:pPr>
            <w:r>
              <w:rPr/>
              <w:t>   </w:t>
            </w:r>
            <w:r>
              <w:rPr>
                <w:rFonts w:ascii="helvetica" w:hAnsi="helvetica"/>
                <w:sz w:val="20"/>
              </w:rPr>
              <w:t>stockholders</w:t>
            </w:r>
          </w:p>
        </w:tc>
        <w:tc>
          <w:tcPr>
            <w:tcW w:w="81" w:type="dxa"/>
            <w:tcBorders/>
            <w:shd w:fill="FFFFFF" w:val="clear"/>
            <w:vAlign w:val="bottom"/>
          </w:tcPr>
          <w:p>
            <w:pPr>
              <w:pStyle w:val="TableContents"/>
              <w:spacing w:before="0" w:after="283"/>
              <w:rPr/>
            </w:pPr>
            <w:r>
              <w:rPr/>
              <w:t> </w:t>
            </w:r>
          </w:p>
        </w:tc>
        <w:tc>
          <w:tcPr>
            <w:tcW w:w="135" w:type="dxa"/>
            <w:tcBorders/>
            <w:shd w:fill="FFFFFF" w:val="clear"/>
            <w:vAlign w:val="bottom"/>
          </w:tcPr>
          <w:p>
            <w:pPr>
              <w:pStyle w:val="TableContents"/>
              <w:spacing w:before="0" w:after="283"/>
              <w:jc w:val="left"/>
              <w:rPr/>
            </w:pPr>
            <w:r>
              <w:rPr/>
              <w:t> </w:t>
            </w:r>
          </w:p>
        </w:tc>
        <w:tc>
          <w:tcPr>
            <w:tcW w:w="586"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w:t>
            </w:r>
          </w:p>
        </w:tc>
        <w:tc>
          <w:tcPr>
            <w:tcW w:w="92" w:type="dxa"/>
            <w:tcBorders/>
            <w:shd w:fill="FFFFFF" w:val="clear"/>
            <w:vAlign w:val="bottom"/>
          </w:tcPr>
          <w:p>
            <w:pPr>
              <w:pStyle w:val="TableContents"/>
              <w:spacing w:before="0" w:after="283"/>
              <w:jc w:val="left"/>
              <w:rPr/>
            </w:pPr>
            <w:r>
              <w:rPr/>
              <w:t> </w:t>
            </w:r>
          </w:p>
        </w:tc>
        <w:tc>
          <w:tcPr>
            <w:tcW w:w="92" w:type="dxa"/>
            <w:tcBorders/>
            <w:shd w:fill="FFFFFF" w:val="clear"/>
            <w:vAlign w:val="bottom"/>
          </w:tcPr>
          <w:p>
            <w:pPr>
              <w:pStyle w:val="TableContents"/>
              <w:spacing w:before="0" w:after="283"/>
              <w:rPr/>
            </w:pPr>
            <w:r>
              <w:rPr/>
              <w:t> </w:t>
            </w:r>
          </w:p>
        </w:tc>
        <w:tc>
          <w:tcPr>
            <w:tcW w:w="292" w:type="dxa"/>
            <w:tcBorders/>
            <w:shd w:fill="FFFFFF" w:val="clear"/>
            <w:vAlign w:val="bottom"/>
          </w:tcPr>
          <w:p>
            <w:pPr>
              <w:pStyle w:val="TableContents"/>
              <w:spacing w:before="0" w:after="283"/>
              <w:jc w:val="left"/>
              <w:rPr/>
            </w:pPr>
            <w:r>
              <w:rPr/>
              <w:t> </w:t>
            </w:r>
          </w:p>
        </w:tc>
        <w:tc>
          <w:tcPr>
            <w:tcW w:w="334"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w:t>
            </w:r>
          </w:p>
        </w:tc>
        <w:tc>
          <w:tcPr>
            <w:tcW w:w="81"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81" w:type="dxa"/>
            <w:tcBorders/>
            <w:shd w:fill="FFFFFF" w:val="clear"/>
            <w:vAlign w:val="bottom"/>
          </w:tcPr>
          <w:p>
            <w:pPr>
              <w:pStyle w:val="TableContents"/>
              <w:spacing w:before="0" w:after="283"/>
              <w:jc w:val="left"/>
              <w:rPr/>
            </w:pPr>
            <w:r>
              <w:rPr/>
              <w:t> </w:t>
            </w:r>
          </w:p>
        </w:tc>
        <w:tc>
          <w:tcPr>
            <w:tcW w:w="982"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w:t>
            </w:r>
          </w:p>
        </w:tc>
        <w:tc>
          <w:tcPr>
            <w:tcW w:w="99"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139" w:type="dxa"/>
            <w:tcBorders/>
            <w:shd w:fill="FFFFFF" w:val="clear"/>
            <w:vAlign w:val="bottom"/>
          </w:tcPr>
          <w:p>
            <w:pPr>
              <w:pStyle w:val="TableContents"/>
              <w:spacing w:before="0" w:after="283"/>
              <w:jc w:val="left"/>
              <w:rPr/>
            </w:pPr>
            <w:r>
              <w:rPr/>
              <w:t> </w:t>
            </w:r>
          </w:p>
        </w:tc>
        <w:tc>
          <w:tcPr>
            <w:tcW w:w="641"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w:t>
            </w:r>
          </w:p>
        </w:tc>
        <w:tc>
          <w:tcPr>
            <w:tcW w:w="99"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283"/>
              <w:jc w:val="left"/>
              <w:rPr/>
            </w:pPr>
            <w:r>
              <w:rPr/>
              <w:t> </w:t>
            </w:r>
          </w:p>
        </w:tc>
        <w:tc>
          <w:tcPr>
            <w:tcW w:w="1077"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175,000</w:t>
            </w:r>
          </w:p>
        </w:tc>
        <w:tc>
          <w:tcPr>
            <w:tcW w:w="99"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283"/>
              <w:jc w:val="left"/>
              <w:rPr/>
            </w:pPr>
            <w:r>
              <w:rPr/>
              <w:t> </w:t>
            </w:r>
          </w:p>
        </w:tc>
        <w:tc>
          <w:tcPr>
            <w:tcW w:w="1132"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w:t>
            </w:r>
          </w:p>
        </w:tc>
        <w:tc>
          <w:tcPr>
            <w:tcW w:w="99"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141" w:type="dxa"/>
            <w:tcBorders/>
            <w:shd w:fill="FFFFFF" w:val="clear"/>
            <w:vAlign w:val="bottom"/>
          </w:tcPr>
          <w:p>
            <w:pPr>
              <w:pStyle w:val="TableContents"/>
              <w:spacing w:before="0" w:after="283"/>
              <w:jc w:val="left"/>
              <w:rPr/>
            </w:pPr>
            <w:r>
              <w:rPr/>
              <w:t> </w:t>
            </w:r>
          </w:p>
        </w:tc>
        <w:tc>
          <w:tcPr>
            <w:tcW w:w="1045"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175,000</w:t>
            </w:r>
          </w:p>
        </w:tc>
        <w:tc>
          <w:tcPr>
            <w:tcW w:w="123" w:type="dxa"/>
            <w:tcBorders/>
            <w:shd w:fill="FFFFFF" w:val="clear"/>
            <w:vAlign w:val="bottom"/>
          </w:tcPr>
          <w:p>
            <w:pPr>
              <w:pStyle w:val="TableContents"/>
              <w:spacing w:before="0" w:after="283"/>
              <w:jc w:val="left"/>
              <w:rPr/>
            </w:pPr>
            <w:r>
              <w:rPr/>
              <w:t> </w:t>
            </w:r>
          </w:p>
        </w:tc>
      </w:tr>
      <w:tr>
        <w:trPr/>
        <w:tc>
          <w:tcPr>
            <w:tcW w:w="2070" w:type="dxa"/>
            <w:tcBorders/>
            <w:shd w:fill="CCEEFF" w:val="clear"/>
            <w:vAlign w:val="bottom"/>
          </w:tcPr>
          <w:p>
            <w:pPr>
              <w:pStyle w:val="TableContents"/>
              <w:spacing w:before="0" w:after="0"/>
              <w:ind w:left="0" w:right="0" w:hanging="0"/>
              <w:jc w:val="left"/>
              <w:rPr/>
            </w:pPr>
            <w:r>
              <w:rPr/>
              <w:t> </w:t>
            </w:r>
            <w:r>
              <w:rPr>
                <w:rFonts w:ascii="helvetica" w:hAnsi="helvetica"/>
                <w:sz w:val="20"/>
              </w:rPr>
              <w:t>Capital contributions</w:t>
            </w:r>
          </w:p>
        </w:tc>
        <w:tc>
          <w:tcPr>
            <w:tcW w:w="81" w:type="dxa"/>
            <w:tcBorders/>
            <w:shd w:fill="CCEEFF" w:val="clear"/>
            <w:vAlign w:val="bottom"/>
          </w:tcPr>
          <w:p>
            <w:pPr>
              <w:pStyle w:val="TableContents"/>
              <w:spacing w:before="0" w:after="283"/>
              <w:rPr/>
            </w:pPr>
            <w:r>
              <w:rPr/>
              <w:t> </w:t>
            </w:r>
          </w:p>
        </w:tc>
        <w:tc>
          <w:tcPr>
            <w:tcW w:w="135" w:type="dxa"/>
            <w:tcBorders/>
            <w:shd w:fill="CCEEFF" w:val="clear"/>
            <w:vAlign w:val="bottom"/>
          </w:tcPr>
          <w:p>
            <w:pPr>
              <w:pStyle w:val="TableContents"/>
              <w:spacing w:before="0" w:after="283"/>
              <w:jc w:val="left"/>
              <w:rPr/>
            </w:pPr>
            <w:r>
              <w:rPr/>
              <w:t> </w:t>
            </w:r>
          </w:p>
        </w:tc>
        <w:tc>
          <w:tcPr>
            <w:tcW w:w="586"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w:t>
            </w:r>
          </w:p>
        </w:tc>
        <w:tc>
          <w:tcPr>
            <w:tcW w:w="92" w:type="dxa"/>
            <w:tcBorders/>
            <w:shd w:fill="CCEEFF" w:val="clear"/>
            <w:vAlign w:val="bottom"/>
          </w:tcPr>
          <w:p>
            <w:pPr>
              <w:pStyle w:val="TableContents"/>
              <w:spacing w:before="0" w:after="283"/>
              <w:jc w:val="left"/>
              <w:rPr/>
            </w:pPr>
            <w:r>
              <w:rPr/>
              <w:t> </w:t>
            </w:r>
          </w:p>
        </w:tc>
        <w:tc>
          <w:tcPr>
            <w:tcW w:w="92" w:type="dxa"/>
            <w:tcBorders/>
            <w:shd w:fill="CCEEFF" w:val="clear"/>
            <w:vAlign w:val="bottom"/>
          </w:tcPr>
          <w:p>
            <w:pPr>
              <w:pStyle w:val="TableContents"/>
              <w:spacing w:before="0" w:after="283"/>
              <w:rPr/>
            </w:pPr>
            <w:r>
              <w:rPr/>
              <w:t> </w:t>
            </w:r>
          </w:p>
        </w:tc>
        <w:tc>
          <w:tcPr>
            <w:tcW w:w="292" w:type="dxa"/>
            <w:tcBorders/>
            <w:shd w:fill="CCEEFF" w:val="clear"/>
            <w:vAlign w:val="bottom"/>
          </w:tcPr>
          <w:p>
            <w:pPr>
              <w:pStyle w:val="TableContents"/>
              <w:spacing w:before="0" w:after="283"/>
              <w:jc w:val="left"/>
              <w:rPr/>
            </w:pPr>
            <w:r>
              <w:rPr/>
              <w:t> </w:t>
            </w:r>
          </w:p>
        </w:tc>
        <w:tc>
          <w:tcPr>
            <w:tcW w:w="334"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w:t>
            </w:r>
          </w:p>
        </w:tc>
        <w:tc>
          <w:tcPr>
            <w:tcW w:w="81"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81" w:type="dxa"/>
            <w:tcBorders/>
            <w:shd w:fill="CCEEFF" w:val="clear"/>
            <w:vAlign w:val="bottom"/>
          </w:tcPr>
          <w:p>
            <w:pPr>
              <w:pStyle w:val="TableContents"/>
              <w:spacing w:before="0" w:after="283"/>
              <w:jc w:val="left"/>
              <w:rPr/>
            </w:pPr>
            <w:r>
              <w:rPr/>
              <w:t> </w:t>
            </w:r>
          </w:p>
        </w:tc>
        <w:tc>
          <w:tcPr>
            <w:tcW w:w="982"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w:t>
            </w:r>
          </w:p>
        </w:tc>
        <w:tc>
          <w:tcPr>
            <w:tcW w:w="99"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139" w:type="dxa"/>
            <w:tcBorders/>
            <w:shd w:fill="CCEEFF" w:val="clear"/>
            <w:vAlign w:val="bottom"/>
          </w:tcPr>
          <w:p>
            <w:pPr>
              <w:pStyle w:val="TableContents"/>
              <w:spacing w:before="0" w:after="283"/>
              <w:jc w:val="left"/>
              <w:rPr/>
            </w:pPr>
            <w:r>
              <w:rPr/>
              <w:t> </w:t>
            </w:r>
          </w:p>
        </w:tc>
        <w:tc>
          <w:tcPr>
            <w:tcW w:w="641" w:type="dxa"/>
            <w:tcBorders/>
            <w:shd w:fill="CCEEFF" w:val="clear"/>
            <w:vAlign w:val="bottom"/>
          </w:tcPr>
          <w:p>
            <w:pPr>
              <w:pStyle w:val="TableContents"/>
              <w:spacing w:before="0" w:after="283"/>
              <w:jc w:val="right"/>
              <w:rPr/>
            </w:pPr>
            <w:r>
              <w:rPr/>
              <w:t> </w:t>
            </w:r>
          </w:p>
        </w:tc>
        <w:tc>
          <w:tcPr>
            <w:tcW w:w="99"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jc w:val="left"/>
              <w:rPr/>
            </w:pPr>
            <w:r>
              <w:rPr/>
              <w:t> </w:t>
            </w:r>
          </w:p>
        </w:tc>
        <w:tc>
          <w:tcPr>
            <w:tcW w:w="1077"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105,907</w:t>
            </w:r>
          </w:p>
        </w:tc>
        <w:tc>
          <w:tcPr>
            <w:tcW w:w="99"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jc w:val="left"/>
              <w:rPr/>
            </w:pPr>
            <w:r>
              <w:rPr/>
              <w:t> </w:t>
            </w:r>
          </w:p>
        </w:tc>
        <w:tc>
          <w:tcPr>
            <w:tcW w:w="1132"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w:t>
            </w:r>
          </w:p>
        </w:tc>
        <w:tc>
          <w:tcPr>
            <w:tcW w:w="99"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141" w:type="dxa"/>
            <w:tcBorders/>
            <w:shd w:fill="CCEEFF" w:val="clear"/>
            <w:vAlign w:val="bottom"/>
          </w:tcPr>
          <w:p>
            <w:pPr>
              <w:pStyle w:val="TableContents"/>
              <w:spacing w:before="0" w:after="283"/>
              <w:jc w:val="left"/>
              <w:rPr/>
            </w:pPr>
            <w:r>
              <w:rPr/>
              <w:t> </w:t>
            </w:r>
          </w:p>
        </w:tc>
        <w:tc>
          <w:tcPr>
            <w:tcW w:w="1045"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105,907</w:t>
            </w:r>
          </w:p>
        </w:tc>
        <w:tc>
          <w:tcPr>
            <w:tcW w:w="123" w:type="dxa"/>
            <w:tcBorders/>
            <w:shd w:fill="CCEEFF" w:val="clear"/>
            <w:vAlign w:val="bottom"/>
          </w:tcPr>
          <w:p>
            <w:pPr>
              <w:pStyle w:val="TableContents"/>
              <w:spacing w:before="0" w:after="283"/>
              <w:jc w:val="left"/>
              <w:rPr/>
            </w:pPr>
            <w:r>
              <w:rPr/>
              <w:t> </w:t>
            </w:r>
          </w:p>
        </w:tc>
      </w:tr>
      <w:tr>
        <w:trPr/>
        <w:tc>
          <w:tcPr>
            <w:tcW w:w="2070" w:type="dxa"/>
            <w:tcBorders/>
            <w:shd w:fill="FFFFFF" w:val="clear"/>
            <w:vAlign w:val="bottom"/>
          </w:tcPr>
          <w:p>
            <w:pPr>
              <w:pStyle w:val="TableContents"/>
              <w:spacing w:before="0" w:after="0"/>
              <w:ind w:left="0" w:right="0" w:hanging="0"/>
              <w:jc w:val="left"/>
              <w:rPr/>
            </w:pPr>
            <w:r>
              <w:rPr/>
              <w:t> </w:t>
            </w:r>
            <w:r>
              <w:rPr>
                <w:rFonts w:ascii="helvetica" w:hAnsi="helvetica"/>
                <w:sz w:val="20"/>
              </w:rPr>
              <w:t>Forgiveness of notes payable and interest</w:t>
            </w:r>
          </w:p>
        </w:tc>
        <w:tc>
          <w:tcPr>
            <w:tcW w:w="81" w:type="dxa"/>
            <w:tcBorders/>
            <w:shd w:fill="FFFFFF" w:val="clear"/>
            <w:vAlign w:val="bottom"/>
          </w:tcPr>
          <w:p>
            <w:pPr>
              <w:pStyle w:val="TableContents"/>
              <w:spacing w:before="0" w:after="283"/>
              <w:rPr/>
            </w:pPr>
            <w:r>
              <w:rPr/>
              <w:t> </w:t>
            </w:r>
          </w:p>
        </w:tc>
        <w:tc>
          <w:tcPr>
            <w:tcW w:w="135" w:type="dxa"/>
            <w:tcBorders/>
            <w:shd w:fill="FFFFFF" w:val="clear"/>
            <w:vAlign w:val="bottom"/>
          </w:tcPr>
          <w:p>
            <w:pPr>
              <w:pStyle w:val="TableContents"/>
              <w:spacing w:before="0" w:after="283"/>
              <w:jc w:val="left"/>
              <w:rPr/>
            </w:pPr>
            <w:r>
              <w:rPr/>
              <w:t> </w:t>
            </w:r>
          </w:p>
        </w:tc>
        <w:tc>
          <w:tcPr>
            <w:tcW w:w="586"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w:t>
            </w:r>
          </w:p>
        </w:tc>
        <w:tc>
          <w:tcPr>
            <w:tcW w:w="92" w:type="dxa"/>
            <w:tcBorders/>
            <w:shd w:fill="FFFFFF" w:val="clear"/>
            <w:vAlign w:val="bottom"/>
          </w:tcPr>
          <w:p>
            <w:pPr>
              <w:pStyle w:val="TableContents"/>
              <w:spacing w:before="0" w:after="283"/>
              <w:jc w:val="left"/>
              <w:rPr/>
            </w:pPr>
            <w:r>
              <w:rPr/>
              <w:t> </w:t>
            </w:r>
          </w:p>
        </w:tc>
        <w:tc>
          <w:tcPr>
            <w:tcW w:w="92" w:type="dxa"/>
            <w:tcBorders/>
            <w:shd w:fill="FFFFFF" w:val="clear"/>
            <w:vAlign w:val="bottom"/>
          </w:tcPr>
          <w:p>
            <w:pPr>
              <w:pStyle w:val="TableContents"/>
              <w:spacing w:before="0" w:after="283"/>
              <w:rPr/>
            </w:pPr>
            <w:r>
              <w:rPr/>
              <w:t> </w:t>
            </w:r>
          </w:p>
        </w:tc>
        <w:tc>
          <w:tcPr>
            <w:tcW w:w="292" w:type="dxa"/>
            <w:tcBorders/>
            <w:shd w:fill="FFFFFF" w:val="clear"/>
            <w:vAlign w:val="bottom"/>
          </w:tcPr>
          <w:p>
            <w:pPr>
              <w:pStyle w:val="TableContents"/>
              <w:spacing w:before="0" w:after="283"/>
              <w:jc w:val="left"/>
              <w:rPr/>
            </w:pPr>
            <w:r>
              <w:rPr/>
              <w:t> </w:t>
            </w:r>
          </w:p>
        </w:tc>
        <w:tc>
          <w:tcPr>
            <w:tcW w:w="334"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w:t>
            </w:r>
          </w:p>
        </w:tc>
        <w:tc>
          <w:tcPr>
            <w:tcW w:w="81"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81" w:type="dxa"/>
            <w:tcBorders/>
            <w:shd w:fill="FFFFFF" w:val="clear"/>
            <w:vAlign w:val="bottom"/>
          </w:tcPr>
          <w:p>
            <w:pPr>
              <w:pStyle w:val="TableContents"/>
              <w:spacing w:before="0" w:after="283"/>
              <w:jc w:val="left"/>
              <w:rPr/>
            </w:pPr>
            <w:r>
              <w:rPr/>
              <w:t> </w:t>
            </w:r>
          </w:p>
        </w:tc>
        <w:tc>
          <w:tcPr>
            <w:tcW w:w="982"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w:t>
            </w:r>
          </w:p>
        </w:tc>
        <w:tc>
          <w:tcPr>
            <w:tcW w:w="99"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139" w:type="dxa"/>
            <w:tcBorders/>
            <w:shd w:fill="FFFFFF" w:val="clear"/>
            <w:vAlign w:val="bottom"/>
          </w:tcPr>
          <w:p>
            <w:pPr>
              <w:pStyle w:val="TableContents"/>
              <w:spacing w:before="0" w:after="283"/>
              <w:jc w:val="left"/>
              <w:rPr/>
            </w:pPr>
            <w:r>
              <w:rPr/>
              <w:t> </w:t>
            </w:r>
          </w:p>
        </w:tc>
        <w:tc>
          <w:tcPr>
            <w:tcW w:w="641"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w:t>
            </w:r>
          </w:p>
        </w:tc>
        <w:tc>
          <w:tcPr>
            <w:tcW w:w="99"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283"/>
              <w:jc w:val="left"/>
              <w:rPr/>
            </w:pPr>
            <w:r>
              <w:rPr/>
              <w:t> </w:t>
            </w:r>
          </w:p>
        </w:tc>
        <w:tc>
          <w:tcPr>
            <w:tcW w:w="1077"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241,701</w:t>
            </w:r>
          </w:p>
        </w:tc>
        <w:tc>
          <w:tcPr>
            <w:tcW w:w="99"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283"/>
              <w:jc w:val="left"/>
              <w:rPr/>
            </w:pPr>
            <w:r>
              <w:rPr/>
              <w:t> </w:t>
            </w:r>
          </w:p>
        </w:tc>
        <w:tc>
          <w:tcPr>
            <w:tcW w:w="1132"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w:t>
            </w:r>
          </w:p>
        </w:tc>
        <w:tc>
          <w:tcPr>
            <w:tcW w:w="99"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141" w:type="dxa"/>
            <w:tcBorders/>
            <w:shd w:fill="FFFFFF" w:val="clear"/>
            <w:vAlign w:val="bottom"/>
          </w:tcPr>
          <w:p>
            <w:pPr>
              <w:pStyle w:val="TableContents"/>
              <w:spacing w:before="0" w:after="283"/>
              <w:jc w:val="left"/>
              <w:rPr/>
            </w:pPr>
            <w:r>
              <w:rPr/>
              <w:t> </w:t>
            </w:r>
          </w:p>
        </w:tc>
        <w:tc>
          <w:tcPr>
            <w:tcW w:w="1045"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241,701</w:t>
            </w:r>
          </w:p>
        </w:tc>
        <w:tc>
          <w:tcPr>
            <w:tcW w:w="123" w:type="dxa"/>
            <w:tcBorders/>
            <w:shd w:fill="FFFFFF" w:val="clear"/>
            <w:vAlign w:val="bottom"/>
          </w:tcPr>
          <w:p>
            <w:pPr>
              <w:pStyle w:val="TableContents"/>
              <w:spacing w:before="0" w:after="283"/>
              <w:jc w:val="left"/>
              <w:rPr/>
            </w:pPr>
            <w:r>
              <w:rPr/>
              <w:t> </w:t>
            </w:r>
          </w:p>
        </w:tc>
      </w:tr>
      <w:tr>
        <w:trPr/>
        <w:tc>
          <w:tcPr>
            <w:tcW w:w="2070" w:type="dxa"/>
            <w:tcBorders/>
            <w:shd w:fill="CCEEFF" w:val="clear"/>
            <w:vAlign w:val="bottom"/>
          </w:tcPr>
          <w:p>
            <w:pPr>
              <w:pStyle w:val="TableContents"/>
              <w:spacing w:before="0" w:after="0"/>
              <w:ind w:left="0" w:right="0" w:hanging="0"/>
              <w:jc w:val="left"/>
              <w:rPr/>
            </w:pPr>
            <w:r>
              <w:rPr/>
              <w:t> </w:t>
            </w:r>
            <w:r>
              <w:rPr>
                <w:rFonts w:ascii="helvetica" w:hAnsi="helvetica"/>
                <w:sz w:val="20"/>
              </w:rPr>
              <w:t>Issuance of restricted common stock at $16.00 per share</w:t>
            </w:r>
          </w:p>
        </w:tc>
        <w:tc>
          <w:tcPr>
            <w:tcW w:w="81" w:type="dxa"/>
            <w:tcBorders/>
            <w:shd w:fill="CCEEFF" w:val="clear"/>
            <w:vAlign w:val="bottom"/>
          </w:tcPr>
          <w:p>
            <w:pPr>
              <w:pStyle w:val="TableContents"/>
              <w:spacing w:before="0" w:after="283"/>
              <w:rPr/>
            </w:pPr>
            <w:r>
              <w:rPr/>
              <w:t> </w:t>
            </w:r>
          </w:p>
        </w:tc>
        <w:tc>
          <w:tcPr>
            <w:tcW w:w="135" w:type="dxa"/>
            <w:tcBorders/>
            <w:shd w:fill="CCEEFF" w:val="clear"/>
            <w:vAlign w:val="bottom"/>
          </w:tcPr>
          <w:p>
            <w:pPr>
              <w:pStyle w:val="TableContents"/>
              <w:spacing w:before="0" w:after="283"/>
              <w:jc w:val="left"/>
              <w:rPr/>
            </w:pPr>
            <w:r>
              <w:rPr/>
              <w:t> </w:t>
            </w:r>
          </w:p>
        </w:tc>
        <w:tc>
          <w:tcPr>
            <w:tcW w:w="586" w:type="dxa"/>
            <w:tcBorders/>
            <w:shd w:fill="CCEEFF" w:val="clear"/>
            <w:vAlign w:val="bottom"/>
          </w:tcPr>
          <w:p>
            <w:pPr>
              <w:pStyle w:val="TableContents"/>
              <w:spacing w:before="0" w:after="283"/>
              <w:jc w:val="right"/>
              <w:rPr/>
            </w:pPr>
            <w:r>
              <w:rPr/>
              <w:t> </w:t>
            </w:r>
          </w:p>
        </w:tc>
        <w:tc>
          <w:tcPr>
            <w:tcW w:w="92" w:type="dxa"/>
            <w:tcBorders/>
            <w:shd w:fill="CCEEFF" w:val="clear"/>
            <w:vAlign w:val="bottom"/>
          </w:tcPr>
          <w:p>
            <w:pPr>
              <w:pStyle w:val="TableContents"/>
              <w:spacing w:before="0" w:after="283"/>
              <w:jc w:val="left"/>
              <w:rPr/>
            </w:pPr>
            <w:r>
              <w:rPr/>
              <w:t> </w:t>
            </w:r>
          </w:p>
        </w:tc>
        <w:tc>
          <w:tcPr>
            <w:tcW w:w="92" w:type="dxa"/>
            <w:tcBorders/>
            <w:shd w:fill="CCEEFF" w:val="clear"/>
            <w:vAlign w:val="bottom"/>
          </w:tcPr>
          <w:p>
            <w:pPr>
              <w:pStyle w:val="TableContents"/>
              <w:spacing w:before="0" w:after="283"/>
              <w:rPr/>
            </w:pPr>
            <w:r>
              <w:rPr/>
              <w:t> </w:t>
            </w:r>
          </w:p>
        </w:tc>
        <w:tc>
          <w:tcPr>
            <w:tcW w:w="292" w:type="dxa"/>
            <w:tcBorders/>
            <w:shd w:fill="CCEEFF" w:val="clear"/>
            <w:vAlign w:val="bottom"/>
          </w:tcPr>
          <w:p>
            <w:pPr>
              <w:pStyle w:val="TableContents"/>
              <w:spacing w:before="0" w:after="283"/>
              <w:jc w:val="left"/>
              <w:rPr/>
            </w:pPr>
            <w:r>
              <w:rPr/>
              <w:t> </w:t>
            </w:r>
          </w:p>
        </w:tc>
        <w:tc>
          <w:tcPr>
            <w:tcW w:w="334" w:type="dxa"/>
            <w:tcBorders/>
            <w:shd w:fill="CCEEFF" w:val="clear"/>
            <w:vAlign w:val="bottom"/>
          </w:tcPr>
          <w:p>
            <w:pPr>
              <w:pStyle w:val="TableContents"/>
              <w:spacing w:before="0" w:after="283"/>
              <w:jc w:val="right"/>
              <w:rPr/>
            </w:pPr>
            <w:r>
              <w:rPr/>
              <w:t> </w:t>
            </w:r>
          </w:p>
        </w:tc>
        <w:tc>
          <w:tcPr>
            <w:tcW w:w="81"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81" w:type="dxa"/>
            <w:tcBorders/>
            <w:shd w:fill="CCEEFF" w:val="clear"/>
            <w:vAlign w:val="bottom"/>
          </w:tcPr>
          <w:p>
            <w:pPr>
              <w:pStyle w:val="TableContents"/>
              <w:spacing w:before="0" w:after="283"/>
              <w:jc w:val="left"/>
              <w:rPr/>
            </w:pPr>
            <w:r>
              <w:rPr/>
              <w:t> </w:t>
            </w:r>
          </w:p>
        </w:tc>
        <w:tc>
          <w:tcPr>
            <w:tcW w:w="982" w:type="dxa"/>
            <w:tcBorders/>
            <w:shd w:fill="CCEEFF" w:val="clear"/>
            <w:vAlign w:val="bottom"/>
          </w:tcPr>
          <w:p>
            <w:pPr>
              <w:pStyle w:val="TableContents"/>
              <w:spacing w:before="0" w:after="283"/>
              <w:jc w:val="right"/>
              <w:rPr/>
            </w:pPr>
            <w:r>
              <w:rPr/>
              <w:t> </w:t>
            </w:r>
          </w:p>
        </w:tc>
        <w:tc>
          <w:tcPr>
            <w:tcW w:w="99"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139" w:type="dxa"/>
            <w:tcBorders/>
            <w:shd w:fill="CCEEFF" w:val="clear"/>
            <w:vAlign w:val="bottom"/>
          </w:tcPr>
          <w:p>
            <w:pPr>
              <w:pStyle w:val="TableContents"/>
              <w:spacing w:before="0" w:after="283"/>
              <w:jc w:val="left"/>
              <w:rPr/>
            </w:pPr>
            <w:r>
              <w:rPr/>
              <w:t> </w:t>
            </w:r>
          </w:p>
        </w:tc>
        <w:tc>
          <w:tcPr>
            <w:tcW w:w="641" w:type="dxa"/>
            <w:tcBorders/>
            <w:shd w:fill="CCEEFF" w:val="clear"/>
            <w:vAlign w:val="bottom"/>
          </w:tcPr>
          <w:p>
            <w:pPr>
              <w:pStyle w:val="TableContents"/>
              <w:spacing w:before="0" w:after="283"/>
              <w:jc w:val="right"/>
              <w:rPr/>
            </w:pPr>
            <w:r>
              <w:rPr/>
              <w:t> </w:t>
            </w:r>
          </w:p>
        </w:tc>
        <w:tc>
          <w:tcPr>
            <w:tcW w:w="99"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jc w:val="left"/>
              <w:rPr/>
            </w:pPr>
            <w:r>
              <w:rPr/>
              <w:t> </w:t>
            </w:r>
          </w:p>
        </w:tc>
        <w:tc>
          <w:tcPr>
            <w:tcW w:w="1077" w:type="dxa"/>
            <w:tcBorders/>
            <w:shd w:fill="CCEEFF" w:val="clear"/>
            <w:vAlign w:val="bottom"/>
          </w:tcPr>
          <w:p>
            <w:pPr>
              <w:pStyle w:val="TableContents"/>
              <w:spacing w:before="0" w:after="283"/>
              <w:jc w:val="right"/>
              <w:rPr/>
            </w:pPr>
            <w:r>
              <w:rPr/>
              <w:t> </w:t>
            </w:r>
          </w:p>
        </w:tc>
        <w:tc>
          <w:tcPr>
            <w:tcW w:w="99"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jc w:val="left"/>
              <w:rPr/>
            </w:pPr>
            <w:r>
              <w:rPr/>
              <w:t> </w:t>
            </w:r>
          </w:p>
        </w:tc>
        <w:tc>
          <w:tcPr>
            <w:tcW w:w="1132" w:type="dxa"/>
            <w:tcBorders/>
            <w:shd w:fill="CCEEFF" w:val="clear"/>
            <w:vAlign w:val="bottom"/>
          </w:tcPr>
          <w:p>
            <w:pPr>
              <w:pStyle w:val="TableContents"/>
              <w:spacing w:before="0" w:after="283"/>
              <w:jc w:val="right"/>
              <w:rPr/>
            </w:pPr>
            <w:r>
              <w:rPr/>
              <w:t> </w:t>
            </w:r>
          </w:p>
        </w:tc>
        <w:tc>
          <w:tcPr>
            <w:tcW w:w="99"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141" w:type="dxa"/>
            <w:tcBorders/>
            <w:shd w:fill="CCEEFF" w:val="clear"/>
            <w:vAlign w:val="bottom"/>
          </w:tcPr>
          <w:p>
            <w:pPr>
              <w:pStyle w:val="TableContents"/>
              <w:spacing w:before="0" w:after="283"/>
              <w:jc w:val="left"/>
              <w:rPr/>
            </w:pPr>
            <w:r>
              <w:rPr/>
              <w:t> </w:t>
            </w:r>
          </w:p>
        </w:tc>
        <w:tc>
          <w:tcPr>
            <w:tcW w:w="1045" w:type="dxa"/>
            <w:tcBorders/>
            <w:shd w:fill="CCEEFF" w:val="clear"/>
            <w:vAlign w:val="bottom"/>
          </w:tcPr>
          <w:p>
            <w:pPr>
              <w:pStyle w:val="TableContents"/>
              <w:spacing w:before="0" w:after="283"/>
              <w:jc w:val="right"/>
              <w:rPr/>
            </w:pPr>
            <w:r>
              <w:rPr/>
              <w:t> </w:t>
            </w:r>
          </w:p>
        </w:tc>
        <w:tc>
          <w:tcPr>
            <w:tcW w:w="123" w:type="dxa"/>
            <w:tcBorders/>
            <w:shd w:fill="CCEEFF" w:val="clear"/>
            <w:vAlign w:val="bottom"/>
          </w:tcPr>
          <w:p>
            <w:pPr>
              <w:pStyle w:val="TableContents"/>
              <w:spacing w:before="0" w:after="283"/>
              <w:jc w:val="left"/>
              <w:rPr/>
            </w:pPr>
            <w:r>
              <w:rPr/>
              <w:t> </w:t>
            </w:r>
          </w:p>
        </w:tc>
      </w:tr>
      <w:tr>
        <w:trPr/>
        <w:tc>
          <w:tcPr>
            <w:tcW w:w="2070" w:type="dxa"/>
            <w:tcBorders/>
            <w:shd w:fill="FFFFFF" w:val="clear"/>
            <w:vAlign w:val="bottom"/>
          </w:tcPr>
          <w:p>
            <w:pPr>
              <w:pStyle w:val="TableContents"/>
              <w:spacing w:before="0" w:after="0"/>
              <w:ind w:left="0" w:right="0" w:hanging="0"/>
              <w:jc w:val="left"/>
              <w:rPr/>
            </w:pPr>
            <w:r>
              <w:rPr/>
              <w:t>    </w:t>
            </w:r>
            <w:r>
              <w:rPr>
                <w:rFonts w:ascii="helvetica" w:hAnsi="helvetica"/>
                <w:sz w:val="20"/>
              </w:rPr>
              <w:t>in August 2007</w:t>
            </w:r>
          </w:p>
        </w:tc>
        <w:tc>
          <w:tcPr>
            <w:tcW w:w="81" w:type="dxa"/>
            <w:tcBorders/>
            <w:shd w:fill="FFFFFF" w:val="clear"/>
            <w:vAlign w:val="bottom"/>
          </w:tcPr>
          <w:p>
            <w:pPr>
              <w:pStyle w:val="TableContents"/>
              <w:spacing w:before="0" w:after="283"/>
              <w:rPr/>
            </w:pPr>
            <w:r>
              <w:rPr/>
              <w:t> </w:t>
            </w:r>
          </w:p>
        </w:tc>
        <w:tc>
          <w:tcPr>
            <w:tcW w:w="135" w:type="dxa"/>
            <w:tcBorders/>
            <w:shd w:fill="FFFFFF" w:val="clear"/>
            <w:vAlign w:val="bottom"/>
          </w:tcPr>
          <w:p>
            <w:pPr>
              <w:pStyle w:val="TableContents"/>
              <w:spacing w:before="0" w:after="283"/>
              <w:jc w:val="left"/>
              <w:rPr/>
            </w:pPr>
            <w:r>
              <w:rPr/>
              <w:t> </w:t>
            </w:r>
          </w:p>
        </w:tc>
        <w:tc>
          <w:tcPr>
            <w:tcW w:w="586"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w:t>
            </w:r>
          </w:p>
        </w:tc>
        <w:tc>
          <w:tcPr>
            <w:tcW w:w="92" w:type="dxa"/>
            <w:tcBorders/>
            <w:shd w:fill="FFFFFF" w:val="clear"/>
            <w:vAlign w:val="bottom"/>
          </w:tcPr>
          <w:p>
            <w:pPr>
              <w:pStyle w:val="TableContents"/>
              <w:spacing w:before="0" w:after="283"/>
              <w:jc w:val="left"/>
              <w:rPr/>
            </w:pPr>
            <w:r>
              <w:rPr/>
              <w:t> </w:t>
            </w:r>
          </w:p>
        </w:tc>
        <w:tc>
          <w:tcPr>
            <w:tcW w:w="92" w:type="dxa"/>
            <w:tcBorders/>
            <w:shd w:fill="FFFFFF" w:val="clear"/>
            <w:vAlign w:val="bottom"/>
          </w:tcPr>
          <w:p>
            <w:pPr>
              <w:pStyle w:val="TableContents"/>
              <w:spacing w:before="0" w:after="283"/>
              <w:rPr/>
            </w:pPr>
            <w:r>
              <w:rPr/>
              <w:t> </w:t>
            </w:r>
          </w:p>
        </w:tc>
        <w:tc>
          <w:tcPr>
            <w:tcW w:w="292" w:type="dxa"/>
            <w:tcBorders/>
            <w:shd w:fill="FFFFFF" w:val="clear"/>
            <w:vAlign w:val="bottom"/>
          </w:tcPr>
          <w:p>
            <w:pPr>
              <w:pStyle w:val="TableContents"/>
              <w:spacing w:before="0" w:after="283"/>
              <w:jc w:val="left"/>
              <w:rPr/>
            </w:pPr>
            <w:r>
              <w:rPr/>
              <w:t> </w:t>
            </w:r>
          </w:p>
        </w:tc>
        <w:tc>
          <w:tcPr>
            <w:tcW w:w="334"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w:t>
            </w:r>
          </w:p>
        </w:tc>
        <w:tc>
          <w:tcPr>
            <w:tcW w:w="81"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81" w:type="dxa"/>
            <w:tcBorders/>
            <w:shd w:fill="FFFFFF" w:val="clear"/>
            <w:vAlign w:val="bottom"/>
          </w:tcPr>
          <w:p>
            <w:pPr>
              <w:pStyle w:val="TableContents"/>
              <w:spacing w:before="0" w:after="283"/>
              <w:jc w:val="left"/>
              <w:rPr/>
            </w:pPr>
            <w:r>
              <w:rPr/>
              <w:t> </w:t>
            </w:r>
          </w:p>
        </w:tc>
        <w:tc>
          <w:tcPr>
            <w:tcW w:w="982"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24,414</w:t>
            </w:r>
          </w:p>
        </w:tc>
        <w:tc>
          <w:tcPr>
            <w:tcW w:w="99"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139" w:type="dxa"/>
            <w:tcBorders/>
            <w:shd w:fill="FFFFFF" w:val="clear"/>
            <w:vAlign w:val="bottom"/>
          </w:tcPr>
          <w:p>
            <w:pPr>
              <w:pStyle w:val="TableContents"/>
              <w:spacing w:before="0" w:after="283"/>
              <w:jc w:val="left"/>
              <w:rPr/>
            </w:pPr>
            <w:r>
              <w:rPr/>
              <w:t> </w:t>
            </w:r>
          </w:p>
        </w:tc>
        <w:tc>
          <w:tcPr>
            <w:tcW w:w="641"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25</w:t>
            </w:r>
          </w:p>
        </w:tc>
        <w:tc>
          <w:tcPr>
            <w:tcW w:w="99"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283"/>
              <w:jc w:val="left"/>
              <w:rPr/>
            </w:pPr>
            <w:r>
              <w:rPr/>
              <w:t> </w:t>
            </w:r>
          </w:p>
        </w:tc>
        <w:tc>
          <w:tcPr>
            <w:tcW w:w="1077"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(25</w:t>
            </w:r>
          </w:p>
        </w:tc>
        <w:tc>
          <w:tcPr>
            <w:tcW w:w="99" w:type="dxa"/>
            <w:tcBorders/>
            <w:shd w:fill="FFFFFF" w:val="clear"/>
            <w:vAlign w:val="bottom"/>
          </w:tcPr>
          <w:p>
            <w:pPr>
              <w:pStyle w:val="TableContents"/>
              <w:spacing w:before="0" w:after="283"/>
              <w:jc w:val="left"/>
              <w:rPr>
                <w:rFonts w:ascii="helvetica" w:hAnsi="helvetica"/>
                <w:sz w:val="20"/>
              </w:rPr>
            </w:pPr>
            <w:r>
              <w:rPr>
                <w:rFonts w:ascii="helvetica" w:hAnsi="helvetica"/>
                <w:sz w:val="20"/>
              </w:rPr>
              <w:t>)</w:t>
            </w:r>
          </w:p>
        </w:tc>
        <w:tc>
          <w:tcPr>
            <w:tcW w:w="81"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283"/>
              <w:jc w:val="left"/>
              <w:rPr/>
            </w:pPr>
            <w:r>
              <w:rPr/>
              <w:t> </w:t>
            </w:r>
          </w:p>
        </w:tc>
        <w:tc>
          <w:tcPr>
            <w:tcW w:w="1132"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w:t>
            </w:r>
          </w:p>
        </w:tc>
        <w:tc>
          <w:tcPr>
            <w:tcW w:w="99"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141" w:type="dxa"/>
            <w:tcBorders/>
            <w:shd w:fill="FFFFFF" w:val="clear"/>
            <w:vAlign w:val="bottom"/>
          </w:tcPr>
          <w:p>
            <w:pPr>
              <w:pStyle w:val="TableContents"/>
              <w:spacing w:before="0" w:after="283"/>
              <w:jc w:val="left"/>
              <w:rPr/>
            </w:pPr>
            <w:r>
              <w:rPr/>
              <w:t> </w:t>
            </w:r>
          </w:p>
        </w:tc>
        <w:tc>
          <w:tcPr>
            <w:tcW w:w="1045"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w:t>
            </w:r>
          </w:p>
        </w:tc>
        <w:tc>
          <w:tcPr>
            <w:tcW w:w="123" w:type="dxa"/>
            <w:tcBorders/>
            <w:shd w:fill="FFFFFF" w:val="clear"/>
            <w:vAlign w:val="bottom"/>
          </w:tcPr>
          <w:p>
            <w:pPr>
              <w:pStyle w:val="TableContents"/>
              <w:spacing w:before="0" w:after="283"/>
              <w:jc w:val="left"/>
              <w:rPr/>
            </w:pPr>
            <w:r>
              <w:rPr/>
              <w:t> </w:t>
            </w:r>
          </w:p>
        </w:tc>
      </w:tr>
      <w:tr>
        <w:trPr/>
        <w:tc>
          <w:tcPr>
            <w:tcW w:w="2070" w:type="dxa"/>
            <w:tcBorders/>
            <w:shd w:fill="CCEEFF" w:val="clear"/>
            <w:vAlign w:val="bottom"/>
          </w:tcPr>
          <w:p>
            <w:pPr>
              <w:pStyle w:val="TableContents"/>
              <w:spacing w:before="0" w:after="0"/>
              <w:ind w:left="0" w:right="0" w:hanging="0"/>
              <w:jc w:val="left"/>
              <w:rPr/>
            </w:pPr>
            <w:r>
              <w:rPr/>
              <w:t> </w:t>
            </w:r>
            <w:r>
              <w:rPr>
                <w:rFonts w:ascii="helvetica" w:hAnsi="helvetica"/>
                <w:sz w:val="20"/>
              </w:rPr>
              <w:t>Issuance of common stock in connection with merger</w:t>
            </w:r>
          </w:p>
        </w:tc>
        <w:tc>
          <w:tcPr>
            <w:tcW w:w="81" w:type="dxa"/>
            <w:tcBorders/>
            <w:shd w:fill="CCEEFF" w:val="clear"/>
            <w:vAlign w:val="bottom"/>
          </w:tcPr>
          <w:p>
            <w:pPr>
              <w:pStyle w:val="TableContents"/>
              <w:spacing w:before="0" w:after="283"/>
              <w:rPr/>
            </w:pPr>
            <w:r>
              <w:rPr/>
              <w:t> </w:t>
            </w:r>
          </w:p>
        </w:tc>
        <w:tc>
          <w:tcPr>
            <w:tcW w:w="135" w:type="dxa"/>
            <w:tcBorders/>
            <w:shd w:fill="CCEEFF" w:val="clear"/>
            <w:vAlign w:val="bottom"/>
          </w:tcPr>
          <w:p>
            <w:pPr>
              <w:pStyle w:val="TableContents"/>
              <w:spacing w:before="0" w:after="283"/>
              <w:jc w:val="left"/>
              <w:rPr/>
            </w:pPr>
            <w:r>
              <w:rPr/>
              <w:t> </w:t>
            </w:r>
          </w:p>
        </w:tc>
        <w:tc>
          <w:tcPr>
            <w:tcW w:w="586" w:type="dxa"/>
            <w:tcBorders/>
            <w:shd w:fill="CCEEFF" w:val="clear"/>
            <w:vAlign w:val="bottom"/>
          </w:tcPr>
          <w:p>
            <w:pPr>
              <w:pStyle w:val="TableContents"/>
              <w:spacing w:before="0" w:after="283"/>
              <w:jc w:val="right"/>
              <w:rPr/>
            </w:pPr>
            <w:r>
              <w:rPr/>
              <w:t> </w:t>
            </w:r>
          </w:p>
        </w:tc>
        <w:tc>
          <w:tcPr>
            <w:tcW w:w="92" w:type="dxa"/>
            <w:tcBorders/>
            <w:shd w:fill="CCEEFF" w:val="clear"/>
            <w:vAlign w:val="bottom"/>
          </w:tcPr>
          <w:p>
            <w:pPr>
              <w:pStyle w:val="TableContents"/>
              <w:spacing w:before="0" w:after="283"/>
              <w:jc w:val="left"/>
              <w:rPr/>
            </w:pPr>
            <w:r>
              <w:rPr/>
              <w:t> </w:t>
            </w:r>
          </w:p>
        </w:tc>
        <w:tc>
          <w:tcPr>
            <w:tcW w:w="92" w:type="dxa"/>
            <w:tcBorders/>
            <w:shd w:fill="CCEEFF" w:val="clear"/>
            <w:vAlign w:val="bottom"/>
          </w:tcPr>
          <w:p>
            <w:pPr>
              <w:pStyle w:val="TableContents"/>
              <w:spacing w:before="0" w:after="283"/>
              <w:rPr/>
            </w:pPr>
            <w:r>
              <w:rPr/>
              <w:t> </w:t>
            </w:r>
          </w:p>
        </w:tc>
        <w:tc>
          <w:tcPr>
            <w:tcW w:w="292" w:type="dxa"/>
            <w:tcBorders/>
            <w:shd w:fill="CCEEFF" w:val="clear"/>
            <w:vAlign w:val="bottom"/>
          </w:tcPr>
          <w:p>
            <w:pPr>
              <w:pStyle w:val="TableContents"/>
              <w:spacing w:before="0" w:after="283"/>
              <w:jc w:val="left"/>
              <w:rPr/>
            </w:pPr>
            <w:r>
              <w:rPr/>
              <w:t> </w:t>
            </w:r>
          </w:p>
        </w:tc>
        <w:tc>
          <w:tcPr>
            <w:tcW w:w="334" w:type="dxa"/>
            <w:tcBorders/>
            <w:shd w:fill="CCEEFF" w:val="clear"/>
            <w:vAlign w:val="bottom"/>
          </w:tcPr>
          <w:p>
            <w:pPr>
              <w:pStyle w:val="TableContents"/>
              <w:spacing w:before="0" w:after="283"/>
              <w:jc w:val="right"/>
              <w:rPr/>
            </w:pPr>
            <w:r>
              <w:rPr/>
              <w:t> </w:t>
            </w:r>
          </w:p>
        </w:tc>
        <w:tc>
          <w:tcPr>
            <w:tcW w:w="81"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81" w:type="dxa"/>
            <w:tcBorders/>
            <w:shd w:fill="CCEEFF" w:val="clear"/>
            <w:vAlign w:val="bottom"/>
          </w:tcPr>
          <w:p>
            <w:pPr>
              <w:pStyle w:val="TableContents"/>
              <w:spacing w:before="0" w:after="283"/>
              <w:jc w:val="left"/>
              <w:rPr/>
            </w:pPr>
            <w:r>
              <w:rPr/>
              <w:t> </w:t>
            </w:r>
          </w:p>
        </w:tc>
        <w:tc>
          <w:tcPr>
            <w:tcW w:w="982" w:type="dxa"/>
            <w:tcBorders/>
            <w:shd w:fill="CCEEFF" w:val="clear"/>
            <w:vAlign w:val="bottom"/>
          </w:tcPr>
          <w:p>
            <w:pPr>
              <w:pStyle w:val="TableContents"/>
              <w:spacing w:before="0" w:after="283"/>
              <w:jc w:val="right"/>
              <w:rPr/>
            </w:pPr>
            <w:r>
              <w:rPr/>
              <w:t> </w:t>
            </w:r>
          </w:p>
        </w:tc>
        <w:tc>
          <w:tcPr>
            <w:tcW w:w="99"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139" w:type="dxa"/>
            <w:tcBorders/>
            <w:shd w:fill="CCEEFF" w:val="clear"/>
            <w:vAlign w:val="bottom"/>
          </w:tcPr>
          <w:p>
            <w:pPr>
              <w:pStyle w:val="TableContents"/>
              <w:spacing w:before="0" w:after="283"/>
              <w:jc w:val="left"/>
              <w:rPr/>
            </w:pPr>
            <w:r>
              <w:rPr/>
              <w:t> </w:t>
            </w:r>
          </w:p>
        </w:tc>
        <w:tc>
          <w:tcPr>
            <w:tcW w:w="641" w:type="dxa"/>
            <w:tcBorders/>
            <w:shd w:fill="CCEEFF" w:val="clear"/>
            <w:vAlign w:val="bottom"/>
          </w:tcPr>
          <w:p>
            <w:pPr>
              <w:pStyle w:val="TableContents"/>
              <w:spacing w:before="0" w:after="283"/>
              <w:jc w:val="right"/>
              <w:rPr/>
            </w:pPr>
            <w:r>
              <w:rPr/>
              <w:t> </w:t>
            </w:r>
          </w:p>
        </w:tc>
        <w:tc>
          <w:tcPr>
            <w:tcW w:w="99"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jc w:val="left"/>
              <w:rPr/>
            </w:pPr>
            <w:r>
              <w:rPr/>
              <w:t> </w:t>
            </w:r>
          </w:p>
        </w:tc>
        <w:tc>
          <w:tcPr>
            <w:tcW w:w="1077" w:type="dxa"/>
            <w:tcBorders/>
            <w:shd w:fill="CCEEFF" w:val="clear"/>
            <w:vAlign w:val="bottom"/>
          </w:tcPr>
          <w:p>
            <w:pPr>
              <w:pStyle w:val="TableContents"/>
              <w:spacing w:before="0" w:after="283"/>
              <w:jc w:val="right"/>
              <w:rPr/>
            </w:pPr>
            <w:r>
              <w:rPr/>
              <w:t> </w:t>
            </w:r>
          </w:p>
        </w:tc>
        <w:tc>
          <w:tcPr>
            <w:tcW w:w="99"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jc w:val="left"/>
              <w:rPr/>
            </w:pPr>
            <w:r>
              <w:rPr/>
              <w:t> </w:t>
            </w:r>
          </w:p>
        </w:tc>
        <w:tc>
          <w:tcPr>
            <w:tcW w:w="1132" w:type="dxa"/>
            <w:tcBorders/>
            <w:shd w:fill="CCEEFF" w:val="clear"/>
            <w:vAlign w:val="bottom"/>
          </w:tcPr>
          <w:p>
            <w:pPr>
              <w:pStyle w:val="TableContents"/>
              <w:spacing w:before="0" w:after="283"/>
              <w:jc w:val="right"/>
              <w:rPr/>
            </w:pPr>
            <w:r>
              <w:rPr/>
              <w:t> </w:t>
            </w:r>
          </w:p>
        </w:tc>
        <w:tc>
          <w:tcPr>
            <w:tcW w:w="99"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141" w:type="dxa"/>
            <w:tcBorders/>
            <w:shd w:fill="CCEEFF" w:val="clear"/>
            <w:vAlign w:val="bottom"/>
          </w:tcPr>
          <w:p>
            <w:pPr>
              <w:pStyle w:val="TableContents"/>
              <w:spacing w:before="0" w:after="283"/>
              <w:jc w:val="left"/>
              <w:rPr/>
            </w:pPr>
            <w:r>
              <w:rPr/>
              <w:t> </w:t>
            </w:r>
          </w:p>
        </w:tc>
        <w:tc>
          <w:tcPr>
            <w:tcW w:w="1045" w:type="dxa"/>
            <w:tcBorders/>
            <w:shd w:fill="CCEEFF" w:val="clear"/>
            <w:vAlign w:val="bottom"/>
          </w:tcPr>
          <w:p>
            <w:pPr>
              <w:pStyle w:val="TableContents"/>
              <w:spacing w:before="0" w:after="283"/>
              <w:jc w:val="right"/>
              <w:rPr/>
            </w:pPr>
            <w:r>
              <w:rPr/>
              <w:t> </w:t>
            </w:r>
          </w:p>
        </w:tc>
        <w:tc>
          <w:tcPr>
            <w:tcW w:w="123" w:type="dxa"/>
            <w:tcBorders/>
            <w:shd w:fill="CCEEFF" w:val="clear"/>
            <w:vAlign w:val="bottom"/>
          </w:tcPr>
          <w:p>
            <w:pPr>
              <w:pStyle w:val="TableContents"/>
              <w:spacing w:before="0" w:after="283"/>
              <w:jc w:val="left"/>
              <w:rPr/>
            </w:pPr>
            <w:r>
              <w:rPr/>
              <w:t> </w:t>
            </w:r>
          </w:p>
        </w:tc>
      </w:tr>
      <w:tr>
        <w:trPr/>
        <w:tc>
          <w:tcPr>
            <w:tcW w:w="2070" w:type="dxa"/>
            <w:tcBorders/>
            <w:shd w:fill="FFFFFF" w:val="clear"/>
            <w:vAlign w:val="bottom"/>
          </w:tcPr>
          <w:p>
            <w:pPr>
              <w:pStyle w:val="TableContents"/>
              <w:spacing w:before="0" w:after="0"/>
              <w:ind w:left="0" w:right="0" w:hanging="0"/>
              <w:jc w:val="left"/>
              <w:rPr/>
            </w:pPr>
            <w:r>
              <w:rPr/>
              <w:t>   </w:t>
            </w:r>
            <w:r>
              <w:rPr>
                <w:rFonts w:ascii="helvetica" w:hAnsi="helvetica"/>
                <w:sz w:val="20"/>
              </w:rPr>
              <w:t>on September 17, 2007</w:t>
            </w:r>
          </w:p>
        </w:tc>
        <w:tc>
          <w:tcPr>
            <w:tcW w:w="81" w:type="dxa"/>
            <w:tcBorders/>
            <w:shd w:fill="FFFFFF" w:val="clear"/>
            <w:vAlign w:val="bottom"/>
          </w:tcPr>
          <w:p>
            <w:pPr>
              <w:pStyle w:val="TableContents"/>
              <w:spacing w:before="0" w:after="283"/>
              <w:rPr/>
            </w:pPr>
            <w:r>
              <w:rPr/>
              <w:t> </w:t>
            </w:r>
          </w:p>
        </w:tc>
        <w:tc>
          <w:tcPr>
            <w:tcW w:w="135" w:type="dxa"/>
            <w:tcBorders/>
            <w:shd w:fill="FFFFFF" w:val="clear"/>
            <w:vAlign w:val="bottom"/>
          </w:tcPr>
          <w:p>
            <w:pPr>
              <w:pStyle w:val="TableContents"/>
              <w:spacing w:before="0" w:after="283"/>
              <w:jc w:val="left"/>
              <w:rPr/>
            </w:pPr>
            <w:r>
              <w:rPr/>
              <w:t> </w:t>
            </w:r>
          </w:p>
        </w:tc>
        <w:tc>
          <w:tcPr>
            <w:tcW w:w="586"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w:t>
            </w:r>
          </w:p>
        </w:tc>
        <w:tc>
          <w:tcPr>
            <w:tcW w:w="92" w:type="dxa"/>
            <w:tcBorders/>
            <w:shd w:fill="FFFFFF" w:val="clear"/>
            <w:vAlign w:val="bottom"/>
          </w:tcPr>
          <w:p>
            <w:pPr>
              <w:pStyle w:val="TableContents"/>
              <w:spacing w:before="0" w:after="283"/>
              <w:jc w:val="left"/>
              <w:rPr/>
            </w:pPr>
            <w:r>
              <w:rPr/>
              <w:t> </w:t>
            </w:r>
          </w:p>
        </w:tc>
        <w:tc>
          <w:tcPr>
            <w:tcW w:w="92" w:type="dxa"/>
            <w:tcBorders/>
            <w:shd w:fill="FFFFFF" w:val="clear"/>
            <w:vAlign w:val="bottom"/>
          </w:tcPr>
          <w:p>
            <w:pPr>
              <w:pStyle w:val="TableContents"/>
              <w:spacing w:before="0" w:after="283"/>
              <w:rPr/>
            </w:pPr>
            <w:r>
              <w:rPr/>
              <w:t> </w:t>
            </w:r>
          </w:p>
        </w:tc>
        <w:tc>
          <w:tcPr>
            <w:tcW w:w="292" w:type="dxa"/>
            <w:tcBorders/>
            <w:shd w:fill="FFFFFF" w:val="clear"/>
            <w:vAlign w:val="bottom"/>
          </w:tcPr>
          <w:p>
            <w:pPr>
              <w:pStyle w:val="TableContents"/>
              <w:spacing w:before="0" w:after="283"/>
              <w:jc w:val="left"/>
              <w:rPr/>
            </w:pPr>
            <w:r>
              <w:rPr/>
              <w:t> </w:t>
            </w:r>
          </w:p>
        </w:tc>
        <w:tc>
          <w:tcPr>
            <w:tcW w:w="334"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w:t>
            </w:r>
          </w:p>
        </w:tc>
        <w:tc>
          <w:tcPr>
            <w:tcW w:w="81"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81" w:type="dxa"/>
            <w:tcBorders/>
            <w:shd w:fill="FFFFFF" w:val="clear"/>
            <w:vAlign w:val="bottom"/>
          </w:tcPr>
          <w:p>
            <w:pPr>
              <w:pStyle w:val="TableContents"/>
              <w:spacing w:before="0" w:after="283"/>
              <w:jc w:val="left"/>
              <w:rPr/>
            </w:pPr>
            <w:r>
              <w:rPr/>
              <w:t> </w:t>
            </w:r>
          </w:p>
        </w:tc>
        <w:tc>
          <w:tcPr>
            <w:tcW w:w="982"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231,249</w:t>
            </w:r>
          </w:p>
        </w:tc>
        <w:tc>
          <w:tcPr>
            <w:tcW w:w="99"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139" w:type="dxa"/>
            <w:tcBorders/>
            <w:shd w:fill="FFFFFF" w:val="clear"/>
            <w:vAlign w:val="bottom"/>
          </w:tcPr>
          <w:p>
            <w:pPr>
              <w:pStyle w:val="TableContents"/>
              <w:spacing w:before="0" w:after="283"/>
              <w:jc w:val="left"/>
              <w:rPr/>
            </w:pPr>
            <w:r>
              <w:rPr/>
              <w:t> </w:t>
            </w:r>
          </w:p>
        </w:tc>
        <w:tc>
          <w:tcPr>
            <w:tcW w:w="641"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231</w:t>
            </w:r>
          </w:p>
        </w:tc>
        <w:tc>
          <w:tcPr>
            <w:tcW w:w="99"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283"/>
              <w:jc w:val="left"/>
              <w:rPr/>
            </w:pPr>
            <w:r>
              <w:rPr/>
              <w:t> </w:t>
            </w:r>
          </w:p>
        </w:tc>
        <w:tc>
          <w:tcPr>
            <w:tcW w:w="1077"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(231</w:t>
            </w:r>
          </w:p>
        </w:tc>
        <w:tc>
          <w:tcPr>
            <w:tcW w:w="99" w:type="dxa"/>
            <w:tcBorders/>
            <w:shd w:fill="FFFFFF" w:val="clear"/>
            <w:vAlign w:val="bottom"/>
          </w:tcPr>
          <w:p>
            <w:pPr>
              <w:pStyle w:val="TableContents"/>
              <w:spacing w:before="0" w:after="283"/>
              <w:jc w:val="left"/>
              <w:rPr>
                <w:rFonts w:ascii="helvetica" w:hAnsi="helvetica"/>
                <w:sz w:val="20"/>
              </w:rPr>
            </w:pPr>
            <w:r>
              <w:rPr>
                <w:rFonts w:ascii="helvetica" w:hAnsi="helvetica"/>
                <w:sz w:val="20"/>
              </w:rPr>
              <w:t>)</w:t>
            </w:r>
          </w:p>
        </w:tc>
        <w:tc>
          <w:tcPr>
            <w:tcW w:w="81"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283"/>
              <w:jc w:val="left"/>
              <w:rPr/>
            </w:pPr>
            <w:r>
              <w:rPr/>
              <w:t> </w:t>
            </w:r>
          </w:p>
        </w:tc>
        <w:tc>
          <w:tcPr>
            <w:tcW w:w="1132"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w:t>
            </w:r>
          </w:p>
        </w:tc>
        <w:tc>
          <w:tcPr>
            <w:tcW w:w="99"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141" w:type="dxa"/>
            <w:tcBorders/>
            <w:shd w:fill="FFFFFF" w:val="clear"/>
            <w:vAlign w:val="bottom"/>
          </w:tcPr>
          <w:p>
            <w:pPr>
              <w:pStyle w:val="TableContents"/>
              <w:spacing w:before="0" w:after="283"/>
              <w:jc w:val="left"/>
              <w:rPr/>
            </w:pPr>
            <w:r>
              <w:rPr/>
              <w:t> </w:t>
            </w:r>
          </w:p>
        </w:tc>
        <w:tc>
          <w:tcPr>
            <w:tcW w:w="1045"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w:t>
            </w:r>
          </w:p>
        </w:tc>
        <w:tc>
          <w:tcPr>
            <w:tcW w:w="123" w:type="dxa"/>
            <w:tcBorders/>
            <w:shd w:fill="FFFFFF" w:val="clear"/>
            <w:vAlign w:val="bottom"/>
          </w:tcPr>
          <w:p>
            <w:pPr>
              <w:pStyle w:val="TableContents"/>
              <w:spacing w:before="0" w:after="283"/>
              <w:jc w:val="left"/>
              <w:rPr/>
            </w:pPr>
            <w:r>
              <w:rPr/>
              <w:t> </w:t>
            </w:r>
          </w:p>
        </w:tc>
      </w:tr>
      <w:tr>
        <w:trPr/>
        <w:tc>
          <w:tcPr>
            <w:tcW w:w="2070" w:type="dxa"/>
            <w:tcBorders/>
            <w:shd w:fill="CCEEFF" w:val="clear"/>
            <w:vAlign w:val="bottom"/>
          </w:tcPr>
          <w:p>
            <w:pPr>
              <w:pStyle w:val="TableContents"/>
              <w:spacing w:before="0" w:after="0"/>
              <w:ind w:left="0" w:right="0" w:hanging="0"/>
              <w:jc w:val="left"/>
              <w:rPr/>
            </w:pPr>
            <w:r>
              <w:rPr/>
              <w:t> </w:t>
            </w:r>
            <w:r>
              <w:rPr>
                <w:rFonts w:ascii="helvetica" w:hAnsi="helvetica"/>
                <w:sz w:val="20"/>
              </w:rPr>
              <w:t>Net proceeds from private placement offering issued</w:t>
            </w:r>
          </w:p>
        </w:tc>
        <w:tc>
          <w:tcPr>
            <w:tcW w:w="81" w:type="dxa"/>
            <w:tcBorders/>
            <w:shd w:fill="CCEEFF" w:val="clear"/>
            <w:vAlign w:val="bottom"/>
          </w:tcPr>
          <w:p>
            <w:pPr>
              <w:pStyle w:val="TableContents"/>
              <w:spacing w:before="0" w:after="283"/>
              <w:rPr/>
            </w:pPr>
            <w:r>
              <w:rPr/>
              <w:t> </w:t>
            </w:r>
          </w:p>
        </w:tc>
        <w:tc>
          <w:tcPr>
            <w:tcW w:w="135" w:type="dxa"/>
            <w:tcBorders/>
            <w:shd w:fill="CCEEFF" w:val="clear"/>
            <w:vAlign w:val="bottom"/>
          </w:tcPr>
          <w:p>
            <w:pPr>
              <w:pStyle w:val="TableContents"/>
              <w:spacing w:before="0" w:after="283"/>
              <w:jc w:val="left"/>
              <w:rPr/>
            </w:pPr>
            <w:r>
              <w:rPr/>
              <w:t> </w:t>
            </w:r>
          </w:p>
        </w:tc>
        <w:tc>
          <w:tcPr>
            <w:tcW w:w="586" w:type="dxa"/>
            <w:tcBorders/>
            <w:shd w:fill="CCEEFF" w:val="clear"/>
            <w:vAlign w:val="bottom"/>
          </w:tcPr>
          <w:p>
            <w:pPr>
              <w:pStyle w:val="TableContents"/>
              <w:spacing w:before="0" w:after="283"/>
              <w:jc w:val="right"/>
              <w:rPr/>
            </w:pPr>
            <w:r>
              <w:rPr/>
              <w:t> </w:t>
            </w:r>
          </w:p>
        </w:tc>
        <w:tc>
          <w:tcPr>
            <w:tcW w:w="92" w:type="dxa"/>
            <w:tcBorders/>
            <w:shd w:fill="CCEEFF" w:val="clear"/>
            <w:vAlign w:val="bottom"/>
          </w:tcPr>
          <w:p>
            <w:pPr>
              <w:pStyle w:val="TableContents"/>
              <w:spacing w:before="0" w:after="283"/>
              <w:jc w:val="left"/>
              <w:rPr/>
            </w:pPr>
            <w:r>
              <w:rPr/>
              <w:t> </w:t>
            </w:r>
          </w:p>
        </w:tc>
        <w:tc>
          <w:tcPr>
            <w:tcW w:w="92" w:type="dxa"/>
            <w:tcBorders/>
            <w:shd w:fill="CCEEFF" w:val="clear"/>
            <w:vAlign w:val="bottom"/>
          </w:tcPr>
          <w:p>
            <w:pPr>
              <w:pStyle w:val="TableContents"/>
              <w:spacing w:before="0" w:after="283"/>
              <w:rPr/>
            </w:pPr>
            <w:r>
              <w:rPr/>
              <w:t> </w:t>
            </w:r>
          </w:p>
        </w:tc>
        <w:tc>
          <w:tcPr>
            <w:tcW w:w="292" w:type="dxa"/>
            <w:tcBorders/>
            <w:shd w:fill="CCEEFF" w:val="clear"/>
            <w:vAlign w:val="bottom"/>
          </w:tcPr>
          <w:p>
            <w:pPr>
              <w:pStyle w:val="TableContents"/>
              <w:spacing w:before="0" w:after="283"/>
              <w:jc w:val="left"/>
              <w:rPr/>
            </w:pPr>
            <w:r>
              <w:rPr/>
              <w:t> </w:t>
            </w:r>
          </w:p>
        </w:tc>
        <w:tc>
          <w:tcPr>
            <w:tcW w:w="334" w:type="dxa"/>
            <w:tcBorders/>
            <w:shd w:fill="CCEEFF" w:val="clear"/>
            <w:vAlign w:val="bottom"/>
          </w:tcPr>
          <w:p>
            <w:pPr>
              <w:pStyle w:val="TableContents"/>
              <w:spacing w:before="0" w:after="283"/>
              <w:jc w:val="right"/>
              <w:rPr/>
            </w:pPr>
            <w:r>
              <w:rPr/>
              <w:t> </w:t>
            </w:r>
          </w:p>
        </w:tc>
        <w:tc>
          <w:tcPr>
            <w:tcW w:w="81"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81" w:type="dxa"/>
            <w:tcBorders/>
            <w:shd w:fill="CCEEFF" w:val="clear"/>
            <w:vAlign w:val="bottom"/>
          </w:tcPr>
          <w:p>
            <w:pPr>
              <w:pStyle w:val="TableContents"/>
              <w:spacing w:before="0" w:after="283"/>
              <w:jc w:val="left"/>
              <w:rPr/>
            </w:pPr>
            <w:r>
              <w:rPr/>
              <w:t> </w:t>
            </w:r>
          </w:p>
        </w:tc>
        <w:tc>
          <w:tcPr>
            <w:tcW w:w="982" w:type="dxa"/>
            <w:tcBorders/>
            <w:shd w:fill="CCEEFF" w:val="clear"/>
            <w:vAlign w:val="bottom"/>
          </w:tcPr>
          <w:p>
            <w:pPr>
              <w:pStyle w:val="TableContents"/>
              <w:spacing w:before="0" w:after="283"/>
              <w:jc w:val="right"/>
              <w:rPr/>
            </w:pPr>
            <w:r>
              <w:rPr/>
              <w:t> </w:t>
            </w:r>
          </w:p>
        </w:tc>
        <w:tc>
          <w:tcPr>
            <w:tcW w:w="99"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139" w:type="dxa"/>
            <w:tcBorders/>
            <w:shd w:fill="CCEEFF" w:val="clear"/>
            <w:vAlign w:val="bottom"/>
          </w:tcPr>
          <w:p>
            <w:pPr>
              <w:pStyle w:val="TableContents"/>
              <w:spacing w:before="0" w:after="283"/>
              <w:jc w:val="left"/>
              <w:rPr/>
            </w:pPr>
            <w:r>
              <w:rPr/>
              <w:t> </w:t>
            </w:r>
          </w:p>
        </w:tc>
        <w:tc>
          <w:tcPr>
            <w:tcW w:w="641" w:type="dxa"/>
            <w:tcBorders/>
            <w:shd w:fill="CCEEFF" w:val="clear"/>
            <w:vAlign w:val="bottom"/>
          </w:tcPr>
          <w:p>
            <w:pPr>
              <w:pStyle w:val="TableContents"/>
              <w:spacing w:before="0" w:after="283"/>
              <w:jc w:val="right"/>
              <w:rPr/>
            </w:pPr>
            <w:r>
              <w:rPr/>
              <w:t> </w:t>
            </w:r>
          </w:p>
        </w:tc>
        <w:tc>
          <w:tcPr>
            <w:tcW w:w="99"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jc w:val="left"/>
              <w:rPr/>
            </w:pPr>
            <w:r>
              <w:rPr/>
              <w:t> </w:t>
            </w:r>
          </w:p>
        </w:tc>
        <w:tc>
          <w:tcPr>
            <w:tcW w:w="1077" w:type="dxa"/>
            <w:tcBorders/>
            <w:shd w:fill="CCEEFF" w:val="clear"/>
            <w:vAlign w:val="bottom"/>
          </w:tcPr>
          <w:p>
            <w:pPr>
              <w:pStyle w:val="TableContents"/>
              <w:spacing w:before="0" w:after="283"/>
              <w:jc w:val="right"/>
              <w:rPr/>
            </w:pPr>
            <w:r>
              <w:rPr/>
              <w:t> </w:t>
            </w:r>
          </w:p>
        </w:tc>
        <w:tc>
          <w:tcPr>
            <w:tcW w:w="99"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jc w:val="left"/>
              <w:rPr/>
            </w:pPr>
            <w:r>
              <w:rPr/>
              <w:t> </w:t>
            </w:r>
          </w:p>
        </w:tc>
        <w:tc>
          <w:tcPr>
            <w:tcW w:w="1132" w:type="dxa"/>
            <w:tcBorders/>
            <w:shd w:fill="CCEEFF" w:val="clear"/>
            <w:vAlign w:val="bottom"/>
          </w:tcPr>
          <w:p>
            <w:pPr>
              <w:pStyle w:val="TableContents"/>
              <w:spacing w:before="0" w:after="283"/>
              <w:jc w:val="right"/>
              <w:rPr/>
            </w:pPr>
            <w:r>
              <w:rPr/>
              <w:t> </w:t>
            </w:r>
          </w:p>
        </w:tc>
        <w:tc>
          <w:tcPr>
            <w:tcW w:w="99"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141" w:type="dxa"/>
            <w:tcBorders/>
            <w:shd w:fill="CCEEFF" w:val="clear"/>
            <w:vAlign w:val="bottom"/>
          </w:tcPr>
          <w:p>
            <w:pPr>
              <w:pStyle w:val="TableContents"/>
              <w:spacing w:before="0" w:after="283"/>
              <w:jc w:val="left"/>
              <w:rPr/>
            </w:pPr>
            <w:r>
              <w:rPr/>
              <w:t> </w:t>
            </w:r>
          </w:p>
        </w:tc>
        <w:tc>
          <w:tcPr>
            <w:tcW w:w="1045" w:type="dxa"/>
            <w:tcBorders/>
            <w:shd w:fill="CCEEFF" w:val="clear"/>
            <w:vAlign w:val="bottom"/>
          </w:tcPr>
          <w:p>
            <w:pPr>
              <w:pStyle w:val="TableContents"/>
              <w:spacing w:before="0" w:after="283"/>
              <w:jc w:val="right"/>
              <w:rPr/>
            </w:pPr>
            <w:r>
              <w:rPr/>
              <w:t> </w:t>
            </w:r>
          </w:p>
        </w:tc>
        <w:tc>
          <w:tcPr>
            <w:tcW w:w="123" w:type="dxa"/>
            <w:tcBorders/>
            <w:shd w:fill="CCEEFF" w:val="clear"/>
            <w:vAlign w:val="bottom"/>
          </w:tcPr>
          <w:p>
            <w:pPr>
              <w:pStyle w:val="TableContents"/>
              <w:spacing w:before="0" w:after="283"/>
              <w:jc w:val="left"/>
              <w:rPr/>
            </w:pPr>
            <w:r>
              <w:rPr/>
              <w:t> </w:t>
            </w:r>
          </w:p>
        </w:tc>
      </w:tr>
      <w:tr>
        <w:trPr/>
        <w:tc>
          <w:tcPr>
            <w:tcW w:w="2070" w:type="dxa"/>
            <w:tcBorders/>
            <w:shd w:fill="FFFFFF" w:val="clear"/>
            <w:vAlign w:val="bottom"/>
          </w:tcPr>
          <w:p>
            <w:pPr>
              <w:pStyle w:val="TableContents"/>
              <w:spacing w:before="0" w:after="0"/>
              <w:ind w:left="0" w:right="0" w:hanging="0"/>
              <w:jc w:val="left"/>
              <w:rPr/>
            </w:pPr>
            <w:r>
              <w:rPr/>
              <w:t>   </w:t>
            </w:r>
            <w:r>
              <w:rPr>
                <w:rFonts w:ascii="helvetica" w:hAnsi="helvetica"/>
                <w:sz w:val="20"/>
              </w:rPr>
              <w:t>at $100,000 per unit in September and October 2007</w:t>
            </w:r>
          </w:p>
        </w:tc>
        <w:tc>
          <w:tcPr>
            <w:tcW w:w="81" w:type="dxa"/>
            <w:tcBorders/>
            <w:shd w:fill="FFFFFF" w:val="clear"/>
            <w:vAlign w:val="bottom"/>
          </w:tcPr>
          <w:p>
            <w:pPr>
              <w:pStyle w:val="TableContents"/>
              <w:spacing w:before="0" w:after="283"/>
              <w:rPr/>
            </w:pPr>
            <w:r>
              <w:rPr/>
              <w:t> </w:t>
            </w:r>
          </w:p>
        </w:tc>
        <w:tc>
          <w:tcPr>
            <w:tcW w:w="135" w:type="dxa"/>
            <w:tcBorders/>
            <w:shd w:fill="FFFFFF" w:val="clear"/>
            <w:vAlign w:val="bottom"/>
          </w:tcPr>
          <w:p>
            <w:pPr>
              <w:pStyle w:val="TableContents"/>
              <w:spacing w:before="0" w:after="283"/>
              <w:jc w:val="left"/>
              <w:rPr/>
            </w:pPr>
            <w:r>
              <w:rPr/>
              <w:t> </w:t>
            </w:r>
          </w:p>
        </w:tc>
        <w:tc>
          <w:tcPr>
            <w:tcW w:w="586"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w:t>
            </w:r>
          </w:p>
        </w:tc>
        <w:tc>
          <w:tcPr>
            <w:tcW w:w="92" w:type="dxa"/>
            <w:tcBorders/>
            <w:shd w:fill="FFFFFF" w:val="clear"/>
            <w:vAlign w:val="bottom"/>
          </w:tcPr>
          <w:p>
            <w:pPr>
              <w:pStyle w:val="TableContents"/>
              <w:spacing w:before="0" w:after="283"/>
              <w:jc w:val="left"/>
              <w:rPr/>
            </w:pPr>
            <w:r>
              <w:rPr/>
              <w:t> </w:t>
            </w:r>
          </w:p>
        </w:tc>
        <w:tc>
          <w:tcPr>
            <w:tcW w:w="92" w:type="dxa"/>
            <w:tcBorders/>
            <w:shd w:fill="FFFFFF" w:val="clear"/>
            <w:vAlign w:val="bottom"/>
          </w:tcPr>
          <w:p>
            <w:pPr>
              <w:pStyle w:val="TableContents"/>
              <w:spacing w:before="0" w:after="283"/>
              <w:rPr/>
            </w:pPr>
            <w:r>
              <w:rPr/>
              <w:t> </w:t>
            </w:r>
          </w:p>
        </w:tc>
        <w:tc>
          <w:tcPr>
            <w:tcW w:w="292" w:type="dxa"/>
            <w:tcBorders/>
            <w:shd w:fill="FFFFFF" w:val="clear"/>
            <w:vAlign w:val="bottom"/>
          </w:tcPr>
          <w:p>
            <w:pPr>
              <w:pStyle w:val="TableContents"/>
              <w:spacing w:before="0" w:after="283"/>
              <w:jc w:val="left"/>
              <w:rPr/>
            </w:pPr>
            <w:r>
              <w:rPr/>
              <w:t> </w:t>
            </w:r>
          </w:p>
        </w:tc>
        <w:tc>
          <w:tcPr>
            <w:tcW w:w="334"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w:t>
            </w:r>
          </w:p>
        </w:tc>
        <w:tc>
          <w:tcPr>
            <w:tcW w:w="81"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81" w:type="dxa"/>
            <w:tcBorders/>
            <w:shd w:fill="FFFFFF" w:val="clear"/>
            <w:vAlign w:val="bottom"/>
          </w:tcPr>
          <w:p>
            <w:pPr>
              <w:pStyle w:val="TableContents"/>
              <w:spacing w:before="0" w:after="283"/>
              <w:jc w:val="left"/>
              <w:rPr/>
            </w:pPr>
            <w:r>
              <w:rPr/>
              <w:t> </w:t>
            </w:r>
          </w:p>
        </w:tc>
        <w:tc>
          <w:tcPr>
            <w:tcW w:w="982"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258,979</w:t>
            </w:r>
          </w:p>
        </w:tc>
        <w:tc>
          <w:tcPr>
            <w:tcW w:w="99"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139" w:type="dxa"/>
            <w:tcBorders/>
            <w:shd w:fill="FFFFFF" w:val="clear"/>
            <w:vAlign w:val="bottom"/>
          </w:tcPr>
          <w:p>
            <w:pPr>
              <w:pStyle w:val="TableContents"/>
              <w:spacing w:before="0" w:after="283"/>
              <w:jc w:val="left"/>
              <w:rPr/>
            </w:pPr>
            <w:r>
              <w:rPr/>
              <w:t> </w:t>
            </w:r>
          </w:p>
        </w:tc>
        <w:tc>
          <w:tcPr>
            <w:tcW w:w="641"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259</w:t>
            </w:r>
          </w:p>
        </w:tc>
        <w:tc>
          <w:tcPr>
            <w:tcW w:w="99"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283"/>
              <w:jc w:val="left"/>
              <w:rPr/>
            </w:pPr>
            <w:r>
              <w:rPr/>
              <w:t> </w:t>
            </w:r>
          </w:p>
        </w:tc>
        <w:tc>
          <w:tcPr>
            <w:tcW w:w="1077"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3,837,532</w:t>
            </w:r>
          </w:p>
        </w:tc>
        <w:tc>
          <w:tcPr>
            <w:tcW w:w="99"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283"/>
              <w:jc w:val="left"/>
              <w:rPr/>
            </w:pPr>
            <w:r>
              <w:rPr/>
              <w:t> </w:t>
            </w:r>
          </w:p>
        </w:tc>
        <w:tc>
          <w:tcPr>
            <w:tcW w:w="1132"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w:t>
            </w:r>
          </w:p>
        </w:tc>
        <w:tc>
          <w:tcPr>
            <w:tcW w:w="99"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141" w:type="dxa"/>
            <w:tcBorders/>
            <w:shd w:fill="FFFFFF" w:val="clear"/>
            <w:vAlign w:val="bottom"/>
          </w:tcPr>
          <w:p>
            <w:pPr>
              <w:pStyle w:val="TableContents"/>
              <w:spacing w:before="0" w:after="283"/>
              <w:jc w:val="left"/>
              <w:rPr/>
            </w:pPr>
            <w:r>
              <w:rPr/>
              <w:t> </w:t>
            </w:r>
          </w:p>
        </w:tc>
        <w:tc>
          <w:tcPr>
            <w:tcW w:w="1045"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3,837,791</w:t>
            </w:r>
          </w:p>
        </w:tc>
        <w:tc>
          <w:tcPr>
            <w:tcW w:w="123" w:type="dxa"/>
            <w:tcBorders/>
            <w:shd w:fill="FFFFFF" w:val="clear"/>
            <w:vAlign w:val="bottom"/>
          </w:tcPr>
          <w:p>
            <w:pPr>
              <w:pStyle w:val="TableContents"/>
              <w:spacing w:before="0" w:after="283"/>
              <w:jc w:val="left"/>
              <w:rPr/>
            </w:pPr>
            <w:r>
              <w:rPr/>
              <w:t> </w:t>
            </w:r>
          </w:p>
        </w:tc>
      </w:tr>
      <w:tr>
        <w:trPr/>
        <w:tc>
          <w:tcPr>
            <w:tcW w:w="2070" w:type="dxa"/>
            <w:tcBorders/>
            <w:shd w:fill="CCEEFF" w:val="clear"/>
            <w:vAlign w:val="bottom"/>
          </w:tcPr>
          <w:p>
            <w:pPr>
              <w:pStyle w:val="TableContents"/>
              <w:spacing w:before="0" w:after="0"/>
              <w:ind w:left="0" w:right="0" w:hanging="0"/>
              <w:jc w:val="left"/>
              <w:rPr/>
            </w:pPr>
            <w:r>
              <w:rPr/>
              <w:t> </w:t>
            </w:r>
            <w:r>
              <w:rPr>
                <w:rFonts w:ascii="helvetica" w:hAnsi="helvetica"/>
                <w:sz w:val="20"/>
              </w:rPr>
              <w:t>Issuance of common stock related to conversion of</w:t>
            </w:r>
          </w:p>
        </w:tc>
        <w:tc>
          <w:tcPr>
            <w:tcW w:w="81" w:type="dxa"/>
            <w:tcBorders/>
            <w:shd w:fill="CCEEFF" w:val="clear"/>
            <w:vAlign w:val="bottom"/>
          </w:tcPr>
          <w:p>
            <w:pPr>
              <w:pStyle w:val="TableContents"/>
              <w:spacing w:before="0" w:after="283"/>
              <w:rPr/>
            </w:pPr>
            <w:r>
              <w:rPr/>
              <w:t> </w:t>
            </w:r>
          </w:p>
        </w:tc>
        <w:tc>
          <w:tcPr>
            <w:tcW w:w="135" w:type="dxa"/>
            <w:tcBorders/>
            <w:shd w:fill="CCEEFF" w:val="clear"/>
            <w:vAlign w:val="bottom"/>
          </w:tcPr>
          <w:p>
            <w:pPr>
              <w:pStyle w:val="TableContents"/>
              <w:spacing w:before="0" w:after="283"/>
              <w:jc w:val="left"/>
              <w:rPr/>
            </w:pPr>
            <w:r>
              <w:rPr/>
              <w:t> </w:t>
            </w:r>
          </w:p>
        </w:tc>
        <w:tc>
          <w:tcPr>
            <w:tcW w:w="586" w:type="dxa"/>
            <w:tcBorders/>
            <w:shd w:fill="CCEEFF" w:val="clear"/>
            <w:vAlign w:val="bottom"/>
          </w:tcPr>
          <w:p>
            <w:pPr>
              <w:pStyle w:val="TableContents"/>
              <w:spacing w:before="0" w:after="283"/>
              <w:jc w:val="right"/>
              <w:rPr/>
            </w:pPr>
            <w:r>
              <w:rPr/>
              <w:t> </w:t>
            </w:r>
          </w:p>
        </w:tc>
        <w:tc>
          <w:tcPr>
            <w:tcW w:w="92" w:type="dxa"/>
            <w:tcBorders/>
            <w:shd w:fill="CCEEFF" w:val="clear"/>
            <w:vAlign w:val="bottom"/>
          </w:tcPr>
          <w:p>
            <w:pPr>
              <w:pStyle w:val="TableContents"/>
              <w:spacing w:before="0" w:after="283"/>
              <w:jc w:val="left"/>
              <w:rPr/>
            </w:pPr>
            <w:r>
              <w:rPr/>
              <w:t> </w:t>
            </w:r>
          </w:p>
        </w:tc>
        <w:tc>
          <w:tcPr>
            <w:tcW w:w="92" w:type="dxa"/>
            <w:tcBorders/>
            <w:shd w:fill="CCEEFF" w:val="clear"/>
            <w:vAlign w:val="bottom"/>
          </w:tcPr>
          <w:p>
            <w:pPr>
              <w:pStyle w:val="TableContents"/>
              <w:spacing w:before="0" w:after="283"/>
              <w:rPr/>
            </w:pPr>
            <w:r>
              <w:rPr/>
              <w:t> </w:t>
            </w:r>
          </w:p>
        </w:tc>
        <w:tc>
          <w:tcPr>
            <w:tcW w:w="292" w:type="dxa"/>
            <w:tcBorders/>
            <w:shd w:fill="CCEEFF" w:val="clear"/>
            <w:vAlign w:val="bottom"/>
          </w:tcPr>
          <w:p>
            <w:pPr>
              <w:pStyle w:val="TableContents"/>
              <w:spacing w:before="0" w:after="283"/>
              <w:jc w:val="left"/>
              <w:rPr/>
            </w:pPr>
            <w:r>
              <w:rPr/>
              <w:t> </w:t>
            </w:r>
          </w:p>
        </w:tc>
        <w:tc>
          <w:tcPr>
            <w:tcW w:w="334" w:type="dxa"/>
            <w:tcBorders/>
            <w:shd w:fill="CCEEFF" w:val="clear"/>
            <w:vAlign w:val="bottom"/>
          </w:tcPr>
          <w:p>
            <w:pPr>
              <w:pStyle w:val="TableContents"/>
              <w:spacing w:before="0" w:after="283"/>
              <w:jc w:val="right"/>
              <w:rPr/>
            </w:pPr>
            <w:r>
              <w:rPr/>
              <w:t> </w:t>
            </w:r>
          </w:p>
        </w:tc>
        <w:tc>
          <w:tcPr>
            <w:tcW w:w="81"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81" w:type="dxa"/>
            <w:tcBorders/>
            <w:shd w:fill="CCEEFF" w:val="clear"/>
            <w:vAlign w:val="bottom"/>
          </w:tcPr>
          <w:p>
            <w:pPr>
              <w:pStyle w:val="TableContents"/>
              <w:spacing w:before="0" w:after="283"/>
              <w:jc w:val="left"/>
              <w:rPr/>
            </w:pPr>
            <w:r>
              <w:rPr/>
              <w:t> </w:t>
            </w:r>
          </w:p>
        </w:tc>
        <w:tc>
          <w:tcPr>
            <w:tcW w:w="982" w:type="dxa"/>
            <w:tcBorders/>
            <w:shd w:fill="CCEEFF" w:val="clear"/>
            <w:vAlign w:val="bottom"/>
          </w:tcPr>
          <w:p>
            <w:pPr>
              <w:pStyle w:val="TableContents"/>
              <w:spacing w:before="0" w:after="283"/>
              <w:jc w:val="right"/>
              <w:rPr/>
            </w:pPr>
            <w:r>
              <w:rPr/>
              <w:t> </w:t>
            </w:r>
          </w:p>
        </w:tc>
        <w:tc>
          <w:tcPr>
            <w:tcW w:w="99"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139" w:type="dxa"/>
            <w:tcBorders/>
            <w:shd w:fill="CCEEFF" w:val="clear"/>
            <w:vAlign w:val="bottom"/>
          </w:tcPr>
          <w:p>
            <w:pPr>
              <w:pStyle w:val="TableContents"/>
              <w:spacing w:before="0" w:after="283"/>
              <w:jc w:val="left"/>
              <w:rPr/>
            </w:pPr>
            <w:r>
              <w:rPr/>
              <w:t> </w:t>
            </w:r>
          </w:p>
        </w:tc>
        <w:tc>
          <w:tcPr>
            <w:tcW w:w="641" w:type="dxa"/>
            <w:tcBorders/>
            <w:shd w:fill="CCEEFF" w:val="clear"/>
            <w:vAlign w:val="bottom"/>
          </w:tcPr>
          <w:p>
            <w:pPr>
              <w:pStyle w:val="TableContents"/>
              <w:spacing w:before="0" w:after="283"/>
              <w:jc w:val="right"/>
              <w:rPr/>
            </w:pPr>
            <w:r>
              <w:rPr/>
              <w:t> </w:t>
            </w:r>
          </w:p>
        </w:tc>
        <w:tc>
          <w:tcPr>
            <w:tcW w:w="99"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jc w:val="left"/>
              <w:rPr/>
            </w:pPr>
            <w:r>
              <w:rPr/>
              <w:t> </w:t>
            </w:r>
          </w:p>
        </w:tc>
        <w:tc>
          <w:tcPr>
            <w:tcW w:w="1077" w:type="dxa"/>
            <w:tcBorders/>
            <w:shd w:fill="CCEEFF" w:val="clear"/>
            <w:vAlign w:val="bottom"/>
          </w:tcPr>
          <w:p>
            <w:pPr>
              <w:pStyle w:val="TableContents"/>
              <w:spacing w:before="0" w:after="283"/>
              <w:jc w:val="right"/>
              <w:rPr/>
            </w:pPr>
            <w:r>
              <w:rPr/>
              <w:t> </w:t>
            </w:r>
          </w:p>
        </w:tc>
        <w:tc>
          <w:tcPr>
            <w:tcW w:w="99"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jc w:val="left"/>
              <w:rPr/>
            </w:pPr>
            <w:r>
              <w:rPr/>
              <w:t> </w:t>
            </w:r>
          </w:p>
        </w:tc>
        <w:tc>
          <w:tcPr>
            <w:tcW w:w="1132" w:type="dxa"/>
            <w:tcBorders/>
            <w:shd w:fill="CCEEFF" w:val="clear"/>
            <w:vAlign w:val="bottom"/>
          </w:tcPr>
          <w:p>
            <w:pPr>
              <w:pStyle w:val="TableContents"/>
              <w:spacing w:before="0" w:after="283"/>
              <w:jc w:val="right"/>
              <w:rPr/>
            </w:pPr>
            <w:r>
              <w:rPr/>
              <w:t> </w:t>
            </w:r>
          </w:p>
        </w:tc>
        <w:tc>
          <w:tcPr>
            <w:tcW w:w="99"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141" w:type="dxa"/>
            <w:tcBorders/>
            <w:shd w:fill="CCEEFF" w:val="clear"/>
            <w:vAlign w:val="bottom"/>
          </w:tcPr>
          <w:p>
            <w:pPr>
              <w:pStyle w:val="TableContents"/>
              <w:spacing w:before="0" w:after="283"/>
              <w:jc w:val="left"/>
              <w:rPr/>
            </w:pPr>
            <w:r>
              <w:rPr/>
              <w:t> </w:t>
            </w:r>
          </w:p>
        </w:tc>
        <w:tc>
          <w:tcPr>
            <w:tcW w:w="1045" w:type="dxa"/>
            <w:tcBorders/>
            <w:shd w:fill="CCEEFF" w:val="clear"/>
            <w:vAlign w:val="bottom"/>
          </w:tcPr>
          <w:p>
            <w:pPr>
              <w:pStyle w:val="TableContents"/>
              <w:spacing w:before="0" w:after="283"/>
              <w:jc w:val="right"/>
              <w:rPr/>
            </w:pPr>
            <w:r>
              <w:rPr/>
              <w:t> </w:t>
            </w:r>
          </w:p>
        </w:tc>
        <w:tc>
          <w:tcPr>
            <w:tcW w:w="123" w:type="dxa"/>
            <w:tcBorders/>
            <w:shd w:fill="CCEEFF" w:val="clear"/>
            <w:vAlign w:val="bottom"/>
          </w:tcPr>
          <w:p>
            <w:pPr>
              <w:pStyle w:val="TableContents"/>
              <w:spacing w:before="0" w:after="283"/>
              <w:jc w:val="left"/>
              <w:rPr/>
            </w:pPr>
            <w:r>
              <w:rPr/>
              <w:t> </w:t>
            </w:r>
          </w:p>
        </w:tc>
      </w:tr>
      <w:tr>
        <w:trPr/>
        <w:tc>
          <w:tcPr>
            <w:tcW w:w="2070" w:type="dxa"/>
            <w:tcBorders/>
            <w:shd w:fill="FFFFFF" w:val="clear"/>
            <w:vAlign w:val="bottom"/>
          </w:tcPr>
          <w:p>
            <w:pPr>
              <w:pStyle w:val="TableContents"/>
              <w:spacing w:before="0" w:after="0"/>
              <w:ind w:left="0" w:right="0" w:hanging="0"/>
              <w:jc w:val="left"/>
              <w:rPr/>
            </w:pPr>
            <w:r>
              <w:rPr/>
              <w:t>   </w:t>
            </w:r>
            <w:r>
              <w:rPr>
                <w:rFonts w:ascii="helvetica" w:hAnsi="helvetica"/>
                <w:sz w:val="20"/>
              </w:rPr>
              <w:t>senior convertible notes payable and accrued interest</w:t>
            </w:r>
          </w:p>
        </w:tc>
        <w:tc>
          <w:tcPr>
            <w:tcW w:w="81" w:type="dxa"/>
            <w:tcBorders/>
            <w:shd w:fill="FFFFFF" w:val="clear"/>
            <w:vAlign w:val="bottom"/>
          </w:tcPr>
          <w:p>
            <w:pPr>
              <w:pStyle w:val="TableContents"/>
              <w:spacing w:before="0" w:after="283"/>
              <w:rPr/>
            </w:pPr>
            <w:r>
              <w:rPr/>
              <w:t> </w:t>
            </w:r>
          </w:p>
        </w:tc>
        <w:tc>
          <w:tcPr>
            <w:tcW w:w="135" w:type="dxa"/>
            <w:tcBorders/>
            <w:shd w:fill="FFFFFF" w:val="clear"/>
            <w:vAlign w:val="bottom"/>
          </w:tcPr>
          <w:p>
            <w:pPr>
              <w:pStyle w:val="TableContents"/>
              <w:spacing w:before="0" w:after="283"/>
              <w:jc w:val="left"/>
              <w:rPr/>
            </w:pPr>
            <w:r>
              <w:rPr/>
              <w:t> </w:t>
            </w:r>
          </w:p>
        </w:tc>
        <w:tc>
          <w:tcPr>
            <w:tcW w:w="586"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w:t>
            </w:r>
          </w:p>
        </w:tc>
        <w:tc>
          <w:tcPr>
            <w:tcW w:w="92" w:type="dxa"/>
            <w:tcBorders/>
            <w:shd w:fill="FFFFFF" w:val="clear"/>
            <w:vAlign w:val="bottom"/>
          </w:tcPr>
          <w:p>
            <w:pPr>
              <w:pStyle w:val="TableContents"/>
              <w:spacing w:before="0" w:after="283"/>
              <w:jc w:val="left"/>
              <w:rPr/>
            </w:pPr>
            <w:r>
              <w:rPr/>
              <w:t> </w:t>
            </w:r>
          </w:p>
        </w:tc>
        <w:tc>
          <w:tcPr>
            <w:tcW w:w="92" w:type="dxa"/>
            <w:tcBorders/>
            <w:shd w:fill="FFFFFF" w:val="clear"/>
            <w:vAlign w:val="bottom"/>
          </w:tcPr>
          <w:p>
            <w:pPr>
              <w:pStyle w:val="TableContents"/>
              <w:spacing w:before="0" w:after="283"/>
              <w:rPr/>
            </w:pPr>
            <w:r>
              <w:rPr/>
              <w:t> </w:t>
            </w:r>
          </w:p>
        </w:tc>
        <w:tc>
          <w:tcPr>
            <w:tcW w:w="292" w:type="dxa"/>
            <w:tcBorders/>
            <w:shd w:fill="FFFFFF" w:val="clear"/>
            <w:vAlign w:val="bottom"/>
          </w:tcPr>
          <w:p>
            <w:pPr>
              <w:pStyle w:val="TableContents"/>
              <w:spacing w:before="0" w:after="283"/>
              <w:jc w:val="left"/>
              <w:rPr/>
            </w:pPr>
            <w:r>
              <w:rPr/>
              <w:t> </w:t>
            </w:r>
          </w:p>
        </w:tc>
        <w:tc>
          <w:tcPr>
            <w:tcW w:w="334"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w:t>
            </w:r>
          </w:p>
        </w:tc>
        <w:tc>
          <w:tcPr>
            <w:tcW w:w="81"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81" w:type="dxa"/>
            <w:tcBorders/>
            <w:shd w:fill="FFFFFF" w:val="clear"/>
            <w:vAlign w:val="bottom"/>
          </w:tcPr>
          <w:p>
            <w:pPr>
              <w:pStyle w:val="TableContents"/>
              <w:spacing w:before="0" w:after="283"/>
              <w:jc w:val="left"/>
              <w:rPr/>
            </w:pPr>
            <w:r>
              <w:rPr/>
              <w:t> </w:t>
            </w:r>
          </w:p>
        </w:tc>
        <w:tc>
          <w:tcPr>
            <w:tcW w:w="982"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191,272</w:t>
            </w:r>
          </w:p>
        </w:tc>
        <w:tc>
          <w:tcPr>
            <w:tcW w:w="99"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139" w:type="dxa"/>
            <w:tcBorders/>
            <w:shd w:fill="FFFFFF" w:val="clear"/>
            <w:vAlign w:val="bottom"/>
          </w:tcPr>
          <w:p>
            <w:pPr>
              <w:pStyle w:val="TableContents"/>
              <w:spacing w:before="0" w:after="283"/>
              <w:jc w:val="left"/>
              <w:rPr/>
            </w:pPr>
            <w:r>
              <w:rPr/>
              <w:t> </w:t>
            </w:r>
          </w:p>
        </w:tc>
        <w:tc>
          <w:tcPr>
            <w:tcW w:w="641"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191</w:t>
            </w:r>
          </w:p>
        </w:tc>
        <w:tc>
          <w:tcPr>
            <w:tcW w:w="99"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283"/>
              <w:jc w:val="left"/>
              <w:rPr/>
            </w:pPr>
            <w:r>
              <w:rPr/>
              <w:t> </w:t>
            </w:r>
          </w:p>
        </w:tc>
        <w:tc>
          <w:tcPr>
            <w:tcW w:w="1077"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1,529,986</w:t>
            </w:r>
          </w:p>
        </w:tc>
        <w:tc>
          <w:tcPr>
            <w:tcW w:w="99"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283"/>
              <w:jc w:val="left"/>
              <w:rPr/>
            </w:pPr>
            <w:r>
              <w:rPr/>
              <w:t> </w:t>
            </w:r>
          </w:p>
        </w:tc>
        <w:tc>
          <w:tcPr>
            <w:tcW w:w="1132"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w:t>
            </w:r>
          </w:p>
        </w:tc>
        <w:tc>
          <w:tcPr>
            <w:tcW w:w="99"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141" w:type="dxa"/>
            <w:tcBorders/>
            <w:shd w:fill="FFFFFF" w:val="clear"/>
            <w:vAlign w:val="bottom"/>
          </w:tcPr>
          <w:p>
            <w:pPr>
              <w:pStyle w:val="TableContents"/>
              <w:spacing w:before="0" w:after="283"/>
              <w:jc w:val="left"/>
              <w:rPr/>
            </w:pPr>
            <w:r>
              <w:rPr/>
              <w:t> </w:t>
            </w:r>
          </w:p>
        </w:tc>
        <w:tc>
          <w:tcPr>
            <w:tcW w:w="1045"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1,530,177</w:t>
            </w:r>
          </w:p>
        </w:tc>
        <w:tc>
          <w:tcPr>
            <w:tcW w:w="123" w:type="dxa"/>
            <w:tcBorders/>
            <w:shd w:fill="FFFFFF" w:val="clear"/>
            <w:vAlign w:val="bottom"/>
          </w:tcPr>
          <w:p>
            <w:pPr>
              <w:pStyle w:val="TableContents"/>
              <w:spacing w:before="0" w:after="283"/>
              <w:jc w:val="left"/>
              <w:rPr/>
            </w:pPr>
            <w:r>
              <w:rPr/>
              <w:t> </w:t>
            </w:r>
          </w:p>
        </w:tc>
      </w:tr>
      <w:tr>
        <w:trPr/>
        <w:tc>
          <w:tcPr>
            <w:tcW w:w="2070" w:type="dxa"/>
            <w:tcBorders/>
            <w:shd w:fill="CCEEFF" w:val="clear"/>
            <w:vAlign w:val="bottom"/>
          </w:tcPr>
          <w:p>
            <w:pPr>
              <w:pStyle w:val="TableContents"/>
              <w:spacing w:before="0" w:after="0"/>
              <w:ind w:left="0" w:right="0" w:hanging="0"/>
              <w:jc w:val="left"/>
              <w:rPr/>
            </w:pPr>
            <w:r>
              <w:rPr/>
              <w:t> </w:t>
            </w:r>
            <w:r>
              <w:rPr>
                <w:rFonts w:ascii="helvetica" w:hAnsi="helvetica"/>
                <w:sz w:val="20"/>
              </w:rPr>
              <w:t>Beneficial conversion feature upon conversion of</w:t>
            </w:r>
          </w:p>
        </w:tc>
        <w:tc>
          <w:tcPr>
            <w:tcW w:w="81" w:type="dxa"/>
            <w:tcBorders/>
            <w:shd w:fill="CCEEFF" w:val="clear"/>
            <w:vAlign w:val="bottom"/>
          </w:tcPr>
          <w:p>
            <w:pPr>
              <w:pStyle w:val="TableContents"/>
              <w:spacing w:before="0" w:after="283"/>
              <w:rPr/>
            </w:pPr>
            <w:r>
              <w:rPr/>
              <w:t> </w:t>
            </w:r>
          </w:p>
        </w:tc>
        <w:tc>
          <w:tcPr>
            <w:tcW w:w="135" w:type="dxa"/>
            <w:tcBorders/>
            <w:shd w:fill="CCEEFF" w:val="clear"/>
            <w:vAlign w:val="bottom"/>
          </w:tcPr>
          <w:p>
            <w:pPr>
              <w:pStyle w:val="TableContents"/>
              <w:spacing w:before="0" w:after="283"/>
              <w:jc w:val="left"/>
              <w:rPr/>
            </w:pPr>
            <w:r>
              <w:rPr/>
              <w:t> </w:t>
            </w:r>
          </w:p>
        </w:tc>
        <w:tc>
          <w:tcPr>
            <w:tcW w:w="586" w:type="dxa"/>
            <w:tcBorders/>
            <w:shd w:fill="CCEEFF" w:val="clear"/>
            <w:vAlign w:val="bottom"/>
          </w:tcPr>
          <w:p>
            <w:pPr>
              <w:pStyle w:val="TableContents"/>
              <w:spacing w:before="0" w:after="283"/>
              <w:jc w:val="right"/>
              <w:rPr/>
            </w:pPr>
            <w:r>
              <w:rPr/>
              <w:t> </w:t>
            </w:r>
          </w:p>
        </w:tc>
        <w:tc>
          <w:tcPr>
            <w:tcW w:w="92" w:type="dxa"/>
            <w:tcBorders/>
            <w:shd w:fill="CCEEFF" w:val="clear"/>
            <w:vAlign w:val="bottom"/>
          </w:tcPr>
          <w:p>
            <w:pPr>
              <w:pStyle w:val="TableContents"/>
              <w:spacing w:before="0" w:after="283"/>
              <w:jc w:val="left"/>
              <w:rPr/>
            </w:pPr>
            <w:r>
              <w:rPr/>
              <w:t> </w:t>
            </w:r>
          </w:p>
        </w:tc>
        <w:tc>
          <w:tcPr>
            <w:tcW w:w="92" w:type="dxa"/>
            <w:tcBorders/>
            <w:shd w:fill="CCEEFF" w:val="clear"/>
            <w:vAlign w:val="bottom"/>
          </w:tcPr>
          <w:p>
            <w:pPr>
              <w:pStyle w:val="TableContents"/>
              <w:spacing w:before="0" w:after="283"/>
              <w:rPr/>
            </w:pPr>
            <w:r>
              <w:rPr/>
              <w:t> </w:t>
            </w:r>
          </w:p>
        </w:tc>
        <w:tc>
          <w:tcPr>
            <w:tcW w:w="292" w:type="dxa"/>
            <w:tcBorders/>
            <w:shd w:fill="CCEEFF" w:val="clear"/>
            <w:vAlign w:val="bottom"/>
          </w:tcPr>
          <w:p>
            <w:pPr>
              <w:pStyle w:val="TableContents"/>
              <w:spacing w:before="0" w:after="283"/>
              <w:jc w:val="left"/>
              <w:rPr/>
            </w:pPr>
            <w:r>
              <w:rPr/>
              <w:t> </w:t>
            </w:r>
          </w:p>
        </w:tc>
        <w:tc>
          <w:tcPr>
            <w:tcW w:w="334" w:type="dxa"/>
            <w:tcBorders/>
            <w:shd w:fill="CCEEFF" w:val="clear"/>
            <w:vAlign w:val="bottom"/>
          </w:tcPr>
          <w:p>
            <w:pPr>
              <w:pStyle w:val="TableContents"/>
              <w:spacing w:before="0" w:after="283"/>
              <w:jc w:val="right"/>
              <w:rPr/>
            </w:pPr>
            <w:r>
              <w:rPr/>
              <w:t> </w:t>
            </w:r>
          </w:p>
        </w:tc>
        <w:tc>
          <w:tcPr>
            <w:tcW w:w="81"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81" w:type="dxa"/>
            <w:tcBorders/>
            <w:shd w:fill="CCEEFF" w:val="clear"/>
            <w:vAlign w:val="bottom"/>
          </w:tcPr>
          <w:p>
            <w:pPr>
              <w:pStyle w:val="TableContents"/>
              <w:spacing w:before="0" w:after="283"/>
              <w:jc w:val="left"/>
              <w:rPr/>
            </w:pPr>
            <w:r>
              <w:rPr/>
              <w:t> </w:t>
            </w:r>
          </w:p>
        </w:tc>
        <w:tc>
          <w:tcPr>
            <w:tcW w:w="982" w:type="dxa"/>
            <w:tcBorders/>
            <w:shd w:fill="CCEEFF" w:val="clear"/>
            <w:vAlign w:val="bottom"/>
          </w:tcPr>
          <w:p>
            <w:pPr>
              <w:pStyle w:val="TableContents"/>
              <w:spacing w:before="0" w:after="283"/>
              <w:jc w:val="right"/>
              <w:rPr/>
            </w:pPr>
            <w:r>
              <w:rPr/>
              <w:t> </w:t>
            </w:r>
          </w:p>
        </w:tc>
        <w:tc>
          <w:tcPr>
            <w:tcW w:w="99"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139" w:type="dxa"/>
            <w:tcBorders/>
            <w:shd w:fill="CCEEFF" w:val="clear"/>
            <w:vAlign w:val="bottom"/>
          </w:tcPr>
          <w:p>
            <w:pPr>
              <w:pStyle w:val="TableContents"/>
              <w:spacing w:before="0" w:after="283"/>
              <w:jc w:val="left"/>
              <w:rPr/>
            </w:pPr>
            <w:r>
              <w:rPr/>
              <w:t> </w:t>
            </w:r>
          </w:p>
        </w:tc>
        <w:tc>
          <w:tcPr>
            <w:tcW w:w="641" w:type="dxa"/>
            <w:tcBorders/>
            <w:shd w:fill="CCEEFF" w:val="clear"/>
            <w:vAlign w:val="bottom"/>
          </w:tcPr>
          <w:p>
            <w:pPr>
              <w:pStyle w:val="TableContents"/>
              <w:spacing w:before="0" w:after="283"/>
              <w:jc w:val="right"/>
              <w:rPr/>
            </w:pPr>
            <w:r>
              <w:rPr/>
              <w:t> </w:t>
            </w:r>
          </w:p>
        </w:tc>
        <w:tc>
          <w:tcPr>
            <w:tcW w:w="99"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jc w:val="left"/>
              <w:rPr/>
            </w:pPr>
            <w:r>
              <w:rPr/>
              <w:t> </w:t>
            </w:r>
          </w:p>
        </w:tc>
        <w:tc>
          <w:tcPr>
            <w:tcW w:w="1077" w:type="dxa"/>
            <w:tcBorders/>
            <w:shd w:fill="CCEEFF" w:val="clear"/>
            <w:vAlign w:val="bottom"/>
          </w:tcPr>
          <w:p>
            <w:pPr>
              <w:pStyle w:val="TableContents"/>
              <w:spacing w:before="0" w:after="283"/>
              <w:jc w:val="right"/>
              <w:rPr/>
            </w:pPr>
            <w:r>
              <w:rPr/>
              <w:t> </w:t>
            </w:r>
          </w:p>
        </w:tc>
        <w:tc>
          <w:tcPr>
            <w:tcW w:w="99"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jc w:val="left"/>
              <w:rPr/>
            </w:pPr>
            <w:r>
              <w:rPr/>
              <w:t> </w:t>
            </w:r>
          </w:p>
        </w:tc>
        <w:tc>
          <w:tcPr>
            <w:tcW w:w="1132" w:type="dxa"/>
            <w:tcBorders/>
            <w:shd w:fill="CCEEFF" w:val="clear"/>
            <w:vAlign w:val="bottom"/>
          </w:tcPr>
          <w:p>
            <w:pPr>
              <w:pStyle w:val="TableContents"/>
              <w:spacing w:before="0" w:after="283"/>
              <w:jc w:val="right"/>
              <w:rPr/>
            </w:pPr>
            <w:r>
              <w:rPr/>
              <w:t> </w:t>
            </w:r>
          </w:p>
        </w:tc>
        <w:tc>
          <w:tcPr>
            <w:tcW w:w="99"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141" w:type="dxa"/>
            <w:tcBorders/>
            <w:shd w:fill="CCEEFF" w:val="clear"/>
            <w:vAlign w:val="bottom"/>
          </w:tcPr>
          <w:p>
            <w:pPr>
              <w:pStyle w:val="TableContents"/>
              <w:spacing w:before="0" w:after="283"/>
              <w:jc w:val="left"/>
              <w:rPr/>
            </w:pPr>
            <w:r>
              <w:rPr/>
              <w:t> </w:t>
            </w:r>
          </w:p>
        </w:tc>
        <w:tc>
          <w:tcPr>
            <w:tcW w:w="1045" w:type="dxa"/>
            <w:tcBorders/>
            <w:shd w:fill="CCEEFF" w:val="clear"/>
            <w:vAlign w:val="bottom"/>
          </w:tcPr>
          <w:p>
            <w:pPr>
              <w:pStyle w:val="TableContents"/>
              <w:spacing w:before="0" w:after="283"/>
              <w:jc w:val="right"/>
              <w:rPr/>
            </w:pPr>
            <w:r>
              <w:rPr/>
              <w:t> </w:t>
            </w:r>
          </w:p>
        </w:tc>
        <w:tc>
          <w:tcPr>
            <w:tcW w:w="123" w:type="dxa"/>
            <w:tcBorders/>
            <w:shd w:fill="CCEEFF" w:val="clear"/>
            <w:vAlign w:val="bottom"/>
          </w:tcPr>
          <w:p>
            <w:pPr>
              <w:pStyle w:val="TableContents"/>
              <w:spacing w:before="0" w:after="283"/>
              <w:jc w:val="left"/>
              <w:rPr/>
            </w:pPr>
            <w:r>
              <w:rPr/>
              <w:t> </w:t>
            </w:r>
          </w:p>
        </w:tc>
      </w:tr>
      <w:tr>
        <w:trPr/>
        <w:tc>
          <w:tcPr>
            <w:tcW w:w="2070" w:type="dxa"/>
            <w:tcBorders/>
            <w:shd w:fill="FFFFFF" w:val="clear"/>
            <w:vAlign w:val="bottom"/>
          </w:tcPr>
          <w:p>
            <w:pPr>
              <w:pStyle w:val="TableContents"/>
              <w:spacing w:before="0" w:after="0"/>
              <w:ind w:left="0" w:right="0" w:hanging="0"/>
              <w:jc w:val="left"/>
              <w:rPr/>
            </w:pPr>
            <w:r>
              <w:rPr/>
              <w:t>   </w:t>
            </w:r>
            <w:r>
              <w:rPr>
                <w:rFonts w:ascii="helvetica" w:hAnsi="helvetica"/>
                <w:sz w:val="20"/>
              </w:rPr>
              <w:t>senior convertible notes payable</w:t>
            </w:r>
          </w:p>
        </w:tc>
        <w:tc>
          <w:tcPr>
            <w:tcW w:w="81" w:type="dxa"/>
            <w:tcBorders/>
            <w:shd w:fill="FFFFFF" w:val="clear"/>
            <w:vAlign w:val="bottom"/>
          </w:tcPr>
          <w:p>
            <w:pPr>
              <w:pStyle w:val="TableContents"/>
              <w:spacing w:before="0" w:after="283"/>
              <w:rPr/>
            </w:pPr>
            <w:r>
              <w:rPr/>
              <w:t> </w:t>
            </w:r>
          </w:p>
        </w:tc>
        <w:tc>
          <w:tcPr>
            <w:tcW w:w="135" w:type="dxa"/>
            <w:tcBorders/>
            <w:shd w:fill="FFFFFF" w:val="clear"/>
            <w:vAlign w:val="bottom"/>
          </w:tcPr>
          <w:p>
            <w:pPr>
              <w:pStyle w:val="TableContents"/>
              <w:spacing w:before="0" w:after="283"/>
              <w:jc w:val="left"/>
              <w:rPr/>
            </w:pPr>
            <w:r>
              <w:rPr/>
              <w:t> </w:t>
            </w:r>
          </w:p>
        </w:tc>
        <w:tc>
          <w:tcPr>
            <w:tcW w:w="586"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w:t>
            </w:r>
          </w:p>
        </w:tc>
        <w:tc>
          <w:tcPr>
            <w:tcW w:w="92" w:type="dxa"/>
            <w:tcBorders/>
            <w:shd w:fill="FFFFFF" w:val="clear"/>
            <w:vAlign w:val="bottom"/>
          </w:tcPr>
          <w:p>
            <w:pPr>
              <w:pStyle w:val="TableContents"/>
              <w:spacing w:before="0" w:after="283"/>
              <w:jc w:val="left"/>
              <w:rPr/>
            </w:pPr>
            <w:r>
              <w:rPr/>
              <w:t> </w:t>
            </w:r>
          </w:p>
        </w:tc>
        <w:tc>
          <w:tcPr>
            <w:tcW w:w="92" w:type="dxa"/>
            <w:tcBorders/>
            <w:shd w:fill="FFFFFF" w:val="clear"/>
            <w:vAlign w:val="bottom"/>
          </w:tcPr>
          <w:p>
            <w:pPr>
              <w:pStyle w:val="TableContents"/>
              <w:spacing w:before="0" w:after="283"/>
              <w:rPr/>
            </w:pPr>
            <w:r>
              <w:rPr/>
              <w:t> </w:t>
            </w:r>
          </w:p>
        </w:tc>
        <w:tc>
          <w:tcPr>
            <w:tcW w:w="292" w:type="dxa"/>
            <w:tcBorders/>
            <w:shd w:fill="FFFFFF" w:val="clear"/>
            <w:vAlign w:val="bottom"/>
          </w:tcPr>
          <w:p>
            <w:pPr>
              <w:pStyle w:val="TableContents"/>
              <w:spacing w:before="0" w:after="283"/>
              <w:jc w:val="left"/>
              <w:rPr/>
            </w:pPr>
            <w:r>
              <w:rPr/>
              <w:t> </w:t>
            </w:r>
          </w:p>
        </w:tc>
        <w:tc>
          <w:tcPr>
            <w:tcW w:w="334"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w:t>
            </w:r>
          </w:p>
        </w:tc>
        <w:tc>
          <w:tcPr>
            <w:tcW w:w="81"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81" w:type="dxa"/>
            <w:tcBorders/>
            <w:shd w:fill="FFFFFF" w:val="clear"/>
            <w:vAlign w:val="bottom"/>
          </w:tcPr>
          <w:p>
            <w:pPr>
              <w:pStyle w:val="TableContents"/>
              <w:spacing w:before="0" w:after="283"/>
              <w:jc w:val="left"/>
              <w:rPr/>
            </w:pPr>
            <w:r>
              <w:rPr/>
              <w:t> </w:t>
            </w:r>
          </w:p>
        </w:tc>
        <w:tc>
          <w:tcPr>
            <w:tcW w:w="982"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w:t>
            </w:r>
          </w:p>
        </w:tc>
        <w:tc>
          <w:tcPr>
            <w:tcW w:w="99"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139" w:type="dxa"/>
            <w:tcBorders/>
            <w:shd w:fill="FFFFFF" w:val="clear"/>
            <w:vAlign w:val="bottom"/>
          </w:tcPr>
          <w:p>
            <w:pPr>
              <w:pStyle w:val="TableContents"/>
              <w:spacing w:before="0" w:after="283"/>
              <w:jc w:val="left"/>
              <w:rPr/>
            </w:pPr>
            <w:r>
              <w:rPr/>
              <w:t> </w:t>
            </w:r>
          </w:p>
        </w:tc>
        <w:tc>
          <w:tcPr>
            <w:tcW w:w="641"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w:t>
            </w:r>
          </w:p>
        </w:tc>
        <w:tc>
          <w:tcPr>
            <w:tcW w:w="99"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283"/>
              <w:jc w:val="left"/>
              <w:rPr/>
            </w:pPr>
            <w:r>
              <w:rPr/>
              <w:t> </w:t>
            </w:r>
          </w:p>
        </w:tc>
        <w:tc>
          <w:tcPr>
            <w:tcW w:w="1077"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1,530,177</w:t>
            </w:r>
          </w:p>
        </w:tc>
        <w:tc>
          <w:tcPr>
            <w:tcW w:w="99"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283"/>
              <w:jc w:val="left"/>
              <w:rPr/>
            </w:pPr>
            <w:r>
              <w:rPr/>
              <w:t> </w:t>
            </w:r>
          </w:p>
        </w:tc>
        <w:tc>
          <w:tcPr>
            <w:tcW w:w="1132"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w:t>
            </w:r>
          </w:p>
        </w:tc>
        <w:tc>
          <w:tcPr>
            <w:tcW w:w="99"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141" w:type="dxa"/>
            <w:tcBorders/>
            <w:shd w:fill="FFFFFF" w:val="clear"/>
            <w:vAlign w:val="bottom"/>
          </w:tcPr>
          <w:p>
            <w:pPr>
              <w:pStyle w:val="TableContents"/>
              <w:spacing w:before="0" w:after="283"/>
              <w:jc w:val="left"/>
              <w:rPr/>
            </w:pPr>
            <w:r>
              <w:rPr/>
              <w:t> </w:t>
            </w:r>
          </w:p>
        </w:tc>
        <w:tc>
          <w:tcPr>
            <w:tcW w:w="1045"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1,530,177</w:t>
            </w:r>
          </w:p>
        </w:tc>
        <w:tc>
          <w:tcPr>
            <w:tcW w:w="123" w:type="dxa"/>
            <w:tcBorders/>
            <w:shd w:fill="FFFFFF" w:val="clear"/>
            <w:vAlign w:val="bottom"/>
          </w:tcPr>
          <w:p>
            <w:pPr>
              <w:pStyle w:val="TableContents"/>
              <w:spacing w:before="0" w:after="283"/>
              <w:jc w:val="left"/>
              <w:rPr/>
            </w:pPr>
            <w:r>
              <w:rPr/>
              <w:t> </w:t>
            </w:r>
          </w:p>
        </w:tc>
      </w:tr>
      <w:tr>
        <w:trPr/>
        <w:tc>
          <w:tcPr>
            <w:tcW w:w="2070" w:type="dxa"/>
            <w:tcBorders/>
            <w:shd w:fill="CCEEFF" w:val="clear"/>
            <w:vAlign w:val="bottom"/>
          </w:tcPr>
          <w:p>
            <w:pPr>
              <w:pStyle w:val="TableContents"/>
              <w:spacing w:before="0" w:after="0"/>
              <w:ind w:left="0" w:right="0" w:hanging="0"/>
              <w:jc w:val="left"/>
              <w:rPr/>
            </w:pPr>
            <w:r>
              <w:rPr/>
              <w:t> </w:t>
            </w:r>
            <w:r>
              <w:rPr>
                <w:rFonts w:ascii="helvetica" w:hAnsi="helvetica"/>
                <w:sz w:val="20"/>
              </w:rPr>
              <w:t>Issuance of common stock and warrants for consulting</w:t>
            </w:r>
          </w:p>
        </w:tc>
        <w:tc>
          <w:tcPr>
            <w:tcW w:w="81" w:type="dxa"/>
            <w:tcBorders/>
            <w:shd w:fill="CCEEFF" w:val="clear"/>
            <w:vAlign w:val="bottom"/>
          </w:tcPr>
          <w:p>
            <w:pPr>
              <w:pStyle w:val="TableContents"/>
              <w:spacing w:before="0" w:after="283"/>
              <w:rPr/>
            </w:pPr>
            <w:r>
              <w:rPr/>
              <w:t> </w:t>
            </w:r>
          </w:p>
        </w:tc>
        <w:tc>
          <w:tcPr>
            <w:tcW w:w="135" w:type="dxa"/>
            <w:tcBorders/>
            <w:shd w:fill="CCEEFF" w:val="clear"/>
            <w:vAlign w:val="bottom"/>
          </w:tcPr>
          <w:p>
            <w:pPr>
              <w:pStyle w:val="TableContents"/>
              <w:spacing w:before="0" w:after="283"/>
              <w:jc w:val="left"/>
              <w:rPr/>
            </w:pPr>
            <w:r>
              <w:rPr/>
              <w:t> </w:t>
            </w:r>
          </w:p>
        </w:tc>
        <w:tc>
          <w:tcPr>
            <w:tcW w:w="586" w:type="dxa"/>
            <w:tcBorders/>
            <w:shd w:fill="CCEEFF" w:val="clear"/>
            <w:vAlign w:val="bottom"/>
          </w:tcPr>
          <w:p>
            <w:pPr>
              <w:pStyle w:val="TableContents"/>
              <w:spacing w:before="0" w:after="283"/>
              <w:jc w:val="right"/>
              <w:rPr/>
            </w:pPr>
            <w:r>
              <w:rPr/>
              <w:t> </w:t>
            </w:r>
          </w:p>
        </w:tc>
        <w:tc>
          <w:tcPr>
            <w:tcW w:w="92" w:type="dxa"/>
            <w:tcBorders/>
            <w:shd w:fill="CCEEFF" w:val="clear"/>
            <w:vAlign w:val="bottom"/>
          </w:tcPr>
          <w:p>
            <w:pPr>
              <w:pStyle w:val="TableContents"/>
              <w:spacing w:before="0" w:after="283"/>
              <w:jc w:val="left"/>
              <w:rPr/>
            </w:pPr>
            <w:r>
              <w:rPr/>
              <w:t> </w:t>
            </w:r>
          </w:p>
        </w:tc>
        <w:tc>
          <w:tcPr>
            <w:tcW w:w="92" w:type="dxa"/>
            <w:tcBorders/>
            <w:shd w:fill="CCEEFF" w:val="clear"/>
            <w:vAlign w:val="bottom"/>
          </w:tcPr>
          <w:p>
            <w:pPr>
              <w:pStyle w:val="TableContents"/>
              <w:spacing w:before="0" w:after="283"/>
              <w:rPr/>
            </w:pPr>
            <w:r>
              <w:rPr/>
              <w:t> </w:t>
            </w:r>
          </w:p>
        </w:tc>
        <w:tc>
          <w:tcPr>
            <w:tcW w:w="292" w:type="dxa"/>
            <w:tcBorders/>
            <w:shd w:fill="CCEEFF" w:val="clear"/>
            <w:vAlign w:val="bottom"/>
          </w:tcPr>
          <w:p>
            <w:pPr>
              <w:pStyle w:val="TableContents"/>
              <w:spacing w:before="0" w:after="283"/>
              <w:jc w:val="left"/>
              <w:rPr/>
            </w:pPr>
            <w:r>
              <w:rPr/>
              <w:t> </w:t>
            </w:r>
          </w:p>
        </w:tc>
        <w:tc>
          <w:tcPr>
            <w:tcW w:w="334" w:type="dxa"/>
            <w:tcBorders/>
            <w:shd w:fill="CCEEFF" w:val="clear"/>
            <w:vAlign w:val="bottom"/>
          </w:tcPr>
          <w:p>
            <w:pPr>
              <w:pStyle w:val="TableContents"/>
              <w:spacing w:before="0" w:after="283"/>
              <w:jc w:val="right"/>
              <w:rPr/>
            </w:pPr>
            <w:r>
              <w:rPr/>
              <w:t> </w:t>
            </w:r>
          </w:p>
        </w:tc>
        <w:tc>
          <w:tcPr>
            <w:tcW w:w="81"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81" w:type="dxa"/>
            <w:tcBorders/>
            <w:shd w:fill="CCEEFF" w:val="clear"/>
            <w:vAlign w:val="bottom"/>
          </w:tcPr>
          <w:p>
            <w:pPr>
              <w:pStyle w:val="TableContents"/>
              <w:spacing w:before="0" w:after="283"/>
              <w:jc w:val="left"/>
              <w:rPr/>
            </w:pPr>
            <w:r>
              <w:rPr/>
              <w:t> </w:t>
            </w:r>
          </w:p>
        </w:tc>
        <w:tc>
          <w:tcPr>
            <w:tcW w:w="982" w:type="dxa"/>
            <w:tcBorders/>
            <w:shd w:fill="CCEEFF" w:val="clear"/>
            <w:vAlign w:val="bottom"/>
          </w:tcPr>
          <w:p>
            <w:pPr>
              <w:pStyle w:val="TableContents"/>
              <w:spacing w:before="0" w:after="283"/>
              <w:jc w:val="right"/>
              <w:rPr/>
            </w:pPr>
            <w:r>
              <w:rPr/>
              <w:t> </w:t>
            </w:r>
          </w:p>
        </w:tc>
        <w:tc>
          <w:tcPr>
            <w:tcW w:w="99"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139" w:type="dxa"/>
            <w:tcBorders/>
            <w:shd w:fill="CCEEFF" w:val="clear"/>
            <w:vAlign w:val="bottom"/>
          </w:tcPr>
          <w:p>
            <w:pPr>
              <w:pStyle w:val="TableContents"/>
              <w:spacing w:before="0" w:after="283"/>
              <w:jc w:val="left"/>
              <w:rPr/>
            </w:pPr>
            <w:r>
              <w:rPr/>
              <w:t> </w:t>
            </w:r>
          </w:p>
        </w:tc>
        <w:tc>
          <w:tcPr>
            <w:tcW w:w="641" w:type="dxa"/>
            <w:tcBorders/>
            <w:shd w:fill="CCEEFF" w:val="clear"/>
            <w:vAlign w:val="bottom"/>
          </w:tcPr>
          <w:p>
            <w:pPr>
              <w:pStyle w:val="TableContents"/>
              <w:spacing w:before="0" w:after="283"/>
              <w:jc w:val="right"/>
              <w:rPr/>
            </w:pPr>
            <w:r>
              <w:rPr/>
              <w:t> </w:t>
            </w:r>
          </w:p>
        </w:tc>
        <w:tc>
          <w:tcPr>
            <w:tcW w:w="99"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jc w:val="left"/>
              <w:rPr/>
            </w:pPr>
            <w:r>
              <w:rPr/>
              <w:t> </w:t>
            </w:r>
          </w:p>
        </w:tc>
        <w:tc>
          <w:tcPr>
            <w:tcW w:w="1077" w:type="dxa"/>
            <w:tcBorders/>
            <w:shd w:fill="CCEEFF" w:val="clear"/>
            <w:vAlign w:val="bottom"/>
          </w:tcPr>
          <w:p>
            <w:pPr>
              <w:pStyle w:val="TableContents"/>
              <w:spacing w:before="0" w:after="283"/>
              <w:jc w:val="right"/>
              <w:rPr/>
            </w:pPr>
            <w:r>
              <w:rPr/>
              <w:t> </w:t>
            </w:r>
          </w:p>
        </w:tc>
        <w:tc>
          <w:tcPr>
            <w:tcW w:w="99"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jc w:val="left"/>
              <w:rPr/>
            </w:pPr>
            <w:r>
              <w:rPr/>
              <w:t> </w:t>
            </w:r>
          </w:p>
        </w:tc>
        <w:tc>
          <w:tcPr>
            <w:tcW w:w="1132" w:type="dxa"/>
            <w:tcBorders/>
            <w:shd w:fill="CCEEFF" w:val="clear"/>
            <w:vAlign w:val="bottom"/>
          </w:tcPr>
          <w:p>
            <w:pPr>
              <w:pStyle w:val="TableContents"/>
              <w:spacing w:before="0" w:after="283"/>
              <w:jc w:val="right"/>
              <w:rPr/>
            </w:pPr>
            <w:r>
              <w:rPr/>
              <w:t> </w:t>
            </w:r>
          </w:p>
        </w:tc>
        <w:tc>
          <w:tcPr>
            <w:tcW w:w="99"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141" w:type="dxa"/>
            <w:tcBorders/>
            <w:shd w:fill="CCEEFF" w:val="clear"/>
            <w:vAlign w:val="bottom"/>
          </w:tcPr>
          <w:p>
            <w:pPr>
              <w:pStyle w:val="TableContents"/>
              <w:spacing w:before="0" w:after="283"/>
              <w:jc w:val="left"/>
              <w:rPr/>
            </w:pPr>
            <w:r>
              <w:rPr/>
              <w:t> </w:t>
            </w:r>
          </w:p>
        </w:tc>
        <w:tc>
          <w:tcPr>
            <w:tcW w:w="1045" w:type="dxa"/>
            <w:tcBorders/>
            <w:shd w:fill="CCEEFF" w:val="clear"/>
            <w:vAlign w:val="bottom"/>
          </w:tcPr>
          <w:p>
            <w:pPr>
              <w:pStyle w:val="TableContents"/>
              <w:spacing w:before="0" w:after="283"/>
              <w:jc w:val="right"/>
              <w:rPr/>
            </w:pPr>
            <w:r>
              <w:rPr/>
              <w:t> </w:t>
            </w:r>
          </w:p>
        </w:tc>
        <w:tc>
          <w:tcPr>
            <w:tcW w:w="123" w:type="dxa"/>
            <w:tcBorders/>
            <w:shd w:fill="CCEEFF" w:val="clear"/>
            <w:vAlign w:val="bottom"/>
          </w:tcPr>
          <w:p>
            <w:pPr>
              <w:pStyle w:val="TableContents"/>
              <w:spacing w:before="0" w:after="283"/>
              <w:jc w:val="left"/>
              <w:rPr/>
            </w:pPr>
            <w:r>
              <w:rPr/>
              <w:t> </w:t>
            </w:r>
          </w:p>
        </w:tc>
      </w:tr>
      <w:tr>
        <w:trPr/>
        <w:tc>
          <w:tcPr>
            <w:tcW w:w="2070" w:type="dxa"/>
            <w:tcBorders/>
            <w:shd w:fill="FFFFFF" w:val="clear"/>
            <w:vAlign w:val="bottom"/>
          </w:tcPr>
          <w:p>
            <w:pPr>
              <w:pStyle w:val="TableContents"/>
              <w:spacing w:before="0" w:after="0"/>
              <w:ind w:left="0" w:right="0" w:hanging="0"/>
              <w:jc w:val="left"/>
              <w:rPr/>
            </w:pPr>
            <w:r>
              <w:rPr/>
              <w:t>   </w:t>
            </w:r>
            <w:r>
              <w:rPr>
                <w:rFonts w:ascii="helvetica" w:hAnsi="helvetica"/>
                <w:sz w:val="20"/>
              </w:rPr>
              <w:t>services in September 2007 at a value of $16.00 per</w:t>
            </w:r>
          </w:p>
        </w:tc>
        <w:tc>
          <w:tcPr>
            <w:tcW w:w="81" w:type="dxa"/>
            <w:tcBorders/>
            <w:shd w:fill="FFFFFF" w:val="clear"/>
            <w:vAlign w:val="bottom"/>
          </w:tcPr>
          <w:p>
            <w:pPr>
              <w:pStyle w:val="TableContents"/>
              <w:spacing w:before="0" w:after="283"/>
              <w:rPr/>
            </w:pPr>
            <w:r>
              <w:rPr/>
              <w:t> </w:t>
            </w:r>
          </w:p>
        </w:tc>
        <w:tc>
          <w:tcPr>
            <w:tcW w:w="135" w:type="dxa"/>
            <w:tcBorders/>
            <w:shd w:fill="FFFFFF" w:val="clear"/>
            <w:vAlign w:val="bottom"/>
          </w:tcPr>
          <w:p>
            <w:pPr>
              <w:pStyle w:val="TableContents"/>
              <w:spacing w:before="0" w:after="283"/>
              <w:jc w:val="left"/>
              <w:rPr/>
            </w:pPr>
            <w:r>
              <w:rPr/>
              <w:t> </w:t>
            </w:r>
          </w:p>
        </w:tc>
        <w:tc>
          <w:tcPr>
            <w:tcW w:w="586" w:type="dxa"/>
            <w:tcBorders/>
            <w:shd w:fill="FFFFFF" w:val="clear"/>
            <w:vAlign w:val="bottom"/>
          </w:tcPr>
          <w:p>
            <w:pPr>
              <w:pStyle w:val="TableContents"/>
              <w:spacing w:before="0" w:after="283"/>
              <w:jc w:val="right"/>
              <w:rPr/>
            </w:pPr>
            <w:r>
              <w:rPr/>
              <w:t> </w:t>
            </w:r>
          </w:p>
        </w:tc>
        <w:tc>
          <w:tcPr>
            <w:tcW w:w="92" w:type="dxa"/>
            <w:tcBorders/>
            <w:shd w:fill="FFFFFF" w:val="clear"/>
            <w:vAlign w:val="bottom"/>
          </w:tcPr>
          <w:p>
            <w:pPr>
              <w:pStyle w:val="TableContents"/>
              <w:spacing w:before="0" w:after="283"/>
              <w:jc w:val="left"/>
              <w:rPr/>
            </w:pPr>
            <w:r>
              <w:rPr/>
              <w:t> </w:t>
            </w:r>
          </w:p>
        </w:tc>
        <w:tc>
          <w:tcPr>
            <w:tcW w:w="92" w:type="dxa"/>
            <w:tcBorders/>
            <w:shd w:fill="FFFFFF" w:val="clear"/>
            <w:vAlign w:val="bottom"/>
          </w:tcPr>
          <w:p>
            <w:pPr>
              <w:pStyle w:val="TableContents"/>
              <w:spacing w:before="0" w:after="283"/>
              <w:rPr/>
            </w:pPr>
            <w:r>
              <w:rPr/>
              <w:t> </w:t>
            </w:r>
          </w:p>
        </w:tc>
        <w:tc>
          <w:tcPr>
            <w:tcW w:w="292" w:type="dxa"/>
            <w:tcBorders/>
            <w:shd w:fill="FFFFFF" w:val="clear"/>
            <w:vAlign w:val="bottom"/>
          </w:tcPr>
          <w:p>
            <w:pPr>
              <w:pStyle w:val="TableContents"/>
              <w:spacing w:before="0" w:after="283"/>
              <w:jc w:val="left"/>
              <w:rPr/>
            </w:pPr>
            <w:r>
              <w:rPr/>
              <w:t> </w:t>
            </w:r>
          </w:p>
        </w:tc>
        <w:tc>
          <w:tcPr>
            <w:tcW w:w="334" w:type="dxa"/>
            <w:tcBorders/>
            <w:shd w:fill="FFFFFF" w:val="clear"/>
            <w:vAlign w:val="bottom"/>
          </w:tcPr>
          <w:p>
            <w:pPr>
              <w:pStyle w:val="TableContents"/>
              <w:spacing w:before="0" w:after="283"/>
              <w:jc w:val="right"/>
              <w:rPr/>
            </w:pPr>
            <w:r>
              <w:rPr/>
              <w:t> </w:t>
            </w:r>
          </w:p>
        </w:tc>
        <w:tc>
          <w:tcPr>
            <w:tcW w:w="81"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81" w:type="dxa"/>
            <w:tcBorders/>
            <w:shd w:fill="FFFFFF" w:val="clear"/>
            <w:vAlign w:val="bottom"/>
          </w:tcPr>
          <w:p>
            <w:pPr>
              <w:pStyle w:val="TableContents"/>
              <w:spacing w:before="0" w:after="283"/>
              <w:jc w:val="left"/>
              <w:rPr/>
            </w:pPr>
            <w:r>
              <w:rPr/>
              <w:t> </w:t>
            </w:r>
          </w:p>
        </w:tc>
        <w:tc>
          <w:tcPr>
            <w:tcW w:w="982" w:type="dxa"/>
            <w:tcBorders/>
            <w:shd w:fill="FFFFFF" w:val="clear"/>
            <w:vAlign w:val="bottom"/>
          </w:tcPr>
          <w:p>
            <w:pPr>
              <w:pStyle w:val="TableContents"/>
              <w:spacing w:before="0" w:after="283"/>
              <w:jc w:val="right"/>
              <w:rPr/>
            </w:pPr>
            <w:r>
              <w:rPr/>
              <w:t> </w:t>
            </w:r>
          </w:p>
        </w:tc>
        <w:tc>
          <w:tcPr>
            <w:tcW w:w="99"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139" w:type="dxa"/>
            <w:tcBorders/>
            <w:shd w:fill="FFFFFF" w:val="clear"/>
            <w:vAlign w:val="bottom"/>
          </w:tcPr>
          <w:p>
            <w:pPr>
              <w:pStyle w:val="TableContents"/>
              <w:spacing w:before="0" w:after="283"/>
              <w:jc w:val="left"/>
              <w:rPr/>
            </w:pPr>
            <w:r>
              <w:rPr/>
              <w:t> </w:t>
            </w:r>
          </w:p>
        </w:tc>
        <w:tc>
          <w:tcPr>
            <w:tcW w:w="641" w:type="dxa"/>
            <w:tcBorders/>
            <w:shd w:fill="FFFFFF" w:val="clear"/>
            <w:vAlign w:val="bottom"/>
          </w:tcPr>
          <w:p>
            <w:pPr>
              <w:pStyle w:val="TableContents"/>
              <w:spacing w:before="0" w:after="283"/>
              <w:jc w:val="right"/>
              <w:rPr/>
            </w:pPr>
            <w:r>
              <w:rPr/>
              <w:t> </w:t>
            </w:r>
          </w:p>
        </w:tc>
        <w:tc>
          <w:tcPr>
            <w:tcW w:w="99"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283"/>
              <w:jc w:val="left"/>
              <w:rPr/>
            </w:pPr>
            <w:r>
              <w:rPr/>
              <w:t> </w:t>
            </w:r>
          </w:p>
        </w:tc>
        <w:tc>
          <w:tcPr>
            <w:tcW w:w="1077" w:type="dxa"/>
            <w:tcBorders/>
            <w:shd w:fill="FFFFFF" w:val="clear"/>
            <w:vAlign w:val="bottom"/>
          </w:tcPr>
          <w:p>
            <w:pPr>
              <w:pStyle w:val="TableContents"/>
              <w:spacing w:before="0" w:after="283"/>
              <w:jc w:val="right"/>
              <w:rPr/>
            </w:pPr>
            <w:r>
              <w:rPr/>
              <w:t> </w:t>
            </w:r>
          </w:p>
        </w:tc>
        <w:tc>
          <w:tcPr>
            <w:tcW w:w="99"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283"/>
              <w:jc w:val="left"/>
              <w:rPr/>
            </w:pPr>
            <w:r>
              <w:rPr/>
              <w:t> </w:t>
            </w:r>
          </w:p>
        </w:tc>
        <w:tc>
          <w:tcPr>
            <w:tcW w:w="1132" w:type="dxa"/>
            <w:tcBorders/>
            <w:shd w:fill="FFFFFF" w:val="clear"/>
            <w:vAlign w:val="bottom"/>
          </w:tcPr>
          <w:p>
            <w:pPr>
              <w:pStyle w:val="TableContents"/>
              <w:spacing w:before="0" w:after="283"/>
              <w:jc w:val="right"/>
              <w:rPr/>
            </w:pPr>
            <w:r>
              <w:rPr/>
              <w:t> </w:t>
            </w:r>
          </w:p>
        </w:tc>
        <w:tc>
          <w:tcPr>
            <w:tcW w:w="99"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141" w:type="dxa"/>
            <w:tcBorders/>
            <w:shd w:fill="FFFFFF" w:val="clear"/>
            <w:vAlign w:val="bottom"/>
          </w:tcPr>
          <w:p>
            <w:pPr>
              <w:pStyle w:val="TableContents"/>
              <w:spacing w:before="0" w:after="283"/>
              <w:jc w:val="left"/>
              <w:rPr/>
            </w:pPr>
            <w:r>
              <w:rPr/>
              <w:t> </w:t>
            </w:r>
          </w:p>
        </w:tc>
        <w:tc>
          <w:tcPr>
            <w:tcW w:w="1045" w:type="dxa"/>
            <w:tcBorders/>
            <w:shd w:fill="FFFFFF" w:val="clear"/>
            <w:vAlign w:val="bottom"/>
          </w:tcPr>
          <w:p>
            <w:pPr>
              <w:pStyle w:val="TableContents"/>
              <w:spacing w:before="0" w:after="283"/>
              <w:jc w:val="right"/>
              <w:rPr/>
            </w:pPr>
            <w:r>
              <w:rPr/>
              <w:t> </w:t>
            </w:r>
          </w:p>
        </w:tc>
        <w:tc>
          <w:tcPr>
            <w:tcW w:w="123" w:type="dxa"/>
            <w:tcBorders/>
            <w:shd w:fill="FFFFFF" w:val="clear"/>
            <w:vAlign w:val="bottom"/>
          </w:tcPr>
          <w:p>
            <w:pPr>
              <w:pStyle w:val="TableContents"/>
              <w:spacing w:before="0" w:after="283"/>
              <w:jc w:val="left"/>
              <w:rPr/>
            </w:pPr>
            <w:r>
              <w:rPr/>
              <w:t> </w:t>
            </w:r>
          </w:p>
        </w:tc>
      </w:tr>
      <w:tr>
        <w:trPr/>
        <w:tc>
          <w:tcPr>
            <w:tcW w:w="2070" w:type="dxa"/>
            <w:tcBorders/>
            <w:shd w:fill="CCEEFF" w:val="clear"/>
            <w:vAlign w:val="bottom"/>
          </w:tcPr>
          <w:p>
            <w:pPr>
              <w:pStyle w:val="TableContents"/>
              <w:spacing w:before="0" w:after="0"/>
              <w:ind w:left="0" w:right="0" w:hanging="0"/>
              <w:jc w:val="left"/>
              <w:rPr/>
            </w:pPr>
            <w:r>
              <w:rPr/>
              <w:t>   </w:t>
            </w:r>
            <w:r>
              <w:rPr>
                <w:rFonts w:ascii="helvetica" w:hAnsi="helvetica"/>
                <w:sz w:val="20"/>
              </w:rPr>
              <w:t>share for stock transaction and $100,000 per unit</w:t>
            </w:r>
          </w:p>
        </w:tc>
        <w:tc>
          <w:tcPr>
            <w:tcW w:w="81" w:type="dxa"/>
            <w:tcBorders/>
            <w:shd w:fill="CCEEFF" w:val="clear"/>
            <w:vAlign w:val="bottom"/>
          </w:tcPr>
          <w:p>
            <w:pPr>
              <w:pStyle w:val="TableContents"/>
              <w:spacing w:before="0" w:after="283"/>
              <w:rPr/>
            </w:pPr>
            <w:r>
              <w:rPr/>
              <w:t> </w:t>
            </w:r>
          </w:p>
        </w:tc>
        <w:tc>
          <w:tcPr>
            <w:tcW w:w="135" w:type="dxa"/>
            <w:tcBorders/>
            <w:shd w:fill="CCEEFF" w:val="clear"/>
            <w:vAlign w:val="bottom"/>
          </w:tcPr>
          <w:p>
            <w:pPr>
              <w:pStyle w:val="TableContents"/>
              <w:spacing w:before="0" w:after="283"/>
              <w:jc w:val="left"/>
              <w:rPr/>
            </w:pPr>
            <w:r>
              <w:rPr/>
              <w:t> </w:t>
            </w:r>
          </w:p>
        </w:tc>
        <w:tc>
          <w:tcPr>
            <w:tcW w:w="586" w:type="dxa"/>
            <w:tcBorders/>
            <w:shd w:fill="CCEEFF" w:val="clear"/>
            <w:vAlign w:val="bottom"/>
          </w:tcPr>
          <w:p>
            <w:pPr>
              <w:pStyle w:val="TableContents"/>
              <w:spacing w:before="0" w:after="283"/>
              <w:jc w:val="right"/>
              <w:rPr/>
            </w:pPr>
            <w:r>
              <w:rPr/>
              <w:t> </w:t>
            </w:r>
          </w:p>
        </w:tc>
        <w:tc>
          <w:tcPr>
            <w:tcW w:w="92" w:type="dxa"/>
            <w:tcBorders/>
            <w:shd w:fill="CCEEFF" w:val="clear"/>
            <w:vAlign w:val="bottom"/>
          </w:tcPr>
          <w:p>
            <w:pPr>
              <w:pStyle w:val="TableContents"/>
              <w:spacing w:before="0" w:after="283"/>
              <w:jc w:val="left"/>
              <w:rPr/>
            </w:pPr>
            <w:r>
              <w:rPr/>
              <w:t> </w:t>
            </w:r>
          </w:p>
        </w:tc>
        <w:tc>
          <w:tcPr>
            <w:tcW w:w="92" w:type="dxa"/>
            <w:tcBorders/>
            <w:shd w:fill="CCEEFF" w:val="clear"/>
            <w:vAlign w:val="bottom"/>
          </w:tcPr>
          <w:p>
            <w:pPr>
              <w:pStyle w:val="TableContents"/>
              <w:spacing w:before="0" w:after="283"/>
              <w:rPr/>
            </w:pPr>
            <w:r>
              <w:rPr/>
              <w:t> </w:t>
            </w:r>
          </w:p>
        </w:tc>
        <w:tc>
          <w:tcPr>
            <w:tcW w:w="292" w:type="dxa"/>
            <w:tcBorders/>
            <w:shd w:fill="CCEEFF" w:val="clear"/>
            <w:vAlign w:val="bottom"/>
          </w:tcPr>
          <w:p>
            <w:pPr>
              <w:pStyle w:val="TableContents"/>
              <w:spacing w:before="0" w:after="283"/>
              <w:jc w:val="left"/>
              <w:rPr/>
            </w:pPr>
            <w:r>
              <w:rPr/>
              <w:t> </w:t>
            </w:r>
          </w:p>
        </w:tc>
        <w:tc>
          <w:tcPr>
            <w:tcW w:w="334" w:type="dxa"/>
            <w:tcBorders/>
            <w:shd w:fill="CCEEFF" w:val="clear"/>
            <w:vAlign w:val="bottom"/>
          </w:tcPr>
          <w:p>
            <w:pPr>
              <w:pStyle w:val="TableContents"/>
              <w:spacing w:before="0" w:after="283"/>
              <w:jc w:val="right"/>
              <w:rPr/>
            </w:pPr>
            <w:r>
              <w:rPr/>
              <w:t> </w:t>
            </w:r>
          </w:p>
        </w:tc>
        <w:tc>
          <w:tcPr>
            <w:tcW w:w="81"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81" w:type="dxa"/>
            <w:tcBorders/>
            <w:shd w:fill="CCEEFF" w:val="clear"/>
            <w:vAlign w:val="bottom"/>
          </w:tcPr>
          <w:p>
            <w:pPr>
              <w:pStyle w:val="TableContents"/>
              <w:spacing w:before="0" w:after="283"/>
              <w:jc w:val="left"/>
              <w:rPr/>
            </w:pPr>
            <w:r>
              <w:rPr/>
              <w:t> </w:t>
            </w:r>
          </w:p>
        </w:tc>
        <w:tc>
          <w:tcPr>
            <w:tcW w:w="982" w:type="dxa"/>
            <w:tcBorders/>
            <w:shd w:fill="CCEEFF" w:val="clear"/>
            <w:vAlign w:val="bottom"/>
          </w:tcPr>
          <w:p>
            <w:pPr>
              <w:pStyle w:val="TableContents"/>
              <w:spacing w:before="0" w:after="283"/>
              <w:jc w:val="right"/>
              <w:rPr/>
            </w:pPr>
            <w:r>
              <w:rPr/>
              <w:t> </w:t>
            </w:r>
          </w:p>
        </w:tc>
        <w:tc>
          <w:tcPr>
            <w:tcW w:w="99"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139" w:type="dxa"/>
            <w:tcBorders/>
            <w:shd w:fill="CCEEFF" w:val="clear"/>
            <w:vAlign w:val="bottom"/>
          </w:tcPr>
          <w:p>
            <w:pPr>
              <w:pStyle w:val="TableContents"/>
              <w:spacing w:before="0" w:after="283"/>
              <w:jc w:val="left"/>
              <w:rPr/>
            </w:pPr>
            <w:r>
              <w:rPr/>
              <w:t> </w:t>
            </w:r>
          </w:p>
        </w:tc>
        <w:tc>
          <w:tcPr>
            <w:tcW w:w="641" w:type="dxa"/>
            <w:tcBorders/>
            <w:shd w:fill="CCEEFF" w:val="clear"/>
            <w:vAlign w:val="bottom"/>
          </w:tcPr>
          <w:p>
            <w:pPr>
              <w:pStyle w:val="TableContents"/>
              <w:spacing w:before="0" w:after="283"/>
              <w:jc w:val="right"/>
              <w:rPr/>
            </w:pPr>
            <w:r>
              <w:rPr/>
              <w:t> </w:t>
            </w:r>
          </w:p>
        </w:tc>
        <w:tc>
          <w:tcPr>
            <w:tcW w:w="99"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jc w:val="left"/>
              <w:rPr/>
            </w:pPr>
            <w:r>
              <w:rPr/>
              <w:t> </w:t>
            </w:r>
          </w:p>
        </w:tc>
        <w:tc>
          <w:tcPr>
            <w:tcW w:w="1077" w:type="dxa"/>
            <w:tcBorders/>
            <w:shd w:fill="CCEEFF" w:val="clear"/>
            <w:vAlign w:val="bottom"/>
          </w:tcPr>
          <w:p>
            <w:pPr>
              <w:pStyle w:val="TableContents"/>
              <w:spacing w:before="0" w:after="283"/>
              <w:jc w:val="right"/>
              <w:rPr/>
            </w:pPr>
            <w:r>
              <w:rPr/>
              <w:t> </w:t>
            </w:r>
          </w:p>
        </w:tc>
        <w:tc>
          <w:tcPr>
            <w:tcW w:w="99"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jc w:val="left"/>
              <w:rPr/>
            </w:pPr>
            <w:r>
              <w:rPr/>
              <w:t> </w:t>
            </w:r>
          </w:p>
        </w:tc>
        <w:tc>
          <w:tcPr>
            <w:tcW w:w="1132" w:type="dxa"/>
            <w:tcBorders/>
            <w:shd w:fill="CCEEFF" w:val="clear"/>
            <w:vAlign w:val="bottom"/>
          </w:tcPr>
          <w:p>
            <w:pPr>
              <w:pStyle w:val="TableContents"/>
              <w:spacing w:before="0" w:after="283"/>
              <w:jc w:val="right"/>
              <w:rPr/>
            </w:pPr>
            <w:r>
              <w:rPr/>
              <w:t> </w:t>
            </w:r>
          </w:p>
        </w:tc>
        <w:tc>
          <w:tcPr>
            <w:tcW w:w="99"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141" w:type="dxa"/>
            <w:tcBorders/>
            <w:shd w:fill="CCEEFF" w:val="clear"/>
            <w:vAlign w:val="bottom"/>
          </w:tcPr>
          <w:p>
            <w:pPr>
              <w:pStyle w:val="TableContents"/>
              <w:spacing w:before="0" w:after="283"/>
              <w:jc w:val="left"/>
              <w:rPr/>
            </w:pPr>
            <w:r>
              <w:rPr/>
              <w:t> </w:t>
            </w:r>
          </w:p>
        </w:tc>
        <w:tc>
          <w:tcPr>
            <w:tcW w:w="1045" w:type="dxa"/>
            <w:tcBorders/>
            <w:shd w:fill="CCEEFF" w:val="clear"/>
            <w:vAlign w:val="bottom"/>
          </w:tcPr>
          <w:p>
            <w:pPr>
              <w:pStyle w:val="TableContents"/>
              <w:spacing w:before="0" w:after="283"/>
              <w:jc w:val="right"/>
              <w:rPr/>
            </w:pPr>
            <w:r>
              <w:rPr/>
              <w:t> </w:t>
            </w:r>
          </w:p>
        </w:tc>
        <w:tc>
          <w:tcPr>
            <w:tcW w:w="123" w:type="dxa"/>
            <w:tcBorders/>
            <w:shd w:fill="CCEEFF" w:val="clear"/>
            <w:vAlign w:val="bottom"/>
          </w:tcPr>
          <w:p>
            <w:pPr>
              <w:pStyle w:val="TableContents"/>
              <w:spacing w:before="0" w:after="283"/>
              <w:jc w:val="left"/>
              <w:rPr/>
            </w:pPr>
            <w:r>
              <w:rPr/>
              <w:t> </w:t>
            </w:r>
          </w:p>
        </w:tc>
      </w:tr>
      <w:tr>
        <w:trPr/>
        <w:tc>
          <w:tcPr>
            <w:tcW w:w="2070" w:type="dxa"/>
            <w:tcBorders/>
            <w:shd w:fill="FFFFFF" w:val="clear"/>
            <w:vAlign w:val="bottom"/>
          </w:tcPr>
          <w:p>
            <w:pPr>
              <w:pStyle w:val="TableContents"/>
              <w:spacing w:before="0" w:after="0"/>
              <w:ind w:left="0" w:right="0" w:hanging="0"/>
              <w:jc w:val="left"/>
              <w:rPr/>
            </w:pPr>
            <w:r>
              <w:rPr/>
              <w:t>   </w:t>
            </w:r>
            <w:r>
              <w:rPr>
                <w:rFonts w:ascii="helvetica" w:hAnsi="helvetica"/>
                <w:sz w:val="20"/>
              </w:rPr>
              <w:t>for stock and warrant transaction</w:t>
            </w:r>
          </w:p>
        </w:tc>
        <w:tc>
          <w:tcPr>
            <w:tcW w:w="81" w:type="dxa"/>
            <w:tcBorders/>
            <w:shd w:fill="FFFFFF" w:val="clear"/>
            <w:vAlign w:val="bottom"/>
          </w:tcPr>
          <w:p>
            <w:pPr>
              <w:pStyle w:val="TableContents"/>
              <w:spacing w:before="0" w:after="283"/>
              <w:rPr/>
            </w:pPr>
            <w:r>
              <w:rPr/>
              <w:t> </w:t>
            </w:r>
          </w:p>
        </w:tc>
        <w:tc>
          <w:tcPr>
            <w:tcW w:w="135" w:type="dxa"/>
            <w:tcBorders/>
            <w:shd w:fill="FFFFFF" w:val="clear"/>
            <w:vAlign w:val="bottom"/>
          </w:tcPr>
          <w:p>
            <w:pPr>
              <w:pStyle w:val="TableContents"/>
              <w:spacing w:before="0" w:after="283"/>
              <w:jc w:val="left"/>
              <w:rPr/>
            </w:pPr>
            <w:r>
              <w:rPr/>
              <w:t> </w:t>
            </w:r>
          </w:p>
        </w:tc>
        <w:tc>
          <w:tcPr>
            <w:tcW w:w="586"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w:t>
            </w:r>
          </w:p>
        </w:tc>
        <w:tc>
          <w:tcPr>
            <w:tcW w:w="92" w:type="dxa"/>
            <w:tcBorders/>
            <w:shd w:fill="FFFFFF" w:val="clear"/>
            <w:vAlign w:val="bottom"/>
          </w:tcPr>
          <w:p>
            <w:pPr>
              <w:pStyle w:val="TableContents"/>
              <w:spacing w:before="0" w:after="283"/>
              <w:jc w:val="left"/>
              <w:rPr/>
            </w:pPr>
            <w:r>
              <w:rPr/>
              <w:t> </w:t>
            </w:r>
          </w:p>
        </w:tc>
        <w:tc>
          <w:tcPr>
            <w:tcW w:w="92" w:type="dxa"/>
            <w:tcBorders/>
            <w:shd w:fill="FFFFFF" w:val="clear"/>
            <w:vAlign w:val="bottom"/>
          </w:tcPr>
          <w:p>
            <w:pPr>
              <w:pStyle w:val="TableContents"/>
              <w:spacing w:before="0" w:after="283"/>
              <w:rPr/>
            </w:pPr>
            <w:r>
              <w:rPr/>
              <w:t> </w:t>
            </w:r>
          </w:p>
        </w:tc>
        <w:tc>
          <w:tcPr>
            <w:tcW w:w="292" w:type="dxa"/>
            <w:tcBorders/>
            <w:shd w:fill="FFFFFF" w:val="clear"/>
            <w:vAlign w:val="bottom"/>
          </w:tcPr>
          <w:p>
            <w:pPr>
              <w:pStyle w:val="TableContents"/>
              <w:spacing w:before="0" w:after="283"/>
              <w:jc w:val="left"/>
              <w:rPr/>
            </w:pPr>
            <w:r>
              <w:rPr/>
              <w:t> </w:t>
            </w:r>
          </w:p>
        </w:tc>
        <w:tc>
          <w:tcPr>
            <w:tcW w:w="334"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w:t>
            </w:r>
          </w:p>
        </w:tc>
        <w:tc>
          <w:tcPr>
            <w:tcW w:w="81"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81" w:type="dxa"/>
            <w:tcBorders/>
            <w:shd w:fill="FFFFFF" w:val="clear"/>
            <w:vAlign w:val="bottom"/>
          </w:tcPr>
          <w:p>
            <w:pPr>
              <w:pStyle w:val="TableContents"/>
              <w:spacing w:before="0" w:after="283"/>
              <w:jc w:val="left"/>
              <w:rPr/>
            </w:pPr>
            <w:r>
              <w:rPr/>
              <w:t> </w:t>
            </w:r>
          </w:p>
        </w:tc>
        <w:tc>
          <w:tcPr>
            <w:tcW w:w="982"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34,375</w:t>
            </w:r>
          </w:p>
        </w:tc>
        <w:tc>
          <w:tcPr>
            <w:tcW w:w="99"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139" w:type="dxa"/>
            <w:tcBorders/>
            <w:shd w:fill="FFFFFF" w:val="clear"/>
            <w:vAlign w:val="bottom"/>
          </w:tcPr>
          <w:p>
            <w:pPr>
              <w:pStyle w:val="TableContents"/>
              <w:spacing w:before="0" w:after="283"/>
              <w:jc w:val="left"/>
              <w:rPr/>
            </w:pPr>
            <w:r>
              <w:rPr/>
              <w:t> </w:t>
            </w:r>
          </w:p>
        </w:tc>
        <w:tc>
          <w:tcPr>
            <w:tcW w:w="641"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34</w:t>
            </w:r>
          </w:p>
        </w:tc>
        <w:tc>
          <w:tcPr>
            <w:tcW w:w="99"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283"/>
              <w:jc w:val="left"/>
              <w:rPr/>
            </w:pPr>
            <w:r>
              <w:rPr/>
              <w:t> </w:t>
            </w:r>
          </w:p>
        </w:tc>
        <w:tc>
          <w:tcPr>
            <w:tcW w:w="1077"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549,966</w:t>
            </w:r>
          </w:p>
        </w:tc>
        <w:tc>
          <w:tcPr>
            <w:tcW w:w="99"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283"/>
              <w:jc w:val="left"/>
              <w:rPr/>
            </w:pPr>
            <w:r>
              <w:rPr/>
              <w:t> </w:t>
            </w:r>
          </w:p>
        </w:tc>
        <w:tc>
          <w:tcPr>
            <w:tcW w:w="1132"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w:t>
            </w:r>
          </w:p>
        </w:tc>
        <w:tc>
          <w:tcPr>
            <w:tcW w:w="99"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141" w:type="dxa"/>
            <w:tcBorders/>
            <w:shd w:fill="FFFFFF" w:val="clear"/>
            <w:vAlign w:val="bottom"/>
          </w:tcPr>
          <w:p>
            <w:pPr>
              <w:pStyle w:val="TableContents"/>
              <w:spacing w:before="0" w:after="283"/>
              <w:jc w:val="left"/>
              <w:rPr/>
            </w:pPr>
            <w:r>
              <w:rPr/>
              <w:t> </w:t>
            </w:r>
          </w:p>
        </w:tc>
        <w:tc>
          <w:tcPr>
            <w:tcW w:w="1045"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550,000</w:t>
            </w:r>
          </w:p>
        </w:tc>
        <w:tc>
          <w:tcPr>
            <w:tcW w:w="123" w:type="dxa"/>
            <w:tcBorders/>
            <w:shd w:fill="FFFFFF" w:val="clear"/>
            <w:vAlign w:val="bottom"/>
          </w:tcPr>
          <w:p>
            <w:pPr>
              <w:pStyle w:val="TableContents"/>
              <w:spacing w:before="0" w:after="283"/>
              <w:jc w:val="left"/>
              <w:rPr/>
            </w:pPr>
            <w:r>
              <w:rPr/>
              <w:t> </w:t>
            </w:r>
          </w:p>
        </w:tc>
      </w:tr>
      <w:tr>
        <w:trPr/>
        <w:tc>
          <w:tcPr>
            <w:tcW w:w="2070" w:type="dxa"/>
            <w:tcBorders/>
            <w:shd w:fill="CCEEFF" w:val="clear"/>
            <w:vAlign w:val="bottom"/>
          </w:tcPr>
          <w:p>
            <w:pPr>
              <w:pStyle w:val="TableContents"/>
              <w:spacing w:before="0" w:after="0"/>
              <w:ind w:left="0" w:right="0" w:hanging="0"/>
              <w:jc w:val="left"/>
              <w:rPr/>
            </w:pPr>
            <w:r>
              <w:rPr/>
              <w:t> </w:t>
            </w:r>
            <w:r>
              <w:rPr>
                <w:rFonts w:ascii="helvetica" w:hAnsi="helvetica"/>
                <w:sz w:val="20"/>
              </w:rPr>
              <w:t>Stock-based compensation</w:t>
            </w:r>
          </w:p>
        </w:tc>
        <w:tc>
          <w:tcPr>
            <w:tcW w:w="81" w:type="dxa"/>
            <w:tcBorders/>
            <w:shd w:fill="CCEEFF" w:val="clear"/>
            <w:vAlign w:val="bottom"/>
          </w:tcPr>
          <w:p>
            <w:pPr>
              <w:pStyle w:val="TableContents"/>
              <w:spacing w:before="0" w:after="283"/>
              <w:rPr/>
            </w:pPr>
            <w:r>
              <w:rPr/>
              <w:t> </w:t>
            </w:r>
          </w:p>
        </w:tc>
        <w:tc>
          <w:tcPr>
            <w:tcW w:w="135" w:type="dxa"/>
            <w:tcBorders/>
            <w:shd w:fill="CCEEFF" w:val="clear"/>
            <w:vAlign w:val="bottom"/>
          </w:tcPr>
          <w:p>
            <w:pPr>
              <w:pStyle w:val="TableContents"/>
              <w:spacing w:before="0" w:after="283"/>
              <w:jc w:val="left"/>
              <w:rPr/>
            </w:pPr>
            <w:r>
              <w:rPr/>
              <w:t> </w:t>
            </w:r>
          </w:p>
        </w:tc>
        <w:tc>
          <w:tcPr>
            <w:tcW w:w="586"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w:t>
            </w:r>
          </w:p>
        </w:tc>
        <w:tc>
          <w:tcPr>
            <w:tcW w:w="92" w:type="dxa"/>
            <w:tcBorders/>
            <w:shd w:fill="CCEEFF" w:val="clear"/>
            <w:vAlign w:val="bottom"/>
          </w:tcPr>
          <w:p>
            <w:pPr>
              <w:pStyle w:val="TableContents"/>
              <w:spacing w:before="0" w:after="283"/>
              <w:jc w:val="left"/>
              <w:rPr/>
            </w:pPr>
            <w:r>
              <w:rPr/>
              <w:t> </w:t>
            </w:r>
          </w:p>
        </w:tc>
        <w:tc>
          <w:tcPr>
            <w:tcW w:w="92" w:type="dxa"/>
            <w:tcBorders/>
            <w:shd w:fill="CCEEFF" w:val="clear"/>
            <w:vAlign w:val="bottom"/>
          </w:tcPr>
          <w:p>
            <w:pPr>
              <w:pStyle w:val="TableContents"/>
              <w:spacing w:before="0" w:after="283"/>
              <w:rPr/>
            </w:pPr>
            <w:r>
              <w:rPr/>
              <w:t> </w:t>
            </w:r>
          </w:p>
        </w:tc>
        <w:tc>
          <w:tcPr>
            <w:tcW w:w="292" w:type="dxa"/>
            <w:tcBorders/>
            <w:shd w:fill="CCEEFF" w:val="clear"/>
            <w:vAlign w:val="bottom"/>
          </w:tcPr>
          <w:p>
            <w:pPr>
              <w:pStyle w:val="TableContents"/>
              <w:spacing w:before="0" w:after="283"/>
              <w:jc w:val="left"/>
              <w:rPr/>
            </w:pPr>
            <w:r>
              <w:rPr/>
              <w:t> </w:t>
            </w:r>
          </w:p>
        </w:tc>
        <w:tc>
          <w:tcPr>
            <w:tcW w:w="334"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w:t>
            </w:r>
          </w:p>
        </w:tc>
        <w:tc>
          <w:tcPr>
            <w:tcW w:w="81"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81" w:type="dxa"/>
            <w:tcBorders/>
            <w:shd w:fill="CCEEFF" w:val="clear"/>
            <w:vAlign w:val="bottom"/>
          </w:tcPr>
          <w:p>
            <w:pPr>
              <w:pStyle w:val="TableContents"/>
              <w:spacing w:before="0" w:after="283"/>
              <w:jc w:val="left"/>
              <w:rPr/>
            </w:pPr>
            <w:r>
              <w:rPr/>
              <w:t> </w:t>
            </w:r>
          </w:p>
        </w:tc>
        <w:tc>
          <w:tcPr>
            <w:tcW w:w="982"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w:t>
            </w:r>
          </w:p>
        </w:tc>
        <w:tc>
          <w:tcPr>
            <w:tcW w:w="99"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139" w:type="dxa"/>
            <w:tcBorders/>
            <w:shd w:fill="CCEEFF" w:val="clear"/>
            <w:vAlign w:val="bottom"/>
          </w:tcPr>
          <w:p>
            <w:pPr>
              <w:pStyle w:val="TableContents"/>
              <w:spacing w:before="0" w:after="283"/>
              <w:jc w:val="left"/>
              <w:rPr/>
            </w:pPr>
            <w:r>
              <w:rPr/>
              <w:t> </w:t>
            </w:r>
          </w:p>
        </w:tc>
        <w:tc>
          <w:tcPr>
            <w:tcW w:w="641"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w:t>
            </w:r>
          </w:p>
        </w:tc>
        <w:tc>
          <w:tcPr>
            <w:tcW w:w="99"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jc w:val="left"/>
              <w:rPr/>
            </w:pPr>
            <w:r>
              <w:rPr/>
              <w:t> </w:t>
            </w:r>
          </w:p>
        </w:tc>
        <w:tc>
          <w:tcPr>
            <w:tcW w:w="1077"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184,522</w:t>
            </w:r>
          </w:p>
        </w:tc>
        <w:tc>
          <w:tcPr>
            <w:tcW w:w="99"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jc w:val="left"/>
              <w:rPr/>
            </w:pPr>
            <w:r>
              <w:rPr/>
              <w:t> </w:t>
            </w:r>
          </w:p>
        </w:tc>
        <w:tc>
          <w:tcPr>
            <w:tcW w:w="1132"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w:t>
            </w:r>
          </w:p>
        </w:tc>
        <w:tc>
          <w:tcPr>
            <w:tcW w:w="99"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141" w:type="dxa"/>
            <w:tcBorders/>
            <w:shd w:fill="CCEEFF" w:val="clear"/>
            <w:vAlign w:val="bottom"/>
          </w:tcPr>
          <w:p>
            <w:pPr>
              <w:pStyle w:val="TableContents"/>
              <w:spacing w:before="0" w:after="283"/>
              <w:jc w:val="left"/>
              <w:rPr/>
            </w:pPr>
            <w:r>
              <w:rPr/>
              <w:t> </w:t>
            </w:r>
          </w:p>
        </w:tc>
        <w:tc>
          <w:tcPr>
            <w:tcW w:w="1045"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184,522</w:t>
            </w:r>
          </w:p>
        </w:tc>
        <w:tc>
          <w:tcPr>
            <w:tcW w:w="123" w:type="dxa"/>
            <w:tcBorders/>
            <w:shd w:fill="CCEEFF" w:val="clear"/>
            <w:vAlign w:val="bottom"/>
          </w:tcPr>
          <w:p>
            <w:pPr>
              <w:pStyle w:val="TableContents"/>
              <w:spacing w:before="0" w:after="283"/>
              <w:jc w:val="left"/>
              <w:rPr/>
            </w:pPr>
            <w:r>
              <w:rPr/>
              <w:t> </w:t>
            </w:r>
          </w:p>
        </w:tc>
      </w:tr>
      <w:tr>
        <w:trPr/>
        <w:tc>
          <w:tcPr>
            <w:tcW w:w="2070" w:type="dxa"/>
            <w:tcBorders/>
            <w:shd w:fill="FFFFFF" w:val="clear"/>
            <w:vAlign w:val="bottom"/>
          </w:tcPr>
          <w:p>
            <w:pPr>
              <w:pStyle w:val="TableContents"/>
              <w:spacing w:before="0" w:after="0"/>
              <w:ind w:left="0" w:right="0" w:hanging="0"/>
              <w:jc w:val="left"/>
              <w:rPr/>
            </w:pPr>
            <w:r>
              <w:rPr/>
              <w:t> </w:t>
            </w:r>
            <w:r>
              <w:rPr>
                <w:rFonts w:ascii="helvetica" w:hAnsi="helvetica"/>
                <w:sz w:val="20"/>
              </w:rPr>
              <w:t>Net loss</w:t>
            </w:r>
          </w:p>
        </w:tc>
        <w:tc>
          <w:tcPr>
            <w:tcW w:w="81" w:type="dxa"/>
            <w:tcBorders/>
            <w:shd w:fill="FFFFFF" w:val="clear"/>
            <w:vAlign w:val="bottom"/>
          </w:tcPr>
          <w:p>
            <w:pPr>
              <w:pStyle w:val="TableContents"/>
              <w:spacing w:before="0" w:after="283"/>
              <w:rPr/>
            </w:pPr>
            <w:r>
              <w:rPr/>
              <w:t> </w:t>
            </w:r>
          </w:p>
        </w:tc>
        <w:tc>
          <w:tcPr>
            <w:tcW w:w="13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586" w:type="dxa"/>
            <w:tcBorders>
              <w:bottom w:val="single" w:sz="12" w:space="0" w:color="000000"/>
            </w:tcBorders>
            <w:shd w:fill="FFFF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w:t>
            </w:r>
          </w:p>
        </w:tc>
        <w:tc>
          <w:tcPr>
            <w:tcW w:w="92" w:type="dxa"/>
            <w:tcBorders/>
            <w:shd w:fill="FFFFFF" w:val="clear"/>
            <w:vAlign w:val="bottom"/>
          </w:tcPr>
          <w:p>
            <w:pPr>
              <w:pStyle w:val="TableContents"/>
              <w:spacing w:before="0" w:after="283"/>
              <w:jc w:val="left"/>
              <w:rPr/>
            </w:pPr>
            <w:r>
              <w:rPr/>
              <w:t> </w:t>
            </w:r>
          </w:p>
        </w:tc>
        <w:tc>
          <w:tcPr>
            <w:tcW w:w="92" w:type="dxa"/>
            <w:tcBorders/>
            <w:shd w:fill="FFFFFF" w:val="clear"/>
            <w:vAlign w:val="bottom"/>
          </w:tcPr>
          <w:p>
            <w:pPr>
              <w:pStyle w:val="TableContents"/>
              <w:spacing w:before="0" w:after="283"/>
              <w:rPr/>
            </w:pPr>
            <w:r>
              <w:rPr/>
              <w:t> </w:t>
            </w:r>
          </w:p>
        </w:tc>
        <w:tc>
          <w:tcPr>
            <w:tcW w:w="292"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334" w:type="dxa"/>
            <w:tcBorders>
              <w:bottom w:val="single" w:sz="12" w:space="0" w:color="000000"/>
            </w:tcBorders>
            <w:shd w:fill="FFFF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w:t>
            </w:r>
          </w:p>
        </w:tc>
        <w:tc>
          <w:tcPr>
            <w:tcW w:w="81"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81"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982" w:type="dxa"/>
            <w:tcBorders>
              <w:bottom w:val="single" w:sz="12" w:space="0" w:color="000000"/>
            </w:tcBorders>
            <w:shd w:fill="FFFF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w:t>
            </w:r>
          </w:p>
        </w:tc>
        <w:tc>
          <w:tcPr>
            <w:tcW w:w="99"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139"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641" w:type="dxa"/>
            <w:tcBorders>
              <w:bottom w:val="single" w:sz="12" w:space="0" w:color="000000"/>
            </w:tcBorders>
            <w:shd w:fill="FFFF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w:t>
            </w:r>
          </w:p>
        </w:tc>
        <w:tc>
          <w:tcPr>
            <w:tcW w:w="99"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140"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77" w:type="dxa"/>
            <w:tcBorders>
              <w:bottom w:val="single" w:sz="12" w:space="0" w:color="000000"/>
            </w:tcBorders>
            <w:shd w:fill="FFFF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w:t>
            </w:r>
          </w:p>
        </w:tc>
        <w:tc>
          <w:tcPr>
            <w:tcW w:w="99"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140"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132" w:type="dxa"/>
            <w:tcBorders>
              <w:bottom w:val="single" w:sz="12" w:space="0" w:color="000000"/>
            </w:tcBorders>
            <w:shd w:fill="FFFF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(4,284,540</w:t>
            </w:r>
          </w:p>
        </w:tc>
        <w:tc>
          <w:tcPr>
            <w:tcW w:w="99" w:type="dxa"/>
            <w:tcBorders/>
            <w:shd w:fill="FFFFFF" w:val="clear"/>
            <w:vAlign w:val="bottom"/>
          </w:tcPr>
          <w:p>
            <w:pPr>
              <w:pStyle w:val="TableContents"/>
              <w:spacing w:before="0" w:after="283"/>
              <w:jc w:val="left"/>
              <w:rPr>
                <w:rFonts w:ascii="helvetica" w:hAnsi="helvetica"/>
                <w:sz w:val="20"/>
              </w:rPr>
            </w:pPr>
            <w:r>
              <w:rPr>
                <w:rFonts w:ascii="helvetica" w:hAnsi="helvetica"/>
                <w:sz w:val="20"/>
              </w:rPr>
              <w:t>)</w:t>
            </w:r>
          </w:p>
        </w:tc>
        <w:tc>
          <w:tcPr>
            <w:tcW w:w="81" w:type="dxa"/>
            <w:tcBorders/>
            <w:shd w:fill="FFFFFF" w:val="clear"/>
            <w:vAlign w:val="bottom"/>
          </w:tcPr>
          <w:p>
            <w:pPr>
              <w:pStyle w:val="TableContents"/>
              <w:spacing w:before="0" w:after="283"/>
              <w:rPr/>
            </w:pPr>
            <w:r>
              <w:rPr/>
              <w:t> </w:t>
            </w:r>
          </w:p>
        </w:tc>
        <w:tc>
          <w:tcPr>
            <w:tcW w:w="141"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45" w:type="dxa"/>
            <w:tcBorders>
              <w:bottom w:val="single" w:sz="12" w:space="0" w:color="000000"/>
            </w:tcBorders>
            <w:shd w:fill="FFFF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(4,284,540</w:t>
            </w:r>
          </w:p>
        </w:tc>
        <w:tc>
          <w:tcPr>
            <w:tcW w:w="123" w:type="dxa"/>
            <w:tcBorders/>
            <w:shd w:fill="FFFFFF" w:val="clear"/>
            <w:vAlign w:val="bottom"/>
          </w:tcPr>
          <w:p>
            <w:pPr>
              <w:pStyle w:val="TableContents"/>
              <w:spacing w:before="0" w:after="283"/>
              <w:jc w:val="left"/>
              <w:rPr>
                <w:rFonts w:ascii="helvetica" w:hAnsi="helvetica"/>
                <w:sz w:val="20"/>
              </w:rPr>
            </w:pPr>
            <w:r>
              <w:rPr>
                <w:rFonts w:ascii="helvetica" w:hAnsi="helvetica"/>
                <w:sz w:val="20"/>
              </w:rPr>
              <w:t>)</w:t>
            </w:r>
          </w:p>
        </w:tc>
      </w:tr>
      <w:tr>
        <w:trPr/>
        <w:tc>
          <w:tcPr>
            <w:tcW w:w="2070" w:type="dxa"/>
            <w:tcBorders/>
            <w:shd w:fill="CCEEFF" w:val="clear"/>
            <w:vAlign w:val="bottom"/>
          </w:tcPr>
          <w:p>
            <w:pPr>
              <w:pStyle w:val="TableContents"/>
              <w:spacing w:before="0" w:after="0"/>
              <w:ind w:left="0" w:right="0" w:hanging="0"/>
              <w:jc w:val="left"/>
              <w:rPr/>
            </w:pPr>
            <w:r>
              <w:rPr/>
              <w:t> </w:t>
            </w:r>
            <w:r>
              <w:rPr>
                <w:rFonts w:ascii="helvetica" w:hAnsi="helvetica"/>
                <w:sz w:val="20"/>
              </w:rPr>
              <w:t>Balance at December 31, 2007</w:t>
            </w:r>
          </w:p>
        </w:tc>
        <w:tc>
          <w:tcPr>
            <w:tcW w:w="81" w:type="dxa"/>
            <w:tcBorders/>
            <w:shd w:fill="CCEEFF" w:val="clear"/>
            <w:vAlign w:val="bottom"/>
          </w:tcPr>
          <w:p>
            <w:pPr>
              <w:pStyle w:val="TableContents"/>
              <w:spacing w:before="0" w:after="283"/>
              <w:rPr/>
            </w:pPr>
            <w:r>
              <w:rPr/>
              <w:t> </w:t>
            </w:r>
          </w:p>
        </w:tc>
        <w:tc>
          <w:tcPr>
            <w:tcW w:w="135" w:type="dxa"/>
            <w:tcBorders/>
            <w:shd w:fill="CCEEFF" w:val="clear"/>
            <w:vAlign w:val="bottom"/>
          </w:tcPr>
          <w:p>
            <w:pPr>
              <w:pStyle w:val="TableContents"/>
              <w:spacing w:before="0" w:after="283"/>
              <w:jc w:val="left"/>
              <w:rPr/>
            </w:pPr>
            <w:r>
              <w:rPr/>
              <w:t> </w:t>
            </w:r>
          </w:p>
        </w:tc>
        <w:tc>
          <w:tcPr>
            <w:tcW w:w="586"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w:t>
            </w:r>
          </w:p>
        </w:tc>
        <w:tc>
          <w:tcPr>
            <w:tcW w:w="92" w:type="dxa"/>
            <w:tcBorders/>
            <w:shd w:fill="CCEEFF" w:val="clear"/>
            <w:vAlign w:val="bottom"/>
          </w:tcPr>
          <w:p>
            <w:pPr>
              <w:pStyle w:val="TableContents"/>
              <w:spacing w:before="0" w:after="283"/>
              <w:jc w:val="left"/>
              <w:rPr/>
            </w:pPr>
            <w:r>
              <w:rPr/>
              <w:t> </w:t>
            </w:r>
          </w:p>
        </w:tc>
        <w:tc>
          <w:tcPr>
            <w:tcW w:w="92" w:type="dxa"/>
            <w:tcBorders/>
            <w:shd w:fill="CCEEFF" w:val="clear"/>
            <w:vAlign w:val="bottom"/>
          </w:tcPr>
          <w:p>
            <w:pPr>
              <w:pStyle w:val="TableContents"/>
              <w:spacing w:before="0" w:after="283"/>
              <w:rPr/>
            </w:pPr>
            <w:r>
              <w:rPr/>
              <w:t> </w:t>
            </w:r>
          </w:p>
        </w:tc>
        <w:tc>
          <w:tcPr>
            <w:tcW w:w="292" w:type="dxa"/>
            <w:tcBorders/>
            <w:shd w:fill="CCEEFF" w:val="clear"/>
            <w:vAlign w:val="bottom"/>
          </w:tcPr>
          <w:p>
            <w:pPr>
              <w:pStyle w:val="TableContents"/>
              <w:spacing w:before="0" w:after="283"/>
              <w:jc w:val="left"/>
              <w:rPr/>
            </w:pPr>
            <w:r>
              <w:rPr/>
              <w:t> </w:t>
            </w:r>
          </w:p>
        </w:tc>
        <w:tc>
          <w:tcPr>
            <w:tcW w:w="334"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w:t>
            </w:r>
          </w:p>
        </w:tc>
        <w:tc>
          <w:tcPr>
            <w:tcW w:w="81"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81" w:type="dxa"/>
            <w:tcBorders/>
            <w:shd w:fill="CCEEFF" w:val="clear"/>
            <w:vAlign w:val="bottom"/>
          </w:tcPr>
          <w:p>
            <w:pPr>
              <w:pStyle w:val="TableContents"/>
              <w:spacing w:before="0" w:after="283"/>
              <w:jc w:val="left"/>
              <w:rPr/>
            </w:pPr>
            <w:r>
              <w:rPr/>
              <w:t> </w:t>
            </w:r>
          </w:p>
        </w:tc>
        <w:tc>
          <w:tcPr>
            <w:tcW w:w="982"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1,715,876</w:t>
            </w:r>
          </w:p>
        </w:tc>
        <w:tc>
          <w:tcPr>
            <w:tcW w:w="99"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139" w:type="dxa"/>
            <w:tcBorders/>
            <w:shd w:fill="CCEEFF" w:val="clear"/>
            <w:vAlign w:val="bottom"/>
          </w:tcPr>
          <w:p>
            <w:pPr>
              <w:pStyle w:val="TableContents"/>
              <w:spacing w:before="0" w:after="283"/>
              <w:jc w:val="left"/>
              <w:rPr/>
            </w:pPr>
            <w:r>
              <w:rPr/>
              <w:t> </w:t>
            </w:r>
          </w:p>
        </w:tc>
        <w:tc>
          <w:tcPr>
            <w:tcW w:w="641"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1,716</w:t>
            </w:r>
          </w:p>
        </w:tc>
        <w:tc>
          <w:tcPr>
            <w:tcW w:w="99"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jc w:val="left"/>
              <w:rPr/>
            </w:pPr>
            <w:r>
              <w:rPr/>
              <w:t> </w:t>
            </w:r>
          </w:p>
        </w:tc>
        <w:tc>
          <w:tcPr>
            <w:tcW w:w="1077"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10,566,309</w:t>
            </w:r>
          </w:p>
        </w:tc>
        <w:tc>
          <w:tcPr>
            <w:tcW w:w="99"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jc w:val="left"/>
              <w:rPr/>
            </w:pPr>
            <w:r>
              <w:rPr/>
              <w:t> </w:t>
            </w:r>
          </w:p>
        </w:tc>
        <w:tc>
          <w:tcPr>
            <w:tcW w:w="1132"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(7,077,545</w:t>
            </w:r>
          </w:p>
        </w:tc>
        <w:tc>
          <w:tcPr>
            <w:tcW w:w="99" w:type="dxa"/>
            <w:tcBorders/>
            <w:shd w:fill="CCEEFF" w:val="clear"/>
            <w:vAlign w:val="bottom"/>
          </w:tcPr>
          <w:p>
            <w:pPr>
              <w:pStyle w:val="TableContents"/>
              <w:spacing w:before="0" w:after="283"/>
              <w:jc w:val="left"/>
              <w:rPr>
                <w:rFonts w:ascii="helvetica" w:hAnsi="helvetica"/>
                <w:sz w:val="20"/>
              </w:rPr>
            </w:pPr>
            <w:r>
              <w:rPr>
                <w:rFonts w:ascii="helvetica" w:hAnsi="helvetica"/>
                <w:sz w:val="20"/>
              </w:rPr>
              <w:t>)</w:t>
            </w:r>
          </w:p>
        </w:tc>
        <w:tc>
          <w:tcPr>
            <w:tcW w:w="81" w:type="dxa"/>
            <w:tcBorders/>
            <w:shd w:fill="CCEEFF" w:val="clear"/>
            <w:vAlign w:val="bottom"/>
          </w:tcPr>
          <w:p>
            <w:pPr>
              <w:pStyle w:val="TableContents"/>
              <w:spacing w:before="0" w:after="283"/>
              <w:rPr/>
            </w:pPr>
            <w:r>
              <w:rPr/>
              <w:t> </w:t>
            </w:r>
          </w:p>
        </w:tc>
        <w:tc>
          <w:tcPr>
            <w:tcW w:w="141" w:type="dxa"/>
            <w:tcBorders/>
            <w:shd w:fill="CCEEFF" w:val="clear"/>
            <w:vAlign w:val="bottom"/>
          </w:tcPr>
          <w:p>
            <w:pPr>
              <w:pStyle w:val="TableContents"/>
              <w:spacing w:before="0" w:after="283"/>
              <w:jc w:val="left"/>
              <w:rPr/>
            </w:pPr>
            <w:r>
              <w:rPr/>
              <w:t> </w:t>
            </w:r>
          </w:p>
        </w:tc>
        <w:tc>
          <w:tcPr>
            <w:tcW w:w="1045"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3,490,480</w:t>
            </w:r>
          </w:p>
        </w:tc>
        <w:tc>
          <w:tcPr>
            <w:tcW w:w="123" w:type="dxa"/>
            <w:tcBorders/>
            <w:shd w:fill="CCEEFF" w:val="clear"/>
            <w:vAlign w:val="bottom"/>
          </w:tcPr>
          <w:p>
            <w:pPr>
              <w:pStyle w:val="TableContents"/>
              <w:spacing w:before="0" w:after="283"/>
              <w:jc w:val="left"/>
              <w:rPr/>
            </w:pPr>
            <w:r>
              <w:rPr/>
              <w:t> </w:t>
            </w:r>
          </w:p>
        </w:tc>
      </w:tr>
      <w:tr>
        <w:trPr/>
        <w:tc>
          <w:tcPr>
            <w:tcW w:w="2070" w:type="dxa"/>
            <w:tcBorders/>
            <w:shd w:fill="FFFFFF" w:val="clear"/>
            <w:vAlign w:val="bottom"/>
          </w:tcPr>
          <w:p>
            <w:pPr>
              <w:pStyle w:val="TableContents"/>
              <w:spacing w:before="0" w:after="283"/>
              <w:rPr/>
            </w:pPr>
            <w:r>
              <w:rPr/>
              <w:t xml:space="preserve">  </w:t>
            </w:r>
          </w:p>
        </w:tc>
        <w:tc>
          <w:tcPr>
            <w:tcW w:w="81" w:type="dxa"/>
            <w:tcBorders/>
            <w:shd w:fill="FFFFFF" w:val="clear"/>
            <w:vAlign w:val="bottom"/>
          </w:tcPr>
          <w:p>
            <w:pPr>
              <w:pStyle w:val="TableContents"/>
              <w:spacing w:before="0" w:after="283"/>
              <w:rPr/>
            </w:pPr>
            <w:r>
              <w:rPr/>
              <w:t> </w:t>
            </w:r>
          </w:p>
        </w:tc>
        <w:tc>
          <w:tcPr>
            <w:tcW w:w="135" w:type="dxa"/>
            <w:tcBorders/>
            <w:shd w:fill="FFFFFF" w:val="clear"/>
            <w:vAlign w:val="bottom"/>
          </w:tcPr>
          <w:p>
            <w:pPr>
              <w:pStyle w:val="TableContents"/>
              <w:spacing w:before="0" w:after="283"/>
              <w:jc w:val="left"/>
              <w:rPr/>
            </w:pPr>
            <w:r>
              <w:rPr/>
              <w:t> </w:t>
            </w:r>
          </w:p>
        </w:tc>
        <w:tc>
          <w:tcPr>
            <w:tcW w:w="586" w:type="dxa"/>
            <w:tcBorders/>
            <w:shd w:fill="FFFFFF" w:val="clear"/>
            <w:vAlign w:val="bottom"/>
          </w:tcPr>
          <w:p>
            <w:pPr>
              <w:pStyle w:val="TableContents"/>
              <w:spacing w:before="0" w:after="283"/>
              <w:jc w:val="right"/>
              <w:rPr/>
            </w:pPr>
            <w:r>
              <w:rPr/>
              <w:t> </w:t>
            </w:r>
          </w:p>
        </w:tc>
        <w:tc>
          <w:tcPr>
            <w:tcW w:w="92" w:type="dxa"/>
            <w:tcBorders/>
            <w:shd w:fill="FFFFFF" w:val="clear"/>
            <w:vAlign w:val="bottom"/>
          </w:tcPr>
          <w:p>
            <w:pPr>
              <w:pStyle w:val="TableContents"/>
              <w:spacing w:before="0" w:after="283"/>
              <w:jc w:val="left"/>
              <w:rPr/>
            </w:pPr>
            <w:r>
              <w:rPr/>
              <w:t> </w:t>
            </w:r>
          </w:p>
        </w:tc>
        <w:tc>
          <w:tcPr>
            <w:tcW w:w="92" w:type="dxa"/>
            <w:tcBorders/>
            <w:shd w:fill="FFFFFF" w:val="clear"/>
            <w:vAlign w:val="bottom"/>
          </w:tcPr>
          <w:p>
            <w:pPr>
              <w:pStyle w:val="TableContents"/>
              <w:spacing w:before="0" w:after="283"/>
              <w:rPr/>
            </w:pPr>
            <w:r>
              <w:rPr/>
              <w:t> </w:t>
            </w:r>
          </w:p>
        </w:tc>
        <w:tc>
          <w:tcPr>
            <w:tcW w:w="292" w:type="dxa"/>
            <w:tcBorders/>
            <w:shd w:fill="FFFFFF" w:val="clear"/>
            <w:vAlign w:val="bottom"/>
          </w:tcPr>
          <w:p>
            <w:pPr>
              <w:pStyle w:val="TableContents"/>
              <w:spacing w:before="0" w:after="283"/>
              <w:jc w:val="left"/>
              <w:rPr/>
            </w:pPr>
            <w:r>
              <w:rPr/>
              <w:t> </w:t>
            </w:r>
          </w:p>
        </w:tc>
        <w:tc>
          <w:tcPr>
            <w:tcW w:w="334" w:type="dxa"/>
            <w:tcBorders/>
            <w:shd w:fill="FFFFFF" w:val="clear"/>
            <w:vAlign w:val="bottom"/>
          </w:tcPr>
          <w:p>
            <w:pPr>
              <w:pStyle w:val="TableContents"/>
              <w:spacing w:before="0" w:after="283"/>
              <w:jc w:val="right"/>
              <w:rPr/>
            </w:pPr>
            <w:r>
              <w:rPr/>
              <w:t> </w:t>
            </w:r>
          </w:p>
        </w:tc>
        <w:tc>
          <w:tcPr>
            <w:tcW w:w="81"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81" w:type="dxa"/>
            <w:tcBorders/>
            <w:shd w:fill="FFFFFF" w:val="clear"/>
            <w:vAlign w:val="bottom"/>
          </w:tcPr>
          <w:p>
            <w:pPr>
              <w:pStyle w:val="TableContents"/>
              <w:spacing w:before="0" w:after="283"/>
              <w:jc w:val="left"/>
              <w:rPr/>
            </w:pPr>
            <w:r>
              <w:rPr/>
              <w:t> </w:t>
            </w:r>
          </w:p>
        </w:tc>
        <w:tc>
          <w:tcPr>
            <w:tcW w:w="982" w:type="dxa"/>
            <w:tcBorders/>
            <w:shd w:fill="FFFFFF" w:val="clear"/>
            <w:vAlign w:val="bottom"/>
          </w:tcPr>
          <w:p>
            <w:pPr>
              <w:pStyle w:val="TableContents"/>
              <w:spacing w:before="0" w:after="283"/>
              <w:jc w:val="right"/>
              <w:rPr/>
            </w:pPr>
            <w:r>
              <w:rPr/>
              <w:t> </w:t>
            </w:r>
          </w:p>
        </w:tc>
        <w:tc>
          <w:tcPr>
            <w:tcW w:w="99"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139" w:type="dxa"/>
            <w:tcBorders/>
            <w:shd w:fill="FFFFFF" w:val="clear"/>
            <w:vAlign w:val="bottom"/>
          </w:tcPr>
          <w:p>
            <w:pPr>
              <w:pStyle w:val="TableContents"/>
              <w:spacing w:before="0" w:after="283"/>
              <w:jc w:val="left"/>
              <w:rPr/>
            </w:pPr>
            <w:r>
              <w:rPr/>
              <w:t> </w:t>
            </w:r>
          </w:p>
        </w:tc>
        <w:tc>
          <w:tcPr>
            <w:tcW w:w="641" w:type="dxa"/>
            <w:tcBorders/>
            <w:shd w:fill="FFFFFF" w:val="clear"/>
            <w:vAlign w:val="bottom"/>
          </w:tcPr>
          <w:p>
            <w:pPr>
              <w:pStyle w:val="TableContents"/>
              <w:spacing w:before="0" w:after="283"/>
              <w:jc w:val="right"/>
              <w:rPr/>
            </w:pPr>
            <w:r>
              <w:rPr/>
              <w:t> </w:t>
            </w:r>
          </w:p>
        </w:tc>
        <w:tc>
          <w:tcPr>
            <w:tcW w:w="99"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283"/>
              <w:jc w:val="left"/>
              <w:rPr/>
            </w:pPr>
            <w:r>
              <w:rPr/>
              <w:t> </w:t>
            </w:r>
          </w:p>
        </w:tc>
        <w:tc>
          <w:tcPr>
            <w:tcW w:w="1077" w:type="dxa"/>
            <w:tcBorders/>
            <w:shd w:fill="FFFFFF" w:val="clear"/>
            <w:vAlign w:val="bottom"/>
          </w:tcPr>
          <w:p>
            <w:pPr>
              <w:pStyle w:val="TableContents"/>
              <w:spacing w:before="0" w:after="283"/>
              <w:jc w:val="right"/>
              <w:rPr/>
            </w:pPr>
            <w:r>
              <w:rPr/>
              <w:t> </w:t>
            </w:r>
          </w:p>
        </w:tc>
        <w:tc>
          <w:tcPr>
            <w:tcW w:w="99"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283"/>
              <w:jc w:val="left"/>
              <w:rPr/>
            </w:pPr>
            <w:r>
              <w:rPr/>
              <w:t> </w:t>
            </w:r>
          </w:p>
        </w:tc>
        <w:tc>
          <w:tcPr>
            <w:tcW w:w="1132" w:type="dxa"/>
            <w:tcBorders/>
            <w:shd w:fill="FFFFFF" w:val="clear"/>
            <w:vAlign w:val="bottom"/>
          </w:tcPr>
          <w:p>
            <w:pPr>
              <w:pStyle w:val="TableContents"/>
              <w:spacing w:before="0" w:after="283"/>
              <w:jc w:val="right"/>
              <w:rPr/>
            </w:pPr>
            <w:r>
              <w:rPr/>
              <w:t> </w:t>
            </w:r>
          </w:p>
        </w:tc>
        <w:tc>
          <w:tcPr>
            <w:tcW w:w="99"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141" w:type="dxa"/>
            <w:tcBorders/>
            <w:shd w:fill="FFFFFF" w:val="clear"/>
            <w:vAlign w:val="bottom"/>
          </w:tcPr>
          <w:p>
            <w:pPr>
              <w:pStyle w:val="TableContents"/>
              <w:spacing w:before="0" w:after="283"/>
              <w:jc w:val="left"/>
              <w:rPr/>
            </w:pPr>
            <w:r>
              <w:rPr/>
              <w:t> </w:t>
            </w:r>
          </w:p>
        </w:tc>
        <w:tc>
          <w:tcPr>
            <w:tcW w:w="1045" w:type="dxa"/>
            <w:tcBorders/>
            <w:shd w:fill="FFFFFF" w:val="clear"/>
            <w:vAlign w:val="bottom"/>
          </w:tcPr>
          <w:p>
            <w:pPr>
              <w:pStyle w:val="TableContents"/>
              <w:spacing w:before="0" w:after="283"/>
              <w:jc w:val="right"/>
              <w:rPr/>
            </w:pPr>
            <w:r>
              <w:rPr/>
              <w:t> </w:t>
            </w:r>
          </w:p>
        </w:tc>
        <w:tc>
          <w:tcPr>
            <w:tcW w:w="123" w:type="dxa"/>
            <w:tcBorders/>
            <w:shd w:fill="FFFFFF" w:val="clear"/>
            <w:vAlign w:val="bottom"/>
          </w:tcPr>
          <w:p>
            <w:pPr>
              <w:pStyle w:val="TableContents"/>
              <w:spacing w:before="0" w:after="283"/>
              <w:jc w:val="left"/>
              <w:rPr/>
            </w:pPr>
            <w:r>
              <w:rPr/>
              <w:t> </w:t>
            </w:r>
          </w:p>
        </w:tc>
      </w:tr>
      <w:tr>
        <w:trPr/>
        <w:tc>
          <w:tcPr>
            <w:tcW w:w="2070" w:type="dxa"/>
            <w:tcBorders/>
            <w:shd w:fill="CCEEFF" w:val="clear"/>
            <w:vAlign w:val="bottom"/>
          </w:tcPr>
          <w:p>
            <w:pPr>
              <w:pStyle w:val="TableContents"/>
              <w:spacing w:before="0" w:after="0"/>
              <w:ind w:left="0" w:right="0" w:hanging="0"/>
              <w:jc w:val="left"/>
              <w:rPr/>
            </w:pPr>
            <w:r>
              <w:rPr/>
              <w:t> </w:t>
            </w:r>
            <w:r>
              <w:rPr>
                <w:rFonts w:ascii="helvetica" w:hAnsi="helvetica"/>
                <w:sz w:val="20"/>
              </w:rPr>
              <w:t>Net proceeds from private placement offering issued</w:t>
            </w:r>
          </w:p>
        </w:tc>
        <w:tc>
          <w:tcPr>
            <w:tcW w:w="81" w:type="dxa"/>
            <w:tcBorders/>
            <w:shd w:fill="CCEEFF" w:val="clear"/>
            <w:vAlign w:val="bottom"/>
          </w:tcPr>
          <w:p>
            <w:pPr>
              <w:pStyle w:val="TableContents"/>
              <w:spacing w:before="0" w:after="283"/>
              <w:rPr/>
            </w:pPr>
            <w:r>
              <w:rPr/>
              <w:t> </w:t>
            </w:r>
          </w:p>
        </w:tc>
        <w:tc>
          <w:tcPr>
            <w:tcW w:w="135" w:type="dxa"/>
            <w:tcBorders/>
            <w:shd w:fill="CCEEFF" w:val="clear"/>
            <w:vAlign w:val="bottom"/>
          </w:tcPr>
          <w:p>
            <w:pPr>
              <w:pStyle w:val="TableContents"/>
              <w:spacing w:before="0" w:after="283"/>
              <w:jc w:val="left"/>
              <w:rPr/>
            </w:pPr>
            <w:r>
              <w:rPr/>
              <w:t> </w:t>
            </w:r>
          </w:p>
        </w:tc>
        <w:tc>
          <w:tcPr>
            <w:tcW w:w="586" w:type="dxa"/>
            <w:tcBorders/>
            <w:shd w:fill="CCEEFF" w:val="clear"/>
            <w:vAlign w:val="bottom"/>
          </w:tcPr>
          <w:p>
            <w:pPr>
              <w:pStyle w:val="TableContents"/>
              <w:spacing w:before="0" w:after="283"/>
              <w:jc w:val="right"/>
              <w:rPr/>
            </w:pPr>
            <w:r>
              <w:rPr/>
              <w:t> </w:t>
            </w:r>
          </w:p>
        </w:tc>
        <w:tc>
          <w:tcPr>
            <w:tcW w:w="92" w:type="dxa"/>
            <w:tcBorders/>
            <w:shd w:fill="CCEEFF" w:val="clear"/>
            <w:vAlign w:val="bottom"/>
          </w:tcPr>
          <w:p>
            <w:pPr>
              <w:pStyle w:val="TableContents"/>
              <w:spacing w:before="0" w:after="283"/>
              <w:jc w:val="left"/>
              <w:rPr/>
            </w:pPr>
            <w:r>
              <w:rPr/>
              <w:t> </w:t>
            </w:r>
          </w:p>
        </w:tc>
        <w:tc>
          <w:tcPr>
            <w:tcW w:w="92" w:type="dxa"/>
            <w:tcBorders/>
            <w:shd w:fill="CCEEFF" w:val="clear"/>
            <w:vAlign w:val="bottom"/>
          </w:tcPr>
          <w:p>
            <w:pPr>
              <w:pStyle w:val="TableContents"/>
              <w:spacing w:before="0" w:after="283"/>
              <w:rPr/>
            </w:pPr>
            <w:r>
              <w:rPr/>
              <w:t> </w:t>
            </w:r>
          </w:p>
        </w:tc>
        <w:tc>
          <w:tcPr>
            <w:tcW w:w="292" w:type="dxa"/>
            <w:tcBorders/>
            <w:shd w:fill="CCEEFF" w:val="clear"/>
            <w:vAlign w:val="bottom"/>
          </w:tcPr>
          <w:p>
            <w:pPr>
              <w:pStyle w:val="TableContents"/>
              <w:spacing w:before="0" w:after="283"/>
              <w:jc w:val="left"/>
              <w:rPr/>
            </w:pPr>
            <w:r>
              <w:rPr/>
              <w:t> </w:t>
            </w:r>
          </w:p>
        </w:tc>
        <w:tc>
          <w:tcPr>
            <w:tcW w:w="334" w:type="dxa"/>
            <w:tcBorders/>
            <w:shd w:fill="CCEEFF" w:val="clear"/>
            <w:vAlign w:val="bottom"/>
          </w:tcPr>
          <w:p>
            <w:pPr>
              <w:pStyle w:val="TableContents"/>
              <w:spacing w:before="0" w:after="283"/>
              <w:jc w:val="right"/>
              <w:rPr/>
            </w:pPr>
            <w:r>
              <w:rPr/>
              <w:t> </w:t>
            </w:r>
          </w:p>
        </w:tc>
        <w:tc>
          <w:tcPr>
            <w:tcW w:w="81"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81" w:type="dxa"/>
            <w:tcBorders/>
            <w:shd w:fill="CCEEFF" w:val="clear"/>
            <w:vAlign w:val="bottom"/>
          </w:tcPr>
          <w:p>
            <w:pPr>
              <w:pStyle w:val="TableContents"/>
              <w:spacing w:before="0" w:after="283"/>
              <w:jc w:val="left"/>
              <w:rPr/>
            </w:pPr>
            <w:r>
              <w:rPr/>
              <w:t> </w:t>
            </w:r>
          </w:p>
        </w:tc>
        <w:tc>
          <w:tcPr>
            <w:tcW w:w="982" w:type="dxa"/>
            <w:tcBorders/>
            <w:shd w:fill="CCEEFF" w:val="clear"/>
            <w:vAlign w:val="bottom"/>
          </w:tcPr>
          <w:p>
            <w:pPr>
              <w:pStyle w:val="TableContents"/>
              <w:spacing w:before="0" w:after="283"/>
              <w:jc w:val="right"/>
              <w:rPr/>
            </w:pPr>
            <w:r>
              <w:rPr/>
              <w:t> </w:t>
            </w:r>
          </w:p>
        </w:tc>
        <w:tc>
          <w:tcPr>
            <w:tcW w:w="99"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139" w:type="dxa"/>
            <w:tcBorders/>
            <w:shd w:fill="CCEEFF" w:val="clear"/>
            <w:vAlign w:val="bottom"/>
          </w:tcPr>
          <w:p>
            <w:pPr>
              <w:pStyle w:val="TableContents"/>
              <w:spacing w:before="0" w:after="283"/>
              <w:jc w:val="left"/>
              <w:rPr/>
            </w:pPr>
            <w:r>
              <w:rPr/>
              <w:t> </w:t>
            </w:r>
          </w:p>
        </w:tc>
        <w:tc>
          <w:tcPr>
            <w:tcW w:w="641" w:type="dxa"/>
            <w:tcBorders/>
            <w:shd w:fill="CCEEFF" w:val="clear"/>
            <w:vAlign w:val="bottom"/>
          </w:tcPr>
          <w:p>
            <w:pPr>
              <w:pStyle w:val="TableContents"/>
              <w:spacing w:before="0" w:after="283"/>
              <w:jc w:val="right"/>
              <w:rPr/>
            </w:pPr>
            <w:r>
              <w:rPr/>
              <w:t> </w:t>
            </w:r>
          </w:p>
        </w:tc>
        <w:tc>
          <w:tcPr>
            <w:tcW w:w="99"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jc w:val="left"/>
              <w:rPr/>
            </w:pPr>
            <w:r>
              <w:rPr/>
              <w:t> </w:t>
            </w:r>
          </w:p>
        </w:tc>
        <w:tc>
          <w:tcPr>
            <w:tcW w:w="1077" w:type="dxa"/>
            <w:tcBorders/>
            <w:shd w:fill="CCEEFF" w:val="clear"/>
            <w:vAlign w:val="bottom"/>
          </w:tcPr>
          <w:p>
            <w:pPr>
              <w:pStyle w:val="TableContents"/>
              <w:spacing w:before="0" w:after="283"/>
              <w:jc w:val="right"/>
              <w:rPr/>
            </w:pPr>
            <w:r>
              <w:rPr/>
              <w:t> </w:t>
            </w:r>
          </w:p>
        </w:tc>
        <w:tc>
          <w:tcPr>
            <w:tcW w:w="99"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jc w:val="left"/>
              <w:rPr/>
            </w:pPr>
            <w:r>
              <w:rPr/>
              <w:t> </w:t>
            </w:r>
          </w:p>
        </w:tc>
        <w:tc>
          <w:tcPr>
            <w:tcW w:w="1132" w:type="dxa"/>
            <w:tcBorders/>
            <w:shd w:fill="CCEEFF" w:val="clear"/>
            <w:vAlign w:val="bottom"/>
          </w:tcPr>
          <w:p>
            <w:pPr>
              <w:pStyle w:val="TableContents"/>
              <w:spacing w:before="0" w:after="283"/>
              <w:jc w:val="right"/>
              <w:rPr/>
            </w:pPr>
            <w:r>
              <w:rPr/>
              <w:t> </w:t>
            </w:r>
          </w:p>
        </w:tc>
        <w:tc>
          <w:tcPr>
            <w:tcW w:w="99"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141" w:type="dxa"/>
            <w:tcBorders/>
            <w:shd w:fill="CCEEFF" w:val="clear"/>
            <w:vAlign w:val="bottom"/>
          </w:tcPr>
          <w:p>
            <w:pPr>
              <w:pStyle w:val="TableContents"/>
              <w:spacing w:before="0" w:after="283"/>
              <w:jc w:val="left"/>
              <w:rPr/>
            </w:pPr>
            <w:r>
              <w:rPr/>
              <w:t> </w:t>
            </w:r>
          </w:p>
        </w:tc>
        <w:tc>
          <w:tcPr>
            <w:tcW w:w="1045" w:type="dxa"/>
            <w:tcBorders/>
            <w:shd w:fill="CCEEFF" w:val="clear"/>
            <w:vAlign w:val="bottom"/>
          </w:tcPr>
          <w:p>
            <w:pPr>
              <w:pStyle w:val="TableContents"/>
              <w:spacing w:before="0" w:after="283"/>
              <w:jc w:val="right"/>
              <w:rPr/>
            </w:pPr>
            <w:r>
              <w:rPr/>
              <w:t> </w:t>
            </w:r>
          </w:p>
        </w:tc>
        <w:tc>
          <w:tcPr>
            <w:tcW w:w="123" w:type="dxa"/>
            <w:tcBorders/>
            <w:shd w:fill="CCEEFF" w:val="clear"/>
            <w:vAlign w:val="bottom"/>
          </w:tcPr>
          <w:p>
            <w:pPr>
              <w:pStyle w:val="TableContents"/>
              <w:spacing w:before="0" w:after="283"/>
              <w:jc w:val="left"/>
              <w:rPr/>
            </w:pPr>
            <w:r>
              <w:rPr/>
              <w:t> </w:t>
            </w:r>
          </w:p>
        </w:tc>
      </w:tr>
      <w:tr>
        <w:trPr/>
        <w:tc>
          <w:tcPr>
            <w:tcW w:w="2070" w:type="dxa"/>
            <w:tcBorders/>
            <w:shd w:fill="FFFFFF" w:val="clear"/>
            <w:vAlign w:val="bottom"/>
          </w:tcPr>
          <w:p>
            <w:pPr>
              <w:pStyle w:val="TableContents"/>
              <w:spacing w:before="0" w:after="0"/>
              <w:ind w:left="0" w:right="0" w:hanging="0"/>
              <w:jc w:val="left"/>
              <w:rPr/>
            </w:pPr>
            <w:r>
              <w:rPr/>
              <w:t>   </w:t>
            </w:r>
            <w:r>
              <w:rPr>
                <w:rFonts w:ascii="helvetica" w:hAnsi="helvetica"/>
                <w:sz w:val="20"/>
              </w:rPr>
              <w:t>at $110,000 per unit in May 2008 and final costs of</w:t>
            </w:r>
          </w:p>
        </w:tc>
        <w:tc>
          <w:tcPr>
            <w:tcW w:w="81" w:type="dxa"/>
            <w:tcBorders/>
            <w:shd w:fill="FFFFFF" w:val="clear"/>
            <w:vAlign w:val="bottom"/>
          </w:tcPr>
          <w:p>
            <w:pPr>
              <w:pStyle w:val="TableContents"/>
              <w:spacing w:before="0" w:after="283"/>
              <w:rPr/>
            </w:pPr>
            <w:r>
              <w:rPr/>
              <w:t> </w:t>
            </w:r>
          </w:p>
        </w:tc>
        <w:tc>
          <w:tcPr>
            <w:tcW w:w="135" w:type="dxa"/>
            <w:tcBorders/>
            <w:shd w:fill="FFFFFF" w:val="clear"/>
            <w:vAlign w:val="bottom"/>
          </w:tcPr>
          <w:p>
            <w:pPr>
              <w:pStyle w:val="TableContents"/>
              <w:spacing w:before="0" w:after="283"/>
              <w:jc w:val="left"/>
              <w:rPr/>
            </w:pPr>
            <w:r>
              <w:rPr/>
              <w:t> </w:t>
            </w:r>
          </w:p>
        </w:tc>
        <w:tc>
          <w:tcPr>
            <w:tcW w:w="586" w:type="dxa"/>
            <w:tcBorders/>
            <w:shd w:fill="FFFFFF" w:val="clear"/>
            <w:vAlign w:val="bottom"/>
          </w:tcPr>
          <w:p>
            <w:pPr>
              <w:pStyle w:val="TableContents"/>
              <w:spacing w:before="0" w:after="283"/>
              <w:jc w:val="right"/>
              <w:rPr/>
            </w:pPr>
            <w:r>
              <w:rPr/>
              <w:t> </w:t>
            </w:r>
          </w:p>
        </w:tc>
        <w:tc>
          <w:tcPr>
            <w:tcW w:w="92" w:type="dxa"/>
            <w:tcBorders/>
            <w:shd w:fill="FFFFFF" w:val="clear"/>
            <w:vAlign w:val="bottom"/>
          </w:tcPr>
          <w:p>
            <w:pPr>
              <w:pStyle w:val="TableContents"/>
              <w:spacing w:before="0" w:after="283"/>
              <w:jc w:val="left"/>
              <w:rPr/>
            </w:pPr>
            <w:r>
              <w:rPr/>
              <w:t> </w:t>
            </w:r>
          </w:p>
        </w:tc>
        <w:tc>
          <w:tcPr>
            <w:tcW w:w="92" w:type="dxa"/>
            <w:tcBorders/>
            <w:shd w:fill="FFFFFF" w:val="clear"/>
            <w:vAlign w:val="bottom"/>
          </w:tcPr>
          <w:p>
            <w:pPr>
              <w:pStyle w:val="TableContents"/>
              <w:spacing w:before="0" w:after="283"/>
              <w:rPr/>
            </w:pPr>
            <w:r>
              <w:rPr/>
              <w:t> </w:t>
            </w:r>
          </w:p>
        </w:tc>
        <w:tc>
          <w:tcPr>
            <w:tcW w:w="292" w:type="dxa"/>
            <w:tcBorders/>
            <w:shd w:fill="FFFFFF" w:val="clear"/>
            <w:vAlign w:val="bottom"/>
          </w:tcPr>
          <w:p>
            <w:pPr>
              <w:pStyle w:val="TableContents"/>
              <w:spacing w:before="0" w:after="283"/>
              <w:jc w:val="left"/>
              <w:rPr/>
            </w:pPr>
            <w:r>
              <w:rPr/>
              <w:t> </w:t>
            </w:r>
          </w:p>
        </w:tc>
        <w:tc>
          <w:tcPr>
            <w:tcW w:w="334" w:type="dxa"/>
            <w:tcBorders/>
            <w:shd w:fill="FFFFFF" w:val="clear"/>
            <w:vAlign w:val="bottom"/>
          </w:tcPr>
          <w:p>
            <w:pPr>
              <w:pStyle w:val="TableContents"/>
              <w:spacing w:before="0" w:after="283"/>
              <w:jc w:val="right"/>
              <w:rPr/>
            </w:pPr>
            <w:r>
              <w:rPr/>
              <w:t> </w:t>
            </w:r>
          </w:p>
        </w:tc>
        <w:tc>
          <w:tcPr>
            <w:tcW w:w="81"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81" w:type="dxa"/>
            <w:tcBorders/>
            <w:shd w:fill="FFFFFF" w:val="clear"/>
            <w:vAlign w:val="bottom"/>
          </w:tcPr>
          <w:p>
            <w:pPr>
              <w:pStyle w:val="TableContents"/>
              <w:spacing w:before="0" w:after="283"/>
              <w:jc w:val="left"/>
              <w:rPr/>
            </w:pPr>
            <w:r>
              <w:rPr/>
              <w:t> </w:t>
            </w:r>
          </w:p>
        </w:tc>
        <w:tc>
          <w:tcPr>
            <w:tcW w:w="982" w:type="dxa"/>
            <w:tcBorders/>
            <w:shd w:fill="FFFFFF" w:val="clear"/>
            <w:vAlign w:val="bottom"/>
          </w:tcPr>
          <w:p>
            <w:pPr>
              <w:pStyle w:val="TableContents"/>
              <w:spacing w:before="0" w:after="283"/>
              <w:jc w:val="right"/>
              <w:rPr/>
            </w:pPr>
            <w:r>
              <w:rPr/>
              <w:t> </w:t>
            </w:r>
          </w:p>
        </w:tc>
        <w:tc>
          <w:tcPr>
            <w:tcW w:w="99"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139" w:type="dxa"/>
            <w:tcBorders/>
            <w:shd w:fill="FFFFFF" w:val="clear"/>
            <w:vAlign w:val="bottom"/>
          </w:tcPr>
          <w:p>
            <w:pPr>
              <w:pStyle w:val="TableContents"/>
              <w:spacing w:before="0" w:after="283"/>
              <w:jc w:val="left"/>
              <w:rPr/>
            </w:pPr>
            <w:r>
              <w:rPr/>
              <w:t> </w:t>
            </w:r>
          </w:p>
        </w:tc>
        <w:tc>
          <w:tcPr>
            <w:tcW w:w="641" w:type="dxa"/>
            <w:tcBorders/>
            <w:shd w:fill="FFFFFF" w:val="clear"/>
            <w:vAlign w:val="bottom"/>
          </w:tcPr>
          <w:p>
            <w:pPr>
              <w:pStyle w:val="TableContents"/>
              <w:spacing w:before="0" w:after="283"/>
              <w:jc w:val="right"/>
              <w:rPr/>
            </w:pPr>
            <w:r>
              <w:rPr/>
              <w:t> </w:t>
            </w:r>
          </w:p>
        </w:tc>
        <w:tc>
          <w:tcPr>
            <w:tcW w:w="99"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283"/>
              <w:jc w:val="left"/>
              <w:rPr/>
            </w:pPr>
            <w:r>
              <w:rPr/>
              <w:t> </w:t>
            </w:r>
          </w:p>
        </w:tc>
        <w:tc>
          <w:tcPr>
            <w:tcW w:w="1077" w:type="dxa"/>
            <w:tcBorders/>
            <w:shd w:fill="FFFFFF" w:val="clear"/>
            <w:vAlign w:val="bottom"/>
          </w:tcPr>
          <w:p>
            <w:pPr>
              <w:pStyle w:val="TableContents"/>
              <w:spacing w:before="0" w:after="283"/>
              <w:jc w:val="right"/>
              <w:rPr/>
            </w:pPr>
            <w:r>
              <w:rPr/>
              <w:t> </w:t>
            </w:r>
          </w:p>
        </w:tc>
        <w:tc>
          <w:tcPr>
            <w:tcW w:w="99"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283"/>
              <w:jc w:val="left"/>
              <w:rPr/>
            </w:pPr>
            <w:r>
              <w:rPr/>
              <w:t> </w:t>
            </w:r>
          </w:p>
        </w:tc>
        <w:tc>
          <w:tcPr>
            <w:tcW w:w="1132" w:type="dxa"/>
            <w:tcBorders/>
            <w:shd w:fill="FFFFFF" w:val="clear"/>
            <w:vAlign w:val="bottom"/>
          </w:tcPr>
          <w:p>
            <w:pPr>
              <w:pStyle w:val="TableContents"/>
              <w:spacing w:before="0" w:after="283"/>
              <w:jc w:val="right"/>
              <w:rPr/>
            </w:pPr>
            <w:r>
              <w:rPr/>
              <w:t> </w:t>
            </w:r>
          </w:p>
        </w:tc>
        <w:tc>
          <w:tcPr>
            <w:tcW w:w="99"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141" w:type="dxa"/>
            <w:tcBorders/>
            <w:shd w:fill="FFFFFF" w:val="clear"/>
            <w:vAlign w:val="bottom"/>
          </w:tcPr>
          <w:p>
            <w:pPr>
              <w:pStyle w:val="TableContents"/>
              <w:spacing w:before="0" w:after="283"/>
              <w:jc w:val="left"/>
              <w:rPr/>
            </w:pPr>
            <w:r>
              <w:rPr/>
              <w:t> </w:t>
            </w:r>
          </w:p>
        </w:tc>
        <w:tc>
          <w:tcPr>
            <w:tcW w:w="1045" w:type="dxa"/>
            <w:tcBorders/>
            <w:shd w:fill="FFFFFF" w:val="clear"/>
            <w:vAlign w:val="bottom"/>
          </w:tcPr>
          <w:p>
            <w:pPr>
              <w:pStyle w:val="TableContents"/>
              <w:spacing w:before="0" w:after="283"/>
              <w:jc w:val="right"/>
              <w:rPr/>
            </w:pPr>
            <w:r>
              <w:rPr/>
              <w:t> </w:t>
            </w:r>
          </w:p>
        </w:tc>
        <w:tc>
          <w:tcPr>
            <w:tcW w:w="123" w:type="dxa"/>
            <w:tcBorders/>
            <w:shd w:fill="FFFFFF" w:val="clear"/>
            <w:vAlign w:val="bottom"/>
          </w:tcPr>
          <w:p>
            <w:pPr>
              <w:pStyle w:val="TableContents"/>
              <w:spacing w:before="0" w:after="283"/>
              <w:jc w:val="left"/>
              <w:rPr/>
            </w:pPr>
            <w:r>
              <w:rPr/>
              <w:t> </w:t>
            </w:r>
          </w:p>
        </w:tc>
      </w:tr>
      <w:tr>
        <w:trPr/>
        <w:tc>
          <w:tcPr>
            <w:tcW w:w="2070" w:type="dxa"/>
            <w:tcBorders/>
            <w:shd w:fill="CCEEFF" w:val="clear"/>
            <w:vAlign w:val="bottom"/>
          </w:tcPr>
          <w:p>
            <w:pPr>
              <w:pStyle w:val="TableContents"/>
              <w:spacing w:before="0" w:after="0"/>
              <w:ind w:left="0" w:right="0" w:hanging="0"/>
              <w:jc w:val="left"/>
              <w:rPr/>
            </w:pPr>
            <w:r>
              <w:rPr/>
              <w:t>    </w:t>
            </w:r>
            <w:r>
              <w:rPr>
                <w:rFonts w:ascii="helvetica" w:hAnsi="helvetica"/>
                <w:sz w:val="20"/>
              </w:rPr>
              <w:t>2007  private placement offering</w:t>
            </w:r>
          </w:p>
        </w:tc>
        <w:tc>
          <w:tcPr>
            <w:tcW w:w="81" w:type="dxa"/>
            <w:tcBorders/>
            <w:shd w:fill="CCEEFF" w:val="clear"/>
            <w:vAlign w:val="bottom"/>
          </w:tcPr>
          <w:p>
            <w:pPr>
              <w:pStyle w:val="TableContents"/>
              <w:spacing w:before="0" w:after="283"/>
              <w:rPr/>
            </w:pPr>
            <w:r>
              <w:rPr/>
              <w:t> </w:t>
            </w:r>
          </w:p>
        </w:tc>
        <w:tc>
          <w:tcPr>
            <w:tcW w:w="135" w:type="dxa"/>
            <w:tcBorders/>
            <w:shd w:fill="CCEEFF" w:val="clear"/>
            <w:vAlign w:val="bottom"/>
          </w:tcPr>
          <w:p>
            <w:pPr>
              <w:pStyle w:val="TableContents"/>
              <w:spacing w:before="0" w:after="283"/>
              <w:jc w:val="left"/>
              <w:rPr/>
            </w:pPr>
            <w:r>
              <w:rPr/>
              <w:t> </w:t>
            </w:r>
          </w:p>
        </w:tc>
        <w:tc>
          <w:tcPr>
            <w:tcW w:w="586"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w:t>
            </w:r>
          </w:p>
        </w:tc>
        <w:tc>
          <w:tcPr>
            <w:tcW w:w="92" w:type="dxa"/>
            <w:tcBorders/>
            <w:shd w:fill="CCEEFF" w:val="clear"/>
            <w:vAlign w:val="bottom"/>
          </w:tcPr>
          <w:p>
            <w:pPr>
              <w:pStyle w:val="TableContents"/>
              <w:spacing w:before="0" w:after="283"/>
              <w:jc w:val="left"/>
              <w:rPr/>
            </w:pPr>
            <w:r>
              <w:rPr/>
              <w:t> </w:t>
            </w:r>
          </w:p>
        </w:tc>
        <w:tc>
          <w:tcPr>
            <w:tcW w:w="92" w:type="dxa"/>
            <w:tcBorders/>
            <w:shd w:fill="CCEEFF" w:val="clear"/>
            <w:vAlign w:val="bottom"/>
          </w:tcPr>
          <w:p>
            <w:pPr>
              <w:pStyle w:val="TableContents"/>
              <w:spacing w:before="0" w:after="283"/>
              <w:rPr/>
            </w:pPr>
            <w:r>
              <w:rPr/>
              <w:t> </w:t>
            </w:r>
          </w:p>
        </w:tc>
        <w:tc>
          <w:tcPr>
            <w:tcW w:w="292" w:type="dxa"/>
            <w:tcBorders/>
            <w:shd w:fill="CCEEFF" w:val="clear"/>
            <w:vAlign w:val="bottom"/>
          </w:tcPr>
          <w:p>
            <w:pPr>
              <w:pStyle w:val="TableContents"/>
              <w:spacing w:before="0" w:after="283"/>
              <w:jc w:val="left"/>
              <w:rPr/>
            </w:pPr>
            <w:r>
              <w:rPr/>
              <w:t> </w:t>
            </w:r>
          </w:p>
        </w:tc>
        <w:tc>
          <w:tcPr>
            <w:tcW w:w="334"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w:t>
            </w:r>
          </w:p>
        </w:tc>
        <w:tc>
          <w:tcPr>
            <w:tcW w:w="81"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81" w:type="dxa"/>
            <w:tcBorders/>
            <w:shd w:fill="CCEEFF" w:val="clear"/>
            <w:vAlign w:val="bottom"/>
          </w:tcPr>
          <w:p>
            <w:pPr>
              <w:pStyle w:val="TableContents"/>
              <w:spacing w:before="0" w:after="283"/>
              <w:jc w:val="left"/>
              <w:rPr/>
            </w:pPr>
            <w:r>
              <w:rPr/>
              <w:t> </w:t>
            </w:r>
          </w:p>
        </w:tc>
        <w:tc>
          <w:tcPr>
            <w:tcW w:w="982"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227,273</w:t>
            </w:r>
          </w:p>
        </w:tc>
        <w:tc>
          <w:tcPr>
            <w:tcW w:w="99"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139" w:type="dxa"/>
            <w:tcBorders/>
            <w:shd w:fill="CCEEFF" w:val="clear"/>
            <w:vAlign w:val="bottom"/>
          </w:tcPr>
          <w:p>
            <w:pPr>
              <w:pStyle w:val="TableContents"/>
              <w:spacing w:before="0" w:after="283"/>
              <w:jc w:val="left"/>
              <w:rPr/>
            </w:pPr>
            <w:r>
              <w:rPr/>
              <w:t> </w:t>
            </w:r>
          </w:p>
        </w:tc>
        <w:tc>
          <w:tcPr>
            <w:tcW w:w="641"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228</w:t>
            </w:r>
          </w:p>
        </w:tc>
        <w:tc>
          <w:tcPr>
            <w:tcW w:w="99"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jc w:val="left"/>
              <w:rPr/>
            </w:pPr>
            <w:r>
              <w:rPr/>
              <w:t> </w:t>
            </w:r>
          </w:p>
        </w:tc>
        <w:tc>
          <w:tcPr>
            <w:tcW w:w="1077"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3,941,073</w:t>
            </w:r>
          </w:p>
        </w:tc>
        <w:tc>
          <w:tcPr>
            <w:tcW w:w="99"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jc w:val="left"/>
              <w:rPr/>
            </w:pPr>
            <w:r>
              <w:rPr/>
              <w:t> </w:t>
            </w:r>
          </w:p>
        </w:tc>
        <w:tc>
          <w:tcPr>
            <w:tcW w:w="1132"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w:t>
            </w:r>
          </w:p>
        </w:tc>
        <w:tc>
          <w:tcPr>
            <w:tcW w:w="99"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141" w:type="dxa"/>
            <w:tcBorders/>
            <w:shd w:fill="CCEEFF" w:val="clear"/>
            <w:vAlign w:val="bottom"/>
          </w:tcPr>
          <w:p>
            <w:pPr>
              <w:pStyle w:val="TableContents"/>
              <w:spacing w:before="0" w:after="283"/>
              <w:jc w:val="left"/>
              <w:rPr/>
            </w:pPr>
            <w:r>
              <w:rPr/>
              <w:t> </w:t>
            </w:r>
          </w:p>
        </w:tc>
        <w:tc>
          <w:tcPr>
            <w:tcW w:w="1045"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3,941,301</w:t>
            </w:r>
          </w:p>
        </w:tc>
        <w:tc>
          <w:tcPr>
            <w:tcW w:w="123" w:type="dxa"/>
            <w:tcBorders/>
            <w:shd w:fill="CCEEFF" w:val="clear"/>
            <w:vAlign w:val="bottom"/>
          </w:tcPr>
          <w:p>
            <w:pPr>
              <w:pStyle w:val="TableContents"/>
              <w:spacing w:before="0" w:after="283"/>
              <w:jc w:val="left"/>
              <w:rPr/>
            </w:pPr>
            <w:r>
              <w:rPr/>
              <w:t> </w:t>
            </w:r>
          </w:p>
        </w:tc>
      </w:tr>
      <w:tr>
        <w:trPr/>
        <w:tc>
          <w:tcPr>
            <w:tcW w:w="2070" w:type="dxa"/>
            <w:tcBorders/>
            <w:shd w:fill="FFFFFF" w:val="clear"/>
            <w:vAlign w:val="bottom"/>
          </w:tcPr>
          <w:p>
            <w:pPr>
              <w:pStyle w:val="TableContents"/>
              <w:spacing w:before="0" w:after="0"/>
              <w:ind w:left="0" w:right="0" w:hanging="0"/>
              <w:jc w:val="left"/>
              <w:rPr/>
            </w:pPr>
            <w:r>
              <w:rPr/>
              <w:t> </w:t>
            </w:r>
            <w:r>
              <w:rPr>
                <w:rFonts w:ascii="helvetica" w:hAnsi="helvetica"/>
                <w:sz w:val="20"/>
              </w:rPr>
              <w:t>Adjustment and issuance of common stock, warrant and</w:t>
            </w:r>
          </w:p>
        </w:tc>
        <w:tc>
          <w:tcPr>
            <w:tcW w:w="81" w:type="dxa"/>
            <w:tcBorders/>
            <w:shd w:fill="FFFFFF" w:val="clear"/>
            <w:vAlign w:val="bottom"/>
          </w:tcPr>
          <w:p>
            <w:pPr>
              <w:pStyle w:val="TableContents"/>
              <w:spacing w:before="0" w:after="283"/>
              <w:rPr/>
            </w:pPr>
            <w:r>
              <w:rPr/>
              <w:t> </w:t>
            </w:r>
          </w:p>
        </w:tc>
        <w:tc>
          <w:tcPr>
            <w:tcW w:w="135" w:type="dxa"/>
            <w:tcBorders/>
            <w:shd w:fill="FFFFFF" w:val="clear"/>
            <w:vAlign w:val="bottom"/>
          </w:tcPr>
          <w:p>
            <w:pPr>
              <w:pStyle w:val="TableContents"/>
              <w:spacing w:before="0" w:after="283"/>
              <w:jc w:val="left"/>
              <w:rPr/>
            </w:pPr>
            <w:r>
              <w:rPr/>
              <w:t> </w:t>
            </w:r>
          </w:p>
        </w:tc>
        <w:tc>
          <w:tcPr>
            <w:tcW w:w="586" w:type="dxa"/>
            <w:tcBorders/>
            <w:shd w:fill="FFFFFF" w:val="clear"/>
            <w:vAlign w:val="bottom"/>
          </w:tcPr>
          <w:p>
            <w:pPr>
              <w:pStyle w:val="TableContents"/>
              <w:spacing w:before="0" w:after="283"/>
              <w:jc w:val="right"/>
              <w:rPr/>
            </w:pPr>
            <w:r>
              <w:rPr/>
              <w:t> </w:t>
            </w:r>
          </w:p>
        </w:tc>
        <w:tc>
          <w:tcPr>
            <w:tcW w:w="92" w:type="dxa"/>
            <w:tcBorders/>
            <w:shd w:fill="FFFFFF" w:val="clear"/>
            <w:vAlign w:val="bottom"/>
          </w:tcPr>
          <w:p>
            <w:pPr>
              <w:pStyle w:val="TableContents"/>
              <w:spacing w:before="0" w:after="283"/>
              <w:jc w:val="left"/>
              <w:rPr/>
            </w:pPr>
            <w:r>
              <w:rPr/>
              <w:t> </w:t>
            </w:r>
          </w:p>
        </w:tc>
        <w:tc>
          <w:tcPr>
            <w:tcW w:w="92" w:type="dxa"/>
            <w:tcBorders/>
            <w:shd w:fill="FFFFFF" w:val="clear"/>
            <w:vAlign w:val="bottom"/>
          </w:tcPr>
          <w:p>
            <w:pPr>
              <w:pStyle w:val="TableContents"/>
              <w:spacing w:before="0" w:after="283"/>
              <w:rPr/>
            </w:pPr>
            <w:r>
              <w:rPr/>
              <w:t> </w:t>
            </w:r>
          </w:p>
        </w:tc>
        <w:tc>
          <w:tcPr>
            <w:tcW w:w="292" w:type="dxa"/>
            <w:tcBorders/>
            <w:shd w:fill="FFFFFF" w:val="clear"/>
            <w:vAlign w:val="bottom"/>
          </w:tcPr>
          <w:p>
            <w:pPr>
              <w:pStyle w:val="TableContents"/>
              <w:spacing w:before="0" w:after="283"/>
              <w:jc w:val="left"/>
              <w:rPr/>
            </w:pPr>
            <w:r>
              <w:rPr/>
              <w:t> </w:t>
            </w:r>
          </w:p>
        </w:tc>
        <w:tc>
          <w:tcPr>
            <w:tcW w:w="334" w:type="dxa"/>
            <w:tcBorders/>
            <w:shd w:fill="FFFFFF" w:val="clear"/>
            <w:vAlign w:val="bottom"/>
          </w:tcPr>
          <w:p>
            <w:pPr>
              <w:pStyle w:val="TableContents"/>
              <w:spacing w:before="0" w:after="283"/>
              <w:jc w:val="right"/>
              <w:rPr/>
            </w:pPr>
            <w:r>
              <w:rPr/>
              <w:t> </w:t>
            </w:r>
          </w:p>
        </w:tc>
        <w:tc>
          <w:tcPr>
            <w:tcW w:w="81"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81" w:type="dxa"/>
            <w:tcBorders/>
            <w:shd w:fill="FFFFFF" w:val="clear"/>
            <w:vAlign w:val="bottom"/>
          </w:tcPr>
          <w:p>
            <w:pPr>
              <w:pStyle w:val="TableContents"/>
              <w:spacing w:before="0" w:after="283"/>
              <w:jc w:val="left"/>
              <w:rPr/>
            </w:pPr>
            <w:r>
              <w:rPr/>
              <w:t> </w:t>
            </w:r>
          </w:p>
        </w:tc>
        <w:tc>
          <w:tcPr>
            <w:tcW w:w="982" w:type="dxa"/>
            <w:tcBorders/>
            <w:shd w:fill="FFFFFF" w:val="clear"/>
            <w:vAlign w:val="bottom"/>
          </w:tcPr>
          <w:p>
            <w:pPr>
              <w:pStyle w:val="TableContents"/>
              <w:spacing w:before="0" w:after="283"/>
              <w:jc w:val="right"/>
              <w:rPr/>
            </w:pPr>
            <w:r>
              <w:rPr/>
              <w:t> </w:t>
            </w:r>
          </w:p>
        </w:tc>
        <w:tc>
          <w:tcPr>
            <w:tcW w:w="99"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139" w:type="dxa"/>
            <w:tcBorders/>
            <w:shd w:fill="FFFFFF" w:val="clear"/>
            <w:vAlign w:val="bottom"/>
          </w:tcPr>
          <w:p>
            <w:pPr>
              <w:pStyle w:val="TableContents"/>
              <w:spacing w:before="0" w:after="283"/>
              <w:jc w:val="left"/>
              <w:rPr/>
            </w:pPr>
            <w:r>
              <w:rPr/>
              <w:t> </w:t>
            </w:r>
          </w:p>
        </w:tc>
        <w:tc>
          <w:tcPr>
            <w:tcW w:w="641" w:type="dxa"/>
            <w:tcBorders/>
            <w:shd w:fill="FFFFFF" w:val="clear"/>
            <w:vAlign w:val="bottom"/>
          </w:tcPr>
          <w:p>
            <w:pPr>
              <w:pStyle w:val="TableContents"/>
              <w:spacing w:before="0" w:after="283"/>
              <w:jc w:val="right"/>
              <w:rPr/>
            </w:pPr>
            <w:r>
              <w:rPr/>
              <w:t> </w:t>
            </w:r>
          </w:p>
        </w:tc>
        <w:tc>
          <w:tcPr>
            <w:tcW w:w="99"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283"/>
              <w:jc w:val="left"/>
              <w:rPr/>
            </w:pPr>
            <w:r>
              <w:rPr/>
              <w:t> </w:t>
            </w:r>
          </w:p>
        </w:tc>
        <w:tc>
          <w:tcPr>
            <w:tcW w:w="1077" w:type="dxa"/>
            <w:tcBorders/>
            <w:shd w:fill="FFFFFF" w:val="clear"/>
            <w:vAlign w:val="bottom"/>
          </w:tcPr>
          <w:p>
            <w:pPr>
              <w:pStyle w:val="TableContents"/>
              <w:spacing w:before="0" w:after="283"/>
              <w:jc w:val="right"/>
              <w:rPr/>
            </w:pPr>
            <w:r>
              <w:rPr/>
              <w:t> </w:t>
            </w:r>
          </w:p>
        </w:tc>
        <w:tc>
          <w:tcPr>
            <w:tcW w:w="99"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283"/>
              <w:jc w:val="left"/>
              <w:rPr/>
            </w:pPr>
            <w:r>
              <w:rPr/>
              <w:t> </w:t>
            </w:r>
          </w:p>
        </w:tc>
        <w:tc>
          <w:tcPr>
            <w:tcW w:w="1132" w:type="dxa"/>
            <w:tcBorders/>
            <w:shd w:fill="FFFFFF" w:val="clear"/>
            <w:vAlign w:val="bottom"/>
          </w:tcPr>
          <w:p>
            <w:pPr>
              <w:pStyle w:val="TableContents"/>
              <w:spacing w:before="0" w:after="283"/>
              <w:jc w:val="right"/>
              <w:rPr/>
            </w:pPr>
            <w:r>
              <w:rPr/>
              <w:t> </w:t>
            </w:r>
          </w:p>
        </w:tc>
        <w:tc>
          <w:tcPr>
            <w:tcW w:w="99"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141" w:type="dxa"/>
            <w:tcBorders/>
            <w:shd w:fill="FFFFFF" w:val="clear"/>
            <w:vAlign w:val="bottom"/>
          </w:tcPr>
          <w:p>
            <w:pPr>
              <w:pStyle w:val="TableContents"/>
              <w:spacing w:before="0" w:after="283"/>
              <w:jc w:val="left"/>
              <w:rPr/>
            </w:pPr>
            <w:r>
              <w:rPr/>
              <w:t> </w:t>
            </w:r>
          </w:p>
        </w:tc>
        <w:tc>
          <w:tcPr>
            <w:tcW w:w="1045" w:type="dxa"/>
            <w:tcBorders/>
            <w:shd w:fill="FFFFFF" w:val="clear"/>
            <w:vAlign w:val="bottom"/>
          </w:tcPr>
          <w:p>
            <w:pPr>
              <w:pStyle w:val="TableContents"/>
              <w:spacing w:before="0" w:after="283"/>
              <w:jc w:val="right"/>
              <w:rPr/>
            </w:pPr>
            <w:r>
              <w:rPr/>
              <w:t> </w:t>
            </w:r>
          </w:p>
        </w:tc>
        <w:tc>
          <w:tcPr>
            <w:tcW w:w="123" w:type="dxa"/>
            <w:tcBorders/>
            <w:shd w:fill="FFFFFF" w:val="clear"/>
            <w:vAlign w:val="bottom"/>
          </w:tcPr>
          <w:p>
            <w:pPr>
              <w:pStyle w:val="TableContents"/>
              <w:spacing w:before="0" w:after="283"/>
              <w:jc w:val="left"/>
              <w:rPr/>
            </w:pPr>
            <w:r>
              <w:rPr/>
              <w:t> </w:t>
            </w:r>
          </w:p>
        </w:tc>
      </w:tr>
      <w:tr>
        <w:trPr/>
        <w:tc>
          <w:tcPr>
            <w:tcW w:w="2070" w:type="dxa"/>
            <w:tcBorders/>
            <w:shd w:fill="CCEEFF" w:val="clear"/>
            <w:vAlign w:val="bottom"/>
          </w:tcPr>
          <w:p>
            <w:pPr>
              <w:pStyle w:val="TableContents"/>
              <w:spacing w:before="0" w:after="0"/>
              <w:ind w:left="0" w:right="0" w:hanging="0"/>
              <w:jc w:val="left"/>
              <w:rPr/>
            </w:pPr>
            <w:r>
              <w:rPr/>
              <w:t>    </w:t>
            </w:r>
            <w:r>
              <w:rPr>
                <w:rFonts w:ascii="helvetica" w:hAnsi="helvetica"/>
                <w:sz w:val="20"/>
              </w:rPr>
              <w:t>stock options related to consulting services agreement</w:t>
            </w:r>
          </w:p>
        </w:tc>
        <w:tc>
          <w:tcPr>
            <w:tcW w:w="81" w:type="dxa"/>
            <w:tcBorders/>
            <w:shd w:fill="CCEEFF" w:val="clear"/>
            <w:vAlign w:val="bottom"/>
          </w:tcPr>
          <w:p>
            <w:pPr>
              <w:pStyle w:val="TableContents"/>
              <w:spacing w:before="0" w:after="283"/>
              <w:rPr/>
            </w:pPr>
            <w:r>
              <w:rPr/>
              <w:t> </w:t>
            </w:r>
          </w:p>
        </w:tc>
        <w:tc>
          <w:tcPr>
            <w:tcW w:w="135" w:type="dxa"/>
            <w:tcBorders/>
            <w:shd w:fill="CCEEFF" w:val="clear"/>
            <w:vAlign w:val="bottom"/>
          </w:tcPr>
          <w:p>
            <w:pPr>
              <w:pStyle w:val="TableContents"/>
              <w:spacing w:before="0" w:after="283"/>
              <w:jc w:val="left"/>
              <w:rPr/>
            </w:pPr>
            <w:r>
              <w:rPr/>
              <w:t> </w:t>
            </w:r>
          </w:p>
        </w:tc>
        <w:tc>
          <w:tcPr>
            <w:tcW w:w="586"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w:t>
            </w:r>
          </w:p>
        </w:tc>
        <w:tc>
          <w:tcPr>
            <w:tcW w:w="92" w:type="dxa"/>
            <w:tcBorders/>
            <w:shd w:fill="CCEEFF" w:val="clear"/>
            <w:vAlign w:val="bottom"/>
          </w:tcPr>
          <w:p>
            <w:pPr>
              <w:pStyle w:val="TableContents"/>
              <w:spacing w:before="0" w:after="283"/>
              <w:jc w:val="left"/>
              <w:rPr/>
            </w:pPr>
            <w:r>
              <w:rPr/>
              <w:t> </w:t>
            </w:r>
          </w:p>
        </w:tc>
        <w:tc>
          <w:tcPr>
            <w:tcW w:w="92" w:type="dxa"/>
            <w:tcBorders/>
            <w:shd w:fill="CCEEFF" w:val="clear"/>
            <w:vAlign w:val="bottom"/>
          </w:tcPr>
          <w:p>
            <w:pPr>
              <w:pStyle w:val="TableContents"/>
              <w:spacing w:before="0" w:after="283"/>
              <w:rPr/>
            </w:pPr>
            <w:r>
              <w:rPr/>
              <w:t> </w:t>
            </w:r>
          </w:p>
        </w:tc>
        <w:tc>
          <w:tcPr>
            <w:tcW w:w="292" w:type="dxa"/>
            <w:tcBorders/>
            <w:shd w:fill="CCEEFF" w:val="clear"/>
            <w:vAlign w:val="bottom"/>
          </w:tcPr>
          <w:p>
            <w:pPr>
              <w:pStyle w:val="TableContents"/>
              <w:spacing w:before="0" w:after="283"/>
              <w:jc w:val="left"/>
              <w:rPr/>
            </w:pPr>
            <w:r>
              <w:rPr/>
              <w:t> </w:t>
            </w:r>
          </w:p>
        </w:tc>
        <w:tc>
          <w:tcPr>
            <w:tcW w:w="334"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w:t>
            </w:r>
          </w:p>
        </w:tc>
        <w:tc>
          <w:tcPr>
            <w:tcW w:w="81"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81" w:type="dxa"/>
            <w:tcBorders/>
            <w:shd w:fill="CCEEFF" w:val="clear"/>
            <w:vAlign w:val="bottom"/>
          </w:tcPr>
          <w:p>
            <w:pPr>
              <w:pStyle w:val="TableContents"/>
              <w:spacing w:before="0" w:after="283"/>
              <w:jc w:val="left"/>
              <w:rPr/>
            </w:pPr>
            <w:r>
              <w:rPr/>
              <w:t> </w:t>
            </w:r>
          </w:p>
        </w:tc>
        <w:tc>
          <w:tcPr>
            <w:tcW w:w="982"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(1,738</w:t>
            </w:r>
          </w:p>
        </w:tc>
        <w:tc>
          <w:tcPr>
            <w:tcW w:w="99" w:type="dxa"/>
            <w:tcBorders/>
            <w:shd w:fill="CCEEFF" w:val="clear"/>
            <w:vAlign w:val="bottom"/>
          </w:tcPr>
          <w:p>
            <w:pPr>
              <w:pStyle w:val="TableContents"/>
              <w:spacing w:before="0" w:after="283"/>
              <w:jc w:val="left"/>
              <w:rPr>
                <w:rFonts w:ascii="helvetica" w:hAnsi="helvetica"/>
                <w:sz w:val="20"/>
              </w:rPr>
            </w:pPr>
            <w:r>
              <w:rPr>
                <w:rFonts w:ascii="helvetica" w:hAnsi="helvetica"/>
                <w:sz w:val="20"/>
              </w:rPr>
              <w:t>)</w:t>
            </w:r>
          </w:p>
        </w:tc>
        <w:tc>
          <w:tcPr>
            <w:tcW w:w="81" w:type="dxa"/>
            <w:tcBorders/>
            <w:shd w:fill="CCEEFF" w:val="clear"/>
            <w:vAlign w:val="bottom"/>
          </w:tcPr>
          <w:p>
            <w:pPr>
              <w:pStyle w:val="TableContents"/>
              <w:spacing w:before="0" w:after="283"/>
              <w:rPr/>
            </w:pPr>
            <w:r>
              <w:rPr/>
              <w:t> </w:t>
            </w:r>
          </w:p>
        </w:tc>
        <w:tc>
          <w:tcPr>
            <w:tcW w:w="139" w:type="dxa"/>
            <w:tcBorders/>
            <w:shd w:fill="CCEEFF" w:val="clear"/>
            <w:vAlign w:val="bottom"/>
          </w:tcPr>
          <w:p>
            <w:pPr>
              <w:pStyle w:val="TableContents"/>
              <w:spacing w:before="0" w:after="283"/>
              <w:jc w:val="left"/>
              <w:rPr/>
            </w:pPr>
            <w:r>
              <w:rPr/>
              <w:t> </w:t>
            </w:r>
          </w:p>
        </w:tc>
        <w:tc>
          <w:tcPr>
            <w:tcW w:w="641"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(2</w:t>
            </w:r>
          </w:p>
        </w:tc>
        <w:tc>
          <w:tcPr>
            <w:tcW w:w="99" w:type="dxa"/>
            <w:tcBorders/>
            <w:shd w:fill="CCEEFF" w:val="clear"/>
            <w:vAlign w:val="bottom"/>
          </w:tcPr>
          <w:p>
            <w:pPr>
              <w:pStyle w:val="TableContents"/>
              <w:spacing w:before="0" w:after="283"/>
              <w:jc w:val="left"/>
              <w:rPr>
                <w:rFonts w:ascii="helvetica" w:hAnsi="helvetica"/>
                <w:sz w:val="20"/>
              </w:rPr>
            </w:pPr>
            <w:r>
              <w:rPr>
                <w:rFonts w:ascii="helvetica" w:hAnsi="helvetica"/>
                <w:sz w:val="20"/>
              </w:rPr>
              <w:t>)</w:t>
            </w:r>
          </w:p>
        </w:tc>
        <w:tc>
          <w:tcPr>
            <w:tcW w:w="81"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jc w:val="left"/>
              <w:rPr/>
            </w:pPr>
            <w:r>
              <w:rPr/>
              <w:t> </w:t>
            </w:r>
          </w:p>
        </w:tc>
        <w:tc>
          <w:tcPr>
            <w:tcW w:w="1077"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(117,991</w:t>
            </w:r>
          </w:p>
        </w:tc>
        <w:tc>
          <w:tcPr>
            <w:tcW w:w="99" w:type="dxa"/>
            <w:tcBorders/>
            <w:shd w:fill="CCEEFF" w:val="clear"/>
            <w:vAlign w:val="bottom"/>
          </w:tcPr>
          <w:p>
            <w:pPr>
              <w:pStyle w:val="TableContents"/>
              <w:spacing w:before="0" w:after="283"/>
              <w:jc w:val="left"/>
              <w:rPr>
                <w:rFonts w:ascii="helvetica" w:hAnsi="helvetica"/>
                <w:sz w:val="20"/>
              </w:rPr>
            </w:pPr>
            <w:r>
              <w:rPr>
                <w:rFonts w:ascii="helvetica" w:hAnsi="helvetica"/>
                <w:sz w:val="20"/>
              </w:rPr>
              <w:t>)</w:t>
            </w:r>
          </w:p>
        </w:tc>
        <w:tc>
          <w:tcPr>
            <w:tcW w:w="81"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jc w:val="left"/>
              <w:rPr/>
            </w:pPr>
            <w:r>
              <w:rPr/>
              <w:t> </w:t>
            </w:r>
          </w:p>
        </w:tc>
        <w:tc>
          <w:tcPr>
            <w:tcW w:w="1132"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w:t>
            </w:r>
          </w:p>
        </w:tc>
        <w:tc>
          <w:tcPr>
            <w:tcW w:w="99"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141" w:type="dxa"/>
            <w:tcBorders/>
            <w:shd w:fill="CCEEFF" w:val="clear"/>
            <w:vAlign w:val="bottom"/>
          </w:tcPr>
          <w:p>
            <w:pPr>
              <w:pStyle w:val="TableContents"/>
              <w:spacing w:before="0" w:after="283"/>
              <w:jc w:val="left"/>
              <w:rPr/>
            </w:pPr>
            <w:r>
              <w:rPr/>
              <w:t> </w:t>
            </w:r>
          </w:p>
        </w:tc>
        <w:tc>
          <w:tcPr>
            <w:tcW w:w="1045"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(117,993</w:t>
            </w:r>
          </w:p>
        </w:tc>
        <w:tc>
          <w:tcPr>
            <w:tcW w:w="123" w:type="dxa"/>
            <w:tcBorders/>
            <w:shd w:fill="CCEEFF" w:val="clear"/>
            <w:vAlign w:val="bottom"/>
          </w:tcPr>
          <w:p>
            <w:pPr>
              <w:pStyle w:val="TableContents"/>
              <w:spacing w:before="0" w:after="283"/>
              <w:jc w:val="left"/>
              <w:rPr>
                <w:rFonts w:ascii="helvetica" w:hAnsi="helvetica"/>
                <w:sz w:val="20"/>
              </w:rPr>
            </w:pPr>
            <w:r>
              <w:rPr>
                <w:rFonts w:ascii="helvetica" w:hAnsi="helvetica"/>
                <w:sz w:val="20"/>
              </w:rPr>
              <w:t>)</w:t>
            </w:r>
          </w:p>
        </w:tc>
      </w:tr>
      <w:tr>
        <w:trPr/>
        <w:tc>
          <w:tcPr>
            <w:tcW w:w="2070" w:type="dxa"/>
            <w:tcBorders/>
            <w:shd w:fill="FFFFFF" w:val="clear"/>
            <w:vAlign w:val="bottom"/>
          </w:tcPr>
          <w:p>
            <w:pPr>
              <w:pStyle w:val="TableContents"/>
              <w:spacing w:before="0" w:after="0"/>
              <w:ind w:left="0" w:right="0" w:hanging="0"/>
              <w:jc w:val="left"/>
              <w:rPr/>
            </w:pPr>
            <w:r>
              <w:rPr/>
              <w:t> </w:t>
            </w:r>
            <w:r>
              <w:rPr>
                <w:rFonts w:ascii="helvetica" w:hAnsi="helvetica"/>
                <w:sz w:val="20"/>
              </w:rPr>
              <w:t>Issuance of restricted stock at $5.60 per share</w:t>
            </w:r>
          </w:p>
        </w:tc>
        <w:tc>
          <w:tcPr>
            <w:tcW w:w="81" w:type="dxa"/>
            <w:tcBorders/>
            <w:shd w:fill="FFFFFF" w:val="clear"/>
            <w:vAlign w:val="bottom"/>
          </w:tcPr>
          <w:p>
            <w:pPr>
              <w:pStyle w:val="TableContents"/>
              <w:spacing w:before="0" w:after="283"/>
              <w:rPr/>
            </w:pPr>
            <w:r>
              <w:rPr/>
              <w:t> </w:t>
            </w:r>
          </w:p>
        </w:tc>
        <w:tc>
          <w:tcPr>
            <w:tcW w:w="135" w:type="dxa"/>
            <w:tcBorders/>
            <w:shd w:fill="FFFFFF" w:val="clear"/>
            <w:vAlign w:val="bottom"/>
          </w:tcPr>
          <w:p>
            <w:pPr>
              <w:pStyle w:val="TableContents"/>
              <w:spacing w:before="0" w:after="283"/>
              <w:jc w:val="left"/>
              <w:rPr/>
            </w:pPr>
            <w:r>
              <w:rPr/>
              <w:t> </w:t>
            </w:r>
          </w:p>
        </w:tc>
        <w:tc>
          <w:tcPr>
            <w:tcW w:w="586" w:type="dxa"/>
            <w:tcBorders/>
            <w:shd w:fill="FFFFFF" w:val="clear"/>
            <w:vAlign w:val="bottom"/>
          </w:tcPr>
          <w:p>
            <w:pPr>
              <w:pStyle w:val="TableContents"/>
              <w:spacing w:before="0" w:after="283"/>
              <w:jc w:val="right"/>
              <w:rPr/>
            </w:pPr>
            <w:r>
              <w:rPr/>
              <w:t> </w:t>
            </w:r>
          </w:p>
        </w:tc>
        <w:tc>
          <w:tcPr>
            <w:tcW w:w="92" w:type="dxa"/>
            <w:tcBorders/>
            <w:shd w:fill="FFFFFF" w:val="clear"/>
            <w:vAlign w:val="bottom"/>
          </w:tcPr>
          <w:p>
            <w:pPr>
              <w:pStyle w:val="TableContents"/>
              <w:spacing w:before="0" w:after="283"/>
              <w:jc w:val="left"/>
              <w:rPr/>
            </w:pPr>
            <w:r>
              <w:rPr/>
              <w:t> </w:t>
            </w:r>
          </w:p>
        </w:tc>
        <w:tc>
          <w:tcPr>
            <w:tcW w:w="92" w:type="dxa"/>
            <w:tcBorders/>
            <w:shd w:fill="FFFFFF" w:val="clear"/>
            <w:vAlign w:val="bottom"/>
          </w:tcPr>
          <w:p>
            <w:pPr>
              <w:pStyle w:val="TableContents"/>
              <w:spacing w:before="0" w:after="283"/>
              <w:rPr/>
            </w:pPr>
            <w:r>
              <w:rPr/>
              <w:t> </w:t>
            </w:r>
          </w:p>
        </w:tc>
        <w:tc>
          <w:tcPr>
            <w:tcW w:w="292" w:type="dxa"/>
            <w:tcBorders/>
            <w:shd w:fill="FFFFFF" w:val="clear"/>
            <w:vAlign w:val="bottom"/>
          </w:tcPr>
          <w:p>
            <w:pPr>
              <w:pStyle w:val="TableContents"/>
              <w:spacing w:before="0" w:after="283"/>
              <w:jc w:val="left"/>
              <w:rPr/>
            </w:pPr>
            <w:r>
              <w:rPr/>
              <w:t> </w:t>
            </w:r>
          </w:p>
        </w:tc>
        <w:tc>
          <w:tcPr>
            <w:tcW w:w="334" w:type="dxa"/>
            <w:tcBorders/>
            <w:shd w:fill="FFFFFF" w:val="clear"/>
            <w:vAlign w:val="bottom"/>
          </w:tcPr>
          <w:p>
            <w:pPr>
              <w:pStyle w:val="TableContents"/>
              <w:spacing w:before="0" w:after="283"/>
              <w:jc w:val="right"/>
              <w:rPr/>
            </w:pPr>
            <w:r>
              <w:rPr/>
              <w:t> </w:t>
            </w:r>
          </w:p>
        </w:tc>
        <w:tc>
          <w:tcPr>
            <w:tcW w:w="81"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81" w:type="dxa"/>
            <w:tcBorders/>
            <w:shd w:fill="FFFFFF" w:val="clear"/>
            <w:vAlign w:val="bottom"/>
          </w:tcPr>
          <w:p>
            <w:pPr>
              <w:pStyle w:val="TableContents"/>
              <w:spacing w:before="0" w:after="283"/>
              <w:jc w:val="left"/>
              <w:rPr/>
            </w:pPr>
            <w:r>
              <w:rPr/>
              <w:t> </w:t>
            </w:r>
          </w:p>
        </w:tc>
        <w:tc>
          <w:tcPr>
            <w:tcW w:w="982" w:type="dxa"/>
            <w:tcBorders/>
            <w:shd w:fill="FFFFFF" w:val="clear"/>
            <w:vAlign w:val="bottom"/>
          </w:tcPr>
          <w:p>
            <w:pPr>
              <w:pStyle w:val="TableContents"/>
              <w:spacing w:before="0" w:after="283"/>
              <w:jc w:val="right"/>
              <w:rPr/>
            </w:pPr>
            <w:r>
              <w:rPr/>
              <w:t> </w:t>
            </w:r>
          </w:p>
        </w:tc>
        <w:tc>
          <w:tcPr>
            <w:tcW w:w="99"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139" w:type="dxa"/>
            <w:tcBorders/>
            <w:shd w:fill="FFFFFF" w:val="clear"/>
            <w:vAlign w:val="bottom"/>
          </w:tcPr>
          <w:p>
            <w:pPr>
              <w:pStyle w:val="TableContents"/>
              <w:spacing w:before="0" w:after="283"/>
              <w:jc w:val="left"/>
              <w:rPr/>
            </w:pPr>
            <w:r>
              <w:rPr/>
              <w:t> </w:t>
            </w:r>
          </w:p>
        </w:tc>
        <w:tc>
          <w:tcPr>
            <w:tcW w:w="641" w:type="dxa"/>
            <w:tcBorders/>
            <w:shd w:fill="FFFFFF" w:val="clear"/>
            <w:vAlign w:val="bottom"/>
          </w:tcPr>
          <w:p>
            <w:pPr>
              <w:pStyle w:val="TableContents"/>
              <w:spacing w:before="0" w:after="283"/>
              <w:jc w:val="right"/>
              <w:rPr/>
            </w:pPr>
            <w:r>
              <w:rPr/>
              <w:t> </w:t>
            </w:r>
          </w:p>
        </w:tc>
        <w:tc>
          <w:tcPr>
            <w:tcW w:w="99"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283"/>
              <w:jc w:val="left"/>
              <w:rPr/>
            </w:pPr>
            <w:r>
              <w:rPr/>
              <w:t> </w:t>
            </w:r>
          </w:p>
        </w:tc>
        <w:tc>
          <w:tcPr>
            <w:tcW w:w="1077" w:type="dxa"/>
            <w:tcBorders/>
            <w:shd w:fill="FFFFFF" w:val="clear"/>
            <w:vAlign w:val="bottom"/>
          </w:tcPr>
          <w:p>
            <w:pPr>
              <w:pStyle w:val="TableContents"/>
              <w:spacing w:before="0" w:after="283"/>
              <w:jc w:val="right"/>
              <w:rPr/>
            </w:pPr>
            <w:r>
              <w:rPr/>
              <w:t> </w:t>
            </w:r>
          </w:p>
        </w:tc>
        <w:tc>
          <w:tcPr>
            <w:tcW w:w="99"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283"/>
              <w:jc w:val="left"/>
              <w:rPr/>
            </w:pPr>
            <w:r>
              <w:rPr/>
              <w:t> </w:t>
            </w:r>
          </w:p>
        </w:tc>
        <w:tc>
          <w:tcPr>
            <w:tcW w:w="1132" w:type="dxa"/>
            <w:tcBorders/>
            <w:shd w:fill="FFFFFF" w:val="clear"/>
            <w:vAlign w:val="bottom"/>
          </w:tcPr>
          <w:p>
            <w:pPr>
              <w:pStyle w:val="TableContents"/>
              <w:spacing w:before="0" w:after="283"/>
              <w:jc w:val="right"/>
              <w:rPr/>
            </w:pPr>
            <w:r>
              <w:rPr/>
              <w:t> </w:t>
            </w:r>
          </w:p>
        </w:tc>
        <w:tc>
          <w:tcPr>
            <w:tcW w:w="99"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141" w:type="dxa"/>
            <w:tcBorders/>
            <w:shd w:fill="FFFFFF" w:val="clear"/>
            <w:vAlign w:val="bottom"/>
          </w:tcPr>
          <w:p>
            <w:pPr>
              <w:pStyle w:val="TableContents"/>
              <w:spacing w:before="0" w:after="283"/>
              <w:jc w:val="left"/>
              <w:rPr/>
            </w:pPr>
            <w:r>
              <w:rPr/>
              <w:t> </w:t>
            </w:r>
          </w:p>
        </w:tc>
        <w:tc>
          <w:tcPr>
            <w:tcW w:w="1045" w:type="dxa"/>
            <w:tcBorders/>
            <w:shd w:fill="FFFFFF" w:val="clear"/>
            <w:vAlign w:val="bottom"/>
          </w:tcPr>
          <w:p>
            <w:pPr>
              <w:pStyle w:val="TableContents"/>
              <w:spacing w:before="0" w:after="283"/>
              <w:jc w:val="right"/>
              <w:rPr/>
            </w:pPr>
            <w:r>
              <w:rPr/>
              <w:t> </w:t>
            </w:r>
          </w:p>
        </w:tc>
        <w:tc>
          <w:tcPr>
            <w:tcW w:w="123" w:type="dxa"/>
            <w:tcBorders/>
            <w:shd w:fill="FFFFFF" w:val="clear"/>
            <w:vAlign w:val="bottom"/>
          </w:tcPr>
          <w:p>
            <w:pPr>
              <w:pStyle w:val="TableContents"/>
              <w:spacing w:before="0" w:after="283"/>
              <w:jc w:val="left"/>
              <w:rPr/>
            </w:pPr>
            <w:r>
              <w:rPr/>
              <w:t> </w:t>
            </w:r>
          </w:p>
        </w:tc>
      </w:tr>
      <w:tr>
        <w:trPr/>
        <w:tc>
          <w:tcPr>
            <w:tcW w:w="2070" w:type="dxa"/>
            <w:tcBorders/>
            <w:shd w:fill="CCEEFF" w:val="clear"/>
            <w:vAlign w:val="bottom"/>
          </w:tcPr>
          <w:p>
            <w:pPr>
              <w:pStyle w:val="TableContents"/>
              <w:spacing w:before="0" w:after="0"/>
              <w:ind w:left="0" w:right="0" w:hanging="0"/>
              <w:jc w:val="left"/>
              <w:rPr/>
            </w:pPr>
            <w:r>
              <w:rPr/>
              <w:t>    </w:t>
            </w:r>
            <w:r>
              <w:rPr>
                <w:rFonts w:ascii="helvetica" w:hAnsi="helvetica"/>
                <w:sz w:val="20"/>
              </w:rPr>
              <w:t>in November 2008</w:t>
            </w:r>
          </w:p>
        </w:tc>
        <w:tc>
          <w:tcPr>
            <w:tcW w:w="81" w:type="dxa"/>
            <w:tcBorders/>
            <w:shd w:fill="CCEEFF" w:val="clear"/>
            <w:vAlign w:val="bottom"/>
          </w:tcPr>
          <w:p>
            <w:pPr>
              <w:pStyle w:val="TableContents"/>
              <w:spacing w:before="0" w:after="283"/>
              <w:rPr/>
            </w:pPr>
            <w:r>
              <w:rPr/>
              <w:t> </w:t>
            </w:r>
          </w:p>
        </w:tc>
        <w:tc>
          <w:tcPr>
            <w:tcW w:w="135" w:type="dxa"/>
            <w:tcBorders/>
            <w:shd w:fill="CCEEFF" w:val="clear"/>
            <w:vAlign w:val="bottom"/>
          </w:tcPr>
          <w:p>
            <w:pPr>
              <w:pStyle w:val="TableContents"/>
              <w:spacing w:before="0" w:after="283"/>
              <w:jc w:val="left"/>
              <w:rPr/>
            </w:pPr>
            <w:r>
              <w:rPr/>
              <w:t> </w:t>
            </w:r>
          </w:p>
        </w:tc>
        <w:tc>
          <w:tcPr>
            <w:tcW w:w="586"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w:t>
            </w:r>
          </w:p>
        </w:tc>
        <w:tc>
          <w:tcPr>
            <w:tcW w:w="92" w:type="dxa"/>
            <w:tcBorders/>
            <w:shd w:fill="CCEEFF" w:val="clear"/>
            <w:vAlign w:val="bottom"/>
          </w:tcPr>
          <w:p>
            <w:pPr>
              <w:pStyle w:val="TableContents"/>
              <w:spacing w:before="0" w:after="283"/>
              <w:jc w:val="left"/>
              <w:rPr/>
            </w:pPr>
            <w:r>
              <w:rPr/>
              <w:t> </w:t>
            </w:r>
          </w:p>
        </w:tc>
        <w:tc>
          <w:tcPr>
            <w:tcW w:w="92" w:type="dxa"/>
            <w:tcBorders/>
            <w:shd w:fill="CCEEFF" w:val="clear"/>
            <w:vAlign w:val="bottom"/>
          </w:tcPr>
          <w:p>
            <w:pPr>
              <w:pStyle w:val="TableContents"/>
              <w:spacing w:before="0" w:after="283"/>
              <w:rPr/>
            </w:pPr>
            <w:r>
              <w:rPr/>
              <w:t> </w:t>
            </w:r>
          </w:p>
        </w:tc>
        <w:tc>
          <w:tcPr>
            <w:tcW w:w="292" w:type="dxa"/>
            <w:tcBorders/>
            <w:shd w:fill="CCEEFF" w:val="clear"/>
            <w:vAlign w:val="bottom"/>
          </w:tcPr>
          <w:p>
            <w:pPr>
              <w:pStyle w:val="TableContents"/>
              <w:spacing w:before="0" w:after="283"/>
              <w:jc w:val="left"/>
              <w:rPr/>
            </w:pPr>
            <w:r>
              <w:rPr/>
              <w:t> </w:t>
            </w:r>
          </w:p>
        </w:tc>
        <w:tc>
          <w:tcPr>
            <w:tcW w:w="334"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w:t>
            </w:r>
          </w:p>
        </w:tc>
        <w:tc>
          <w:tcPr>
            <w:tcW w:w="81"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81" w:type="dxa"/>
            <w:tcBorders/>
            <w:shd w:fill="CCEEFF" w:val="clear"/>
            <w:vAlign w:val="bottom"/>
          </w:tcPr>
          <w:p>
            <w:pPr>
              <w:pStyle w:val="TableContents"/>
              <w:spacing w:before="0" w:after="283"/>
              <w:jc w:val="left"/>
              <w:rPr/>
            </w:pPr>
            <w:r>
              <w:rPr/>
              <w:t> </w:t>
            </w:r>
          </w:p>
        </w:tc>
        <w:tc>
          <w:tcPr>
            <w:tcW w:w="982"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3,125</w:t>
            </w:r>
          </w:p>
        </w:tc>
        <w:tc>
          <w:tcPr>
            <w:tcW w:w="99"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139" w:type="dxa"/>
            <w:tcBorders/>
            <w:shd w:fill="CCEEFF" w:val="clear"/>
            <w:vAlign w:val="bottom"/>
          </w:tcPr>
          <w:p>
            <w:pPr>
              <w:pStyle w:val="TableContents"/>
              <w:spacing w:before="0" w:after="283"/>
              <w:jc w:val="left"/>
              <w:rPr/>
            </w:pPr>
            <w:r>
              <w:rPr/>
              <w:t> </w:t>
            </w:r>
          </w:p>
        </w:tc>
        <w:tc>
          <w:tcPr>
            <w:tcW w:w="641"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3</w:t>
            </w:r>
          </w:p>
        </w:tc>
        <w:tc>
          <w:tcPr>
            <w:tcW w:w="99"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jc w:val="left"/>
              <w:rPr/>
            </w:pPr>
            <w:r>
              <w:rPr/>
              <w:t> </w:t>
            </w:r>
          </w:p>
        </w:tc>
        <w:tc>
          <w:tcPr>
            <w:tcW w:w="1077"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(3</w:t>
            </w:r>
          </w:p>
        </w:tc>
        <w:tc>
          <w:tcPr>
            <w:tcW w:w="99" w:type="dxa"/>
            <w:tcBorders/>
            <w:shd w:fill="CCEEFF" w:val="clear"/>
            <w:vAlign w:val="bottom"/>
          </w:tcPr>
          <w:p>
            <w:pPr>
              <w:pStyle w:val="TableContents"/>
              <w:spacing w:before="0" w:after="283"/>
              <w:jc w:val="left"/>
              <w:rPr>
                <w:rFonts w:ascii="helvetica" w:hAnsi="helvetica"/>
                <w:sz w:val="20"/>
              </w:rPr>
            </w:pPr>
            <w:r>
              <w:rPr>
                <w:rFonts w:ascii="helvetica" w:hAnsi="helvetica"/>
                <w:sz w:val="20"/>
              </w:rPr>
              <w:t>)</w:t>
            </w:r>
          </w:p>
        </w:tc>
        <w:tc>
          <w:tcPr>
            <w:tcW w:w="81"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jc w:val="left"/>
              <w:rPr/>
            </w:pPr>
            <w:r>
              <w:rPr/>
              <w:t> </w:t>
            </w:r>
          </w:p>
        </w:tc>
        <w:tc>
          <w:tcPr>
            <w:tcW w:w="1132"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w:t>
            </w:r>
          </w:p>
        </w:tc>
        <w:tc>
          <w:tcPr>
            <w:tcW w:w="99"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141" w:type="dxa"/>
            <w:tcBorders/>
            <w:shd w:fill="CCEEFF" w:val="clear"/>
            <w:vAlign w:val="bottom"/>
          </w:tcPr>
          <w:p>
            <w:pPr>
              <w:pStyle w:val="TableContents"/>
              <w:spacing w:before="0" w:after="283"/>
              <w:jc w:val="left"/>
              <w:rPr/>
            </w:pPr>
            <w:r>
              <w:rPr/>
              <w:t> </w:t>
            </w:r>
          </w:p>
        </w:tc>
        <w:tc>
          <w:tcPr>
            <w:tcW w:w="1045"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w:t>
            </w:r>
          </w:p>
        </w:tc>
        <w:tc>
          <w:tcPr>
            <w:tcW w:w="123" w:type="dxa"/>
            <w:tcBorders/>
            <w:shd w:fill="CCEEFF" w:val="clear"/>
            <w:vAlign w:val="bottom"/>
          </w:tcPr>
          <w:p>
            <w:pPr>
              <w:pStyle w:val="TableContents"/>
              <w:spacing w:before="0" w:after="283"/>
              <w:jc w:val="left"/>
              <w:rPr/>
            </w:pPr>
            <w:r>
              <w:rPr/>
              <w:t> </w:t>
            </w:r>
          </w:p>
        </w:tc>
      </w:tr>
      <w:tr>
        <w:trPr/>
        <w:tc>
          <w:tcPr>
            <w:tcW w:w="2070" w:type="dxa"/>
            <w:tcBorders/>
            <w:shd w:fill="FFFFFF" w:val="clear"/>
            <w:vAlign w:val="bottom"/>
          </w:tcPr>
          <w:p>
            <w:pPr>
              <w:pStyle w:val="TableContents"/>
              <w:spacing w:before="0" w:after="0"/>
              <w:ind w:left="0" w:right="0" w:hanging="0"/>
              <w:jc w:val="left"/>
              <w:rPr/>
            </w:pPr>
            <w:r>
              <w:rPr/>
              <w:t> </w:t>
            </w:r>
            <w:r>
              <w:rPr>
                <w:rFonts w:ascii="helvetica" w:hAnsi="helvetica"/>
                <w:sz w:val="20"/>
              </w:rPr>
              <w:t>Stock-based compensation</w:t>
            </w:r>
          </w:p>
        </w:tc>
        <w:tc>
          <w:tcPr>
            <w:tcW w:w="81" w:type="dxa"/>
            <w:tcBorders/>
            <w:shd w:fill="FFFFFF" w:val="clear"/>
            <w:vAlign w:val="bottom"/>
          </w:tcPr>
          <w:p>
            <w:pPr>
              <w:pStyle w:val="TableContents"/>
              <w:spacing w:before="0" w:after="283"/>
              <w:rPr/>
            </w:pPr>
            <w:r>
              <w:rPr/>
              <w:t> </w:t>
            </w:r>
          </w:p>
        </w:tc>
        <w:tc>
          <w:tcPr>
            <w:tcW w:w="135" w:type="dxa"/>
            <w:tcBorders/>
            <w:shd w:fill="FFFFFF" w:val="clear"/>
            <w:vAlign w:val="bottom"/>
          </w:tcPr>
          <w:p>
            <w:pPr>
              <w:pStyle w:val="TableContents"/>
              <w:spacing w:before="0" w:after="283"/>
              <w:jc w:val="left"/>
              <w:rPr/>
            </w:pPr>
            <w:r>
              <w:rPr/>
              <w:t> </w:t>
            </w:r>
          </w:p>
        </w:tc>
        <w:tc>
          <w:tcPr>
            <w:tcW w:w="586"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w:t>
            </w:r>
          </w:p>
        </w:tc>
        <w:tc>
          <w:tcPr>
            <w:tcW w:w="92" w:type="dxa"/>
            <w:tcBorders/>
            <w:shd w:fill="FFFFFF" w:val="clear"/>
            <w:vAlign w:val="bottom"/>
          </w:tcPr>
          <w:p>
            <w:pPr>
              <w:pStyle w:val="TableContents"/>
              <w:spacing w:before="0" w:after="283"/>
              <w:jc w:val="left"/>
              <w:rPr/>
            </w:pPr>
            <w:r>
              <w:rPr/>
              <w:t> </w:t>
            </w:r>
          </w:p>
        </w:tc>
        <w:tc>
          <w:tcPr>
            <w:tcW w:w="92" w:type="dxa"/>
            <w:tcBorders/>
            <w:shd w:fill="FFFFFF" w:val="clear"/>
            <w:vAlign w:val="bottom"/>
          </w:tcPr>
          <w:p>
            <w:pPr>
              <w:pStyle w:val="TableContents"/>
              <w:spacing w:before="0" w:after="283"/>
              <w:rPr/>
            </w:pPr>
            <w:r>
              <w:rPr/>
              <w:t> </w:t>
            </w:r>
          </w:p>
        </w:tc>
        <w:tc>
          <w:tcPr>
            <w:tcW w:w="292" w:type="dxa"/>
            <w:tcBorders/>
            <w:shd w:fill="FFFFFF" w:val="clear"/>
            <w:vAlign w:val="bottom"/>
          </w:tcPr>
          <w:p>
            <w:pPr>
              <w:pStyle w:val="TableContents"/>
              <w:spacing w:before="0" w:after="283"/>
              <w:jc w:val="left"/>
              <w:rPr/>
            </w:pPr>
            <w:r>
              <w:rPr/>
              <w:t> </w:t>
            </w:r>
          </w:p>
        </w:tc>
        <w:tc>
          <w:tcPr>
            <w:tcW w:w="334"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w:t>
            </w:r>
          </w:p>
        </w:tc>
        <w:tc>
          <w:tcPr>
            <w:tcW w:w="81"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81" w:type="dxa"/>
            <w:tcBorders/>
            <w:shd w:fill="FFFFFF" w:val="clear"/>
            <w:vAlign w:val="bottom"/>
          </w:tcPr>
          <w:p>
            <w:pPr>
              <w:pStyle w:val="TableContents"/>
              <w:spacing w:before="0" w:after="283"/>
              <w:jc w:val="left"/>
              <w:rPr/>
            </w:pPr>
            <w:r>
              <w:rPr/>
              <w:t> </w:t>
            </w:r>
          </w:p>
        </w:tc>
        <w:tc>
          <w:tcPr>
            <w:tcW w:w="982"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w:t>
            </w:r>
          </w:p>
        </w:tc>
        <w:tc>
          <w:tcPr>
            <w:tcW w:w="99"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139" w:type="dxa"/>
            <w:tcBorders/>
            <w:shd w:fill="FFFFFF" w:val="clear"/>
            <w:vAlign w:val="bottom"/>
          </w:tcPr>
          <w:p>
            <w:pPr>
              <w:pStyle w:val="TableContents"/>
              <w:spacing w:before="0" w:after="283"/>
              <w:jc w:val="left"/>
              <w:rPr/>
            </w:pPr>
            <w:r>
              <w:rPr/>
              <w:t> </w:t>
            </w:r>
          </w:p>
        </w:tc>
        <w:tc>
          <w:tcPr>
            <w:tcW w:w="641"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w:t>
            </w:r>
          </w:p>
        </w:tc>
        <w:tc>
          <w:tcPr>
            <w:tcW w:w="99"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283"/>
              <w:jc w:val="left"/>
              <w:rPr/>
            </w:pPr>
            <w:r>
              <w:rPr/>
              <w:t> </w:t>
            </w:r>
          </w:p>
        </w:tc>
        <w:tc>
          <w:tcPr>
            <w:tcW w:w="1077"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562,442</w:t>
            </w:r>
          </w:p>
        </w:tc>
        <w:tc>
          <w:tcPr>
            <w:tcW w:w="99"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283"/>
              <w:jc w:val="left"/>
              <w:rPr/>
            </w:pPr>
            <w:r>
              <w:rPr/>
              <w:t> </w:t>
            </w:r>
          </w:p>
        </w:tc>
        <w:tc>
          <w:tcPr>
            <w:tcW w:w="1132"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w:t>
            </w:r>
          </w:p>
        </w:tc>
        <w:tc>
          <w:tcPr>
            <w:tcW w:w="99"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141" w:type="dxa"/>
            <w:tcBorders/>
            <w:shd w:fill="FFFFFF" w:val="clear"/>
            <w:vAlign w:val="bottom"/>
          </w:tcPr>
          <w:p>
            <w:pPr>
              <w:pStyle w:val="TableContents"/>
              <w:spacing w:before="0" w:after="283"/>
              <w:jc w:val="left"/>
              <w:rPr/>
            </w:pPr>
            <w:r>
              <w:rPr/>
              <w:t> </w:t>
            </w:r>
          </w:p>
        </w:tc>
        <w:tc>
          <w:tcPr>
            <w:tcW w:w="1045"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562,442</w:t>
            </w:r>
          </w:p>
        </w:tc>
        <w:tc>
          <w:tcPr>
            <w:tcW w:w="123" w:type="dxa"/>
            <w:tcBorders/>
            <w:shd w:fill="FFFFFF" w:val="clear"/>
            <w:vAlign w:val="bottom"/>
          </w:tcPr>
          <w:p>
            <w:pPr>
              <w:pStyle w:val="TableContents"/>
              <w:spacing w:before="0" w:after="283"/>
              <w:jc w:val="left"/>
              <w:rPr/>
            </w:pPr>
            <w:r>
              <w:rPr/>
              <w:t> </w:t>
            </w:r>
          </w:p>
        </w:tc>
      </w:tr>
      <w:tr>
        <w:trPr/>
        <w:tc>
          <w:tcPr>
            <w:tcW w:w="2070" w:type="dxa"/>
            <w:tcBorders/>
            <w:shd w:fill="CCEEFF" w:val="clear"/>
            <w:vAlign w:val="bottom"/>
          </w:tcPr>
          <w:p>
            <w:pPr>
              <w:pStyle w:val="TableContents"/>
              <w:spacing w:before="0" w:after="0"/>
              <w:ind w:left="0" w:right="0" w:hanging="0"/>
              <w:jc w:val="left"/>
              <w:rPr/>
            </w:pPr>
            <w:r>
              <w:rPr/>
              <w:t> </w:t>
            </w:r>
            <w:r>
              <w:rPr>
                <w:rFonts w:ascii="helvetica" w:hAnsi="helvetica"/>
                <w:sz w:val="20"/>
              </w:rPr>
              <w:t>Net loss</w:t>
            </w:r>
          </w:p>
        </w:tc>
        <w:tc>
          <w:tcPr>
            <w:tcW w:w="81" w:type="dxa"/>
            <w:tcBorders/>
            <w:shd w:fill="CCEEFF" w:val="clear"/>
            <w:vAlign w:val="bottom"/>
          </w:tcPr>
          <w:p>
            <w:pPr>
              <w:pStyle w:val="TableContents"/>
              <w:spacing w:before="0" w:after="283"/>
              <w:rPr/>
            </w:pPr>
            <w:r>
              <w:rPr/>
              <w:t> </w:t>
            </w:r>
          </w:p>
        </w:tc>
        <w:tc>
          <w:tcPr>
            <w:tcW w:w="13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586" w:type="dxa"/>
            <w:tcBorders>
              <w:bottom w:val="single" w:sz="12" w:space="0" w:color="000000"/>
            </w:tcBorders>
            <w:shd w:fill="CCEE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w:t>
            </w:r>
          </w:p>
        </w:tc>
        <w:tc>
          <w:tcPr>
            <w:tcW w:w="92" w:type="dxa"/>
            <w:tcBorders/>
            <w:shd w:fill="CCEEFF" w:val="clear"/>
            <w:vAlign w:val="bottom"/>
          </w:tcPr>
          <w:p>
            <w:pPr>
              <w:pStyle w:val="TableContents"/>
              <w:spacing w:before="0" w:after="283"/>
              <w:jc w:val="left"/>
              <w:rPr/>
            </w:pPr>
            <w:r>
              <w:rPr/>
              <w:t> </w:t>
            </w:r>
          </w:p>
        </w:tc>
        <w:tc>
          <w:tcPr>
            <w:tcW w:w="92" w:type="dxa"/>
            <w:tcBorders/>
            <w:shd w:fill="CCEEFF" w:val="clear"/>
            <w:vAlign w:val="bottom"/>
          </w:tcPr>
          <w:p>
            <w:pPr>
              <w:pStyle w:val="TableContents"/>
              <w:spacing w:before="0" w:after="283"/>
              <w:rPr/>
            </w:pPr>
            <w:r>
              <w:rPr/>
              <w:t> </w:t>
            </w:r>
          </w:p>
        </w:tc>
        <w:tc>
          <w:tcPr>
            <w:tcW w:w="292"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334" w:type="dxa"/>
            <w:tcBorders>
              <w:bottom w:val="single" w:sz="12" w:space="0" w:color="000000"/>
            </w:tcBorders>
            <w:shd w:fill="CCEE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w:t>
            </w:r>
          </w:p>
        </w:tc>
        <w:tc>
          <w:tcPr>
            <w:tcW w:w="81"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81"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982" w:type="dxa"/>
            <w:tcBorders>
              <w:bottom w:val="single" w:sz="12" w:space="0" w:color="000000"/>
            </w:tcBorders>
            <w:shd w:fill="CCEE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w:t>
            </w:r>
          </w:p>
        </w:tc>
        <w:tc>
          <w:tcPr>
            <w:tcW w:w="99"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139"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641" w:type="dxa"/>
            <w:tcBorders>
              <w:bottom w:val="single" w:sz="12" w:space="0" w:color="000000"/>
            </w:tcBorders>
            <w:shd w:fill="CCEE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w:t>
            </w:r>
          </w:p>
        </w:tc>
        <w:tc>
          <w:tcPr>
            <w:tcW w:w="99"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140"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77" w:type="dxa"/>
            <w:tcBorders>
              <w:bottom w:val="single" w:sz="12" w:space="0" w:color="000000"/>
            </w:tcBorders>
            <w:shd w:fill="CCEE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w:t>
            </w:r>
          </w:p>
        </w:tc>
        <w:tc>
          <w:tcPr>
            <w:tcW w:w="99"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140"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132" w:type="dxa"/>
            <w:tcBorders>
              <w:bottom w:val="single" w:sz="12" w:space="0" w:color="000000"/>
            </w:tcBorders>
            <w:shd w:fill="CCEE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(3,304,388</w:t>
            </w:r>
          </w:p>
        </w:tc>
        <w:tc>
          <w:tcPr>
            <w:tcW w:w="99" w:type="dxa"/>
            <w:tcBorders/>
            <w:shd w:fill="CCEEFF" w:val="clear"/>
            <w:vAlign w:val="bottom"/>
          </w:tcPr>
          <w:p>
            <w:pPr>
              <w:pStyle w:val="TableContents"/>
              <w:spacing w:before="0" w:after="283"/>
              <w:jc w:val="left"/>
              <w:rPr>
                <w:rFonts w:ascii="helvetica" w:hAnsi="helvetica"/>
                <w:sz w:val="20"/>
              </w:rPr>
            </w:pPr>
            <w:r>
              <w:rPr>
                <w:rFonts w:ascii="helvetica" w:hAnsi="helvetica"/>
                <w:sz w:val="20"/>
              </w:rPr>
              <w:t>)</w:t>
            </w:r>
          </w:p>
        </w:tc>
        <w:tc>
          <w:tcPr>
            <w:tcW w:w="81" w:type="dxa"/>
            <w:tcBorders/>
            <w:shd w:fill="CCEEFF" w:val="clear"/>
            <w:vAlign w:val="bottom"/>
          </w:tcPr>
          <w:p>
            <w:pPr>
              <w:pStyle w:val="TableContents"/>
              <w:spacing w:before="0" w:after="283"/>
              <w:rPr/>
            </w:pPr>
            <w:r>
              <w:rPr/>
              <w:t> </w:t>
            </w:r>
          </w:p>
        </w:tc>
        <w:tc>
          <w:tcPr>
            <w:tcW w:w="141"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45" w:type="dxa"/>
            <w:tcBorders>
              <w:bottom w:val="single" w:sz="12" w:space="0" w:color="000000"/>
            </w:tcBorders>
            <w:shd w:fill="CCEE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(3,304,388</w:t>
            </w:r>
          </w:p>
        </w:tc>
        <w:tc>
          <w:tcPr>
            <w:tcW w:w="123" w:type="dxa"/>
            <w:tcBorders/>
            <w:shd w:fill="CCEEFF" w:val="clear"/>
            <w:vAlign w:val="bottom"/>
          </w:tcPr>
          <w:p>
            <w:pPr>
              <w:pStyle w:val="TableContents"/>
              <w:spacing w:before="0" w:after="283"/>
              <w:jc w:val="left"/>
              <w:rPr>
                <w:rFonts w:ascii="helvetica" w:hAnsi="helvetica"/>
                <w:sz w:val="20"/>
              </w:rPr>
            </w:pPr>
            <w:r>
              <w:rPr>
                <w:rFonts w:ascii="helvetica" w:hAnsi="helvetica"/>
                <w:sz w:val="20"/>
              </w:rPr>
              <w:t>)</w:t>
            </w:r>
          </w:p>
        </w:tc>
      </w:tr>
      <w:tr>
        <w:trPr/>
        <w:tc>
          <w:tcPr>
            <w:tcW w:w="2070" w:type="dxa"/>
            <w:tcBorders/>
            <w:shd w:fill="FFFFFF" w:val="clear"/>
            <w:vAlign w:val="bottom"/>
          </w:tcPr>
          <w:p>
            <w:pPr>
              <w:pStyle w:val="TableContents"/>
              <w:spacing w:before="0" w:after="0"/>
              <w:ind w:left="0" w:right="0" w:hanging="0"/>
              <w:jc w:val="left"/>
              <w:rPr/>
            </w:pPr>
            <w:r>
              <w:rPr/>
              <w:t> </w:t>
            </w:r>
            <w:r>
              <w:rPr>
                <w:rFonts w:ascii="helvetica" w:hAnsi="helvetica"/>
                <w:sz w:val="20"/>
              </w:rPr>
              <w:t>Balance at December 31, 2008</w:t>
            </w:r>
          </w:p>
        </w:tc>
        <w:tc>
          <w:tcPr>
            <w:tcW w:w="81" w:type="dxa"/>
            <w:tcBorders/>
            <w:shd w:fill="FFFFFF" w:val="clear"/>
            <w:vAlign w:val="bottom"/>
          </w:tcPr>
          <w:p>
            <w:pPr>
              <w:pStyle w:val="TableContents"/>
              <w:spacing w:before="0" w:after="283"/>
              <w:rPr/>
            </w:pPr>
            <w:r>
              <w:rPr/>
              <w:t> </w:t>
            </w:r>
          </w:p>
        </w:tc>
        <w:tc>
          <w:tcPr>
            <w:tcW w:w="135" w:type="dxa"/>
            <w:tcBorders/>
            <w:shd w:fill="FFFFFF" w:val="clear"/>
            <w:vAlign w:val="bottom"/>
          </w:tcPr>
          <w:p>
            <w:pPr>
              <w:pStyle w:val="TableContents"/>
              <w:spacing w:before="0" w:after="283"/>
              <w:jc w:val="left"/>
              <w:rPr/>
            </w:pPr>
            <w:r>
              <w:rPr/>
              <w:t> </w:t>
            </w:r>
          </w:p>
        </w:tc>
        <w:tc>
          <w:tcPr>
            <w:tcW w:w="586"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w:t>
            </w:r>
          </w:p>
        </w:tc>
        <w:tc>
          <w:tcPr>
            <w:tcW w:w="92" w:type="dxa"/>
            <w:tcBorders/>
            <w:shd w:fill="FFFFFF" w:val="clear"/>
            <w:vAlign w:val="bottom"/>
          </w:tcPr>
          <w:p>
            <w:pPr>
              <w:pStyle w:val="TableContents"/>
              <w:spacing w:before="0" w:after="283"/>
              <w:jc w:val="left"/>
              <w:rPr/>
            </w:pPr>
            <w:r>
              <w:rPr/>
              <w:t> </w:t>
            </w:r>
          </w:p>
        </w:tc>
        <w:tc>
          <w:tcPr>
            <w:tcW w:w="92" w:type="dxa"/>
            <w:tcBorders/>
            <w:shd w:fill="FFFFFF" w:val="clear"/>
            <w:vAlign w:val="bottom"/>
          </w:tcPr>
          <w:p>
            <w:pPr>
              <w:pStyle w:val="TableContents"/>
              <w:spacing w:before="0" w:after="283"/>
              <w:rPr/>
            </w:pPr>
            <w:r>
              <w:rPr/>
              <w:t> </w:t>
            </w:r>
          </w:p>
        </w:tc>
        <w:tc>
          <w:tcPr>
            <w:tcW w:w="292" w:type="dxa"/>
            <w:tcBorders/>
            <w:shd w:fill="FFFFFF" w:val="clear"/>
            <w:vAlign w:val="bottom"/>
          </w:tcPr>
          <w:p>
            <w:pPr>
              <w:pStyle w:val="TableContents"/>
              <w:spacing w:before="0" w:after="283"/>
              <w:jc w:val="left"/>
              <w:rPr/>
            </w:pPr>
            <w:r>
              <w:rPr/>
              <w:t> </w:t>
            </w:r>
          </w:p>
        </w:tc>
        <w:tc>
          <w:tcPr>
            <w:tcW w:w="334"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w:t>
            </w:r>
          </w:p>
        </w:tc>
        <w:tc>
          <w:tcPr>
            <w:tcW w:w="81"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81" w:type="dxa"/>
            <w:tcBorders/>
            <w:shd w:fill="FFFFFF" w:val="clear"/>
            <w:vAlign w:val="bottom"/>
          </w:tcPr>
          <w:p>
            <w:pPr>
              <w:pStyle w:val="TableContents"/>
              <w:spacing w:before="0" w:after="283"/>
              <w:jc w:val="left"/>
              <w:rPr/>
            </w:pPr>
            <w:r>
              <w:rPr/>
              <w:t> </w:t>
            </w:r>
          </w:p>
        </w:tc>
        <w:tc>
          <w:tcPr>
            <w:tcW w:w="982"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1,944,535</w:t>
            </w:r>
          </w:p>
        </w:tc>
        <w:tc>
          <w:tcPr>
            <w:tcW w:w="99"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139" w:type="dxa"/>
            <w:tcBorders/>
            <w:shd w:fill="FFFFFF" w:val="clear"/>
            <w:vAlign w:val="bottom"/>
          </w:tcPr>
          <w:p>
            <w:pPr>
              <w:pStyle w:val="TableContents"/>
              <w:spacing w:before="0" w:after="283"/>
              <w:jc w:val="left"/>
              <w:rPr/>
            </w:pPr>
            <w:r>
              <w:rPr/>
              <w:t> </w:t>
            </w:r>
          </w:p>
        </w:tc>
        <w:tc>
          <w:tcPr>
            <w:tcW w:w="641"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1,945</w:t>
            </w:r>
          </w:p>
        </w:tc>
        <w:tc>
          <w:tcPr>
            <w:tcW w:w="99"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283"/>
              <w:jc w:val="left"/>
              <w:rPr/>
            </w:pPr>
            <w:r>
              <w:rPr/>
              <w:t> </w:t>
            </w:r>
          </w:p>
        </w:tc>
        <w:tc>
          <w:tcPr>
            <w:tcW w:w="1077"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14,951,830</w:t>
            </w:r>
          </w:p>
        </w:tc>
        <w:tc>
          <w:tcPr>
            <w:tcW w:w="99"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283"/>
              <w:jc w:val="left"/>
              <w:rPr/>
            </w:pPr>
            <w:r>
              <w:rPr/>
              <w:t> </w:t>
            </w:r>
          </w:p>
        </w:tc>
        <w:tc>
          <w:tcPr>
            <w:tcW w:w="1132"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(10,381,933</w:t>
            </w:r>
          </w:p>
        </w:tc>
        <w:tc>
          <w:tcPr>
            <w:tcW w:w="99" w:type="dxa"/>
            <w:tcBorders/>
            <w:shd w:fill="FFFFFF" w:val="clear"/>
            <w:vAlign w:val="bottom"/>
          </w:tcPr>
          <w:p>
            <w:pPr>
              <w:pStyle w:val="TableContents"/>
              <w:spacing w:before="0" w:after="283"/>
              <w:jc w:val="left"/>
              <w:rPr>
                <w:rFonts w:ascii="helvetica" w:hAnsi="helvetica"/>
                <w:sz w:val="20"/>
              </w:rPr>
            </w:pPr>
            <w:r>
              <w:rPr>
                <w:rFonts w:ascii="helvetica" w:hAnsi="helvetica"/>
                <w:sz w:val="20"/>
              </w:rPr>
              <w:t>)</w:t>
            </w:r>
          </w:p>
        </w:tc>
        <w:tc>
          <w:tcPr>
            <w:tcW w:w="81" w:type="dxa"/>
            <w:tcBorders/>
            <w:shd w:fill="FFFFFF" w:val="clear"/>
            <w:vAlign w:val="bottom"/>
          </w:tcPr>
          <w:p>
            <w:pPr>
              <w:pStyle w:val="TableContents"/>
              <w:spacing w:before="0" w:after="283"/>
              <w:rPr/>
            </w:pPr>
            <w:r>
              <w:rPr/>
              <w:t> </w:t>
            </w:r>
          </w:p>
        </w:tc>
        <w:tc>
          <w:tcPr>
            <w:tcW w:w="141" w:type="dxa"/>
            <w:tcBorders/>
            <w:shd w:fill="FFFFFF" w:val="clear"/>
            <w:vAlign w:val="bottom"/>
          </w:tcPr>
          <w:p>
            <w:pPr>
              <w:pStyle w:val="TableContents"/>
              <w:spacing w:before="0" w:after="283"/>
              <w:jc w:val="left"/>
              <w:rPr/>
            </w:pPr>
            <w:r>
              <w:rPr/>
              <w:t> </w:t>
            </w:r>
          </w:p>
        </w:tc>
        <w:tc>
          <w:tcPr>
            <w:tcW w:w="1045"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4,571,842</w:t>
            </w:r>
          </w:p>
        </w:tc>
        <w:tc>
          <w:tcPr>
            <w:tcW w:w="123" w:type="dxa"/>
            <w:tcBorders/>
            <w:shd w:fill="FFFFFF" w:val="clear"/>
            <w:vAlign w:val="bottom"/>
          </w:tcPr>
          <w:p>
            <w:pPr>
              <w:pStyle w:val="TableContents"/>
              <w:spacing w:before="0" w:after="283"/>
              <w:jc w:val="left"/>
              <w:rPr/>
            </w:pPr>
            <w:r>
              <w:rPr/>
              <w:t> </w:t>
            </w:r>
          </w:p>
        </w:tc>
      </w:tr>
      <w:tr>
        <w:trPr/>
        <w:tc>
          <w:tcPr>
            <w:tcW w:w="2070" w:type="dxa"/>
            <w:tcBorders/>
            <w:shd w:fill="CCEEFF" w:val="clear"/>
            <w:vAlign w:val="bottom"/>
          </w:tcPr>
          <w:p>
            <w:pPr>
              <w:pStyle w:val="TableContents"/>
              <w:spacing w:before="0" w:after="283"/>
              <w:rPr/>
            </w:pPr>
            <w:r>
              <w:rPr/>
              <w:t xml:space="preserve">  </w:t>
            </w:r>
          </w:p>
        </w:tc>
        <w:tc>
          <w:tcPr>
            <w:tcW w:w="81" w:type="dxa"/>
            <w:tcBorders/>
            <w:shd w:fill="CCEEFF" w:val="clear"/>
            <w:vAlign w:val="bottom"/>
          </w:tcPr>
          <w:p>
            <w:pPr>
              <w:pStyle w:val="TableContents"/>
              <w:spacing w:before="0" w:after="283"/>
              <w:rPr/>
            </w:pPr>
            <w:r>
              <w:rPr/>
              <w:t> </w:t>
            </w:r>
          </w:p>
        </w:tc>
        <w:tc>
          <w:tcPr>
            <w:tcW w:w="135" w:type="dxa"/>
            <w:tcBorders/>
            <w:shd w:fill="CCEEFF" w:val="clear"/>
            <w:vAlign w:val="bottom"/>
          </w:tcPr>
          <w:p>
            <w:pPr>
              <w:pStyle w:val="TableContents"/>
              <w:spacing w:before="0" w:after="283"/>
              <w:jc w:val="left"/>
              <w:rPr/>
            </w:pPr>
            <w:r>
              <w:rPr/>
              <w:t> </w:t>
            </w:r>
          </w:p>
        </w:tc>
        <w:tc>
          <w:tcPr>
            <w:tcW w:w="586" w:type="dxa"/>
            <w:tcBorders/>
            <w:shd w:fill="CCEEFF" w:val="clear"/>
            <w:vAlign w:val="bottom"/>
          </w:tcPr>
          <w:p>
            <w:pPr>
              <w:pStyle w:val="TableContents"/>
              <w:spacing w:before="0" w:after="283"/>
              <w:jc w:val="right"/>
              <w:rPr/>
            </w:pPr>
            <w:r>
              <w:rPr/>
              <w:t> </w:t>
            </w:r>
          </w:p>
        </w:tc>
        <w:tc>
          <w:tcPr>
            <w:tcW w:w="92" w:type="dxa"/>
            <w:tcBorders/>
            <w:shd w:fill="CCEEFF" w:val="clear"/>
            <w:vAlign w:val="bottom"/>
          </w:tcPr>
          <w:p>
            <w:pPr>
              <w:pStyle w:val="TableContents"/>
              <w:spacing w:before="0" w:after="283"/>
              <w:jc w:val="left"/>
              <w:rPr/>
            </w:pPr>
            <w:r>
              <w:rPr/>
              <w:t> </w:t>
            </w:r>
          </w:p>
        </w:tc>
        <w:tc>
          <w:tcPr>
            <w:tcW w:w="92" w:type="dxa"/>
            <w:tcBorders/>
            <w:shd w:fill="CCEEFF" w:val="clear"/>
            <w:vAlign w:val="bottom"/>
          </w:tcPr>
          <w:p>
            <w:pPr>
              <w:pStyle w:val="TableContents"/>
              <w:spacing w:before="0" w:after="283"/>
              <w:rPr/>
            </w:pPr>
            <w:r>
              <w:rPr/>
              <w:t> </w:t>
            </w:r>
          </w:p>
        </w:tc>
        <w:tc>
          <w:tcPr>
            <w:tcW w:w="292" w:type="dxa"/>
            <w:tcBorders/>
            <w:shd w:fill="CCEEFF" w:val="clear"/>
            <w:vAlign w:val="bottom"/>
          </w:tcPr>
          <w:p>
            <w:pPr>
              <w:pStyle w:val="TableContents"/>
              <w:spacing w:before="0" w:after="283"/>
              <w:jc w:val="left"/>
              <w:rPr/>
            </w:pPr>
            <w:r>
              <w:rPr/>
              <w:t> </w:t>
            </w:r>
          </w:p>
        </w:tc>
        <w:tc>
          <w:tcPr>
            <w:tcW w:w="334" w:type="dxa"/>
            <w:tcBorders/>
            <w:shd w:fill="CCEEFF" w:val="clear"/>
            <w:vAlign w:val="bottom"/>
          </w:tcPr>
          <w:p>
            <w:pPr>
              <w:pStyle w:val="TableContents"/>
              <w:spacing w:before="0" w:after="283"/>
              <w:jc w:val="right"/>
              <w:rPr/>
            </w:pPr>
            <w:r>
              <w:rPr/>
              <w:t> </w:t>
            </w:r>
          </w:p>
        </w:tc>
        <w:tc>
          <w:tcPr>
            <w:tcW w:w="81"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81" w:type="dxa"/>
            <w:tcBorders/>
            <w:shd w:fill="CCEEFF" w:val="clear"/>
            <w:vAlign w:val="bottom"/>
          </w:tcPr>
          <w:p>
            <w:pPr>
              <w:pStyle w:val="TableContents"/>
              <w:spacing w:before="0" w:after="283"/>
              <w:jc w:val="left"/>
              <w:rPr/>
            </w:pPr>
            <w:r>
              <w:rPr/>
              <w:t> </w:t>
            </w:r>
          </w:p>
        </w:tc>
        <w:tc>
          <w:tcPr>
            <w:tcW w:w="982" w:type="dxa"/>
            <w:tcBorders/>
            <w:shd w:fill="CCEEFF" w:val="clear"/>
            <w:vAlign w:val="bottom"/>
          </w:tcPr>
          <w:p>
            <w:pPr>
              <w:pStyle w:val="TableContents"/>
              <w:spacing w:before="0" w:after="283"/>
              <w:jc w:val="right"/>
              <w:rPr/>
            </w:pPr>
            <w:r>
              <w:rPr/>
              <w:t> </w:t>
            </w:r>
          </w:p>
        </w:tc>
        <w:tc>
          <w:tcPr>
            <w:tcW w:w="99"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139" w:type="dxa"/>
            <w:tcBorders/>
            <w:shd w:fill="CCEEFF" w:val="clear"/>
            <w:vAlign w:val="bottom"/>
          </w:tcPr>
          <w:p>
            <w:pPr>
              <w:pStyle w:val="TableContents"/>
              <w:spacing w:before="0" w:after="283"/>
              <w:jc w:val="left"/>
              <w:rPr/>
            </w:pPr>
            <w:r>
              <w:rPr/>
              <w:t> </w:t>
            </w:r>
          </w:p>
        </w:tc>
        <w:tc>
          <w:tcPr>
            <w:tcW w:w="641" w:type="dxa"/>
            <w:tcBorders/>
            <w:shd w:fill="CCEEFF" w:val="clear"/>
            <w:vAlign w:val="bottom"/>
          </w:tcPr>
          <w:p>
            <w:pPr>
              <w:pStyle w:val="TableContents"/>
              <w:spacing w:before="0" w:after="283"/>
              <w:jc w:val="right"/>
              <w:rPr/>
            </w:pPr>
            <w:r>
              <w:rPr/>
              <w:t> </w:t>
            </w:r>
          </w:p>
        </w:tc>
        <w:tc>
          <w:tcPr>
            <w:tcW w:w="99"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jc w:val="left"/>
              <w:rPr/>
            </w:pPr>
            <w:r>
              <w:rPr/>
              <w:t> </w:t>
            </w:r>
          </w:p>
        </w:tc>
        <w:tc>
          <w:tcPr>
            <w:tcW w:w="1077" w:type="dxa"/>
            <w:tcBorders/>
            <w:shd w:fill="CCEEFF" w:val="clear"/>
            <w:vAlign w:val="bottom"/>
          </w:tcPr>
          <w:p>
            <w:pPr>
              <w:pStyle w:val="TableContents"/>
              <w:spacing w:before="0" w:after="283"/>
              <w:jc w:val="right"/>
              <w:rPr/>
            </w:pPr>
            <w:r>
              <w:rPr/>
              <w:t> </w:t>
            </w:r>
          </w:p>
        </w:tc>
        <w:tc>
          <w:tcPr>
            <w:tcW w:w="99"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jc w:val="left"/>
              <w:rPr/>
            </w:pPr>
            <w:r>
              <w:rPr/>
              <w:t> </w:t>
            </w:r>
          </w:p>
        </w:tc>
        <w:tc>
          <w:tcPr>
            <w:tcW w:w="1132" w:type="dxa"/>
            <w:tcBorders/>
            <w:shd w:fill="CCEEFF" w:val="clear"/>
            <w:vAlign w:val="bottom"/>
          </w:tcPr>
          <w:p>
            <w:pPr>
              <w:pStyle w:val="TableContents"/>
              <w:spacing w:before="0" w:after="283"/>
              <w:jc w:val="right"/>
              <w:rPr/>
            </w:pPr>
            <w:r>
              <w:rPr/>
              <w:t> </w:t>
            </w:r>
          </w:p>
        </w:tc>
        <w:tc>
          <w:tcPr>
            <w:tcW w:w="99"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141" w:type="dxa"/>
            <w:tcBorders/>
            <w:shd w:fill="CCEEFF" w:val="clear"/>
            <w:vAlign w:val="bottom"/>
          </w:tcPr>
          <w:p>
            <w:pPr>
              <w:pStyle w:val="TableContents"/>
              <w:spacing w:before="0" w:after="283"/>
              <w:jc w:val="left"/>
              <w:rPr/>
            </w:pPr>
            <w:r>
              <w:rPr/>
              <w:t> </w:t>
            </w:r>
          </w:p>
        </w:tc>
        <w:tc>
          <w:tcPr>
            <w:tcW w:w="1045" w:type="dxa"/>
            <w:tcBorders/>
            <w:shd w:fill="CCEEFF" w:val="clear"/>
            <w:vAlign w:val="bottom"/>
          </w:tcPr>
          <w:p>
            <w:pPr>
              <w:pStyle w:val="TableContents"/>
              <w:spacing w:before="0" w:after="283"/>
              <w:jc w:val="right"/>
              <w:rPr/>
            </w:pPr>
            <w:r>
              <w:rPr/>
              <w:t> </w:t>
            </w:r>
          </w:p>
        </w:tc>
        <w:tc>
          <w:tcPr>
            <w:tcW w:w="123" w:type="dxa"/>
            <w:tcBorders/>
            <w:shd w:fill="CCEEFF" w:val="clear"/>
            <w:vAlign w:val="bottom"/>
          </w:tcPr>
          <w:p>
            <w:pPr>
              <w:pStyle w:val="TableContents"/>
              <w:spacing w:before="0" w:after="283"/>
              <w:jc w:val="left"/>
              <w:rPr/>
            </w:pPr>
            <w:r>
              <w:rPr/>
              <w:t> </w:t>
            </w:r>
          </w:p>
        </w:tc>
      </w:tr>
      <w:tr>
        <w:trPr/>
        <w:tc>
          <w:tcPr>
            <w:tcW w:w="2070" w:type="dxa"/>
            <w:tcBorders/>
            <w:shd w:fill="FFFFFF" w:val="clear"/>
            <w:vAlign w:val="bottom"/>
          </w:tcPr>
          <w:p>
            <w:pPr>
              <w:pStyle w:val="TableContents"/>
              <w:spacing w:before="0" w:after="0"/>
              <w:ind w:left="0" w:right="0" w:hanging="0"/>
              <w:jc w:val="left"/>
              <w:rPr/>
            </w:pPr>
            <w:r>
              <w:rPr/>
              <w:t> </w:t>
            </w:r>
            <w:r>
              <w:rPr>
                <w:rFonts w:ascii="helvetica" w:hAnsi="helvetica"/>
                <w:sz w:val="20"/>
              </w:rPr>
              <w:t>Issuance of common stock and stock options related</w:t>
            </w:r>
          </w:p>
        </w:tc>
        <w:tc>
          <w:tcPr>
            <w:tcW w:w="81" w:type="dxa"/>
            <w:tcBorders/>
            <w:shd w:fill="FFFFFF" w:val="clear"/>
            <w:vAlign w:val="bottom"/>
          </w:tcPr>
          <w:p>
            <w:pPr>
              <w:pStyle w:val="TableContents"/>
              <w:spacing w:before="0" w:after="283"/>
              <w:rPr/>
            </w:pPr>
            <w:r>
              <w:rPr/>
              <w:t> </w:t>
            </w:r>
          </w:p>
        </w:tc>
        <w:tc>
          <w:tcPr>
            <w:tcW w:w="135" w:type="dxa"/>
            <w:tcBorders/>
            <w:shd w:fill="FFFFFF" w:val="clear"/>
            <w:vAlign w:val="bottom"/>
          </w:tcPr>
          <w:p>
            <w:pPr>
              <w:pStyle w:val="TableContents"/>
              <w:spacing w:before="0" w:after="283"/>
              <w:jc w:val="left"/>
              <w:rPr/>
            </w:pPr>
            <w:r>
              <w:rPr/>
              <w:t> </w:t>
            </w:r>
          </w:p>
        </w:tc>
        <w:tc>
          <w:tcPr>
            <w:tcW w:w="586" w:type="dxa"/>
            <w:tcBorders/>
            <w:shd w:fill="FFFFFF" w:val="clear"/>
            <w:vAlign w:val="bottom"/>
          </w:tcPr>
          <w:p>
            <w:pPr>
              <w:pStyle w:val="TableContents"/>
              <w:spacing w:before="0" w:after="283"/>
              <w:jc w:val="right"/>
              <w:rPr/>
            </w:pPr>
            <w:r>
              <w:rPr/>
              <w:t> </w:t>
            </w:r>
          </w:p>
        </w:tc>
        <w:tc>
          <w:tcPr>
            <w:tcW w:w="92" w:type="dxa"/>
            <w:tcBorders/>
            <w:shd w:fill="FFFFFF" w:val="clear"/>
            <w:vAlign w:val="bottom"/>
          </w:tcPr>
          <w:p>
            <w:pPr>
              <w:pStyle w:val="TableContents"/>
              <w:spacing w:before="0" w:after="283"/>
              <w:jc w:val="left"/>
              <w:rPr/>
            </w:pPr>
            <w:r>
              <w:rPr/>
              <w:t> </w:t>
            </w:r>
          </w:p>
        </w:tc>
        <w:tc>
          <w:tcPr>
            <w:tcW w:w="92" w:type="dxa"/>
            <w:tcBorders/>
            <w:shd w:fill="FFFFFF" w:val="clear"/>
            <w:vAlign w:val="bottom"/>
          </w:tcPr>
          <w:p>
            <w:pPr>
              <w:pStyle w:val="TableContents"/>
              <w:spacing w:before="0" w:after="283"/>
              <w:rPr/>
            </w:pPr>
            <w:r>
              <w:rPr/>
              <w:t> </w:t>
            </w:r>
          </w:p>
        </w:tc>
        <w:tc>
          <w:tcPr>
            <w:tcW w:w="292" w:type="dxa"/>
            <w:tcBorders/>
            <w:shd w:fill="FFFFFF" w:val="clear"/>
            <w:vAlign w:val="bottom"/>
          </w:tcPr>
          <w:p>
            <w:pPr>
              <w:pStyle w:val="TableContents"/>
              <w:spacing w:before="0" w:after="283"/>
              <w:jc w:val="left"/>
              <w:rPr/>
            </w:pPr>
            <w:r>
              <w:rPr/>
              <w:t> </w:t>
            </w:r>
          </w:p>
        </w:tc>
        <w:tc>
          <w:tcPr>
            <w:tcW w:w="334" w:type="dxa"/>
            <w:tcBorders/>
            <w:shd w:fill="FFFFFF" w:val="clear"/>
            <w:vAlign w:val="bottom"/>
          </w:tcPr>
          <w:p>
            <w:pPr>
              <w:pStyle w:val="TableContents"/>
              <w:spacing w:before="0" w:after="283"/>
              <w:jc w:val="right"/>
              <w:rPr/>
            </w:pPr>
            <w:r>
              <w:rPr/>
              <w:t> </w:t>
            </w:r>
          </w:p>
        </w:tc>
        <w:tc>
          <w:tcPr>
            <w:tcW w:w="81"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81" w:type="dxa"/>
            <w:tcBorders/>
            <w:shd w:fill="FFFFFF" w:val="clear"/>
            <w:vAlign w:val="bottom"/>
          </w:tcPr>
          <w:p>
            <w:pPr>
              <w:pStyle w:val="TableContents"/>
              <w:spacing w:before="0" w:after="283"/>
              <w:jc w:val="left"/>
              <w:rPr/>
            </w:pPr>
            <w:r>
              <w:rPr/>
              <w:t> </w:t>
            </w:r>
          </w:p>
        </w:tc>
        <w:tc>
          <w:tcPr>
            <w:tcW w:w="982" w:type="dxa"/>
            <w:tcBorders/>
            <w:shd w:fill="FFFFFF" w:val="clear"/>
            <w:vAlign w:val="bottom"/>
          </w:tcPr>
          <w:p>
            <w:pPr>
              <w:pStyle w:val="TableContents"/>
              <w:spacing w:before="0" w:after="283"/>
              <w:jc w:val="right"/>
              <w:rPr/>
            </w:pPr>
            <w:r>
              <w:rPr/>
              <w:t> </w:t>
            </w:r>
          </w:p>
        </w:tc>
        <w:tc>
          <w:tcPr>
            <w:tcW w:w="99"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139" w:type="dxa"/>
            <w:tcBorders/>
            <w:shd w:fill="FFFFFF" w:val="clear"/>
            <w:vAlign w:val="bottom"/>
          </w:tcPr>
          <w:p>
            <w:pPr>
              <w:pStyle w:val="TableContents"/>
              <w:spacing w:before="0" w:after="283"/>
              <w:jc w:val="left"/>
              <w:rPr/>
            </w:pPr>
            <w:r>
              <w:rPr/>
              <w:t> </w:t>
            </w:r>
          </w:p>
        </w:tc>
        <w:tc>
          <w:tcPr>
            <w:tcW w:w="641" w:type="dxa"/>
            <w:tcBorders/>
            <w:shd w:fill="FFFFFF" w:val="clear"/>
            <w:vAlign w:val="bottom"/>
          </w:tcPr>
          <w:p>
            <w:pPr>
              <w:pStyle w:val="TableContents"/>
              <w:spacing w:before="0" w:after="283"/>
              <w:jc w:val="right"/>
              <w:rPr/>
            </w:pPr>
            <w:r>
              <w:rPr/>
              <w:t> </w:t>
            </w:r>
          </w:p>
        </w:tc>
        <w:tc>
          <w:tcPr>
            <w:tcW w:w="99"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283"/>
              <w:jc w:val="left"/>
              <w:rPr/>
            </w:pPr>
            <w:r>
              <w:rPr/>
              <w:t> </w:t>
            </w:r>
          </w:p>
        </w:tc>
        <w:tc>
          <w:tcPr>
            <w:tcW w:w="1077" w:type="dxa"/>
            <w:tcBorders/>
            <w:shd w:fill="FFFFFF" w:val="clear"/>
            <w:vAlign w:val="bottom"/>
          </w:tcPr>
          <w:p>
            <w:pPr>
              <w:pStyle w:val="TableContents"/>
              <w:spacing w:before="0" w:after="283"/>
              <w:jc w:val="right"/>
              <w:rPr/>
            </w:pPr>
            <w:r>
              <w:rPr/>
              <w:t> </w:t>
            </w:r>
          </w:p>
        </w:tc>
        <w:tc>
          <w:tcPr>
            <w:tcW w:w="99"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283"/>
              <w:jc w:val="left"/>
              <w:rPr/>
            </w:pPr>
            <w:r>
              <w:rPr/>
              <w:t> </w:t>
            </w:r>
          </w:p>
        </w:tc>
        <w:tc>
          <w:tcPr>
            <w:tcW w:w="1132" w:type="dxa"/>
            <w:tcBorders/>
            <w:shd w:fill="FFFFFF" w:val="clear"/>
            <w:vAlign w:val="bottom"/>
          </w:tcPr>
          <w:p>
            <w:pPr>
              <w:pStyle w:val="TableContents"/>
              <w:spacing w:before="0" w:after="283"/>
              <w:jc w:val="right"/>
              <w:rPr/>
            </w:pPr>
            <w:r>
              <w:rPr/>
              <w:t> </w:t>
            </w:r>
          </w:p>
        </w:tc>
        <w:tc>
          <w:tcPr>
            <w:tcW w:w="99"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141" w:type="dxa"/>
            <w:tcBorders/>
            <w:shd w:fill="FFFFFF" w:val="clear"/>
            <w:vAlign w:val="bottom"/>
          </w:tcPr>
          <w:p>
            <w:pPr>
              <w:pStyle w:val="TableContents"/>
              <w:spacing w:before="0" w:after="283"/>
              <w:jc w:val="left"/>
              <w:rPr/>
            </w:pPr>
            <w:r>
              <w:rPr/>
              <w:t> </w:t>
            </w:r>
          </w:p>
        </w:tc>
        <w:tc>
          <w:tcPr>
            <w:tcW w:w="1045" w:type="dxa"/>
            <w:tcBorders/>
            <w:shd w:fill="FFFFFF" w:val="clear"/>
            <w:vAlign w:val="bottom"/>
          </w:tcPr>
          <w:p>
            <w:pPr>
              <w:pStyle w:val="TableContents"/>
              <w:spacing w:before="0" w:after="283"/>
              <w:jc w:val="right"/>
              <w:rPr/>
            </w:pPr>
            <w:r>
              <w:rPr/>
              <w:t> </w:t>
            </w:r>
          </w:p>
        </w:tc>
        <w:tc>
          <w:tcPr>
            <w:tcW w:w="123" w:type="dxa"/>
            <w:tcBorders/>
            <w:shd w:fill="FFFFFF" w:val="clear"/>
            <w:vAlign w:val="bottom"/>
          </w:tcPr>
          <w:p>
            <w:pPr>
              <w:pStyle w:val="TableContents"/>
              <w:spacing w:before="0" w:after="283"/>
              <w:jc w:val="left"/>
              <w:rPr/>
            </w:pPr>
            <w:r>
              <w:rPr/>
              <w:t> </w:t>
            </w:r>
          </w:p>
        </w:tc>
      </w:tr>
      <w:tr>
        <w:trPr/>
        <w:tc>
          <w:tcPr>
            <w:tcW w:w="2070" w:type="dxa"/>
            <w:tcBorders/>
            <w:shd w:fill="CCEEFF" w:val="clear"/>
            <w:vAlign w:val="bottom"/>
          </w:tcPr>
          <w:p>
            <w:pPr>
              <w:pStyle w:val="TableContents"/>
              <w:spacing w:before="0" w:after="0"/>
              <w:ind w:left="0" w:right="0" w:hanging="0"/>
              <w:jc w:val="left"/>
              <w:rPr/>
            </w:pPr>
            <w:r>
              <w:rPr/>
              <w:t>   </w:t>
            </w:r>
            <w:r>
              <w:rPr>
                <w:rFonts w:ascii="helvetica" w:hAnsi="helvetica"/>
                <w:sz w:val="20"/>
              </w:rPr>
              <w:t>consulting agreements</w:t>
            </w:r>
          </w:p>
        </w:tc>
        <w:tc>
          <w:tcPr>
            <w:tcW w:w="81" w:type="dxa"/>
            <w:tcBorders/>
            <w:shd w:fill="CCEEFF" w:val="clear"/>
            <w:vAlign w:val="bottom"/>
          </w:tcPr>
          <w:p>
            <w:pPr>
              <w:pStyle w:val="TableContents"/>
              <w:spacing w:before="0" w:after="283"/>
              <w:rPr/>
            </w:pPr>
            <w:r>
              <w:rPr/>
              <w:t> </w:t>
            </w:r>
          </w:p>
        </w:tc>
        <w:tc>
          <w:tcPr>
            <w:tcW w:w="135" w:type="dxa"/>
            <w:tcBorders/>
            <w:shd w:fill="CCEEFF" w:val="clear"/>
            <w:vAlign w:val="bottom"/>
          </w:tcPr>
          <w:p>
            <w:pPr>
              <w:pStyle w:val="TableContents"/>
              <w:spacing w:before="0" w:after="283"/>
              <w:jc w:val="left"/>
              <w:rPr/>
            </w:pPr>
            <w:r>
              <w:rPr/>
              <w:t> </w:t>
            </w:r>
          </w:p>
        </w:tc>
        <w:tc>
          <w:tcPr>
            <w:tcW w:w="586"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w:t>
            </w:r>
          </w:p>
        </w:tc>
        <w:tc>
          <w:tcPr>
            <w:tcW w:w="92" w:type="dxa"/>
            <w:tcBorders/>
            <w:shd w:fill="CCEEFF" w:val="clear"/>
            <w:vAlign w:val="bottom"/>
          </w:tcPr>
          <w:p>
            <w:pPr>
              <w:pStyle w:val="TableContents"/>
              <w:spacing w:before="0" w:after="283"/>
              <w:jc w:val="left"/>
              <w:rPr/>
            </w:pPr>
            <w:r>
              <w:rPr/>
              <w:t> </w:t>
            </w:r>
          </w:p>
        </w:tc>
        <w:tc>
          <w:tcPr>
            <w:tcW w:w="92" w:type="dxa"/>
            <w:tcBorders/>
            <w:shd w:fill="CCEEFF" w:val="clear"/>
            <w:vAlign w:val="bottom"/>
          </w:tcPr>
          <w:p>
            <w:pPr>
              <w:pStyle w:val="TableContents"/>
              <w:spacing w:before="0" w:after="283"/>
              <w:rPr/>
            </w:pPr>
            <w:r>
              <w:rPr/>
              <w:t> </w:t>
            </w:r>
          </w:p>
        </w:tc>
        <w:tc>
          <w:tcPr>
            <w:tcW w:w="292" w:type="dxa"/>
            <w:tcBorders/>
            <w:shd w:fill="CCEEFF" w:val="clear"/>
            <w:vAlign w:val="bottom"/>
          </w:tcPr>
          <w:p>
            <w:pPr>
              <w:pStyle w:val="TableContents"/>
              <w:spacing w:before="0" w:after="283"/>
              <w:jc w:val="left"/>
              <w:rPr/>
            </w:pPr>
            <w:r>
              <w:rPr/>
              <w:t> </w:t>
            </w:r>
          </w:p>
        </w:tc>
        <w:tc>
          <w:tcPr>
            <w:tcW w:w="334"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w:t>
            </w:r>
          </w:p>
        </w:tc>
        <w:tc>
          <w:tcPr>
            <w:tcW w:w="81"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81" w:type="dxa"/>
            <w:tcBorders/>
            <w:shd w:fill="CCEEFF" w:val="clear"/>
            <w:vAlign w:val="bottom"/>
          </w:tcPr>
          <w:p>
            <w:pPr>
              <w:pStyle w:val="TableContents"/>
              <w:spacing w:before="0" w:after="283"/>
              <w:jc w:val="left"/>
              <w:rPr/>
            </w:pPr>
            <w:r>
              <w:rPr/>
              <w:t> </w:t>
            </w:r>
          </w:p>
        </w:tc>
        <w:tc>
          <w:tcPr>
            <w:tcW w:w="982"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5,722</w:t>
            </w:r>
          </w:p>
        </w:tc>
        <w:tc>
          <w:tcPr>
            <w:tcW w:w="99"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139" w:type="dxa"/>
            <w:tcBorders/>
            <w:shd w:fill="CCEEFF" w:val="clear"/>
            <w:vAlign w:val="bottom"/>
          </w:tcPr>
          <w:p>
            <w:pPr>
              <w:pStyle w:val="TableContents"/>
              <w:spacing w:before="0" w:after="283"/>
              <w:jc w:val="left"/>
              <w:rPr/>
            </w:pPr>
            <w:r>
              <w:rPr/>
              <w:t> </w:t>
            </w:r>
          </w:p>
        </w:tc>
        <w:tc>
          <w:tcPr>
            <w:tcW w:w="641"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6</w:t>
            </w:r>
          </w:p>
        </w:tc>
        <w:tc>
          <w:tcPr>
            <w:tcW w:w="99"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jc w:val="left"/>
              <w:rPr/>
            </w:pPr>
            <w:r>
              <w:rPr/>
              <w:t> </w:t>
            </w:r>
          </w:p>
        </w:tc>
        <w:tc>
          <w:tcPr>
            <w:tcW w:w="1077"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121,449</w:t>
            </w:r>
          </w:p>
        </w:tc>
        <w:tc>
          <w:tcPr>
            <w:tcW w:w="99"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jc w:val="left"/>
              <w:rPr/>
            </w:pPr>
            <w:r>
              <w:rPr/>
              <w:t> </w:t>
            </w:r>
          </w:p>
        </w:tc>
        <w:tc>
          <w:tcPr>
            <w:tcW w:w="1132"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w:t>
            </w:r>
          </w:p>
        </w:tc>
        <w:tc>
          <w:tcPr>
            <w:tcW w:w="99"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141" w:type="dxa"/>
            <w:tcBorders/>
            <w:shd w:fill="CCEEFF" w:val="clear"/>
            <w:vAlign w:val="bottom"/>
          </w:tcPr>
          <w:p>
            <w:pPr>
              <w:pStyle w:val="TableContents"/>
              <w:spacing w:before="0" w:after="283"/>
              <w:jc w:val="left"/>
              <w:rPr/>
            </w:pPr>
            <w:r>
              <w:rPr/>
              <w:t> </w:t>
            </w:r>
          </w:p>
        </w:tc>
        <w:tc>
          <w:tcPr>
            <w:tcW w:w="1045"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121,455</w:t>
            </w:r>
          </w:p>
        </w:tc>
        <w:tc>
          <w:tcPr>
            <w:tcW w:w="123" w:type="dxa"/>
            <w:tcBorders/>
            <w:shd w:fill="CCEEFF" w:val="clear"/>
            <w:vAlign w:val="bottom"/>
          </w:tcPr>
          <w:p>
            <w:pPr>
              <w:pStyle w:val="TableContents"/>
              <w:spacing w:before="0" w:after="283"/>
              <w:jc w:val="left"/>
              <w:rPr/>
            </w:pPr>
            <w:r>
              <w:rPr/>
              <w:t> </w:t>
            </w:r>
          </w:p>
        </w:tc>
      </w:tr>
      <w:tr>
        <w:trPr/>
        <w:tc>
          <w:tcPr>
            <w:tcW w:w="2070" w:type="dxa"/>
            <w:tcBorders/>
            <w:shd w:fill="FFFFFF" w:val="clear"/>
            <w:vAlign w:val="bottom"/>
          </w:tcPr>
          <w:p>
            <w:pPr>
              <w:pStyle w:val="TableContents"/>
              <w:spacing w:before="0" w:after="0"/>
              <w:ind w:left="0" w:right="0" w:hanging="0"/>
              <w:jc w:val="left"/>
              <w:rPr/>
            </w:pPr>
            <w:r>
              <w:rPr/>
              <w:t> </w:t>
            </w:r>
            <w:r>
              <w:rPr>
                <w:rFonts w:ascii="helvetica" w:hAnsi="helvetica"/>
                <w:sz w:val="20"/>
              </w:rPr>
              <w:t>Exercise of stock options at $7.92 per share August 2009</w:t>
            </w:r>
          </w:p>
        </w:tc>
        <w:tc>
          <w:tcPr>
            <w:tcW w:w="81" w:type="dxa"/>
            <w:tcBorders/>
            <w:shd w:fill="FFFFFF" w:val="clear"/>
            <w:vAlign w:val="bottom"/>
          </w:tcPr>
          <w:p>
            <w:pPr>
              <w:pStyle w:val="TableContents"/>
              <w:spacing w:before="0" w:after="283"/>
              <w:rPr/>
            </w:pPr>
            <w:r>
              <w:rPr/>
              <w:t> </w:t>
            </w:r>
          </w:p>
        </w:tc>
        <w:tc>
          <w:tcPr>
            <w:tcW w:w="135" w:type="dxa"/>
            <w:tcBorders/>
            <w:shd w:fill="FFFFFF" w:val="clear"/>
            <w:vAlign w:val="bottom"/>
          </w:tcPr>
          <w:p>
            <w:pPr>
              <w:pStyle w:val="TableContents"/>
              <w:spacing w:before="0" w:after="283"/>
              <w:jc w:val="left"/>
              <w:rPr/>
            </w:pPr>
            <w:r>
              <w:rPr/>
              <w:t> </w:t>
            </w:r>
          </w:p>
        </w:tc>
        <w:tc>
          <w:tcPr>
            <w:tcW w:w="586"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w:t>
            </w:r>
          </w:p>
        </w:tc>
        <w:tc>
          <w:tcPr>
            <w:tcW w:w="92" w:type="dxa"/>
            <w:tcBorders/>
            <w:shd w:fill="FFFFFF" w:val="clear"/>
            <w:vAlign w:val="bottom"/>
          </w:tcPr>
          <w:p>
            <w:pPr>
              <w:pStyle w:val="TableContents"/>
              <w:spacing w:before="0" w:after="283"/>
              <w:jc w:val="left"/>
              <w:rPr/>
            </w:pPr>
            <w:r>
              <w:rPr/>
              <w:t> </w:t>
            </w:r>
          </w:p>
        </w:tc>
        <w:tc>
          <w:tcPr>
            <w:tcW w:w="92" w:type="dxa"/>
            <w:tcBorders/>
            <w:shd w:fill="FFFFFF" w:val="clear"/>
            <w:vAlign w:val="bottom"/>
          </w:tcPr>
          <w:p>
            <w:pPr>
              <w:pStyle w:val="TableContents"/>
              <w:spacing w:before="0" w:after="283"/>
              <w:rPr/>
            </w:pPr>
            <w:r>
              <w:rPr/>
              <w:t> </w:t>
            </w:r>
          </w:p>
        </w:tc>
        <w:tc>
          <w:tcPr>
            <w:tcW w:w="292" w:type="dxa"/>
            <w:tcBorders/>
            <w:shd w:fill="FFFFFF" w:val="clear"/>
            <w:vAlign w:val="bottom"/>
          </w:tcPr>
          <w:p>
            <w:pPr>
              <w:pStyle w:val="TableContents"/>
              <w:spacing w:before="0" w:after="283"/>
              <w:jc w:val="left"/>
              <w:rPr/>
            </w:pPr>
            <w:r>
              <w:rPr/>
              <w:t> </w:t>
            </w:r>
          </w:p>
        </w:tc>
        <w:tc>
          <w:tcPr>
            <w:tcW w:w="334"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w:t>
            </w:r>
          </w:p>
        </w:tc>
        <w:tc>
          <w:tcPr>
            <w:tcW w:w="81"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81" w:type="dxa"/>
            <w:tcBorders/>
            <w:shd w:fill="FFFFFF" w:val="clear"/>
            <w:vAlign w:val="bottom"/>
          </w:tcPr>
          <w:p>
            <w:pPr>
              <w:pStyle w:val="TableContents"/>
              <w:spacing w:before="0" w:after="283"/>
              <w:jc w:val="left"/>
              <w:rPr/>
            </w:pPr>
            <w:r>
              <w:rPr/>
              <w:t> </w:t>
            </w:r>
          </w:p>
        </w:tc>
        <w:tc>
          <w:tcPr>
            <w:tcW w:w="982"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6,250</w:t>
            </w:r>
          </w:p>
        </w:tc>
        <w:tc>
          <w:tcPr>
            <w:tcW w:w="99"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139" w:type="dxa"/>
            <w:tcBorders/>
            <w:shd w:fill="FFFFFF" w:val="clear"/>
            <w:vAlign w:val="bottom"/>
          </w:tcPr>
          <w:p>
            <w:pPr>
              <w:pStyle w:val="TableContents"/>
              <w:spacing w:before="0" w:after="283"/>
              <w:jc w:val="left"/>
              <w:rPr/>
            </w:pPr>
            <w:r>
              <w:rPr/>
              <w:t> </w:t>
            </w:r>
          </w:p>
        </w:tc>
        <w:tc>
          <w:tcPr>
            <w:tcW w:w="641"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6</w:t>
            </w:r>
          </w:p>
        </w:tc>
        <w:tc>
          <w:tcPr>
            <w:tcW w:w="99"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283"/>
              <w:jc w:val="left"/>
              <w:rPr/>
            </w:pPr>
            <w:r>
              <w:rPr/>
              <w:t> </w:t>
            </w:r>
          </w:p>
        </w:tc>
        <w:tc>
          <w:tcPr>
            <w:tcW w:w="1077"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49,494</w:t>
            </w:r>
          </w:p>
        </w:tc>
        <w:tc>
          <w:tcPr>
            <w:tcW w:w="99"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283"/>
              <w:jc w:val="left"/>
              <w:rPr/>
            </w:pPr>
            <w:r>
              <w:rPr/>
              <w:t> </w:t>
            </w:r>
          </w:p>
        </w:tc>
        <w:tc>
          <w:tcPr>
            <w:tcW w:w="1132"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w:t>
            </w:r>
          </w:p>
        </w:tc>
        <w:tc>
          <w:tcPr>
            <w:tcW w:w="99"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141" w:type="dxa"/>
            <w:tcBorders/>
            <w:shd w:fill="FFFFFF" w:val="clear"/>
            <w:vAlign w:val="bottom"/>
          </w:tcPr>
          <w:p>
            <w:pPr>
              <w:pStyle w:val="TableContents"/>
              <w:spacing w:before="0" w:after="283"/>
              <w:jc w:val="left"/>
              <w:rPr/>
            </w:pPr>
            <w:r>
              <w:rPr/>
              <w:t> </w:t>
            </w:r>
          </w:p>
        </w:tc>
        <w:tc>
          <w:tcPr>
            <w:tcW w:w="1045"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49,500</w:t>
            </w:r>
          </w:p>
        </w:tc>
        <w:tc>
          <w:tcPr>
            <w:tcW w:w="123" w:type="dxa"/>
            <w:tcBorders/>
            <w:shd w:fill="FFFFFF" w:val="clear"/>
            <w:vAlign w:val="bottom"/>
          </w:tcPr>
          <w:p>
            <w:pPr>
              <w:pStyle w:val="TableContents"/>
              <w:spacing w:before="0" w:after="283"/>
              <w:jc w:val="left"/>
              <w:rPr/>
            </w:pPr>
            <w:r>
              <w:rPr/>
              <w:t> </w:t>
            </w:r>
          </w:p>
        </w:tc>
      </w:tr>
      <w:tr>
        <w:trPr/>
        <w:tc>
          <w:tcPr>
            <w:tcW w:w="2070" w:type="dxa"/>
            <w:tcBorders/>
            <w:shd w:fill="CCEEFF" w:val="clear"/>
            <w:vAlign w:val="bottom"/>
          </w:tcPr>
          <w:p>
            <w:pPr>
              <w:pStyle w:val="TableContents"/>
              <w:spacing w:before="0" w:after="0"/>
              <w:ind w:left="0" w:right="0" w:hanging="0"/>
              <w:jc w:val="left"/>
              <w:rPr/>
            </w:pPr>
            <w:r>
              <w:rPr/>
              <w:t> </w:t>
            </w:r>
            <w:r>
              <w:rPr>
                <w:rFonts w:ascii="helvetica" w:hAnsi="helvetica"/>
                <w:sz w:val="20"/>
              </w:rPr>
              <w:t>Stock-based compensation</w:t>
            </w:r>
          </w:p>
        </w:tc>
        <w:tc>
          <w:tcPr>
            <w:tcW w:w="81" w:type="dxa"/>
            <w:tcBorders/>
            <w:shd w:fill="CCEEFF" w:val="clear"/>
            <w:vAlign w:val="bottom"/>
          </w:tcPr>
          <w:p>
            <w:pPr>
              <w:pStyle w:val="TableContents"/>
              <w:spacing w:before="0" w:after="283"/>
              <w:rPr/>
            </w:pPr>
            <w:r>
              <w:rPr/>
              <w:t> </w:t>
            </w:r>
          </w:p>
        </w:tc>
        <w:tc>
          <w:tcPr>
            <w:tcW w:w="135" w:type="dxa"/>
            <w:tcBorders/>
            <w:shd w:fill="CCEEFF" w:val="clear"/>
            <w:vAlign w:val="bottom"/>
          </w:tcPr>
          <w:p>
            <w:pPr>
              <w:pStyle w:val="TableContents"/>
              <w:spacing w:before="0" w:after="283"/>
              <w:jc w:val="left"/>
              <w:rPr/>
            </w:pPr>
            <w:r>
              <w:rPr/>
              <w:t> </w:t>
            </w:r>
          </w:p>
        </w:tc>
        <w:tc>
          <w:tcPr>
            <w:tcW w:w="586"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w:t>
            </w:r>
          </w:p>
        </w:tc>
        <w:tc>
          <w:tcPr>
            <w:tcW w:w="92" w:type="dxa"/>
            <w:tcBorders/>
            <w:shd w:fill="CCEEFF" w:val="clear"/>
            <w:vAlign w:val="bottom"/>
          </w:tcPr>
          <w:p>
            <w:pPr>
              <w:pStyle w:val="TableContents"/>
              <w:spacing w:before="0" w:after="283"/>
              <w:jc w:val="left"/>
              <w:rPr/>
            </w:pPr>
            <w:r>
              <w:rPr/>
              <w:t> </w:t>
            </w:r>
          </w:p>
        </w:tc>
        <w:tc>
          <w:tcPr>
            <w:tcW w:w="92" w:type="dxa"/>
            <w:tcBorders/>
            <w:shd w:fill="CCEEFF" w:val="clear"/>
            <w:vAlign w:val="bottom"/>
          </w:tcPr>
          <w:p>
            <w:pPr>
              <w:pStyle w:val="TableContents"/>
              <w:spacing w:before="0" w:after="283"/>
              <w:rPr/>
            </w:pPr>
            <w:r>
              <w:rPr/>
              <w:t> </w:t>
            </w:r>
          </w:p>
        </w:tc>
        <w:tc>
          <w:tcPr>
            <w:tcW w:w="292" w:type="dxa"/>
            <w:tcBorders/>
            <w:shd w:fill="CCEEFF" w:val="clear"/>
            <w:vAlign w:val="bottom"/>
          </w:tcPr>
          <w:p>
            <w:pPr>
              <w:pStyle w:val="TableContents"/>
              <w:spacing w:before="0" w:after="283"/>
              <w:jc w:val="left"/>
              <w:rPr/>
            </w:pPr>
            <w:r>
              <w:rPr/>
              <w:t> </w:t>
            </w:r>
          </w:p>
        </w:tc>
        <w:tc>
          <w:tcPr>
            <w:tcW w:w="334"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w:t>
            </w:r>
          </w:p>
        </w:tc>
        <w:tc>
          <w:tcPr>
            <w:tcW w:w="81"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81" w:type="dxa"/>
            <w:tcBorders/>
            <w:shd w:fill="CCEEFF" w:val="clear"/>
            <w:vAlign w:val="bottom"/>
          </w:tcPr>
          <w:p>
            <w:pPr>
              <w:pStyle w:val="TableContents"/>
              <w:spacing w:before="0" w:after="283"/>
              <w:jc w:val="left"/>
              <w:rPr/>
            </w:pPr>
            <w:r>
              <w:rPr/>
              <w:t> </w:t>
            </w:r>
          </w:p>
        </w:tc>
        <w:tc>
          <w:tcPr>
            <w:tcW w:w="982"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w:t>
            </w:r>
          </w:p>
        </w:tc>
        <w:tc>
          <w:tcPr>
            <w:tcW w:w="99"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139" w:type="dxa"/>
            <w:tcBorders/>
            <w:shd w:fill="CCEEFF" w:val="clear"/>
            <w:vAlign w:val="bottom"/>
          </w:tcPr>
          <w:p>
            <w:pPr>
              <w:pStyle w:val="TableContents"/>
              <w:spacing w:before="0" w:after="283"/>
              <w:jc w:val="left"/>
              <w:rPr/>
            </w:pPr>
            <w:r>
              <w:rPr/>
              <w:t> </w:t>
            </w:r>
          </w:p>
        </w:tc>
        <w:tc>
          <w:tcPr>
            <w:tcW w:w="641"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w:t>
            </w:r>
          </w:p>
        </w:tc>
        <w:tc>
          <w:tcPr>
            <w:tcW w:w="99"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jc w:val="left"/>
              <w:rPr/>
            </w:pPr>
            <w:r>
              <w:rPr/>
              <w:t> </w:t>
            </w:r>
          </w:p>
        </w:tc>
        <w:tc>
          <w:tcPr>
            <w:tcW w:w="1077"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388,050</w:t>
            </w:r>
          </w:p>
        </w:tc>
        <w:tc>
          <w:tcPr>
            <w:tcW w:w="99"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jc w:val="left"/>
              <w:rPr/>
            </w:pPr>
            <w:r>
              <w:rPr/>
              <w:t> </w:t>
            </w:r>
          </w:p>
        </w:tc>
        <w:tc>
          <w:tcPr>
            <w:tcW w:w="1132"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w:t>
            </w:r>
          </w:p>
        </w:tc>
        <w:tc>
          <w:tcPr>
            <w:tcW w:w="99"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141" w:type="dxa"/>
            <w:tcBorders/>
            <w:shd w:fill="CCEEFF" w:val="clear"/>
            <w:vAlign w:val="bottom"/>
          </w:tcPr>
          <w:p>
            <w:pPr>
              <w:pStyle w:val="TableContents"/>
              <w:spacing w:before="0" w:after="283"/>
              <w:jc w:val="left"/>
              <w:rPr/>
            </w:pPr>
            <w:r>
              <w:rPr/>
              <w:t> </w:t>
            </w:r>
          </w:p>
        </w:tc>
        <w:tc>
          <w:tcPr>
            <w:tcW w:w="1045"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388,050</w:t>
            </w:r>
          </w:p>
        </w:tc>
        <w:tc>
          <w:tcPr>
            <w:tcW w:w="123" w:type="dxa"/>
            <w:tcBorders/>
            <w:shd w:fill="CCEEFF" w:val="clear"/>
            <w:vAlign w:val="bottom"/>
          </w:tcPr>
          <w:p>
            <w:pPr>
              <w:pStyle w:val="TableContents"/>
              <w:spacing w:before="0" w:after="283"/>
              <w:jc w:val="left"/>
              <w:rPr/>
            </w:pPr>
            <w:r>
              <w:rPr/>
              <w:t> </w:t>
            </w:r>
          </w:p>
        </w:tc>
      </w:tr>
      <w:tr>
        <w:trPr/>
        <w:tc>
          <w:tcPr>
            <w:tcW w:w="2070" w:type="dxa"/>
            <w:tcBorders/>
            <w:shd w:fill="FFFFFF" w:val="clear"/>
            <w:vAlign w:val="bottom"/>
          </w:tcPr>
          <w:p>
            <w:pPr>
              <w:pStyle w:val="TableContents"/>
              <w:spacing w:before="0" w:after="0"/>
              <w:ind w:left="0" w:right="0" w:hanging="0"/>
              <w:jc w:val="left"/>
              <w:rPr/>
            </w:pPr>
            <w:r>
              <w:rPr/>
              <w:t> </w:t>
            </w:r>
            <w:r>
              <w:rPr>
                <w:rFonts w:ascii="helvetica" w:hAnsi="helvetica"/>
                <w:sz w:val="20"/>
              </w:rPr>
              <w:t>Net loss</w:t>
            </w:r>
          </w:p>
        </w:tc>
        <w:tc>
          <w:tcPr>
            <w:tcW w:w="81" w:type="dxa"/>
            <w:tcBorders/>
            <w:shd w:fill="FFFFFF" w:val="clear"/>
            <w:vAlign w:val="bottom"/>
          </w:tcPr>
          <w:p>
            <w:pPr>
              <w:pStyle w:val="TableContents"/>
              <w:spacing w:before="0" w:after="283"/>
              <w:rPr/>
            </w:pPr>
            <w:r>
              <w:rPr/>
              <w:t> </w:t>
            </w:r>
          </w:p>
        </w:tc>
        <w:tc>
          <w:tcPr>
            <w:tcW w:w="13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586" w:type="dxa"/>
            <w:tcBorders>
              <w:bottom w:val="single" w:sz="12" w:space="0" w:color="000000"/>
            </w:tcBorders>
            <w:shd w:fill="FFFF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w:t>
            </w:r>
          </w:p>
        </w:tc>
        <w:tc>
          <w:tcPr>
            <w:tcW w:w="92" w:type="dxa"/>
            <w:tcBorders/>
            <w:shd w:fill="FFFFFF" w:val="clear"/>
            <w:vAlign w:val="bottom"/>
          </w:tcPr>
          <w:p>
            <w:pPr>
              <w:pStyle w:val="TableContents"/>
              <w:spacing w:before="0" w:after="283"/>
              <w:jc w:val="left"/>
              <w:rPr/>
            </w:pPr>
            <w:r>
              <w:rPr/>
              <w:t> </w:t>
            </w:r>
          </w:p>
        </w:tc>
        <w:tc>
          <w:tcPr>
            <w:tcW w:w="92" w:type="dxa"/>
            <w:tcBorders/>
            <w:shd w:fill="FFFFFF" w:val="clear"/>
            <w:vAlign w:val="bottom"/>
          </w:tcPr>
          <w:p>
            <w:pPr>
              <w:pStyle w:val="TableContents"/>
              <w:spacing w:before="0" w:after="283"/>
              <w:rPr/>
            </w:pPr>
            <w:r>
              <w:rPr/>
              <w:t> </w:t>
            </w:r>
          </w:p>
        </w:tc>
        <w:tc>
          <w:tcPr>
            <w:tcW w:w="292"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334" w:type="dxa"/>
            <w:tcBorders>
              <w:bottom w:val="single" w:sz="12" w:space="0" w:color="000000"/>
            </w:tcBorders>
            <w:shd w:fill="FFFF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w:t>
            </w:r>
          </w:p>
        </w:tc>
        <w:tc>
          <w:tcPr>
            <w:tcW w:w="81"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81"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982" w:type="dxa"/>
            <w:tcBorders>
              <w:bottom w:val="single" w:sz="12" w:space="0" w:color="000000"/>
            </w:tcBorders>
            <w:shd w:fill="FFFF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w:t>
            </w:r>
          </w:p>
        </w:tc>
        <w:tc>
          <w:tcPr>
            <w:tcW w:w="99"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139"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641" w:type="dxa"/>
            <w:tcBorders>
              <w:bottom w:val="single" w:sz="12" w:space="0" w:color="000000"/>
            </w:tcBorders>
            <w:shd w:fill="FFFF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w:t>
            </w:r>
          </w:p>
        </w:tc>
        <w:tc>
          <w:tcPr>
            <w:tcW w:w="99"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140"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77" w:type="dxa"/>
            <w:tcBorders>
              <w:bottom w:val="single" w:sz="12" w:space="0" w:color="000000"/>
            </w:tcBorders>
            <w:shd w:fill="FFFF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w:t>
            </w:r>
          </w:p>
        </w:tc>
        <w:tc>
          <w:tcPr>
            <w:tcW w:w="99"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140"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132" w:type="dxa"/>
            <w:tcBorders>
              <w:bottom w:val="single" w:sz="12" w:space="0" w:color="000000"/>
            </w:tcBorders>
            <w:shd w:fill="FFFF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(4,553,636</w:t>
            </w:r>
          </w:p>
        </w:tc>
        <w:tc>
          <w:tcPr>
            <w:tcW w:w="99" w:type="dxa"/>
            <w:tcBorders/>
            <w:shd w:fill="FFFFFF" w:val="clear"/>
            <w:vAlign w:val="bottom"/>
          </w:tcPr>
          <w:p>
            <w:pPr>
              <w:pStyle w:val="TableContents"/>
              <w:spacing w:before="0" w:after="283"/>
              <w:jc w:val="left"/>
              <w:rPr>
                <w:rFonts w:ascii="helvetica" w:hAnsi="helvetica"/>
                <w:sz w:val="20"/>
              </w:rPr>
            </w:pPr>
            <w:r>
              <w:rPr>
                <w:rFonts w:ascii="helvetica" w:hAnsi="helvetica"/>
                <w:sz w:val="20"/>
              </w:rPr>
              <w:t>)</w:t>
            </w:r>
          </w:p>
        </w:tc>
        <w:tc>
          <w:tcPr>
            <w:tcW w:w="81" w:type="dxa"/>
            <w:tcBorders/>
            <w:shd w:fill="FFFFFF" w:val="clear"/>
            <w:vAlign w:val="bottom"/>
          </w:tcPr>
          <w:p>
            <w:pPr>
              <w:pStyle w:val="TableContents"/>
              <w:spacing w:before="0" w:after="283"/>
              <w:rPr/>
            </w:pPr>
            <w:r>
              <w:rPr/>
              <w:t> </w:t>
            </w:r>
          </w:p>
        </w:tc>
        <w:tc>
          <w:tcPr>
            <w:tcW w:w="141"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45" w:type="dxa"/>
            <w:tcBorders>
              <w:bottom w:val="single" w:sz="12" w:space="0" w:color="000000"/>
            </w:tcBorders>
            <w:shd w:fill="FFFF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(4,553,636</w:t>
            </w:r>
          </w:p>
        </w:tc>
        <w:tc>
          <w:tcPr>
            <w:tcW w:w="123" w:type="dxa"/>
            <w:tcBorders/>
            <w:shd w:fill="FFFFFF" w:val="clear"/>
            <w:vAlign w:val="bottom"/>
          </w:tcPr>
          <w:p>
            <w:pPr>
              <w:pStyle w:val="TableContents"/>
              <w:spacing w:before="0" w:after="283"/>
              <w:jc w:val="left"/>
              <w:rPr>
                <w:rFonts w:ascii="helvetica" w:hAnsi="helvetica"/>
                <w:sz w:val="20"/>
              </w:rPr>
            </w:pPr>
            <w:r>
              <w:rPr>
                <w:rFonts w:ascii="helvetica" w:hAnsi="helvetica"/>
                <w:sz w:val="20"/>
              </w:rPr>
              <w:t>)</w:t>
            </w:r>
          </w:p>
        </w:tc>
      </w:tr>
      <w:tr>
        <w:trPr/>
        <w:tc>
          <w:tcPr>
            <w:tcW w:w="2070" w:type="dxa"/>
            <w:tcBorders/>
            <w:shd w:fill="CCEEFF" w:val="clear"/>
            <w:vAlign w:val="bottom"/>
          </w:tcPr>
          <w:p>
            <w:pPr>
              <w:pStyle w:val="TableContents"/>
              <w:spacing w:before="0" w:after="0"/>
              <w:ind w:left="0" w:right="0" w:hanging="0"/>
              <w:jc w:val="left"/>
              <w:rPr/>
            </w:pPr>
            <w:r>
              <w:rPr/>
              <w:t> </w:t>
            </w:r>
            <w:r>
              <w:rPr>
                <w:rFonts w:ascii="helvetica" w:hAnsi="helvetica"/>
                <w:sz w:val="20"/>
              </w:rPr>
              <w:t>Balance at December 31, 2009</w:t>
            </w:r>
          </w:p>
        </w:tc>
        <w:tc>
          <w:tcPr>
            <w:tcW w:w="81" w:type="dxa"/>
            <w:tcBorders/>
            <w:shd w:fill="CCEEFF" w:val="clear"/>
            <w:vAlign w:val="bottom"/>
          </w:tcPr>
          <w:p>
            <w:pPr>
              <w:pStyle w:val="TableContents"/>
              <w:spacing w:before="0" w:after="283"/>
              <w:rPr/>
            </w:pPr>
            <w:r>
              <w:rPr/>
              <w:t> </w:t>
            </w:r>
          </w:p>
        </w:tc>
        <w:tc>
          <w:tcPr>
            <w:tcW w:w="135" w:type="dxa"/>
            <w:tcBorders/>
            <w:shd w:fill="CCEEFF" w:val="clear"/>
            <w:vAlign w:val="bottom"/>
          </w:tcPr>
          <w:p>
            <w:pPr>
              <w:pStyle w:val="TableContents"/>
              <w:spacing w:before="0" w:after="283"/>
              <w:jc w:val="left"/>
              <w:rPr/>
            </w:pPr>
            <w:r>
              <w:rPr/>
              <w:t> </w:t>
            </w:r>
          </w:p>
        </w:tc>
        <w:tc>
          <w:tcPr>
            <w:tcW w:w="586"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w:t>
            </w:r>
          </w:p>
        </w:tc>
        <w:tc>
          <w:tcPr>
            <w:tcW w:w="92" w:type="dxa"/>
            <w:tcBorders/>
            <w:shd w:fill="CCEEFF" w:val="clear"/>
            <w:vAlign w:val="bottom"/>
          </w:tcPr>
          <w:p>
            <w:pPr>
              <w:pStyle w:val="TableContents"/>
              <w:spacing w:before="0" w:after="283"/>
              <w:jc w:val="left"/>
              <w:rPr/>
            </w:pPr>
            <w:r>
              <w:rPr/>
              <w:t> </w:t>
            </w:r>
          </w:p>
        </w:tc>
        <w:tc>
          <w:tcPr>
            <w:tcW w:w="92" w:type="dxa"/>
            <w:tcBorders/>
            <w:shd w:fill="CCEEFF" w:val="clear"/>
            <w:vAlign w:val="bottom"/>
          </w:tcPr>
          <w:p>
            <w:pPr>
              <w:pStyle w:val="TableContents"/>
              <w:spacing w:before="0" w:after="283"/>
              <w:rPr/>
            </w:pPr>
            <w:r>
              <w:rPr/>
              <w:t> </w:t>
            </w:r>
          </w:p>
        </w:tc>
        <w:tc>
          <w:tcPr>
            <w:tcW w:w="292" w:type="dxa"/>
            <w:tcBorders/>
            <w:shd w:fill="CCEEFF" w:val="clear"/>
            <w:vAlign w:val="bottom"/>
          </w:tcPr>
          <w:p>
            <w:pPr>
              <w:pStyle w:val="TableContents"/>
              <w:spacing w:before="0" w:after="283"/>
              <w:jc w:val="left"/>
              <w:rPr/>
            </w:pPr>
            <w:r>
              <w:rPr/>
              <w:t> </w:t>
            </w:r>
          </w:p>
        </w:tc>
        <w:tc>
          <w:tcPr>
            <w:tcW w:w="334"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w:t>
            </w:r>
          </w:p>
        </w:tc>
        <w:tc>
          <w:tcPr>
            <w:tcW w:w="81"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81" w:type="dxa"/>
            <w:tcBorders/>
            <w:shd w:fill="CCEEFF" w:val="clear"/>
            <w:vAlign w:val="bottom"/>
          </w:tcPr>
          <w:p>
            <w:pPr>
              <w:pStyle w:val="TableContents"/>
              <w:spacing w:before="0" w:after="283"/>
              <w:jc w:val="left"/>
              <w:rPr/>
            </w:pPr>
            <w:r>
              <w:rPr/>
              <w:t> </w:t>
            </w:r>
          </w:p>
        </w:tc>
        <w:tc>
          <w:tcPr>
            <w:tcW w:w="982"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1,956,508</w:t>
            </w:r>
          </w:p>
        </w:tc>
        <w:tc>
          <w:tcPr>
            <w:tcW w:w="99"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139" w:type="dxa"/>
            <w:tcBorders/>
            <w:shd w:fill="CCEEFF" w:val="clear"/>
            <w:vAlign w:val="bottom"/>
          </w:tcPr>
          <w:p>
            <w:pPr>
              <w:pStyle w:val="TableContents"/>
              <w:spacing w:before="0" w:after="283"/>
              <w:jc w:val="left"/>
              <w:rPr/>
            </w:pPr>
            <w:r>
              <w:rPr/>
              <w:t> </w:t>
            </w:r>
          </w:p>
        </w:tc>
        <w:tc>
          <w:tcPr>
            <w:tcW w:w="641"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1,957</w:t>
            </w:r>
          </w:p>
        </w:tc>
        <w:tc>
          <w:tcPr>
            <w:tcW w:w="99"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jc w:val="left"/>
              <w:rPr/>
            </w:pPr>
            <w:r>
              <w:rPr/>
              <w:t> </w:t>
            </w:r>
          </w:p>
        </w:tc>
        <w:tc>
          <w:tcPr>
            <w:tcW w:w="1077"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15,510,823</w:t>
            </w:r>
          </w:p>
        </w:tc>
        <w:tc>
          <w:tcPr>
            <w:tcW w:w="99"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jc w:val="left"/>
              <w:rPr/>
            </w:pPr>
            <w:r>
              <w:rPr/>
              <w:t> </w:t>
            </w:r>
          </w:p>
        </w:tc>
        <w:tc>
          <w:tcPr>
            <w:tcW w:w="1132"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(14,935,569</w:t>
            </w:r>
          </w:p>
        </w:tc>
        <w:tc>
          <w:tcPr>
            <w:tcW w:w="99" w:type="dxa"/>
            <w:tcBorders/>
            <w:shd w:fill="CCEEFF" w:val="clear"/>
            <w:vAlign w:val="bottom"/>
          </w:tcPr>
          <w:p>
            <w:pPr>
              <w:pStyle w:val="TableContents"/>
              <w:spacing w:before="0" w:after="283"/>
              <w:jc w:val="left"/>
              <w:rPr>
                <w:rFonts w:ascii="helvetica" w:hAnsi="helvetica"/>
                <w:sz w:val="20"/>
              </w:rPr>
            </w:pPr>
            <w:r>
              <w:rPr>
                <w:rFonts w:ascii="helvetica" w:hAnsi="helvetica"/>
                <w:sz w:val="20"/>
              </w:rPr>
              <w:t>)</w:t>
            </w:r>
          </w:p>
        </w:tc>
        <w:tc>
          <w:tcPr>
            <w:tcW w:w="81" w:type="dxa"/>
            <w:tcBorders/>
            <w:shd w:fill="CCEEFF" w:val="clear"/>
            <w:vAlign w:val="bottom"/>
          </w:tcPr>
          <w:p>
            <w:pPr>
              <w:pStyle w:val="TableContents"/>
              <w:spacing w:before="0" w:after="283"/>
              <w:rPr/>
            </w:pPr>
            <w:r>
              <w:rPr/>
              <w:t> </w:t>
            </w:r>
          </w:p>
        </w:tc>
        <w:tc>
          <w:tcPr>
            <w:tcW w:w="141" w:type="dxa"/>
            <w:tcBorders/>
            <w:shd w:fill="CCEEFF" w:val="clear"/>
            <w:vAlign w:val="bottom"/>
          </w:tcPr>
          <w:p>
            <w:pPr>
              <w:pStyle w:val="TableContents"/>
              <w:spacing w:before="0" w:after="283"/>
              <w:jc w:val="left"/>
              <w:rPr/>
            </w:pPr>
            <w:r>
              <w:rPr/>
              <w:t> </w:t>
            </w:r>
          </w:p>
        </w:tc>
        <w:tc>
          <w:tcPr>
            <w:tcW w:w="1045"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577,211</w:t>
            </w:r>
          </w:p>
        </w:tc>
        <w:tc>
          <w:tcPr>
            <w:tcW w:w="123" w:type="dxa"/>
            <w:tcBorders/>
            <w:shd w:fill="CCEEFF" w:val="clear"/>
            <w:vAlign w:val="bottom"/>
          </w:tcPr>
          <w:p>
            <w:pPr>
              <w:pStyle w:val="TableContents"/>
              <w:spacing w:before="0" w:after="283"/>
              <w:jc w:val="left"/>
              <w:rPr/>
            </w:pPr>
            <w:r>
              <w:rPr/>
              <w:t> </w:t>
            </w:r>
          </w:p>
        </w:tc>
      </w:tr>
      <w:tr>
        <w:trPr/>
        <w:tc>
          <w:tcPr>
            <w:tcW w:w="2070" w:type="dxa"/>
            <w:tcBorders/>
            <w:shd w:fill="FFFFFF" w:val="clear"/>
            <w:vAlign w:val="bottom"/>
          </w:tcPr>
          <w:p>
            <w:pPr>
              <w:pStyle w:val="TableContents"/>
              <w:spacing w:before="0" w:after="283"/>
              <w:rPr/>
            </w:pPr>
            <w:r>
              <w:rPr/>
              <w:t xml:space="preserve">  </w:t>
            </w:r>
          </w:p>
        </w:tc>
        <w:tc>
          <w:tcPr>
            <w:tcW w:w="81" w:type="dxa"/>
            <w:tcBorders/>
            <w:shd w:fill="FFFFFF" w:val="clear"/>
            <w:vAlign w:val="bottom"/>
          </w:tcPr>
          <w:p>
            <w:pPr>
              <w:pStyle w:val="TableContents"/>
              <w:spacing w:before="0" w:after="283"/>
              <w:rPr/>
            </w:pPr>
            <w:r>
              <w:rPr/>
              <w:t> </w:t>
            </w:r>
          </w:p>
        </w:tc>
        <w:tc>
          <w:tcPr>
            <w:tcW w:w="135" w:type="dxa"/>
            <w:tcBorders/>
            <w:shd w:fill="FFFFFF" w:val="clear"/>
            <w:vAlign w:val="bottom"/>
          </w:tcPr>
          <w:p>
            <w:pPr>
              <w:pStyle w:val="TableContents"/>
              <w:spacing w:before="0" w:after="283"/>
              <w:jc w:val="left"/>
              <w:rPr/>
            </w:pPr>
            <w:r>
              <w:rPr/>
              <w:t> </w:t>
            </w:r>
          </w:p>
        </w:tc>
        <w:tc>
          <w:tcPr>
            <w:tcW w:w="586" w:type="dxa"/>
            <w:tcBorders/>
            <w:shd w:fill="FFFFFF" w:val="clear"/>
            <w:vAlign w:val="bottom"/>
          </w:tcPr>
          <w:p>
            <w:pPr>
              <w:pStyle w:val="TableContents"/>
              <w:spacing w:before="0" w:after="283"/>
              <w:jc w:val="right"/>
              <w:rPr/>
            </w:pPr>
            <w:r>
              <w:rPr/>
              <w:t> </w:t>
            </w:r>
          </w:p>
        </w:tc>
        <w:tc>
          <w:tcPr>
            <w:tcW w:w="92" w:type="dxa"/>
            <w:tcBorders/>
            <w:shd w:fill="FFFFFF" w:val="clear"/>
            <w:vAlign w:val="bottom"/>
          </w:tcPr>
          <w:p>
            <w:pPr>
              <w:pStyle w:val="TableContents"/>
              <w:spacing w:before="0" w:after="283"/>
              <w:jc w:val="left"/>
              <w:rPr/>
            </w:pPr>
            <w:r>
              <w:rPr/>
              <w:t> </w:t>
            </w:r>
          </w:p>
        </w:tc>
        <w:tc>
          <w:tcPr>
            <w:tcW w:w="92" w:type="dxa"/>
            <w:tcBorders/>
            <w:shd w:fill="FFFFFF" w:val="clear"/>
            <w:vAlign w:val="bottom"/>
          </w:tcPr>
          <w:p>
            <w:pPr>
              <w:pStyle w:val="TableContents"/>
              <w:spacing w:before="0" w:after="283"/>
              <w:rPr/>
            </w:pPr>
            <w:r>
              <w:rPr/>
              <w:t> </w:t>
            </w:r>
          </w:p>
        </w:tc>
        <w:tc>
          <w:tcPr>
            <w:tcW w:w="292" w:type="dxa"/>
            <w:tcBorders/>
            <w:shd w:fill="FFFFFF" w:val="clear"/>
            <w:vAlign w:val="bottom"/>
          </w:tcPr>
          <w:p>
            <w:pPr>
              <w:pStyle w:val="TableContents"/>
              <w:spacing w:before="0" w:after="283"/>
              <w:jc w:val="left"/>
              <w:rPr/>
            </w:pPr>
            <w:r>
              <w:rPr/>
              <w:t> </w:t>
            </w:r>
          </w:p>
        </w:tc>
        <w:tc>
          <w:tcPr>
            <w:tcW w:w="334" w:type="dxa"/>
            <w:tcBorders/>
            <w:shd w:fill="FFFFFF" w:val="clear"/>
            <w:vAlign w:val="bottom"/>
          </w:tcPr>
          <w:p>
            <w:pPr>
              <w:pStyle w:val="TableContents"/>
              <w:spacing w:before="0" w:after="283"/>
              <w:jc w:val="right"/>
              <w:rPr/>
            </w:pPr>
            <w:r>
              <w:rPr/>
              <w:t> </w:t>
            </w:r>
          </w:p>
        </w:tc>
        <w:tc>
          <w:tcPr>
            <w:tcW w:w="81"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81" w:type="dxa"/>
            <w:tcBorders/>
            <w:shd w:fill="FFFFFF" w:val="clear"/>
            <w:vAlign w:val="bottom"/>
          </w:tcPr>
          <w:p>
            <w:pPr>
              <w:pStyle w:val="TableContents"/>
              <w:spacing w:before="0" w:after="283"/>
              <w:jc w:val="left"/>
              <w:rPr/>
            </w:pPr>
            <w:r>
              <w:rPr/>
              <w:t> </w:t>
            </w:r>
          </w:p>
        </w:tc>
        <w:tc>
          <w:tcPr>
            <w:tcW w:w="982" w:type="dxa"/>
            <w:tcBorders/>
            <w:shd w:fill="FFFFFF" w:val="clear"/>
            <w:vAlign w:val="bottom"/>
          </w:tcPr>
          <w:p>
            <w:pPr>
              <w:pStyle w:val="TableContents"/>
              <w:spacing w:before="0" w:after="283"/>
              <w:jc w:val="right"/>
              <w:rPr/>
            </w:pPr>
            <w:r>
              <w:rPr/>
              <w:t> </w:t>
            </w:r>
          </w:p>
        </w:tc>
        <w:tc>
          <w:tcPr>
            <w:tcW w:w="99"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139" w:type="dxa"/>
            <w:tcBorders/>
            <w:shd w:fill="FFFFFF" w:val="clear"/>
            <w:vAlign w:val="bottom"/>
          </w:tcPr>
          <w:p>
            <w:pPr>
              <w:pStyle w:val="TableContents"/>
              <w:spacing w:before="0" w:after="283"/>
              <w:jc w:val="left"/>
              <w:rPr/>
            </w:pPr>
            <w:r>
              <w:rPr/>
              <w:t> </w:t>
            </w:r>
          </w:p>
        </w:tc>
        <w:tc>
          <w:tcPr>
            <w:tcW w:w="641" w:type="dxa"/>
            <w:tcBorders/>
            <w:shd w:fill="FFFFFF" w:val="clear"/>
            <w:vAlign w:val="bottom"/>
          </w:tcPr>
          <w:p>
            <w:pPr>
              <w:pStyle w:val="TableContents"/>
              <w:spacing w:before="0" w:after="283"/>
              <w:jc w:val="right"/>
              <w:rPr/>
            </w:pPr>
            <w:r>
              <w:rPr/>
              <w:t> </w:t>
            </w:r>
          </w:p>
        </w:tc>
        <w:tc>
          <w:tcPr>
            <w:tcW w:w="99"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283"/>
              <w:jc w:val="left"/>
              <w:rPr/>
            </w:pPr>
            <w:r>
              <w:rPr/>
              <w:t> </w:t>
            </w:r>
          </w:p>
        </w:tc>
        <w:tc>
          <w:tcPr>
            <w:tcW w:w="1077" w:type="dxa"/>
            <w:tcBorders/>
            <w:shd w:fill="FFFFFF" w:val="clear"/>
            <w:vAlign w:val="bottom"/>
          </w:tcPr>
          <w:p>
            <w:pPr>
              <w:pStyle w:val="TableContents"/>
              <w:spacing w:before="0" w:after="283"/>
              <w:jc w:val="right"/>
              <w:rPr/>
            </w:pPr>
            <w:r>
              <w:rPr/>
              <w:t> </w:t>
            </w:r>
          </w:p>
        </w:tc>
        <w:tc>
          <w:tcPr>
            <w:tcW w:w="99"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283"/>
              <w:jc w:val="left"/>
              <w:rPr/>
            </w:pPr>
            <w:r>
              <w:rPr/>
              <w:t> </w:t>
            </w:r>
          </w:p>
        </w:tc>
        <w:tc>
          <w:tcPr>
            <w:tcW w:w="1132" w:type="dxa"/>
            <w:tcBorders/>
            <w:shd w:fill="FFFFFF" w:val="clear"/>
            <w:vAlign w:val="bottom"/>
          </w:tcPr>
          <w:p>
            <w:pPr>
              <w:pStyle w:val="TableContents"/>
              <w:spacing w:before="0" w:after="283"/>
              <w:jc w:val="right"/>
              <w:rPr/>
            </w:pPr>
            <w:r>
              <w:rPr/>
              <w:t> </w:t>
            </w:r>
          </w:p>
        </w:tc>
        <w:tc>
          <w:tcPr>
            <w:tcW w:w="99"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141" w:type="dxa"/>
            <w:tcBorders/>
            <w:shd w:fill="FFFFFF" w:val="clear"/>
            <w:vAlign w:val="bottom"/>
          </w:tcPr>
          <w:p>
            <w:pPr>
              <w:pStyle w:val="TableContents"/>
              <w:spacing w:before="0" w:after="283"/>
              <w:jc w:val="left"/>
              <w:rPr/>
            </w:pPr>
            <w:r>
              <w:rPr/>
              <w:t> </w:t>
            </w:r>
          </w:p>
        </w:tc>
        <w:tc>
          <w:tcPr>
            <w:tcW w:w="1045" w:type="dxa"/>
            <w:tcBorders/>
            <w:shd w:fill="FFFFFF" w:val="clear"/>
            <w:vAlign w:val="bottom"/>
          </w:tcPr>
          <w:p>
            <w:pPr>
              <w:pStyle w:val="TableContents"/>
              <w:spacing w:before="0" w:after="283"/>
              <w:jc w:val="right"/>
              <w:rPr/>
            </w:pPr>
            <w:r>
              <w:rPr/>
              <w:t> </w:t>
            </w:r>
          </w:p>
        </w:tc>
        <w:tc>
          <w:tcPr>
            <w:tcW w:w="123" w:type="dxa"/>
            <w:tcBorders/>
            <w:shd w:fill="FFFFFF" w:val="clear"/>
            <w:vAlign w:val="bottom"/>
          </w:tcPr>
          <w:p>
            <w:pPr>
              <w:pStyle w:val="TableContents"/>
              <w:spacing w:before="0" w:after="283"/>
              <w:jc w:val="left"/>
              <w:rPr/>
            </w:pPr>
            <w:r>
              <w:rPr/>
              <w:t> </w:t>
            </w:r>
          </w:p>
        </w:tc>
      </w:tr>
      <w:tr>
        <w:trPr/>
        <w:tc>
          <w:tcPr>
            <w:tcW w:w="2070" w:type="dxa"/>
            <w:tcBorders/>
            <w:shd w:fill="CCEEFF" w:val="clear"/>
            <w:vAlign w:val="bottom"/>
          </w:tcPr>
          <w:p>
            <w:pPr>
              <w:pStyle w:val="TableContents"/>
              <w:spacing w:before="0" w:after="0"/>
              <w:ind w:left="0" w:right="0" w:hanging="0"/>
              <w:jc w:val="left"/>
              <w:rPr/>
            </w:pPr>
            <w:r>
              <w:rPr/>
              <w:t> </w:t>
            </w:r>
            <w:r>
              <w:rPr>
                <w:rFonts w:ascii="helvetica" w:hAnsi="helvetica"/>
                <w:sz w:val="20"/>
              </w:rPr>
              <w:t>Issuance of common stock and stock options related</w:t>
            </w:r>
          </w:p>
        </w:tc>
        <w:tc>
          <w:tcPr>
            <w:tcW w:w="81" w:type="dxa"/>
            <w:tcBorders/>
            <w:shd w:fill="CCEEFF" w:val="clear"/>
            <w:vAlign w:val="bottom"/>
          </w:tcPr>
          <w:p>
            <w:pPr>
              <w:pStyle w:val="TableContents"/>
              <w:spacing w:before="0" w:after="283"/>
              <w:rPr/>
            </w:pPr>
            <w:r>
              <w:rPr/>
              <w:t> </w:t>
            </w:r>
          </w:p>
        </w:tc>
        <w:tc>
          <w:tcPr>
            <w:tcW w:w="135" w:type="dxa"/>
            <w:tcBorders/>
            <w:shd w:fill="CCEEFF" w:val="clear"/>
            <w:vAlign w:val="bottom"/>
          </w:tcPr>
          <w:p>
            <w:pPr>
              <w:pStyle w:val="TableContents"/>
              <w:spacing w:before="0" w:after="283"/>
              <w:jc w:val="left"/>
              <w:rPr/>
            </w:pPr>
            <w:r>
              <w:rPr/>
              <w:t> </w:t>
            </w:r>
          </w:p>
        </w:tc>
        <w:tc>
          <w:tcPr>
            <w:tcW w:w="586" w:type="dxa"/>
            <w:tcBorders/>
            <w:shd w:fill="CCEEFF" w:val="clear"/>
            <w:vAlign w:val="bottom"/>
          </w:tcPr>
          <w:p>
            <w:pPr>
              <w:pStyle w:val="TableContents"/>
              <w:spacing w:before="0" w:after="283"/>
              <w:jc w:val="right"/>
              <w:rPr/>
            </w:pPr>
            <w:r>
              <w:rPr/>
              <w:t> </w:t>
            </w:r>
          </w:p>
        </w:tc>
        <w:tc>
          <w:tcPr>
            <w:tcW w:w="92" w:type="dxa"/>
            <w:tcBorders/>
            <w:shd w:fill="CCEEFF" w:val="clear"/>
            <w:vAlign w:val="bottom"/>
          </w:tcPr>
          <w:p>
            <w:pPr>
              <w:pStyle w:val="TableContents"/>
              <w:spacing w:before="0" w:after="283"/>
              <w:jc w:val="left"/>
              <w:rPr/>
            </w:pPr>
            <w:r>
              <w:rPr/>
              <w:t> </w:t>
            </w:r>
          </w:p>
        </w:tc>
        <w:tc>
          <w:tcPr>
            <w:tcW w:w="92" w:type="dxa"/>
            <w:tcBorders/>
            <w:shd w:fill="CCEEFF" w:val="clear"/>
            <w:vAlign w:val="bottom"/>
          </w:tcPr>
          <w:p>
            <w:pPr>
              <w:pStyle w:val="TableContents"/>
              <w:spacing w:before="0" w:after="283"/>
              <w:rPr/>
            </w:pPr>
            <w:r>
              <w:rPr/>
              <w:t> </w:t>
            </w:r>
          </w:p>
        </w:tc>
        <w:tc>
          <w:tcPr>
            <w:tcW w:w="292" w:type="dxa"/>
            <w:tcBorders/>
            <w:shd w:fill="CCEEFF" w:val="clear"/>
            <w:vAlign w:val="bottom"/>
          </w:tcPr>
          <w:p>
            <w:pPr>
              <w:pStyle w:val="TableContents"/>
              <w:spacing w:before="0" w:after="283"/>
              <w:jc w:val="left"/>
              <w:rPr/>
            </w:pPr>
            <w:r>
              <w:rPr/>
              <w:t> </w:t>
            </w:r>
          </w:p>
        </w:tc>
        <w:tc>
          <w:tcPr>
            <w:tcW w:w="334" w:type="dxa"/>
            <w:tcBorders/>
            <w:shd w:fill="CCEEFF" w:val="clear"/>
            <w:vAlign w:val="bottom"/>
          </w:tcPr>
          <w:p>
            <w:pPr>
              <w:pStyle w:val="TableContents"/>
              <w:spacing w:before="0" w:after="283"/>
              <w:jc w:val="right"/>
              <w:rPr/>
            </w:pPr>
            <w:r>
              <w:rPr/>
              <w:t> </w:t>
            </w:r>
          </w:p>
        </w:tc>
        <w:tc>
          <w:tcPr>
            <w:tcW w:w="81"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81" w:type="dxa"/>
            <w:tcBorders/>
            <w:shd w:fill="CCEEFF" w:val="clear"/>
            <w:vAlign w:val="bottom"/>
          </w:tcPr>
          <w:p>
            <w:pPr>
              <w:pStyle w:val="TableContents"/>
              <w:spacing w:before="0" w:after="283"/>
              <w:jc w:val="left"/>
              <w:rPr/>
            </w:pPr>
            <w:r>
              <w:rPr/>
              <w:t> </w:t>
            </w:r>
          </w:p>
        </w:tc>
        <w:tc>
          <w:tcPr>
            <w:tcW w:w="982" w:type="dxa"/>
            <w:tcBorders/>
            <w:shd w:fill="CCEEFF" w:val="clear"/>
            <w:vAlign w:val="bottom"/>
          </w:tcPr>
          <w:p>
            <w:pPr>
              <w:pStyle w:val="TableContents"/>
              <w:spacing w:before="0" w:after="283"/>
              <w:jc w:val="right"/>
              <w:rPr/>
            </w:pPr>
            <w:r>
              <w:rPr/>
              <w:t> </w:t>
            </w:r>
          </w:p>
        </w:tc>
        <w:tc>
          <w:tcPr>
            <w:tcW w:w="99"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139" w:type="dxa"/>
            <w:tcBorders/>
            <w:shd w:fill="CCEEFF" w:val="clear"/>
            <w:vAlign w:val="bottom"/>
          </w:tcPr>
          <w:p>
            <w:pPr>
              <w:pStyle w:val="TableContents"/>
              <w:spacing w:before="0" w:after="283"/>
              <w:jc w:val="left"/>
              <w:rPr/>
            </w:pPr>
            <w:r>
              <w:rPr/>
              <w:t> </w:t>
            </w:r>
          </w:p>
        </w:tc>
        <w:tc>
          <w:tcPr>
            <w:tcW w:w="641" w:type="dxa"/>
            <w:tcBorders/>
            <w:shd w:fill="CCEEFF" w:val="clear"/>
            <w:vAlign w:val="bottom"/>
          </w:tcPr>
          <w:p>
            <w:pPr>
              <w:pStyle w:val="TableContents"/>
              <w:spacing w:before="0" w:after="283"/>
              <w:jc w:val="right"/>
              <w:rPr/>
            </w:pPr>
            <w:r>
              <w:rPr/>
              <w:t> </w:t>
            </w:r>
          </w:p>
        </w:tc>
        <w:tc>
          <w:tcPr>
            <w:tcW w:w="99"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jc w:val="left"/>
              <w:rPr/>
            </w:pPr>
            <w:r>
              <w:rPr/>
              <w:t> </w:t>
            </w:r>
          </w:p>
        </w:tc>
        <w:tc>
          <w:tcPr>
            <w:tcW w:w="1077" w:type="dxa"/>
            <w:tcBorders/>
            <w:shd w:fill="CCEEFF" w:val="clear"/>
            <w:vAlign w:val="bottom"/>
          </w:tcPr>
          <w:p>
            <w:pPr>
              <w:pStyle w:val="TableContents"/>
              <w:spacing w:before="0" w:after="283"/>
              <w:jc w:val="right"/>
              <w:rPr/>
            </w:pPr>
            <w:r>
              <w:rPr/>
              <w:t> </w:t>
            </w:r>
          </w:p>
        </w:tc>
        <w:tc>
          <w:tcPr>
            <w:tcW w:w="99"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jc w:val="left"/>
              <w:rPr/>
            </w:pPr>
            <w:r>
              <w:rPr/>
              <w:t> </w:t>
            </w:r>
          </w:p>
        </w:tc>
        <w:tc>
          <w:tcPr>
            <w:tcW w:w="1132" w:type="dxa"/>
            <w:tcBorders/>
            <w:shd w:fill="CCEEFF" w:val="clear"/>
            <w:vAlign w:val="bottom"/>
          </w:tcPr>
          <w:p>
            <w:pPr>
              <w:pStyle w:val="TableContents"/>
              <w:spacing w:before="0" w:after="283"/>
              <w:jc w:val="right"/>
              <w:rPr/>
            </w:pPr>
            <w:r>
              <w:rPr/>
              <w:t> </w:t>
            </w:r>
          </w:p>
        </w:tc>
        <w:tc>
          <w:tcPr>
            <w:tcW w:w="99"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141" w:type="dxa"/>
            <w:tcBorders/>
            <w:shd w:fill="CCEEFF" w:val="clear"/>
            <w:vAlign w:val="bottom"/>
          </w:tcPr>
          <w:p>
            <w:pPr>
              <w:pStyle w:val="TableContents"/>
              <w:spacing w:before="0" w:after="283"/>
              <w:jc w:val="left"/>
              <w:rPr/>
            </w:pPr>
            <w:r>
              <w:rPr/>
              <w:t> </w:t>
            </w:r>
          </w:p>
        </w:tc>
        <w:tc>
          <w:tcPr>
            <w:tcW w:w="1045" w:type="dxa"/>
            <w:tcBorders/>
            <w:shd w:fill="CCEEFF" w:val="clear"/>
            <w:vAlign w:val="bottom"/>
          </w:tcPr>
          <w:p>
            <w:pPr>
              <w:pStyle w:val="TableContents"/>
              <w:spacing w:before="0" w:after="283"/>
              <w:jc w:val="right"/>
              <w:rPr/>
            </w:pPr>
            <w:r>
              <w:rPr/>
              <w:t> </w:t>
            </w:r>
          </w:p>
        </w:tc>
        <w:tc>
          <w:tcPr>
            <w:tcW w:w="123" w:type="dxa"/>
            <w:tcBorders/>
            <w:shd w:fill="CCEEFF" w:val="clear"/>
            <w:vAlign w:val="bottom"/>
          </w:tcPr>
          <w:p>
            <w:pPr>
              <w:pStyle w:val="TableContents"/>
              <w:spacing w:before="0" w:after="283"/>
              <w:jc w:val="left"/>
              <w:rPr/>
            </w:pPr>
            <w:r>
              <w:rPr/>
              <w:t> </w:t>
            </w:r>
          </w:p>
        </w:tc>
      </w:tr>
      <w:tr>
        <w:trPr/>
        <w:tc>
          <w:tcPr>
            <w:tcW w:w="2070" w:type="dxa"/>
            <w:tcBorders/>
            <w:shd w:fill="FFFFFF" w:val="clear"/>
            <w:vAlign w:val="bottom"/>
          </w:tcPr>
          <w:p>
            <w:pPr>
              <w:pStyle w:val="TableContents"/>
              <w:spacing w:before="0" w:after="0"/>
              <w:ind w:left="0" w:right="0" w:hanging="0"/>
              <w:jc w:val="left"/>
              <w:rPr/>
            </w:pPr>
            <w:r>
              <w:rPr/>
              <w:t>   </w:t>
            </w:r>
            <w:r>
              <w:rPr>
                <w:rFonts w:ascii="helvetica" w:hAnsi="helvetica"/>
                <w:sz w:val="20"/>
              </w:rPr>
              <w:t>to consulting agreements</w:t>
            </w:r>
          </w:p>
        </w:tc>
        <w:tc>
          <w:tcPr>
            <w:tcW w:w="81" w:type="dxa"/>
            <w:tcBorders/>
            <w:shd w:fill="FFFFFF" w:val="clear"/>
            <w:vAlign w:val="bottom"/>
          </w:tcPr>
          <w:p>
            <w:pPr>
              <w:pStyle w:val="TableContents"/>
              <w:spacing w:before="0" w:after="283"/>
              <w:rPr/>
            </w:pPr>
            <w:r>
              <w:rPr/>
              <w:t> </w:t>
            </w:r>
          </w:p>
        </w:tc>
        <w:tc>
          <w:tcPr>
            <w:tcW w:w="135" w:type="dxa"/>
            <w:tcBorders/>
            <w:shd w:fill="FFFFFF" w:val="clear"/>
            <w:vAlign w:val="bottom"/>
          </w:tcPr>
          <w:p>
            <w:pPr>
              <w:pStyle w:val="TableContents"/>
              <w:spacing w:before="0" w:after="283"/>
              <w:jc w:val="left"/>
              <w:rPr/>
            </w:pPr>
            <w:r>
              <w:rPr/>
              <w:t> </w:t>
            </w:r>
          </w:p>
        </w:tc>
        <w:tc>
          <w:tcPr>
            <w:tcW w:w="586"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w:t>
            </w:r>
          </w:p>
        </w:tc>
        <w:tc>
          <w:tcPr>
            <w:tcW w:w="92" w:type="dxa"/>
            <w:tcBorders/>
            <w:shd w:fill="FFFFFF" w:val="clear"/>
            <w:vAlign w:val="bottom"/>
          </w:tcPr>
          <w:p>
            <w:pPr>
              <w:pStyle w:val="TableContents"/>
              <w:spacing w:before="0" w:after="283"/>
              <w:jc w:val="left"/>
              <w:rPr/>
            </w:pPr>
            <w:r>
              <w:rPr/>
              <w:t> </w:t>
            </w:r>
          </w:p>
        </w:tc>
        <w:tc>
          <w:tcPr>
            <w:tcW w:w="92" w:type="dxa"/>
            <w:tcBorders/>
            <w:shd w:fill="FFFFFF" w:val="clear"/>
            <w:vAlign w:val="bottom"/>
          </w:tcPr>
          <w:p>
            <w:pPr>
              <w:pStyle w:val="TableContents"/>
              <w:spacing w:before="0" w:after="283"/>
              <w:rPr/>
            </w:pPr>
            <w:r>
              <w:rPr/>
              <w:t> </w:t>
            </w:r>
          </w:p>
        </w:tc>
        <w:tc>
          <w:tcPr>
            <w:tcW w:w="292" w:type="dxa"/>
            <w:tcBorders/>
            <w:shd w:fill="FFFFFF" w:val="clear"/>
            <w:vAlign w:val="bottom"/>
          </w:tcPr>
          <w:p>
            <w:pPr>
              <w:pStyle w:val="TableContents"/>
              <w:spacing w:before="0" w:after="283"/>
              <w:jc w:val="left"/>
              <w:rPr/>
            </w:pPr>
            <w:r>
              <w:rPr/>
              <w:t> </w:t>
            </w:r>
          </w:p>
        </w:tc>
        <w:tc>
          <w:tcPr>
            <w:tcW w:w="334"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w:t>
            </w:r>
          </w:p>
        </w:tc>
        <w:tc>
          <w:tcPr>
            <w:tcW w:w="81"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81" w:type="dxa"/>
            <w:tcBorders/>
            <w:shd w:fill="FFFFFF" w:val="clear"/>
            <w:vAlign w:val="bottom"/>
          </w:tcPr>
          <w:p>
            <w:pPr>
              <w:pStyle w:val="TableContents"/>
              <w:spacing w:before="0" w:after="283"/>
              <w:jc w:val="left"/>
              <w:rPr/>
            </w:pPr>
            <w:r>
              <w:rPr/>
              <w:t> </w:t>
            </w:r>
          </w:p>
        </w:tc>
        <w:tc>
          <w:tcPr>
            <w:tcW w:w="982"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28,750</w:t>
            </w:r>
          </w:p>
        </w:tc>
        <w:tc>
          <w:tcPr>
            <w:tcW w:w="99"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139" w:type="dxa"/>
            <w:tcBorders/>
            <w:shd w:fill="FFFFFF" w:val="clear"/>
            <w:vAlign w:val="bottom"/>
          </w:tcPr>
          <w:p>
            <w:pPr>
              <w:pStyle w:val="TableContents"/>
              <w:spacing w:before="0" w:after="283"/>
              <w:jc w:val="left"/>
              <w:rPr/>
            </w:pPr>
            <w:r>
              <w:rPr/>
              <w:t> </w:t>
            </w:r>
          </w:p>
        </w:tc>
        <w:tc>
          <w:tcPr>
            <w:tcW w:w="641"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29</w:t>
            </w:r>
          </w:p>
        </w:tc>
        <w:tc>
          <w:tcPr>
            <w:tcW w:w="99"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283"/>
              <w:jc w:val="left"/>
              <w:rPr/>
            </w:pPr>
            <w:r>
              <w:rPr/>
              <w:t> </w:t>
            </w:r>
          </w:p>
        </w:tc>
        <w:tc>
          <w:tcPr>
            <w:tcW w:w="1077"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367,871</w:t>
            </w:r>
          </w:p>
        </w:tc>
        <w:tc>
          <w:tcPr>
            <w:tcW w:w="99"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283"/>
              <w:jc w:val="left"/>
              <w:rPr/>
            </w:pPr>
            <w:r>
              <w:rPr/>
              <w:t> </w:t>
            </w:r>
          </w:p>
        </w:tc>
        <w:tc>
          <w:tcPr>
            <w:tcW w:w="1132"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w:t>
            </w:r>
          </w:p>
        </w:tc>
        <w:tc>
          <w:tcPr>
            <w:tcW w:w="99"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141" w:type="dxa"/>
            <w:tcBorders/>
            <w:shd w:fill="FFFFFF" w:val="clear"/>
            <w:vAlign w:val="bottom"/>
          </w:tcPr>
          <w:p>
            <w:pPr>
              <w:pStyle w:val="TableContents"/>
              <w:spacing w:before="0" w:after="283"/>
              <w:jc w:val="left"/>
              <w:rPr/>
            </w:pPr>
            <w:r>
              <w:rPr/>
              <w:t> </w:t>
            </w:r>
          </w:p>
        </w:tc>
        <w:tc>
          <w:tcPr>
            <w:tcW w:w="1045"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367,900</w:t>
            </w:r>
          </w:p>
        </w:tc>
        <w:tc>
          <w:tcPr>
            <w:tcW w:w="123" w:type="dxa"/>
            <w:tcBorders/>
            <w:shd w:fill="FFFFFF" w:val="clear"/>
            <w:vAlign w:val="bottom"/>
          </w:tcPr>
          <w:p>
            <w:pPr>
              <w:pStyle w:val="TableContents"/>
              <w:spacing w:before="0" w:after="283"/>
              <w:jc w:val="left"/>
              <w:rPr/>
            </w:pPr>
            <w:r>
              <w:rPr/>
              <w:t> </w:t>
            </w:r>
          </w:p>
        </w:tc>
      </w:tr>
      <w:tr>
        <w:trPr/>
        <w:tc>
          <w:tcPr>
            <w:tcW w:w="2070" w:type="dxa"/>
            <w:tcBorders/>
            <w:shd w:fill="CCEEFF" w:val="clear"/>
            <w:vAlign w:val="bottom"/>
          </w:tcPr>
          <w:p>
            <w:pPr>
              <w:pStyle w:val="TableContents"/>
              <w:spacing w:before="0" w:after="0"/>
              <w:ind w:left="0" w:right="0" w:hanging="0"/>
              <w:jc w:val="left"/>
              <w:rPr/>
            </w:pPr>
            <w:r>
              <w:rPr/>
              <w:t> </w:t>
            </w:r>
            <w:r>
              <w:rPr>
                <w:rFonts w:ascii="helvetica" w:hAnsi="helvetica"/>
                <w:sz w:val="20"/>
              </w:rPr>
              <w:t>Issuance of restricted stock at $6.40 per share</w:t>
            </w:r>
          </w:p>
        </w:tc>
        <w:tc>
          <w:tcPr>
            <w:tcW w:w="81" w:type="dxa"/>
            <w:tcBorders/>
            <w:shd w:fill="CCEEFF" w:val="clear"/>
            <w:vAlign w:val="bottom"/>
          </w:tcPr>
          <w:p>
            <w:pPr>
              <w:pStyle w:val="TableContents"/>
              <w:spacing w:before="0" w:after="283"/>
              <w:rPr/>
            </w:pPr>
            <w:r>
              <w:rPr/>
              <w:t> </w:t>
            </w:r>
          </w:p>
        </w:tc>
        <w:tc>
          <w:tcPr>
            <w:tcW w:w="135" w:type="dxa"/>
            <w:tcBorders/>
            <w:shd w:fill="CCEEFF" w:val="clear"/>
            <w:vAlign w:val="bottom"/>
          </w:tcPr>
          <w:p>
            <w:pPr>
              <w:pStyle w:val="TableContents"/>
              <w:spacing w:before="0" w:after="283"/>
              <w:jc w:val="left"/>
              <w:rPr/>
            </w:pPr>
            <w:r>
              <w:rPr/>
              <w:t> </w:t>
            </w:r>
          </w:p>
        </w:tc>
        <w:tc>
          <w:tcPr>
            <w:tcW w:w="586" w:type="dxa"/>
            <w:tcBorders/>
            <w:shd w:fill="CCEEFF" w:val="clear"/>
            <w:vAlign w:val="bottom"/>
          </w:tcPr>
          <w:p>
            <w:pPr>
              <w:pStyle w:val="TableContents"/>
              <w:spacing w:before="0" w:after="283"/>
              <w:jc w:val="right"/>
              <w:rPr/>
            </w:pPr>
            <w:r>
              <w:rPr/>
              <w:t> </w:t>
            </w:r>
          </w:p>
        </w:tc>
        <w:tc>
          <w:tcPr>
            <w:tcW w:w="92" w:type="dxa"/>
            <w:tcBorders/>
            <w:shd w:fill="CCEEFF" w:val="clear"/>
            <w:vAlign w:val="bottom"/>
          </w:tcPr>
          <w:p>
            <w:pPr>
              <w:pStyle w:val="TableContents"/>
              <w:spacing w:before="0" w:after="283"/>
              <w:jc w:val="left"/>
              <w:rPr/>
            </w:pPr>
            <w:r>
              <w:rPr/>
              <w:t> </w:t>
            </w:r>
          </w:p>
        </w:tc>
        <w:tc>
          <w:tcPr>
            <w:tcW w:w="92" w:type="dxa"/>
            <w:tcBorders/>
            <w:shd w:fill="CCEEFF" w:val="clear"/>
            <w:vAlign w:val="bottom"/>
          </w:tcPr>
          <w:p>
            <w:pPr>
              <w:pStyle w:val="TableContents"/>
              <w:spacing w:before="0" w:after="283"/>
              <w:rPr/>
            </w:pPr>
            <w:r>
              <w:rPr/>
              <w:t> </w:t>
            </w:r>
          </w:p>
        </w:tc>
        <w:tc>
          <w:tcPr>
            <w:tcW w:w="292" w:type="dxa"/>
            <w:tcBorders/>
            <w:shd w:fill="CCEEFF" w:val="clear"/>
            <w:vAlign w:val="bottom"/>
          </w:tcPr>
          <w:p>
            <w:pPr>
              <w:pStyle w:val="TableContents"/>
              <w:spacing w:before="0" w:after="283"/>
              <w:jc w:val="left"/>
              <w:rPr/>
            </w:pPr>
            <w:r>
              <w:rPr/>
              <w:t> </w:t>
            </w:r>
          </w:p>
        </w:tc>
        <w:tc>
          <w:tcPr>
            <w:tcW w:w="334" w:type="dxa"/>
            <w:tcBorders/>
            <w:shd w:fill="CCEEFF" w:val="clear"/>
            <w:vAlign w:val="bottom"/>
          </w:tcPr>
          <w:p>
            <w:pPr>
              <w:pStyle w:val="TableContents"/>
              <w:spacing w:before="0" w:after="283"/>
              <w:jc w:val="right"/>
              <w:rPr/>
            </w:pPr>
            <w:r>
              <w:rPr/>
              <w:t> </w:t>
            </w:r>
          </w:p>
        </w:tc>
        <w:tc>
          <w:tcPr>
            <w:tcW w:w="81"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81" w:type="dxa"/>
            <w:tcBorders/>
            <w:shd w:fill="CCEEFF" w:val="clear"/>
            <w:vAlign w:val="bottom"/>
          </w:tcPr>
          <w:p>
            <w:pPr>
              <w:pStyle w:val="TableContents"/>
              <w:spacing w:before="0" w:after="283"/>
              <w:jc w:val="left"/>
              <w:rPr/>
            </w:pPr>
            <w:r>
              <w:rPr/>
              <w:t> </w:t>
            </w:r>
          </w:p>
        </w:tc>
        <w:tc>
          <w:tcPr>
            <w:tcW w:w="982" w:type="dxa"/>
            <w:tcBorders/>
            <w:shd w:fill="CCEEFF" w:val="clear"/>
            <w:vAlign w:val="bottom"/>
          </w:tcPr>
          <w:p>
            <w:pPr>
              <w:pStyle w:val="TableContents"/>
              <w:spacing w:before="0" w:after="283"/>
              <w:jc w:val="right"/>
              <w:rPr/>
            </w:pPr>
            <w:r>
              <w:rPr/>
              <w:t> </w:t>
            </w:r>
          </w:p>
        </w:tc>
        <w:tc>
          <w:tcPr>
            <w:tcW w:w="99"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139" w:type="dxa"/>
            <w:tcBorders/>
            <w:shd w:fill="CCEEFF" w:val="clear"/>
            <w:vAlign w:val="bottom"/>
          </w:tcPr>
          <w:p>
            <w:pPr>
              <w:pStyle w:val="TableContents"/>
              <w:spacing w:before="0" w:after="283"/>
              <w:jc w:val="left"/>
              <w:rPr/>
            </w:pPr>
            <w:r>
              <w:rPr/>
              <w:t> </w:t>
            </w:r>
          </w:p>
        </w:tc>
        <w:tc>
          <w:tcPr>
            <w:tcW w:w="641" w:type="dxa"/>
            <w:tcBorders/>
            <w:shd w:fill="CCEEFF" w:val="clear"/>
            <w:vAlign w:val="bottom"/>
          </w:tcPr>
          <w:p>
            <w:pPr>
              <w:pStyle w:val="TableContents"/>
              <w:spacing w:before="0" w:after="283"/>
              <w:jc w:val="right"/>
              <w:rPr/>
            </w:pPr>
            <w:r>
              <w:rPr/>
              <w:t> </w:t>
            </w:r>
          </w:p>
        </w:tc>
        <w:tc>
          <w:tcPr>
            <w:tcW w:w="99"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jc w:val="left"/>
              <w:rPr/>
            </w:pPr>
            <w:r>
              <w:rPr/>
              <w:t> </w:t>
            </w:r>
          </w:p>
        </w:tc>
        <w:tc>
          <w:tcPr>
            <w:tcW w:w="1077" w:type="dxa"/>
            <w:tcBorders/>
            <w:shd w:fill="CCEEFF" w:val="clear"/>
            <w:vAlign w:val="bottom"/>
          </w:tcPr>
          <w:p>
            <w:pPr>
              <w:pStyle w:val="TableContents"/>
              <w:spacing w:before="0" w:after="283"/>
              <w:jc w:val="right"/>
              <w:rPr/>
            </w:pPr>
            <w:r>
              <w:rPr/>
              <w:t> </w:t>
            </w:r>
          </w:p>
        </w:tc>
        <w:tc>
          <w:tcPr>
            <w:tcW w:w="99"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jc w:val="left"/>
              <w:rPr/>
            </w:pPr>
            <w:r>
              <w:rPr/>
              <w:t> </w:t>
            </w:r>
          </w:p>
        </w:tc>
        <w:tc>
          <w:tcPr>
            <w:tcW w:w="1132" w:type="dxa"/>
            <w:tcBorders/>
            <w:shd w:fill="CCEEFF" w:val="clear"/>
            <w:vAlign w:val="bottom"/>
          </w:tcPr>
          <w:p>
            <w:pPr>
              <w:pStyle w:val="TableContents"/>
              <w:spacing w:before="0" w:after="283"/>
              <w:jc w:val="right"/>
              <w:rPr/>
            </w:pPr>
            <w:r>
              <w:rPr/>
              <w:t> </w:t>
            </w:r>
          </w:p>
        </w:tc>
        <w:tc>
          <w:tcPr>
            <w:tcW w:w="99"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141" w:type="dxa"/>
            <w:tcBorders/>
            <w:shd w:fill="CCEEFF" w:val="clear"/>
            <w:vAlign w:val="bottom"/>
          </w:tcPr>
          <w:p>
            <w:pPr>
              <w:pStyle w:val="TableContents"/>
              <w:spacing w:before="0" w:after="283"/>
              <w:jc w:val="left"/>
              <w:rPr/>
            </w:pPr>
            <w:r>
              <w:rPr/>
              <w:t> </w:t>
            </w:r>
          </w:p>
        </w:tc>
        <w:tc>
          <w:tcPr>
            <w:tcW w:w="1045" w:type="dxa"/>
            <w:tcBorders/>
            <w:shd w:fill="CCEEFF" w:val="clear"/>
            <w:vAlign w:val="bottom"/>
          </w:tcPr>
          <w:p>
            <w:pPr>
              <w:pStyle w:val="TableContents"/>
              <w:spacing w:before="0" w:after="283"/>
              <w:jc w:val="right"/>
              <w:rPr/>
            </w:pPr>
            <w:r>
              <w:rPr/>
              <w:t> </w:t>
            </w:r>
          </w:p>
        </w:tc>
        <w:tc>
          <w:tcPr>
            <w:tcW w:w="123" w:type="dxa"/>
            <w:tcBorders/>
            <w:shd w:fill="CCEEFF" w:val="clear"/>
            <w:vAlign w:val="bottom"/>
          </w:tcPr>
          <w:p>
            <w:pPr>
              <w:pStyle w:val="TableContents"/>
              <w:spacing w:before="0" w:after="283"/>
              <w:jc w:val="left"/>
              <w:rPr/>
            </w:pPr>
            <w:r>
              <w:rPr/>
              <w:t> </w:t>
            </w:r>
          </w:p>
        </w:tc>
      </w:tr>
      <w:tr>
        <w:trPr/>
        <w:tc>
          <w:tcPr>
            <w:tcW w:w="2070" w:type="dxa"/>
            <w:tcBorders/>
            <w:shd w:fill="FFFFFF" w:val="clear"/>
            <w:vAlign w:val="bottom"/>
          </w:tcPr>
          <w:p>
            <w:pPr>
              <w:pStyle w:val="TableContents"/>
              <w:spacing w:before="0" w:after="0"/>
              <w:ind w:left="0" w:right="0" w:hanging="0"/>
              <w:jc w:val="left"/>
              <w:rPr/>
            </w:pPr>
            <w:r>
              <w:rPr/>
              <w:t>   </w:t>
            </w:r>
            <w:r>
              <w:rPr>
                <w:rFonts w:ascii="helvetica" w:hAnsi="helvetica"/>
                <w:sz w:val="20"/>
              </w:rPr>
              <w:t>in October 2010</w:t>
            </w:r>
          </w:p>
        </w:tc>
        <w:tc>
          <w:tcPr>
            <w:tcW w:w="81" w:type="dxa"/>
            <w:tcBorders/>
            <w:shd w:fill="FFFFFF" w:val="clear"/>
            <w:vAlign w:val="bottom"/>
          </w:tcPr>
          <w:p>
            <w:pPr>
              <w:pStyle w:val="TableContents"/>
              <w:spacing w:before="0" w:after="283"/>
              <w:rPr/>
            </w:pPr>
            <w:r>
              <w:rPr/>
              <w:t> </w:t>
            </w:r>
          </w:p>
        </w:tc>
        <w:tc>
          <w:tcPr>
            <w:tcW w:w="135" w:type="dxa"/>
            <w:tcBorders/>
            <w:shd w:fill="FFFFFF" w:val="clear"/>
            <w:vAlign w:val="bottom"/>
          </w:tcPr>
          <w:p>
            <w:pPr>
              <w:pStyle w:val="TableContents"/>
              <w:spacing w:before="0" w:after="283"/>
              <w:jc w:val="left"/>
              <w:rPr/>
            </w:pPr>
            <w:r>
              <w:rPr/>
              <w:t> </w:t>
            </w:r>
          </w:p>
        </w:tc>
        <w:tc>
          <w:tcPr>
            <w:tcW w:w="586"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w:t>
            </w:r>
          </w:p>
        </w:tc>
        <w:tc>
          <w:tcPr>
            <w:tcW w:w="92" w:type="dxa"/>
            <w:tcBorders/>
            <w:shd w:fill="FFFFFF" w:val="clear"/>
            <w:vAlign w:val="bottom"/>
          </w:tcPr>
          <w:p>
            <w:pPr>
              <w:pStyle w:val="TableContents"/>
              <w:spacing w:before="0" w:after="283"/>
              <w:jc w:val="left"/>
              <w:rPr/>
            </w:pPr>
            <w:r>
              <w:rPr/>
              <w:t> </w:t>
            </w:r>
          </w:p>
        </w:tc>
        <w:tc>
          <w:tcPr>
            <w:tcW w:w="92" w:type="dxa"/>
            <w:tcBorders/>
            <w:shd w:fill="FFFFFF" w:val="clear"/>
            <w:vAlign w:val="bottom"/>
          </w:tcPr>
          <w:p>
            <w:pPr>
              <w:pStyle w:val="TableContents"/>
              <w:spacing w:before="0" w:after="283"/>
              <w:rPr/>
            </w:pPr>
            <w:r>
              <w:rPr/>
              <w:t> </w:t>
            </w:r>
          </w:p>
        </w:tc>
        <w:tc>
          <w:tcPr>
            <w:tcW w:w="292" w:type="dxa"/>
            <w:tcBorders/>
            <w:shd w:fill="FFFFFF" w:val="clear"/>
            <w:vAlign w:val="bottom"/>
          </w:tcPr>
          <w:p>
            <w:pPr>
              <w:pStyle w:val="TableContents"/>
              <w:spacing w:before="0" w:after="283"/>
              <w:jc w:val="left"/>
              <w:rPr/>
            </w:pPr>
            <w:r>
              <w:rPr/>
              <w:t> </w:t>
            </w:r>
          </w:p>
        </w:tc>
        <w:tc>
          <w:tcPr>
            <w:tcW w:w="334"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w:t>
            </w:r>
          </w:p>
        </w:tc>
        <w:tc>
          <w:tcPr>
            <w:tcW w:w="81"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81" w:type="dxa"/>
            <w:tcBorders/>
            <w:shd w:fill="FFFFFF" w:val="clear"/>
            <w:vAlign w:val="bottom"/>
          </w:tcPr>
          <w:p>
            <w:pPr>
              <w:pStyle w:val="TableContents"/>
              <w:spacing w:before="0" w:after="283"/>
              <w:jc w:val="left"/>
              <w:rPr/>
            </w:pPr>
            <w:r>
              <w:rPr/>
              <w:t> </w:t>
            </w:r>
          </w:p>
        </w:tc>
        <w:tc>
          <w:tcPr>
            <w:tcW w:w="982"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6,250</w:t>
            </w:r>
          </w:p>
        </w:tc>
        <w:tc>
          <w:tcPr>
            <w:tcW w:w="99"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139" w:type="dxa"/>
            <w:tcBorders/>
            <w:shd w:fill="FFFFFF" w:val="clear"/>
            <w:vAlign w:val="bottom"/>
          </w:tcPr>
          <w:p>
            <w:pPr>
              <w:pStyle w:val="TableContents"/>
              <w:spacing w:before="0" w:after="283"/>
              <w:jc w:val="left"/>
              <w:rPr/>
            </w:pPr>
            <w:r>
              <w:rPr/>
              <w:t> </w:t>
            </w:r>
          </w:p>
        </w:tc>
        <w:tc>
          <w:tcPr>
            <w:tcW w:w="641"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6</w:t>
            </w:r>
          </w:p>
        </w:tc>
        <w:tc>
          <w:tcPr>
            <w:tcW w:w="99"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283"/>
              <w:jc w:val="left"/>
              <w:rPr/>
            </w:pPr>
            <w:r>
              <w:rPr/>
              <w:t> </w:t>
            </w:r>
          </w:p>
        </w:tc>
        <w:tc>
          <w:tcPr>
            <w:tcW w:w="1077"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12,077</w:t>
            </w:r>
          </w:p>
        </w:tc>
        <w:tc>
          <w:tcPr>
            <w:tcW w:w="99"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283"/>
              <w:jc w:val="left"/>
              <w:rPr/>
            </w:pPr>
            <w:r>
              <w:rPr/>
              <w:t> </w:t>
            </w:r>
          </w:p>
        </w:tc>
        <w:tc>
          <w:tcPr>
            <w:tcW w:w="1132"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w:t>
            </w:r>
          </w:p>
        </w:tc>
        <w:tc>
          <w:tcPr>
            <w:tcW w:w="99"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141" w:type="dxa"/>
            <w:tcBorders/>
            <w:shd w:fill="FFFFFF" w:val="clear"/>
            <w:vAlign w:val="bottom"/>
          </w:tcPr>
          <w:p>
            <w:pPr>
              <w:pStyle w:val="TableContents"/>
              <w:spacing w:before="0" w:after="283"/>
              <w:jc w:val="left"/>
              <w:rPr/>
            </w:pPr>
            <w:r>
              <w:rPr/>
              <w:t> </w:t>
            </w:r>
          </w:p>
        </w:tc>
        <w:tc>
          <w:tcPr>
            <w:tcW w:w="1045"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12,083</w:t>
            </w:r>
          </w:p>
        </w:tc>
        <w:tc>
          <w:tcPr>
            <w:tcW w:w="123" w:type="dxa"/>
            <w:tcBorders/>
            <w:shd w:fill="FFFFFF" w:val="clear"/>
            <w:vAlign w:val="bottom"/>
          </w:tcPr>
          <w:p>
            <w:pPr>
              <w:pStyle w:val="TableContents"/>
              <w:spacing w:before="0" w:after="283"/>
              <w:jc w:val="left"/>
              <w:rPr/>
            </w:pPr>
            <w:r>
              <w:rPr/>
              <w:t> </w:t>
            </w:r>
          </w:p>
        </w:tc>
      </w:tr>
      <w:tr>
        <w:trPr/>
        <w:tc>
          <w:tcPr>
            <w:tcW w:w="2070" w:type="dxa"/>
            <w:tcBorders/>
            <w:shd w:fill="CCEEFF" w:val="clear"/>
            <w:vAlign w:val="bottom"/>
          </w:tcPr>
          <w:p>
            <w:pPr>
              <w:pStyle w:val="TableContents"/>
              <w:spacing w:before="0" w:after="0"/>
              <w:ind w:left="0" w:right="0" w:hanging="0"/>
              <w:jc w:val="left"/>
              <w:rPr/>
            </w:pPr>
            <w:r>
              <w:rPr/>
              <w:t> </w:t>
            </w:r>
            <w:r>
              <w:rPr>
                <w:rFonts w:ascii="helvetica" w:hAnsi="helvetica"/>
                <w:sz w:val="20"/>
              </w:rPr>
              <w:t>Stock-based compensation</w:t>
            </w:r>
          </w:p>
        </w:tc>
        <w:tc>
          <w:tcPr>
            <w:tcW w:w="81" w:type="dxa"/>
            <w:tcBorders/>
            <w:shd w:fill="CCEEFF" w:val="clear"/>
            <w:vAlign w:val="bottom"/>
          </w:tcPr>
          <w:p>
            <w:pPr>
              <w:pStyle w:val="TableContents"/>
              <w:spacing w:before="0" w:after="283"/>
              <w:rPr/>
            </w:pPr>
            <w:r>
              <w:rPr/>
              <w:t> </w:t>
            </w:r>
          </w:p>
        </w:tc>
        <w:tc>
          <w:tcPr>
            <w:tcW w:w="135" w:type="dxa"/>
            <w:tcBorders/>
            <w:shd w:fill="CCEEFF" w:val="clear"/>
            <w:vAlign w:val="bottom"/>
          </w:tcPr>
          <w:p>
            <w:pPr>
              <w:pStyle w:val="TableContents"/>
              <w:spacing w:before="0" w:after="283"/>
              <w:jc w:val="left"/>
              <w:rPr/>
            </w:pPr>
            <w:r>
              <w:rPr/>
              <w:t> </w:t>
            </w:r>
          </w:p>
        </w:tc>
        <w:tc>
          <w:tcPr>
            <w:tcW w:w="586"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w:t>
            </w:r>
          </w:p>
        </w:tc>
        <w:tc>
          <w:tcPr>
            <w:tcW w:w="92" w:type="dxa"/>
            <w:tcBorders/>
            <w:shd w:fill="CCEEFF" w:val="clear"/>
            <w:vAlign w:val="bottom"/>
          </w:tcPr>
          <w:p>
            <w:pPr>
              <w:pStyle w:val="TableContents"/>
              <w:spacing w:before="0" w:after="283"/>
              <w:jc w:val="left"/>
              <w:rPr/>
            </w:pPr>
            <w:r>
              <w:rPr/>
              <w:t> </w:t>
            </w:r>
          </w:p>
        </w:tc>
        <w:tc>
          <w:tcPr>
            <w:tcW w:w="92" w:type="dxa"/>
            <w:tcBorders/>
            <w:shd w:fill="CCEEFF" w:val="clear"/>
            <w:vAlign w:val="bottom"/>
          </w:tcPr>
          <w:p>
            <w:pPr>
              <w:pStyle w:val="TableContents"/>
              <w:spacing w:before="0" w:after="283"/>
              <w:rPr/>
            </w:pPr>
            <w:r>
              <w:rPr/>
              <w:t> </w:t>
            </w:r>
          </w:p>
        </w:tc>
        <w:tc>
          <w:tcPr>
            <w:tcW w:w="292" w:type="dxa"/>
            <w:tcBorders/>
            <w:shd w:fill="CCEEFF" w:val="clear"/>
            <w:vAlign w:val="bottom"/>
          </w:tcPr>
          <w:p>
            <w:pPr>
              <w:pStyle w:val="TableContents"/>
              <w:spacing w:before="0" w:after="283"/>
              <w:jc w:val="left"/>
              <w:rPr/>
            </w:pPr>
            <w:r>
              <w:rPr/>
              <w:t> </w:t>
            </w:r>
          </w:p>
        </w:tc>
        <w:tc>
          <w:tcPr>
            <w:tcW w:w="334"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w:t>
            </w:r>
          </w:p>
        </w:tc>
        <w:tc>
          <w:tcPr>
            <w:tcW w:w="81"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81" w:type="dxa"/>
            <w:tcBorders/>
            <w:shd w:fill="CCEEFF" w:val="clear"/>
            <w:vAlign w:val="bottom"/>
          </w:tcPr>
          <w:p>
            <w:pPr>
              <w:pStyle w:val="TableContents"/>
              <w:spacing w:before="0" w:after="283"/>
              <w:jc w:val="left"/>
              <w:rPr/>
            </w:pPr>
            <w:r>
              <w:rPr/>
              <w:t> </w:t>
            </w:r>
          </w:p>
        </w:tc>
        <w:tc>
          <w:tcPr>
            <w:tcW w:w="982"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w:t>
            </w:r>
          </w:p>
        </w:tc>
        <w:tc>
          <w:tcPr>
            <w:tcW w:w="99"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139" w:type="dxa"/>
            <w:tcBorders/>
            <w:shd w:fill="CCEEFF" w:val="clear"/>
            <w:vAlign w:val="bottom"/>
          </w:tcPr>
          <w:p>
            <w:pPr>
              <w:pStyle w:val="TableContents"/>
              <w:spacing w:before="0" w:after="283"/>
              <w:jc w:val="left"/>
              <w:rPr/>
            </w:pPr>
            <w:r>
              <w:rPr/>
              <w:t> </w:t>
            </w:r>
          </w:p>
        </w:tc>
        <w:tc>
          <w:tcPr>
            <w:tcW w:w="641"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w:t>
            </w:r>
          </w:p>
        </w:tc>
        <w:tc>
          <w:tcPr>
            <w:tcW w:w="99"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jc w:val="left"/>
              <w:rPr/>
            </w:pPr>
            <w:r>
              <w:rPr/>
              <w:t> </w:t>
            </w:r>
          </w:p>
        </w:tc>
        <w:tc>
          <w:tcPr>
            <w:tcW w:w="1077"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535,812</w:t>
            </w:r>
          </w:p>
        </w:tc>
        <w:tc>
          <w:tcPr>
            <w:tcW w:w="99"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jc w:val="left"/>
              <w:rPr/>
            </w:pPr>
            <w:r>
              <w:rPr/>
              <w:t> </w:t>
            </w:r>
          </w:p>
        </w:tc>
        <w:tc>
          <w:tcPr>
            <w:tcW w:w="1132"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w:t>
            </w:r>
          </w:p>
        </w:tc>
        <w:tc>
          <w:tcPr>
            <w:tcW w:w="99"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141" w:type="dxa"/>
            <w:tcBorders/>
            <w:shd w:fill="CCEEFF" w:val="clear"/>
            <w:vAlign w:val="bottom"/>
          </w:tcPr>
          <w:p>
            <w:pPr>
              <w:pStyle w:val="TableContents"/>
              <w:spacing w:before="0" w:after="283"/>
              <w:jc w:val="left"/>
              <w:rPr/>
            </w:pPr>
            <w:r>
              <w:rPr/>
              <w:t> </w:t>
            </w:r>
          </w:p>
        </w:tc>
        <w:tc>
          <w:tcPr>
            <w:tcW w:w="1045"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535,812</w:t>
            </w:r>
          </w:p>
        </w:tc>
        <w:tc>
          <w:tcPr>
            <w:tcW w:w="123" w:type="dxa"/>
            <w:tcBorders/>
            <w:shd w:fill="CCEEFF" w:val="clear"/>
            <w:vAlign w:val="bottom"/>
          </w:tcPr>
          <w:p>
            <w:pPr>
              <w:pStyle w:val="TableContents"/>
              <w:spacing w:before="0" w:after="283"/>
              <w:jc w:val="left"/>
              <w:rPr/>
            </w:pPr>
            <w:r>
              <w:rPr/>
              <w:t> </w:t>
            </w:r>
          </w:p>
        </w:tc>
      </w:tr>
      <w:tr>
        <w:trPr/>
        <w:tc>
          <w:tcPr>
            <w:tcW w:w="2070" w:type="dxa"/>
            <w:tcBorders/>
            <w:shd w:fill="FFFFFF" w:val="clear"/>
            <w:vAlign w:val="bottom"/>
          </w:tcPr>
          <w:p>
            <w:pPr>
              <w:pStyle w:val="TableContents"/>
              <w:spacing w:before="0" w:after="0"/>
              <w:ind w:left="0" w:right="0" w:hanging="0"/>
              <w:jc w:val="left"/>
              <w:rPr/>
            </w:pPr>
            <w:r>
              <w:rPr/>
              <w:t> </w:t>
            </w:r>
            <w:r>
              <w:rPr>
                <w:rFonts w:ascii="helvetica" w:hAnsi="helvetica"/>
                <w:sz w:val="20"/>
              </w:rPr>
              <w:t>Net loss</w:t>
            </w:r>
          </w:p>
        </w:tc>
        <w:tc>
          <w:tcPr>
            <w:tcW w:w="81" w:type="dxa"/>
            <w:tcBorders/>
            <w:shd w:fill="FFFFFF" w:val="clear"/>
            <w:vAlign w:val="bottom"/>
          </w:tcPr>
          <w:p>
            <w:pPr>
              <w:pStyle w:val="TableContents"/>
              <w:spacing w:before="0" w:after="283"/>
              <w:rPr/>
            </w:pPr>
            <w:r>
              <w:rPr/>
              <w:t> </w:t>
            </w:r>
          </w:p>
        </w:tc>
        <w:tc>
          <w:tcPr>
            <w:tcW w:w="13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586" w:type="dxa"/>
            <w:tcBorders>
              <w:bottom w:val="single" w:sz="12" w:space="0" w:color="000000"/>
            </w:tcBorders>
            <w:shd w:fill="FFFF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w:t>
            </w:r>
          </w:p>
        </w:tc>
        <w:tc>
          <w:tcPr>
            <w:tcW w:w="92" w:type="dxa"/>
            <w:tcBorders/>
            <w:shd w:fill="FFFFFF" w:val="clear"/>
            <w:vAlign w:val="bottom"/>
          </w:tcPr>
          <w:p>
            <w:pPr>
              <w:pStyle w:val="TableContents"/>
              <w:spacing w:before="0" w:after="283"/>
              <w:jc w:val="left"/>
              <w:rPr/>
            </w:pPr>
            <w:r>
              <w:rPr/>
              <w:t> </w:t>
            </w:r>
          </w:p>
        </w:tc>
        <w:tc>
          <w:tcPr>
            <w:tcW w:w="92" w:type="dxa"/>
            <w:tcBorders/>
            <w:shd w:fill="FFFFFF" w:val="clear"/>
            <w:vAlign w:val="bottom"/>
          </w:tcPr>
          <w:p>
            <w:pPr>
              <w:pStyle w:val="TableContents"/>
              <w:spacing w:before="0" w:after="283"/>
              <w:rPr/>
            </w:pPr>
            <w:r>
              <w:rPr/>
              <w:t> </w:t>
            </w:r>
          </w:p>
        </w:tc>
        <w:tc>
          <w:tcPr>
            <w:tcW w:w="292"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334" w:type="dxa"/>
            <w:tcBorders>
              <w:bottom w:val="single" w:sz="12" w:space="0" w:color="000000"/>
            </w:tcBorders>
            <w:shd w:fill="FFFF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w:t>
            </w:r>
          </w:p>
        </w:tc>
        <w:tc>
          <w:tcPr>
            <w:tcW w:w="81"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81"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982" w:type="dxa"/>
            <w:tcBorders>
              <w:bottom w:val="single" w:sz="12" w:space="0" w:color="000000"/>
            </w:tcBorders>
            <w:shd w:fill="FFFF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w:t>
            </w:r>
          </w:p>
        </w:tc>
        <w:tc>
          <w:tcPr>
            <w:tcW w:w="99"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139"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641" w:type="dxa"/>
            <w:tcBorders>
              <w:bottom w:val="single" w:sz="12" w:space="0" w:color="000000"/>
            </w:tcBorders>
            <w:shd w:fill="FFFF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w:t>
            </w:r>
          </w:p>
        </w:tc>
        <w:tc>
          <w:tcPr>
            <w:tcW w:w="99"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140"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77" w:type="dxa"/>
            <w:tcBorders>
              <w:bottom w:val="single" w:sz="12" w:space="0" w:color="000000"/>
            </w:tcBorders>
            <w:shd w:fill="FFFF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w:t>
            </w:r>
          </w:p>
        </w:tc>
        <w:tc>
          <w:tcPr>
            <w:tcW w:w="99"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140"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132" w:type="dxa"/>
            <w:tcBorders>
              <w:bottom w:val="single" w:sz="12" w:space="0" w:color="000000"/>
            </w:tcBorders>
            <w:shd w:fill="FFFF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(2,531,228</w:t>
            </w:r>
          </w:p>
        </w:tc>
        <w:tc>
          <w:tcPr>
            <w:tcW w:w="99" w:type="dxa"/>
            <w:tcBorders/>
            <w:shd w:fill="FFFFFF" w:val="clear"/>
            <w:vAlign w:val="bottom"/>
          </w:tcPr>
          <w:p>
            <w:pPr>
              <w:pStyle w:val="TableContents"/>
              <w:spacing w:before="0" w:after="283"/>
              <w:jc w:val="left"/>
              <w:rPr>
                <w:rFonts w:ascii="helvetica" w:hAnsi="helvetica"/>
                <w:sz w:val="20"/>
              </w:rPr>
            </w:pPr>
            <w:r>
              <w:rPr>
                <w:rFonts w:ascii="helvetica" w:hAnsi="helvetica"/>
                <w:sz w:val="20"/>
              </w:rPr>
              <w:t>)</w:t>
            </w:r>
          </w:p>
        </w:tc>
        <w:tc>
          <w:tcPr>
            <w:tcW w:w="81" w:type="dxa"/>
            <w:tcBorders/>
            <w:shd w:fill="FFFFFF" w:val="clear"/>
            <w:vAlign w:val="bottom"/>
          </w:tcPr>
          <w:p>
            <w:pPr>
              <w:pStyle w:val="TableContents"/>
              <w:spacing w:before="0" w:after="283"/>
              <w:rPr/>
            </w:pPr>
            <w:r>
              <w:rPr/>
              <w:t> </w:t>
            </w:r>
          </w:p>
        </w:tc>
        <w:tc>
          <w:tcPr>
            <w:tcW w:w="141"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45" w:type="dxa"/>
            <w:tcBorders>
              <w:bottom w:val="single" w:sz="12" w:space="0" w:color="000000"/>
            </w:tcBorders>
            <w:shd w:fill="FFFF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(2,531,228</w:t>
            </w:r>
          </w:p>
        </w:tc>
        <w:tc>
          <w:tcPr>
            <w:tcW w:w="123" w:type="dxa"/>
            <w:tcBorders/>
            <w:shd w:fill="FFFFFF" w:val="clear"/>
            <w:vAlign w:val="bottom"/>
          </w:tcPr>
          <w:p>
            <w:pPr>
              <w:pStyle w:val="TableContents"/>
              <w:spacing w:before="0" w:after="283"/>
              <w:jc w:val="left"/>
              <w:rPr>
                <w:rFonts w:ascii="helvetica" w:hAnsi="helvetica"/>
                <w:sz w:val="20"/>
              </w:rPr>
            </w:pPr>
            <w:r>
              <w:rPr>
                <w:rFonts w:ascii="helvetica" w:hAnsi="helvetica"/>
                <w:sz w:val="20"/>
              </w:rPr>
              <w:t>)</w:t>
            </w:r>
          </w:p>
        </w:tc>
      </w:tr>
      <w:tr>
        <w:trPr/>
        <w:tc>
          <w:tcPr>
            <w:tcW w:w="2070" w:type="dxa"/>
            <w:tcBorders/>
            <w:shd w:fill="CCEEFF" w:val="clear"/>
            <w:vAlign w:val="bottom"/>
          </w:tcPr>
          <w:p>
            <w:pPr>
              <w:pStyle w:val="TableContents"/>
              <w:spacing w:before="0" w:after="0"/>
              <w:ind w:left="0" w:right="0" w:hanging="0"/>
              <w:jc w:val="left"/>
              <w:rPr/>
            </w:pPr>
            <w:r>
              <w:rPr/>
              <w:t> </w:t>
            </w:r>
            <w:r>
              <w:rPr>
                <w:rFonts w:ascii="helvetica" w:hAnsi="helvetica"/>
                <w:sz w:val="20"/>
              </w:rPr>
              <w:t>Balance at December 31, 2010</w:t>
            </w:r>
          </w:p>
        </w:tc>
        <w:tc>
          <w:tcPr>
            <w:tcW w:w="81" w:type="dxa"/>
            <w:tcBorders/>
            <w:shd w:fill="CCEEFF" w:val="clear"/>
            <w:vAlign w:val="bottom"/>
          </w:tcPr>
          <w:p>
            <w:pPr>
              <w:pStyle w:val="TableContents"/>
              <w:spacing w:before="0" w:after="283"/>
              <w:rPr/>
            </w:pPr>
            <w:r>
              <w:rPr/>
              <w:t> </w:t>
            </w:r>
          </w:p>
        </w:tc>
        <w:tc>
          <w:tcPr>
            <w:tcW w:w="135" w:type="dxa"/>
            <w:tcBorders/>
            <w:shd w:fill="CCEEFF" w:val="clear"/>
            <w:vAlign w:val="bottom"/>
          </w:tcPr>
          <w:p>
            <w:pPr>
              <w:pStyle w:val="TableContents"/>
              <w:spacing w:before="0" w:after="283"/>
              <w:jc w:val="left"/>
              <w:rPr/>
            </w:pPr>
            <w:r>
              <w:rPr/>
              <w:t> </w:t>
            </w:r>
          </w:p>
        </w:tc>
        <w:tc>
          <w:tcPr>
            <w:tcW w:w="586"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w:t>
            </w:r>
          </w:p>
        </w:tc>
        <w:tc>
          <w:tcPr>
            <w:tcW w:w="92" w:type="dxa"/>
            <w:tcBorders/>
            <w:shd w:fill="CCEEFF" w:val="clear"/>
            <w:vAlign w:val="bottom"/>
          </w:tcPr>
          <w:p>
            <w:pPr>
              <w:pStyle w:val="TableContents"/>
              <w:spacing w:before="0" w:after="283"/>
              <w:jc w:val="left"/>
              <w:rPr/>
            </w:pPr>
            <w:r>
              <w:rPr/>
              <w:t> </w:t>
            </w:r>
          </w:p>
        </w:tc>
        <w:tc>
          <w:tcPr>
            <w:tcW w:w="92" w:type="dxa"/>
            <w:tcBorders/>
            <w:shd w:fill="CCEEFF" w:val="clear"/>
            <w:vAlign w:val="bottom"/>
          </w:tcPr>
          <w:p>
            <w:pPr>
              <w:pStyle w:val="TableContents"/>
              <w:spacing w:before="0" w:after="283"/>
              <w:rPr/>
            </w:pPr>
            <w:r>
              <w:rPr/>
              <w:t> </w:t>
            </w:r>
          </w:p>
        </w:tc>
        <w:tc>
          <w:tcPr>
            <w:tcW w:w="292" w:type="dxa"/>
            <w:tcBorders/>
            <w:shd w:fill="CCEEFF" w:val="clear"/>
            <w:vAlign w:val="bottom"/>
          </w:tcPr>
          <w:p>
            <w:pPr>
              <w:pStyle w:val="TableContents"/>
              <w:spacing w:before="0" w:after="283"/>
              <w:jc w:val="left"/>
              <w:rPr/>
            </w:pPr>
            <w:r>
              <w:rPr/>
              <w:t> </w:t>
            </w:r>
          </w:p>
        </w:tc>
        <w:tc>
          <w:tcPr>
            <w:tcW w:w="334"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w:t>
            </w:r>
          </w:p>
        </w:tc>
        <w:tc>
          <w:tcPr>
            <w:tcW w:w="81"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81" w:type="dxa"/>
            <w:tcBorders/>
            <w:shd w:fill="CCEEFF" w:val="clear"/>
            <w:vAlign w:val="bottom"/>
          </w:tcPr>
          <w:p>
            <w:pPr>
              <w:pStyle w:val="TableContents"/>
              <w:spacing w:before="0" w:after="283"/>
              <w:jc w:val="left"/>
              <w:rPr/>
            </w:pPr>
            <w:r>
              <w:rPr/>
              <w:t> </w:t>
            </w:r>
          </w:p>
        </w:tc>
        <w:tc>
          <w:tcPr>
            <w:tcW w:w="982"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1,991,508</w:t>
            </w:r>
          </w:p>
        </w:tc>
        <w:tc>
          <w:tcPr>
            <w:tcW w:w="99"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139" w:type="dxa"/>
            <w:tcBorders/>
            <w:shd w:fill="CCEEFF" w:val="clear"/>
            <w:vAlign w:val="bottom"/>
          </w:tcPr>
          <w:p>
            <w:pPr>
              <w:pStyle w:val="TableContents"/>
              <w:spacing w:before="0" w:after="283"/>
              <w:jc w:val="left"/>
              <w:rPr/>
            </w:pPr>
            <w:r>
              <w:rPr/>
              <w:t> </w:t>
            </w:r>
          </w:p>
        </w:tc>
        <w:tc>
          <w:tcPr>
            <w:tcW w:w="641"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1,992</w:t>
            </w:r>
          </w:p>
        </w:tc>
        <w:tc>
          <w:tcPr>
            <w:tcW w:w="99"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jc w:val="left"/>
              <w:rPr/>
            </w:pPr>
            <w:r>
              <w:rPr/>
              <w:t> </w:t>
            </w:r>
          </w:p>
        </w:tc>
        <w:tc>
          <w:tcPr>
            <w:tcW w:w="1077"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16,426,583</w:t>
            </w:r>
          </w:p>
        </w:tc>
        <w:tc>
          <w:tcPr>
            <w:tcW w:w="99"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jc w:val="left"/>
              <w:rPr/>
            </w:pPr>
            <w:r>
              <w:rPr/>
              <w:t> </w:t>
            </w:r>
          </w:p>
        </w:tc>
        <w:tc>
          <w:tcPr>
            <w:tcW w:w="1132"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(17,466,797</w:t>
            </w:r>
          </w:p>
        </w:tc>
        <w:tc>
          <w:tcPr>
            <w:tcW w:w="99" w:type="dxa"/>
            <w:tcBorders/>
            <w:shd w:fill="CCEEFF" w:val="clear"/>
            <w:vAlign w:val="bottom"/>
          </w:tcPr>
          <w:p>
            <w:pPr>
              <w:pStyle w:val="TableContents"/>
              <w:spacing w:before="0" w:after="283"/>
              <w:jc w:val="left"/>
              <w:rPr>
                <w:rFonts w:ascii="helvetica" w:hAnsi="helvetica"/>
                <w:sz w:val="20"/>
              </w:rPr>
            </w:pPr>
            <w:r>
              <w:rPr>
                <w:rFonts w:ascii="helvetica" w:hAnsi="helvetica"/>
                <w:sz w:val="20"/>
              </w:rPr>
              <w:t>)</w:t>
            </w:r>
          </w:p>
        </w:tc>
        <w:tc>
          <w:tcPr>
            <w:tcW w:w="81" w:type="dxa"/>
            <w:tcBorders/>
            <w:shd w:fill="CCEEFF" w:val="clear"/>
            <w:vAlign w:val="bottom"/>
          </w:tcPr>
          <w:p>
            <w:pPr>
              <w:pStyle w:val="TableContents"/>
              <w:spacing w:before="0" w:after="283"/>
              <w:rPr/>
            </w:pPr>
            <w:r>
              <w:rPr/>
              <w:t> </w:t>
            </w:r>
          </w:p>
        </w:tc>
        <w:tc>
          <w:tcPr>
            <w:tcW w:w="141" w:type="dxa"/>
            <w:tcBorders/>
            <w:shd w:fill="CCEEFF" w:val="clear"/>
            <w:vAlign w:val="bottom"/>
          </w:tcPr>
          <w:p>
            <w:pPr>
              <w:pStyle w:val="TableContents"/>
              <w:spacing w:before="0" w:after="283"/>
              <w:jc w:val="left"/>
              <w:rPr/>
            </w:pPr>
            <w:r>
              <w:rPr/>
              <w:t> </w:t>
            </w:r>
          </w:p>
        </w:tc>
        <w:tc>
          <w:tcPr>
            <w:tcW w:w="1045"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(1,038,222</w:t>
            </w:r>
          </w:p>
        </w:tc>
        <w:tc>
          <w:tcPr>
            <w:tcW w:w="123" w:type="dxa"/>
            <w:tcBorders/>
            <w:shd w:fill="CCEEFF" w:val="clear"/>
            <w:vAlign w:val="bottom"/>
          </w:tcPr>
          <w:p>
            <w:pPr>
              <w:pStyle w:val="TableContents"/>
              <w:spacing w:before="0" w:after="283"/>
              <w:jc w:val="left"/>
              <w:rPr>
                <w:rFonts w:ascii="helvetica" w:hAnsi="helvetica"/>
                <w:sz w:val="20"/>
              </w:rPr>
            </w:pPr>
            <w:r>
              <w:rPr>
                <w:rFonts w:ascii="helvetica" w:hAnsi="helvetica"/>
                <w:sz w:val="20"/>
              </w:rPr>
              <w:t>)</w:t>
            </w:r>
          </w:p>
        </w:tc>
      </w:tr>
      <w:tr>
        <w:trPr/>
        <w:tc>
          <w:tcPr>
            <w:tcW w:w="2070" w:type="dxa"/>
            <w:tcBorders/>
            <w:shd w:fill="FFFFFF" w:val="clear"/>
            <w:vAlign w:val="bottom"/>
          </w:tcPr>
          <w:p>
            <w:pPr>
              <w:pStyle w:val="TableContents"/>
              <w:spacing w:before="0" w:after="283"/>
              <w:rPr/>
            </w:pPr>
            <w:r>
              <w:rPr/>
              <w:t xml:space="preserve">  </w:t>
            </w:r>
          </w:p>
        </w:tc>
        <w:tc>
          <w:tcPr>
            <w:tcW w:w="81" w:type="dxa"/>
            <w:tcBorders/>
            <w:shd w:fill="FFFFFF" w:val="clear"/>
            <w:vAlign w:val="bottom"/>
          </w:tcPr>
          <w:p>
            <w:pPr>
              <w:pStyle w:val="TableContents"/>
              <w:spacing w:before="0" w:after="283"/>
              <w:rPr/>
            </w:pPr>
            <w:r>
              <w:rPr/>
              <w:t> </w:t>
            </w:r>
          </w:p>
        </w:tc>
        <w:tc>
          <w:tcPr>
            <w:tcW w:w="135" w:type="dxa"/>
            <w:tcBorders/>
            <w:shd w:fill="FFFFFF" w:val="clear"/>
            <w:vAlign w:val="bottom"/>
          </w:tcPr>
          <w:p>
            <w:pPr>
              <w:pStyle w:val="TableContents"/>
              <w:spacing w:before="0" w:after="283"/>
              <w:jc w:val="left"/>
              <w:rPr/>
            </w:pPr>
            <w:r>
              <w:rPr/>
              <w:t> </w:t>
            </w:r>
          </w:p>
        </w:tc>
        <w:tc>
          <w:tcPr>
            <w:tcW w:w="586" w:type="dxa"/>
            <w:tcBorders/>
            <w:shd w:fill="FFFFFF" w:val="clear"/>
            <w:vAlign w:val="bottom"/>
          </w:tcPr>
          <w:p>
            <w:pPr>
              <w:pStyle w:val="TableContents"/>
              <w:spacing w:before="0" w:after="283"/>
              <w:jc w:val="right"/>
              <w:rPr/>
            </w:pPr>
            <w:r>
              <w:rPr/>
              <w:t> </w:t>
            </w:r>
          </w:p>
        </w:tc>
        <w:tc>
          <w:tcPr>
            <w:tcW w:w="92" w:type="dxa"/>
            <w:tcBorders/>
            <w:shd w:fill="FFFFFF" w:val="clear"/>
            <w:vAlign w:val="bottom"/>
          </w:tcPr>
          <w:p>
            <w:pPr>
              <w:pStyle w:val="TableContents"/>
              <w:spacing w:before="0" w:after="283"/>
              <w:jc w:val="left"/>
              <w:rPr/>
            </w:pPr>
            <w:r>
              <w:rPr/>
              <w:t> </w:t>
            </w:r>
          </w:p>
        </w:tc>
        <w:tc>
          <w:tcPr>
            <w:tcW w:w="92" w:type="dxa"/>
            <w:tcBorders/>
            <w:shd w:fill="FFFFFF" w:val="clear"/>
            <w:vAlign w:val="bottom"/>
          </w:tcPr>
          <w:p>
            <w:pPr>
              <w:pStyle w:val="TableContents"/>
              <w:spacing w:before="0" w:after="283"/>
              <w:rPr/>
            </w:pPr>
            <w:r>
              <w:rPr/>
              <w:t> </w:t>
            </w:r>
          </w:p>
        </w:tc>
        <w:tc>
          <w:tcPr>
            <w:tcW w:w="292" w:type="dxa"/>
            <w:tcBorders/>
            <w:shd w:fill="FFFFFF" w:val="clear"/>
            <w:vAlign w:val="bottom"/>
          </w:tcPr>
          <w:p>
            <w:pPr>
              <w:pStyle w:val="TableContents"/>
              <w:spacing w:before="0" w:after="283"/>
              <w:jc w:val="left"/>
              <w:rPr/>
            </w:pPr>
            <w:r>
              <w:rPr/>
              <w:t> </w:t>
            </w:r>
          </w:p>
        </w:tc>
        <w:tc>
          <w:tcPr>
            <w:tcW w:w="334" w:type="dxa"/>
            <w:tcBorders/>
            <w:shd w:fill="FFFFFF" w:val="clear"/>
            <w:vAlign w:val="bottom"/>
          </w:tcPr>
          <w:p>
            <w:pPr>
              <w:pStyle w:val="TableContents"/>
              <w:spacing w:before="0" w:after="283"/>
              <w:jc w:val="right"/>
              <w:rPr/>
            </w:pPr>
            <w:r>
              <w:rPr/>
              <w:t> </w:t>
            </w:r>
          </w:p>
        </w:tc>
        <w:tc>
          <w:tcPr>
            <w:tcW w:w="81"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81" w:type="dxa"/>
            <w:tcBorders/>
            <w:shd w:fill="FFFFFF" w:val="clear"/>
            <w:vAlign w:val="bottom"/>
          </w:tcPr>
          <w:p>
            <w:pPr>
              <w:pStyle w:val="TableContents"/>
              <w:spacing w:before="0" w:after="283"/>
              <w:jc w:val="left"/>
              <w:rPr/>
            </w:pPr>
            <w:r>
              <w:rPr/>
              <w:t> </w:t>
            </w:r>
          </w:p>
        </w:tc>
        <w:tc>
          <w:tcPr>
            <w:tcW w:w="982" w:type="dxa"/>
            <w:tcBorders/>
            <w:shd w:fill="FFFFFF" w:val="clear"/>
            <w:vAlign w:val="bottom"/>
          </w:tcPr>
          <w:p>
            <w:pPr>
              <w:pStyle w:val="TableContents"/>
              <w:spacing w:before="0" w:after="283"/>
              <w:jc w:val="right"/>
              <w:rPr/>
            </w:pPr>
            <w:r>
              <w:rPr/>
              <w:t> </w:t>
            </w:r>
          </w:p>
        </w:tc>
        <w:tc>
          <w:tcPr>
            <w:tcW w:w="99"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139" w:type="dxa"/>
            <w:tcBorders/>
            <w:shd w:fill="FFFFFF" w:val="clear"/>
            <w:vAlign w:val="bottom"/>
          </w:tcPr>
          <w:p>
            <w:pPr>
              <w:pStyle w:val="TableContents"/>
              <w:spacing w:before="0" w:after="283"/>
              <w:jc w:val="left"/>
              <w:rPr/>
            </w:pPr>
            <w:r>
              <w:rPr/>
              <w:t> </w:t>
            </w:r>
          </w:p>
        </w:tc>
        <w:tc>
          <w:tcPr>
            <w:tcW w:w="641" w:type="dxa"/>
            <w:tcBorders/>
            <w:shd w:fill="FFFFFF" w:val="clear"/>
            <w:vAlign w:val="bottom"/>
          </w:tcPr>
          <w:p>
            <w:pPr>
              <w:pStyle w:val="TableContents"/>
              <w:spacing w:before="0" w:after="283"/>
              <w:jc w:val="right"/>
              <w:rPr/>
            </w:pPr>
            <w:r>
              <w:rPr/>
              <w:t> </w:t>
            </w:r>
          </w:p>
        </w:tc>
        <w:tc>
          <w:tcPr>
            <w:tcW w:w="99"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283"/>
              <w:jc w:val="left"/>
              <w:rPr/>
            </w:pPr>
            <w:r>
              <w:rPr/>
              <w:t> </w:t>
            </w:r>
          </w:p>
        </w:tc>
        <w:tc>
          <w:tcPr>
            <w:tcW w:w="1077" w:type="dxa"/>
            <w:tcBorders/>
            <w:shd w:fill="FFFFFF" w:val="clear"/>
            <w:vAlign w:val="bottom"/>
          </w:tcPr>
          <w:p>
            <w:pPr>
              <w:pStyle w:val="TableContents"/>
              <w:spacing w:before="0" w:after="283"/>
              <w:jc w:val="right"/>
              <w:rPr/>
            </w:pPr>
            <w:r>
              <w:rPr/>
              <w:t> </w:t>
            </w:r>
          </w:p>
        </w:tc>
        <w:tc>
          <w:tcPr>
            <w:tcW w:w="99"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283"/>
              <w:jc w:val="left"/>
              <w:rPr/>
            </w:pPr>
            <w:r>
              <w:rPr/>
              <w:t> </w:t>
            </w:r>
          </w:p>
        </w:tc>
        <w:tc>
          <w:tcPr>
            <w:tcW w:w="1132" w:type="dxa"/>
            <w:tcBorders/>
            <w:shd w:fill="FFFFFF" w:val="clear"/>
            <w:vAlign w:val="bottom"/>
          </w:tcPr>
          <w:p>
            <w:pPr>
              <w:pStyle w:val="TableContents"/>
              <w:spacing w:before="0" w:after="283"/>
              <w:jc w:val="right"/>
              <w:rPr/>
            </w:pPr>
            <w:r>
              <w:rPr/>
              <w:t> </w:t>
            </w:r>
          </w:p>
        </w:tc>
        <w:tc>
          <w:tcPr>
            <w:tcW w:w="99"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141" w:type="dxa"/>
            <w:tcBorders/>
            <w:shd w:fill="FFFFFF" w:val="clear"/>
            <w:vAlign w:val="bottom"/>
          </w:tcPr>
          <w:p>
            <w:pPr>
              <w:pStyle w:val="TableContents"/>
              <w:spacing w:before="0" w:after="283"/>
              <w:jc w:val="left"/>
              <w:rPr/>
            </w:pPr>
            <w:r>
              <w:rPr/>
              <w:t> </w:t>
            </w:r>
          </w:p>
        </w:tc>
        <w:tc>
          <w:tcPr>
            <w:tcW w:w="1045" w:type="dxa"/>
            <w:tcBorders/>
            <w:shd w:fill="FFFFFF" w:val="clear"/>
            <w:vAlign w:val="bottom"/>
          </w:tcPr>
          <w:p>
            <w:pPr>
              <w:pStyle w:val="TableContents"/>
              <w:spacing w:before="0" w:after="283"/>
              <w:jc w:val="right"/>
              <w:rPr/>
            </w:pPr>
            <w:r>
              <w:rPr/>
              <w:t> </w:t>
            </w:r>
          </w:p>
        </w:tc>
        <w:tc>
          <w:tcPr>
            <w:tcW w:w="123" w:type="dxa"/>
            <w:tcBorders/>
            <w:shd w:fill="FFFFFF" w:val="clear"/>
            <w:vAlign w:val="bottom"/>
          </w:tcPr>
          <w:p>
            <w:pPr>
              <w:pStyle w:val="TableContents"/>
              <w:spacing w:before="0" w:after="283"/>
              <w:jc w:val="left"/>
              <w:rPr/>
            </w:pPr>
            <w:r>
              <w:rPr/>
              <w:t> </w:t>
            </w:r>
          </w:p>
        </w:tc>
      </w:tr>
      <w:tr>
        <w:trPr/>
        <w:tc>
          <w:tcPr>
            <w:tcW w:w="2070" w:type="dxa"/>
            <w:tcBorders/>
            <w:shd w:fill="CCEEFF" w:val="clear"/>
            <w:vAlign w:val="bottom"/>
          </w:tcPr>
          <w:p>
            <w:pPr>
              <w:pStyle w:val="TableContents"/>
              <w:spacing w:before="0" w:after="0"/>
              <w:ind w:left="0" w:right="0" w:hanging="0"/>
              <w:jc w:val="left"/>
              <w:rPr/>
            </w:pPr>
            <w:r>
              <w:rPr/>
              <w:t> </w:t>
            </w:r>
            <w:r>
              <w:rPr>
                <w:rFonts w:ascii="helvetica" w:hAnsi="helvetica"/>
                <w:sz w:val="20"/>
              </w:rPr>
              <w:t>Forfeiture of unvested restricted stock in May 2011</w:t>
            </w:r>
          </w:p>
        </w:tc>
        <w:tc>
          <w:tcPr>
            <w:tcW w:w="81" w:type="dxa"/>
            <w:tcBorders/>
            <w:shd w:fill="CCEEFF" w:val="clear"/>
            <w:vAlign w:val="bottom"/>
          </w:tcPr>
          <w:p>
            <w:pPr>
              <w:pStyle w:val="TableContents"/>
              <w:spacing w:before="0" w:after="283"/>
              <w:rPr/>
            </w:pPr>
            <w:r>
              <w:rPr/>
              <w:t> </w:t>
            </w:r>
          </w:p>
        </w:tc>
        <w:tc>
          <w:tcPr>
            <w:tcW w:w="135" w:type="dxa"/>
            <w:tcBorders/>
            <w:shd w:fill="CCEEFF" w:val="clear"/>
            <w:vAlign w:val="bottom"/>
          </w:tcPr>
          <w:p>
            <w:pPr>
              <w:pStyle w:val="TableContents"/>
              <w:spacing w:before="0" w:after="283"/>
              <w:jc w:val="left"/>
              <w:rPr/>
            </w:pPr>
            <w:r>
              <w:rPr/>
              <w:t> </w:t>
            </w:r>
          </w:p>
        </w:tc>
        <w:tc>
          <w:tcPr>
            <w:tcW w:w="586"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w:t>
            </w:r>
          </w:p>
        </w:tc>
        <w:tc>
          <w:tcPr>
            <w:tcW w:w="92" w:type="dxa"/>
            <w:tcBorders/>
            <w:shd w:fill="CCEEFF" w:val="clear"/>
            <w:vAlign w:val="bottom"/>
          </w:tcPr>
          <w:p>
            <w:pPr>
              <w:pStyle w:val="TableContents"/>
              <w:spacing w:before="0" w:after="283"/>
              <w:jc w:val="left"/>
              <w:rPr/>
            </w:pPr>
            <w:r>
              <w:rPr/>
              <w:t> </w:t>
            </w:r>
          </w:p>
        </w:tc>
        <w:tc>
          <w:tcPr>
            <w:tcW w:w="92" w:type="dxa"/>
            <w:tcBorders/>
            <w:shd w:fill="CCEEFF" w:val="clear"/>
            <w:vAlign w:val="bottom"/>
          </w:tcPr>
          <w:p>
            <w:pPr>
              <w:pStyle w:val="TableContents"/>
              <w:spacing w:before="0" w:after="283"/>
              <w:rPr/>
            </w:pPr>
            <w:r>
              <w:rPr/>
              <w:t> </w:t>
            </w:r>
          </w:p>
        </w:tc>
        <w:tc>
          <w:tcPr>
            <w:tcW w:w="292" w:type="dxa"/>
            <w:tcBorders/>
            <w:shd w:fill="CCEEFF" w:val="clear"/>
            <w:vAlign w:val="bottom"/>
          </w:tcPr>
          <w:p>
            <w:pPr>
              <w:pStyle w:val="TableContents"/>
              <w:spacing w:before="0" w:after="283"/>
              <w:jc w:val="left"/>
              <w:rPr/>
            </w:pPr>
            <w:r>
              <w:rPr/>
              <w:t> </w:t>
            </w:r>
          </w:p>
        </w:tc>
        <w:tc>
          <w:tcPr>
            <w:tcW w:w="334"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w:t>
            </w:r>
          </w:p>
        </w:tc>
        <w:tc>
          <w:tcPr>
            <w:tcW w:w="81"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81" w:type="dxa"/>
            <w:tcBorders/>
            <w:shd w:fill="CCEEFF" w:val="clear"/>
            <w:vAlign w:val="bottom"/>
          </w:tcPr>
          <w:p>
            <w:pPr>
              <w:pStyle w:val="TableContents"/>
              <w:spacing w:before="0" w:after="283"/>
              <w:jc w:val="left"/>
              <w:rPr/>
            </w:pPr>
            <w:r>
              <w:rPr/>
              <w:t> </w:t>
            </w:r>
          </w:p>
        </w:tc>
        <w:tc>
          <w:tcPr>
            <w:tcW w:w="982"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(3,906</w:t>
            </w:r>
          </w:p>
        </w:tc>
        <w:tc>
          <w:tcPr>
            <w:tcW w:w="99" w:type="dxa"/>
            <w:tcBorders/>
            <w:shd w:fill="CCEEFF" w:val="clear"/>
            <w:vAlign w:val="bottom"/>
          </w:tcPr>
          <w:p>
            <w:pPr>
              <w:pStyle w:val="TableContents"/>
              <w:spacing w:before="0" w:after="283"/>
              <w:jc w:val="left"/>
              <w:rPr>
                <w:rFonts w:ascii="helvetica" w:hAnsi="helvetica"/>
                <w:sz w:val="20"/>
              </w:rPr>
            </w:pPr>
            <w:r>
              <w:rPr>
                <w:rFonts w:ascii="helvetica" w:hAnsi="helvetica"/>
                <w:sz w:val="20"/>
              </w:rPr>
              <w:t>)</w:t>
            </w:r>
          </w:p>
        </w:tc>
        <w:tc>
          <w:tcPr>
            <w:tcW w:w="81" w:type="dxa"/>
            <w:tcBorders/>
            <w:shd w:fill="CCEEFF" w:val="clear"/>
            <w:vAlign w:val="bottom"/>
          </w:tcPr>
          <w:p>
            <w:pPr>
              <w:pStyle w:val="TableContents"/>
              <w:spacing w:before="0" w:after="283"/>
              <w:rPr/>
            </w:pPr>
            <w:r>
              <w:rPr/>
              <w:t> </w:t>
            </w:r>
          </w:p>
        </w:tc>
        <w:tc>
          <w:tcPr>
            <w:tcW w:w="139" w:type="dxa"/>
            <w:tcBorders/>
            <w:shd w:fill="CCEEFF" w:val="clear"/>
            <w:vAlign w:val="bottom"/>
          </w:tcPr>
          <w:p>
            <w:pPr>
              <w:pStyle w:val="TableContents"/>
              <w:spacing w:before="0" w:after="283"/>
              <w:jc w:val="left"/>
              <w:rPr/>
            </w:pPr>
            <w:r>
              <w:rPr/>
              <w:t> </w:t>
            </w:r>
          </w:p>
        </w:tc>
        <w:tc>
          <w:tcPr>
            <w:tcW w:w="641"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(4</w:t>
            </w:r>
          </w:p>
        </w:tc>
        <w:tc>
          <w:tcPr>
            <w:tcW w:w="99" w:type="dxa"/>
            <w:tcBorders/>
            <w:shd w:fill="CCEEFF" w:val="clear"/>
            <w:vAlign w:val="bottom"/>
          </w:tcPr>
          <w:p>
            <w:pPr>
              <w:pStyle w:val="TableContents"/>
              <w:spacing w:before="0" w:after="283"/>
              <w:jc w:val="left"/>
              <w:rPr>
                <w:rFonts w:ascii="helvetica" w:hAnsi="helvetica"/>
                <w:sz w:val="20"/>
              </w:rPr>
            </w:pPr>
            <w:r>
              <w:rPr>
                <w:rFonts w:ascii="helvetica" w:hAnsi="helvetica"/>
                <w:sz w:val="20"/>
              </w:rPr>
              <w:t>)</w:t>
            </w:r>
          </w:p>
        </w:tc>
        <w:tc>
          <w:tcPr>
            <w:tcW w:w="81"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jc w:val="left"/>
              <w:rPr/>
            </w:pPr>
            <w:r>
              <w:rPr/>
              <w:t> </w:t>
            </w:r>
          </w:p>
        </w:tc>
        <w:tc>
          <w:tcPr>
            <w:tcW w:w="1077"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3,336</w:t>
            </w:r>
          </w:p>
        </w:tc>
        <w:tc>
          <w:tcPr>
            <w:tcW w:w="99"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jc w:val="left"/>
              <w:rPr/>
            </w:pPr>
            <w:r>
              <w:rPr/>
              <w:t> </w:t>
            </w:r>
          </w:p>
        </w:tc>
        <w:tc>
          <w:tcPr>
            <w:tcW w:w="1132"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w:t>
            </w:r>
          </w:p>
        </w:tc>
        <w:tc>
          <w:tcPr>
            <w:tcW w:w="99"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141" w:type="dxa"/>
            <w:tcBorders/>
            <w:shd w:fill="CCEEFF" w:val="clear"/>
            <w:vAlign w:val="bottom"/>
          </w:tcPr>
          <w:p>
            <w:pPr>
              <w:pStyle w:val="TableContents"/>
              <w:spacing w:before="0" w:after="283"/>
              <w:jc w:val="left"/>
              <w:rPr/>
            </w:pPr>
            <w:r>
              <w:rPr/>
              <w:t> </w:t>
            </w:r>
          </w:p>
        </w:tc>
        <w:tc>
          <w:tcPr>
            <w:tcW w:w="1045"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3,332</w:t>
            </w:r>
          </w:p>
        </w:tc>
        <w:tc>
          <w:tcPr>
            <w:tcW w:w="123" w:type="dxa"/>
            <w:tcBorders/>
            <w:shd w:fill="CCEEFF" w:val="clear"/>
            <w:vAlign w:val="bottom"/>
          </w:tcPr>
          <w:p>
            <w:pPr>
              <w:pStyle w:val="TableContents"/>
              <w:spacing w:before="0" w:after="283"/>
              <w:jc w:val="left"/>
              <w:rPr/>
            </w:pPr>
            <w:r>
              <w:rPr/>
              <w:t> </w:t>
            </w:r>
          </w:p>
        </w:tc>
      </w:tr>
      <w:tr>
        <w:trPr/>
        <w:tc>
          <w:tcPr>
            <w:tcW w:w="2070" w:type="dxa"/>
            <w:tcBorders/>
            <w:shd w:fill="FFFFFF" w:val="clear"/>
            <w:vAlign w:val="bottom"/>
          </w:tcPr>
          <w:p>
            <w:pPr>
              <w:pStyle w:val="TableContents"/>
              <w:spacing w:before="0" w:after="0"/>
              <w:ind w:left="0" w:right="0" w:hanging="0"/>
              <w:jc w:val="left"/>
              <w:rPr/>
            </w:pPr>
            <w:r>
              <w:rPr/>
              <w:t> </w:t>
            </w:r>
            <w:r>
              <w:rPr>
                <w:rFonts w:ascii="helvetica" w:hAnsi="helvetica"/>
                <w:sz w:val="20"/>
              </w:rPr>
              <w:t>Issuance of Series A Preferred Stock at $10,000 per</w:t>
            </w:r>
          </w:p>
        </w:tc>
        <w:tc>
          <w:tcPr>
            <w:tcW w:w="81" w:type="dxa"/>
            <w:tcBorders/>
            <w:shd w:fill="FFFFFF" w:val="clear"/>
            <w:vAlign w:val="bottom"/>
          </w:tcPr>
          <w:p>
            <w:pPr>
              <w:pStyle w:val="TableContents"/>
              <w:spacing w:before="0" w:after="283"/>
              <w:rPr/>
            </w:pPr>
            <w:r>
              <w:rPr/>
              <w:t> </w:t>
            </w:r>
          </w:p>
        </w:tc>
        <w:tc>
          <w:tcPr>
            <w:tcW w:w="135" w:type="dxa"/>
            <w:tcBorders/>
            <w:shd w:fill="FFFFFF" w:val="clear"/>
            <w:vAlign w:val="bottom"/>
          </w:tcPr>
          <w:p>
            <w:pPr>
              <w:pStyle w:val="TableContents"/>
              <w:spacing w:before="0" w:after="283"/>
              <w:jc w:val="left"/>
              <w:rPr/>
            </w:pPr>
            <w:r>
              <w:rPr/>
              <w:t> </w:t>
            </w:r>
          </w:p>
        </w:tc>
        <w:tc>
          <w:tcPr>
            <w:tcW w:w="586" w:type="dxa"/>
            <w:tcBorders/>
            <w:shd w:fill="FFFFFF" w:val="clear"/>
            <w:vAlign w:val="bottom"/>
          </w:tcPr>
          <w:p>
            <w:pPr>
              <w:pStyle w:val="TableContents"/>
              <w:spacing w:before="0" w:after="283"/>
              <w:jc w:val="right"/>
              <w:rPr/>
            </w:pPr>
            <w:r>
              <w:rPr/>
              <w:t> </w:t>
            </w:r>
          </w:p>
        </w:tc>
        <w:tc>
          <w:tcPr>
            <w:tcW w:w="92" w:type="dxa"/>
            <w:tcBorders/>
            <w:shd w:fill="FFFFFF" w:val="clear"/>
            <w:vAlign w:val="bottom"/>
          </w:tcPr>
          <w:p>
            <w:pPr>
              <w:pStyle w:val="TableContents"/>
              <w:spacing w:before="0" w:after="283"/>
              <w:jc w:val="left"/>
              <w:rPr/>
            </w:pPr>
            <w:r>
              <w:rPr/>
              <w:t> </w:t>
            </w:r>
          </w:p>
        </w:tc>
        <w:tc>
          <w:tcPr>
            <w:tcW w:w="92" w:type="dxa"/>
            <w:tcBorders/>
            <w:shd w:fill="FFFFFF" w:val="clear"/>
            <w:vAlign w:val="bottom"/>
          </w:tcPr>
          <w:p>
            <w:pPr>
              <w:pStyle w:val="TableContents"/>
              <w:spacing w:before="0" w:after="283"/>
              <w:rPr/>
            </w:pPr>
            <w:r>
              <w:rPr/>
              <w:t> </w:t>
            </w:r>
          </w:p>
        </w:tc>
        <w:tc>
          <w:tcPr>
            <w:tcW w:w="292" w:type="dxa"/>
            <w:tcBorders/>
            <w:shd w:fill="FFFFFF" w:val="clear"/>
            <w:vAlign w:val="bottom"/>
          </w:tcPr>
          <w:p>
            <w:pPr>
              <w:pStyle w:val="TableContents"/>
              <w:spacing w:before="0" w:after="283"/>
              <w:jc w:val="left"/>
              <w:rPr/>
            </w:pPr>
            <w:r>
              <w:rPr/>
              <w:t> </w:t>
            </w:r>
          </w:p>
        </w:tc>
        <w:tc>
          <w:tcPr>
            <w:tcW w:w="334" w:type="dxa"/>
            <w:tcBorders/>
            <w:shd w:fill="FFFFFF" w:val="clear"/>
            <w:vAlign w:val="bottom"/>
          </w:tcPr>
          <w:p>
            <w:pPr>
              <w:pStyle w:val="TableContents"/>
              <w:spacing w:before="0" w:after="283"/>
              <w:jc w:val="right"/>
              <w:rPr/>
            </w:pPr>
            <w:r>
              <w:rPr/>
              <w:t> </w:t>
            </w:r>
          </w:p>
        </w:tc>
        <w:tc>
          <w:tcPr>
            <w:tcW w:w="81"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81" w:type="dxa"/>
            <w:tcBorders/>
            <w:shd w:fill="FFFFFF" w:val="clear"/>
            <w:vAlign w:val="bottom"/>
          </w:tcPr>
          <w:p>
            <w:pPr>
              <w:pStyle w:val="TableContents"/>
              <w:spacing w:before="0" w:after="283"/>
              <w:jc w:val="left"/>
              <w:rPr/>
            </w:pPr>
            <w:r>
              <w:rPr/>
              <w:t> </w:t>
            </w:r>
          </w:p>
        </w:tc>
        <w:tc>
          <w:tcPr>
            <w:tcW w:w="982" w:type="dxa"/>
            <w:tcBorders/>
            <w:shd w:fill="FFFFFF" w:val="clear"/>
            <w:vAlign w:val="bottom"/>
          </w:tcPr>
          <w:p>
            <w:pPr>
              <w:pStyle w:val="TableContents"/>
              <w:spacing w:before="0" w:after="283"/>
              <w:jc w:val="right"/>
              <w:rPr/>
            </w:pPr>
            <w:r>
              <w:rPr/>
              <w:t> </w:t>
            </w:r>
          </w:p>
        </w:tc>
        <w:tc>
          <w:tcPr>
            <w:tcW w:w="99"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139" w:type="dxa"/>
            <w:tcBorders/>
            <w:shd w:fill="FFFFFF" w:val="clear"/>
            <w:vAlign w:val="bottom"/>
          </w:tcPr>
          <w:p>
            <w:pPr>
              <w:pStyle w:val="TableContents"/>
              <w:spacing w:before="0" w:after="283"/>
              <w:jc w:val="left"/>
              <w:rPr/>
            </w:pPr>
            <w:r>
              <w:rPr/>
              <w:t> </w:t>
            </w:r>
          </w:p>
        </w:tc>
        <w:tc>
          <w:tcPr>
            <w:tcW w:w="641" w:type="dxa"/>
            <w:tcBorders/>
            <w:shd w:fill="FFFFFF" w:val="clear"/>
            <w:vAlign w:val="bottom"/>
          </w:tcPr>
          <w:p>
            <w:pPr>
              <w:pStyle w:val="TableContents"/>
              <w:spacing w:before="0" w:after="283"/>
              <w:jc w:val="right"/>
              <w:rPr/>
            </w:pPr>
            <w:r>
              <w:rPr/>
              <w:t> </w:t>
            </w:r>
          </w:p>
        </w:tc>
        <w:tc>
          <w:tcPr>
            <w:tcW w:w="99"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283"/>
              <w:jc w:val="left"/>
              <w:rPr/>
            </w:pPr>
            <w:r>
              <w:rPr/>
              <w:t> </w:t>
            </w:r>
          </w:p>
        </w:tc>
        <w:tc>
          <w:tcPr>
            <w:tcW w:w="1077" w:type="dxa"/>
            <w:tcBorders/>
            <w:shd w:fill="FFFFFF" w:val="clear"/>
            <w:vAlign w:val="bottom"/>
          </w:tcPr>
          <w:p>
            <w:pPr>
              <w:pStyle w:val="TableContents"/>
              <w:spacing w:before="0" w:after="283"/>
              <w:jc w:val="right"/>
              <w:rPr/>
            </w:pPr>
            <w:r>
              <w:rPr/>
              <w:t> </w:t>
            </w:r>
          </w:p>
        </w:tc>
        <w:tc>
          <w:tcPr>
            <w:tcW w:w="99"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283"/>
              <w:jc w:val="left"/>
              <w:rPr/>
            </w:pPr>
            <w:r>
              <w:rPr/>
              <w:t> </w:t>
            </w:r>
          </w:p>
        </w:tc>
        <w:tc>
          <w:tcPr>
            <w:tcW w:w="1132" w:type="dxa"/>
            <w:tcBorders/>
            <w:shd w:fill="FFFFFF" w:val="clear"/>
            <w:vAlign w:val="bottom"/>
          </w:tcPr>
          <w:p>
            <w:pPr>
              <w:pStyle w:val="TableContents"/>
              <w:spacing w:before="0" w:after="283"/>
              <w:jc w:val="right"/>
              <w:rPr/>
            </w:pPr>
            <w:r>
              <w:rPr/>
              <w:t> </w:t>
            </w:r>
          </w:p>
        </w:tc>
        <w:tc>
          <w:tcPr>
            <w:tcW w:w="99"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141" w:type="dxa"/>
            <w:tcBorders/>
            <w:shd w:fill="FFFFFF" w:val="clear"/>
            <w:vAlign w:val="bottom"/>
          </w:tcPr>
          <w:p>
            <w:pPr>
              <w:pStyle w:val="TableContents"/>
              <w:spacing w:before="0" w:after="283"/>
              <w:jc w:val="left"/>
              <w:rPr/>
            </w:pPr>
            <w:r>
              <w:rPr/>
              <w:t> </w:t>
            </w:r>
          </w:p>
        </w:tc>
        <w:tc>
          <w:tcPr>
            <w:tcW w:w="1045" w:type="dxa"/>
            <w:tcBorders/>
            <w:shd w:fill="FFFFFF" w:val="clear"/>
            <w:vAlign w:val="bottom"/>
          </w:tcPr>
          <w:p>
            <w:pPr>
              <w:pStyle w:val="TableContents"/>
              <w:spacing w:before="0" w:after="283"/>
              <w:jc w:val="right"/>
              <w:rPr/>
            </w:pPr>
            <w:r>
              <w:rPr/>
              <w:t> </w:t>
            </w:r>
          </w:p>
        </w:tc>
        <w:tc>
          <w:tcPr>
            <w:tcW w:w="123" w:type="dxa"/>
            <w:tcBorders/>
            <w:shd w:fill="FFFFFF" w:val="clear"/>
            <w:vAlign w:val="bottom"/>
          </w:tcPr>
          <w:p>
            <w:pPr>
              <w:pStyle w:val="TableContents"/>
              <w:spacing w:before="0" w:after="283"/>
              <w:jc w:val="left"/>
              <w:rPr/>
            </w:pPr>
            <w:r>
              <w:rPr/>
              <w:t> </w:t>
            </w:r>
          </w:p>
        </w:tc>
      </w:tr>
      <w:tr>
        <w:trPr/>
        <w:tc>
          <w:tcPr>
            <w:tcW w:w="2070" w:type="dxa"/>
            <w:tcBorders/>
            <w:shd w:fill="CCEEFF" w:val="clear"/>
            <w:vAlign w:val="bottom"/>
          </w:tcPr>
          <w:p>
            <w:pPr>
              <w:pStyle w:val="TableContents"/>
              <w:spacing w:before="0" w:after="0"/>
              <w:ind w:left="0" w:right="0" w:hanging="0"/>
              <w:jc w:val="left"/>
              <w:rPr/>
            </w:pPr>
            <w:r>
              <w:rPr/>
              <w:t>   </w:t>
            </w:r>
            <w:r>
              <w:rPr>
                <w:rFonts w:ascii="helvetica" w:hAnsi="helvetica"/>
                <w:sz w:val="20"/>
              </w:rPr>
              <w:t>share in December 2011</w:t>
            </w:r>
          </w:p>
        </w:tc>
        <w:tc>
          <w:tcPr>
            <w:tcW w:w="81" w:type="dxa"/>
            <w:tcBorders/>
            <w:shd w:fill="CCEEFF" w:val="clear"/>
            <w:vAlign w:val="bottom"/>
          </w:tcPr>
          <w:p>
            <w:pPr>
              <w:pStyle w:val="TableContents"/>
              <w:spacing w:before="0" w:after="283"/>
              <w:rPr/>
            </w:pPr>
            <w:r>
              <w:rPr/>
              <w:t> </w:t>
            </w:r>
          </w:p>
        </w:tc>
        <w:tc>
          <w:tcPr>
            <w:tcW w:w="135" w:type="dxa"/>
            <w:tcBorders/>
            <w:shd w:fill="CCEEFF" w:val="clear"/>
            <w:vAlign w:val="bottom"/>
          </w:tcPr>
          <w:p>
            <w:pPr>
              <w:pStyle w:val="TableContents"/>
              <w:spacing w:before="0" w:after="283"/>
              <w:jc w:val="left"/>
              <w:rPr/>
            </w:pPr>
            <w:r>
              <w:rPr/>
              <w:t> </w:t>
            </w:r>
          </w:p>
        </w:tc>
        <w:tc>
          <w:tcPr>
            <w:tcW w:w="586"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10</w:t>
            </w:r>
          </w:p>
        </w:tc>
        <w:tc>
          <w:tcPr>
            <w:tcW w:w="92" w:type="dxa"/>
            <w:tcBorders/>
            <w:shd w:fill="CCEEFF" w:val="clear"/>
            <w:vAlign w:val="bottom"/>
          </w:tcPr>
          <w:p>
            <w:pPr>
              <w:pStyle w:val="TableContents"/>
              <w:spacing w:before="0" w:after="283"/>
              <w:jc w:val="left"/>
              <w:rPr/>
            </w:pPr>
            <w:r>
              <w:rPr/>
              <w:t> </w:t>
            </w:r>
          </w:p>
        </w:tc>
        <w:tc>
          <w:tcPr>
            <w:tcW w:w="92" w:type="dxa"/>
            <w:tcBorders/>
            <w:shd w:fill="CCEEFF" w:val="clear"/>
            <w:vAlign w:val="bottom"/>
          </w:tcPr>
          <w:p>
            <w:pPr>
              <w:pStyle w:val="TableContents"/>
              <w:spacing w:before="0" w:after="283"/>
              <w:rPr/>
            </w:pPr>
            <w:r>
              <w:rPr/>
              <w:t> </w:t>
            </w:r>
          </w:p>
        </w:tc>
        <w:tc>
          <w:tcPr>
            <w:tcW w:w="292" w:type="dxa"/>
            <w:tcBorders/>
            <w:shd w:fill="CCEEFF" w:val="clear"/>
            <w:vAlign w:val="bottom"/>
          </w:tcPr>
          <w:p>
            <w:pPr>
              <w:pStyle w:val="TableContents"/>
              <w:spacing w:before="0" w:after="283"/>
              <w:jc w:val="left"/>
              <w:rPr/>
            </w:pPr>
            <w:r>
              <w:rPr/>
              <w:t> </w:t>
            </w:r>
          </w:p>
        </w:tc>
        <w:tc>
          <w:tcPr>
            <w:tcW w:w="334"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w:t>
            </w:r>
          </w:p>
        </w:tc>
        <w:tc>
          <w:tcPr>
            <w:tcW w:w="81"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81" w:type="dxa"/>
            <w:tcBorders/>
            <w:shd w:fill="CCEEFF" w:val="clear"/>
            <w:vAlign w:val="bottom"/>
          </w:tcPr>
          <w:p>
            <w:pPr>
              <w:pStyle w:val="TableContents"/>
              <w:spacing w:before="0" w:after="283"/>
              <w:jc w:val="left"/>
              <w:rPr/>
            </w:pPr>
            <w:r>
              <w:rPr/>
              <w:t> </w:t>
            </w:r>
          </w:p>
        </w:tc>
        <w:tc>
          <w:tcPr>
            <w:tcW w:w="982"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w:t>
            </w:r>
          </w:p>
        </w:tc>
        <w:tc>
          <w:tcPr>
            <w:tcW w:w="99"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139" w:type="dxa"/>
            <w:tcBorders/>
            <w:shd w:fill="CCEEFF" w:val="clear"/>
            <w:vAlign w:val="bottom"/>
          </w:tcPr>
          <w:p>
            <w:pPr>
              <w:pStyle w:val="TableContents"/>
              <w:spacing w:before="0" w:after="283"/>
              <w:jc w:val="left"/>
              <w:rPr/>
            </w:pPr>
            <w:r>
              <w:rPr/>
              <w:t> </w:t>
            </w:r>
          </w:p>
        </w:tc>
        <w:tc>
          <w:tcPr>
            <w:tcW w:w="641"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w:t>
            </w:r>
          </w:p>
        </w:tc>
        <w:tc>
          <w:tcPr>
            <w:tcW w:w="99"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jc w:val="left"/>
              <w:rPr/>
            </w:pPr>
            <w:r>
              <w:rPr/>
              <w:t> </w:t>
            </w:r>
          </w:p>
        </w:tc>
        <w:tc>
          <w:tcPr>
            <w:tcW w:w="1077"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100,000</w:t>
            </w:r>
          </w:p>
        </w:tc>
        <w:tc>
          <w:tcPr>
            <w:tcW w:w="99"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jc w:val="left"/>
              <w:rPr/>
            </w:pPr>
            <w:r>
              <w:rPr/>
              <w:t> </w:t>
            </w:r>
          </w:p>
        </w:tc>
        <w:tc>
          <w:tcPr>
            <w:tcW w:w="1132"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w:t>
            </w:r>
          </w:p>
        </w:tc>
        <w:tc>
          <w:tcPr>
            <w:tcW w:w="99"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141" w:type="dxa"/>
            <w:tcBorders/>
            <w:shd w:fill="CCEEFF" w:val="clear"/>
            <w:vAlign w:val="bottom"/>
          </w:tcPr>
          <w:p>
            <w:pPr>
              <w:pStyle w:val="TableContents"/>
              <w:spacing w:before="0" w:after="283"/>
              <w:jc w:val="left"/>
              <w:rPr/>
            </w:pPr>
            <w:r>
              <w:rPr/>
              <w:t> </w:t>
            </w:r>
          </w:p>
        </w:tc>
        <w:tc>
          <w:tcPr>
            <w:tcW w:w="1045"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100,000</w:t>
            </w:r>
          </w:p>
        </w:tc>
        <w:tc>
          <w:tcPr>
            <w:tcW w:w="123" w:type="dxa"/>
            <w:tcBorders/>
            <w:shd w:fill="CCEEFF" w:val="clear"/>
            <w:vAlign w:val="bottom"/>
          </w:tcPr>
          <w:p>
            <w:pPr>
              <w:pStyle w:val="TableContents"/>
              <w:spacing w:before="0" w:after="283"/>
              <w:jc w:val="left"/>
              <w:rPr/>
            </w:pPr>
            <w:r>
              <w:rPr/>
              <w:t> </w:t>
            </w:r>
          </w:p>
        </w:tc>
      </w:tr>
      <w:tr>
        <w:trPr/>
        <w:tc>
          <w:tcPr>
            <w:tcW w:w="2070" w:type="dxa"/>
            <w:tcBorders/>
            <w:shd w:fill="FFFFFF" w:val="clear"/>
            <w:vAlign w:val="bottom"/>
          </w:tcPr>
          <w:p>
            <w:pPr>
              <w:pStyle w:val="TableContents"/>
              <w:spacing w:before="0" w:after="0"/>
              <w:ind w:left="0" w:right="0" w:hanging="0"/>
              <w:jc w:val="left"/>
              <w:rPr>
                <w:rFonts w:ascii="helvetica" w:hAnsi="helvetica"/>
                <w:sz w:val="20"/>
              </w:rPr>
            </w:pPr>
            <w:r>
              <w:rPr>
                <w:rFonts w:ascii="helvetica" w:hAnsi="helvetica"/>
                <w:sz w:val="20"/>
              </w:rPr>
              <w:t>Preferred stock beneficial conversion feature</w:t>
            </w:r>
          </w:p>
        </w:tc>
        <w:tc>
          <w:tcPr>
            <w:tcW w:w="81" w:type="dxa"/>
            <w:tcBorders/>
            <w:shd w:fill="FFFFFF" w:val="clear"/>
            <w:vAlign w:val="bottom"/>
          </w:tcPr>
          <w:p>
            <w:pPr>
              <w:pStyle w:val="TableContents"/>
              <w:spacing w:before="0" w:after="283"/>
              <w:rPr/>
            </w:pPr>
            <w:r>
              <w:rPr/>
              <w:t> </w:t>
            </w:r>
          </w:p>
        </w:tc>
        <w:tc>
          <w:tcPr>
            <w:tcW w:w="135" w:type="dxa"/>
            <w:tcBorders/>
            <w:shd w:fill="FFFFFF" w:val="clear"/>
            <w:vAlign w:val="bottom"/>
          </w:tcPr>
          <w:p>
            <w:pPr>
              <w:pStyle w:val="TableContents"/>
              <w:spacing w:before="0" w:after="283"/>
              <w:jc w:val="left"/>
              <w:rPr/>
            </w:pPr>
            <w:r>
              <w:rPr/>
              <w:t> </w:t>
            </w:r>
          </w:p>
        </w:tc>
        <w:tc>
          <w:tcPr>
            <w:tcW w:w="586"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w:t>
            </w:r>
          </w:p>
        </w:tc>
        <w:tc>
          <w:tcPr>
            <w:tcW w:w="92" w:type="dxa"/>
            <w:tcBorders/>
            <w:shd w:fill="FFFFFF" w:val="clear"/>
            <w:vAlign w:val="bottom"/>
          </w:tcPr>
          <w:p>
            <w:pPr>
              <w:pStyle w:val="TableContents"/>
              <w:spacing w:before="0" w:after="283"/>
              <w:jc w:val="left"/>
              <w:rPr/>
            </w:pPr>
            <w:r>
              <w:rPr/>
              <w:t> </w:t>
            </w:r>
          </w:p>
        </w:tc>
        <w:tc>
          <w:tcPr>
            <w:tcW w:w="92" w:type="dxa"/>
            <w:tcBorders/>
            <w:shd w:fill="FFFFFF" w:val="clear"/>
            <w:vAlign w:val="bottom"/>
          </w:tcPr>
          <w:p>
            <w:pPr>
              <w:pStyle w:val="TableContents"/>
              <w:spacing w:before="0" w:after="283"/>
              <w:rPr/>
            </w:pPr>
            <w:r>
              <w:rPr/>
              <w:t> </w:t>
            </w:r>
          </w:p>
        </w:tc>
        <w:tc>
          <w:tcPr>
            <w:tcW w:w="292" w:type="dxa"/>
            <w:tcBorders/>
            <w:shd w:fill="FFFFFF" w:val="clear"/>
            <w:vAlign w:val="bottom"/>
          </w:tcPr>
          <w:p>
            <w:pPr>
              <w:pStyle w:val="TableContents"/>
              <w:spacing w:before="0" w:after="283"/>
              <w:jc w:val="left"/>
              <w:rPr/>
            </w:pPr>
            <w:r>
              <w:rPr/>
              <w:t> </w:t>
            </w:r>
          </w:p>
        </w:tc>
        <w:tc>
          <w:tcPr>
            <w:tcW w:w="334"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w:t>
            </w:r>
          </w:p>
        </w:tc>
        <w:tc>
          <w:tcPr>
            <w:tcW w:w="81"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81" w:type="dxa"/>
            <w:tcBorders/>
            <w:shd w:fill="FFFFFF" w:val="clear"/>
            <w:vAlign w:val="bottom"/>
          </w:tcPr>
          <w:p>
            <w:pPr>
              <w:pStyle w:val="TableContents"/>
              <w:spacing w:before="0" w:after="283"/>
              <w:jc w:val="left"/>
              <w:rPr/>
            </w:pPr>
            <w:r>
              <w:rPr/>
              <w:t> </w:t>
            </w:r>
          </w:p>
        </w:tc>
        <w:tc>
          <w:tcPr>
            <w:tcW w:w="982"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w:t>
            </w:r>
          </w:p>
        </w:tc>
        <w:tc>
          <w:tcPr>
            <w:tcW w:w="99"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139" w:type="dxa"/>
            <w:tcBorders/>
            <w:shd w:fill="FFFFFF" w:val="clear"/>
            <w:vAlign w:val="bottom"/>
          </w:tcPr>
          <w:p>
            <w:pPr>
              <w:pStyle w:val="TableContents"/>
              <w:spacing w:before="0" w:after="283"/>
              <w:jc w:val="left"/>
              <w:rPr/>
            </w:pPr>
            <w:r>
              <w:rPr/>
              <w:t> </w:t>
            </w:r>
          </w:p>
        </w:tc>
        <w:tc>
          <w:tcPr>
            <w:tcW w:w="641"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w:t>
            </w:r>
          </w:p>
        </w:tc>
        <w:tc>
          <w:tcPr>
            <w:tcW w:w="99"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283"/>
              <w:jc w:val="left"/>
              <w:rPr/>
            </w:pPr>
            <w:r>
              <w:rPr/>
              <w:t> </w:t>
            </w:r>
          </w:p>
        </w:tc>
        <w:tc>
          <w:tcPr>
            <w:tcW w:w="1077"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100,000</w:t>
            </w:r>
          </w:p>
        </w:tc>
        <w:tc>
          <w:tcPr>
            <w:tcW w:w="99"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283"/>
              <w:jc w:val="left"/>
              <w:rPr/>
            </w:pPr>
            <w:r>
              <w:rPr/>
              <w:t> </w:t>
            </w:r>
          </w:p>
        </w:tc>
        <w:tc>
          <w:tcPr>
            <w:tcW w:w="1132"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w:t>
            </w:r>
          </w:p>
        </w:tc>
        <w:tc>
          <w:tcPr>
            <w:tcW w:w="99"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141" w:type="dxa"/>
            <w:tcBorders/>
            <w:shd w:fill="FFFFFF" w:val="clear"/>
            <w:vAlign w:val="bottom"/>
          </w:tcPr>
          <w:p>
            <w:pPr>
              <w:pStyle w:val="TableContents"/>
              <w:spacing w:before="0" w:after="283"/>
              <w:jc w:val="left"/>
              <w:rPr/>
            </w:pPr>
            <w:r>
              <w:rPr/>
              <w:t> </w:t>
            </w:r>
          </w:p>
        </w:tc>
        <w:tc>
          <w:tcPr>
            <w:tcW w:w="1045"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100,000</w:t>
            </w:r>
          </w:p>
        </w:tc>
        <w:tc>
          <w:tcPr>
            <w:tcW w:w="123" w:type="dxa"/>
            <w:tcBorders/>
            <w:shd w:fill="FFFFFF" w:val="clear"/>
            <w:vAlign w:val="bottom"/>
          </w:tcPr>
          <w:p>
            <w:pPr>
              <w:pStyle w:val="TableContents"/>
              <w:spacing w:before="0" w:after="283"/>
              <w:jc w:val="left"/>
              <w:rPr/>
            </w:pPr>
            <w:r>
              <w:rPr/>
              <w:t> </w:t>
            </w:r>
          </w:p>
        </w:tc>
      </w:tr>
      <w:tr>
        <w:trPr/>
        <w:tc>
          <w:tcPr>
            <w:tcW w:w="2070" w:type="dxa"/>
            <w:tcBorders/>
            <w:shd w:fill="CCEEFF" w:val="clear"/>
            <w:vAlign w:val="bottom"/>
          </w:tcPr>
          <w:p>
            <w:pPr>
              <w:pStyle w:val="TableContents"/>
              <w:spacing w:before="0" w:after="0"/>
              <w:ind w:left="0" w:right="0" w:hanging="0"/>
              <w:jc w:val="left"/>
              <w:rPr>
                <w:rFonts w:ascii="helvetica" w:hAnsi="helvetica"/>
                <w:sz w:val="20"/>
              </w:rPr>
            </w:pPr>
            <w:r>
              <w:rPr>
                <w:rFonts w:ascii="helvetica" w:hAnsi="helvetica"/>
                <w:sz w:val="20"/>
              </w:rPr>
              <w:t>Accretion of preferred stock discount</w:t>
            </w:r>
          </w:p>
        </w:tc>
        <w:tc>
          <w:tcPr>
            <w:tcW w:w="81" w:type="dxa"/>
            <w:tcBorders/>
            <w:shd w:fill="CCEEFF" w:val="clear"/>
            <w:vAlign w:val="bottom"/>
          </w:tcPr>
          <w:p>
            <w:pPr>
              <w:pStyle w:val="TableContents"/>
              <w:spacing w:before="0" w:after="283"/>
              <w:rPr/>
            </w:pPr>
            <w:r>
              <w:rPr/>
              <w:t> </w:t>
            </w:r>
          </w:p>
        </w:tc>
        <w:tc>
          <w:tcPr>
            <w:tcW w:w="135" w:type="dxa"/>
            <w:tcBorders/>
            <w:shd w:fill="CCEEFF" w:val="clear"/>
            <w:vAlign w:val="bottom"/>
          </w:tcPr>
          <w:p>
            <w:pPr>
              <w:pStyle w:val="TableContents"/>
              <w:spacing w:before="0" w:after="283"/>
              <w:jc w:val="left"/>
              <w:rPr/>
            </w:pPr>
            <w:r>
              <w:rPr/>
              <w:t> </w:t>
            </w:r>
          </w:p>
        </w:tc>
        <w:tc>
          <w:tcPr>
            <w:tcW w:w="586"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w:t>
            </w:r>
          </w:p>
        </w:tc>
        <w:tc>
          <w:tcPr>
            <w:tcW w:w="92" w:type="dxa"/>
            <w:tcBorders/>
            <w:shd w:fill="CCEEFF" w:val="clear"/>
            <w:vAlign w:val="bottom"/>
          </w:tcPr>
          <w:p>
            <w:pPr>
              <w:pStyle w:val="TableContents"/>
              <w:spacing w:before="0" w:after="283"/>
              <w:jc w:val="left"/>
              <w:rPr/>
            </w:pPr>
            <w:r>
              <w:rPr/>
              <w:t> </w:t>
            </w:r>
          </w:p>
        </w:tc>
        <w:tc>
          <w:tcPr>
            <w:tcW w:w="92" w:type="dxa"/>
            <w:tcBorders/>
            <w:shd w:fill="CCEEFF" w:val="clear"/>
            <w:vAlign w:val="bottom"/>
          </w:tcPr>
          <w:p>
            <w:pPr>
              <w:pStyle w:val="TableContents"/>
              <w:spacing w:before="0" w:after="283"/>
              <w:rPr/>
            </w:pPr>
            <w:r>
              <w:rPr/>
              <w:t> </w:t>
            </w:r>
          </w:p>
        </w:tc>
        <w:tc>
          <w:tcPr>
            <w:tcW w:w="292" w:type="dxa"/>
            <w:tcBorders/>
            <w:shd w:fill="CCEEFF" w:val="clear"/>
            <w:vAlign w:val="bottom"/>
          </w:tcPr>
          <w:p>
            <w:pPr>
              <w:pStyle w:val="TableContents"/>
              <w:spacing w:before="0" w:after="283"/>
              <w:jc w:val="left"/>
              <w:rPr/>
            </w:pPr>
            <w:r>
              <w:rPr/>
              <w:t> </w:t>
            </w:r>
          </w:p>
        </w:tc>
        <w:tc>
          <w:tcPr>
            <w:tcW w:w="334"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w:t>
            </w:r>
          </w:p>
        </w:tc>
        <w:tc>
          <w:tcPr>
            <w:tcW w:w="81"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81" w:type="dxa"/>
            <w:tcBorders/>
            <w:shd w:fill="CCEEFF" w:val="clear"/>
            <w:vAlign w:val="bottom"/>
          </w:tcPr>
          <w:p>
            <w:pPr>
              <w:pStyle w:val="TableContents"/>
              <w:spacing w:before="0" w:after="283"/>
              <w:jc w:val="left"/>
              <w:rPr/>
            </w:pPr>
            <w:r>
              <w:rPr/>
              <w:t> </w:t>
            </w:r>
          </w:p>
        </w:tc>
        <w:tc>
          <w:tcPr>
            <w:tcW w:w="982"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w:t>
            </w:r>
          </w:p>
        </w:tc>
        <w:tc>
          <w:tcPr>
            <w:tcW w:w="99"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139" w:type="dxa"/>
            <w:tcBorders/>
            <w:shd w:fill="CCEEFF" w:val="clear"/>
            <w:vAlign w:val="bottom"/>
          </w:tcPr>
          <w:p>
            <w:pPr>
              <w:pStyle w:val="TableContents"/>
              <w:spacing w:before="0" w:after="283"/>
              <w:jc w:val="left"/>
              <w:rPr/>
            </w:pPr>
            <w:r>
              <w:rPr/>
              <w:t> </w:t>
            </w:r>
          </w:p>
        </w:tc>
        <w:tc>
          <w:tcPr>
            <w:tcW w:w="641"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w:t>
            </w:r>
          </w:p>
        </w:tc>
        <w:tc>
          <w:tcPr>
            <w:tcW w:w="99"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jc w:val="left"/>
              <w:rPr/>
            </w:pPr>
            <w:r>
              <w:rPr/>
              <w:t> </w:t>
            </w:r>
          </w:p>
        </w:tc>
        <w:tc>
          <w:tcPr>
            <w:tcW w:w="1077"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w:t>
            </w:r>
          </w:p>
        </w:tc>
        <w:tc>
          <w:tcPr>
            <w:tcW w:w="99"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jc w:val="left"/>
              <w:rPr/>
            </w:pPr>
            <w:r>
              <w:rPr/>
              <w:t> </w:t>
            </w:r>
          </w:p>
        </w:tc>
        <w:tc>
          <w:tcPr>
            <w:tcW w:w="1132"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(100,000</w:t>
            </w:r>
          </w:p>
        </w:tc>
        <w:tc>
          <w:tcPr>
            <w:tcW w:w="99" w:type="dxa"/>
            <w:tcBorders/>
            <w:shd w:fill="CCEEFF" w:val="clear"/>
            <w:vAlign w:val="bottom"/>
          </w:tcPr>
          <w:p>
            <w:pPr>
              <w:pStyle w:val="TableContents"/>
              <w:spacing w:before="0" w:after="283"/>
              <w:jc w:val="left"/>
              <w:rPr>
                <w:rFonts w:ascii="helvetica" w:hAnsi="helvetica"/>
                <w:sz w:val="20"/>
              </w:rPr>
            </w:pPr>
            <w:r>
              <w:rPr>
                <w:rFonts w:ascii="helvetica" w:hAnsi="helvetica"/>
                <w:sz w:val="20"/>
              </w:rPr>
              <w:t>)</w:t>
            </w:r>
          </w:p>
        </w:tc>
        <w:tc>
          <w:tcPr>
            <w:tcW w:w="81" w:type="dxa"/>
            <w:tcBorders/>
            <w:shd w:fill="CCEEFF" w:val="clear"/>
            <w:vAlign w:val="bottom"/>
          </w:tcPr>
          <w:p>
            <w:pPr>
              <w:pStyle w:val="TableContents"/>
              <w:spacing w:before="0" w:after="283"/>
              <w:rPr/>
            </w:pPr>
            <w:r>
              <w:rPr/>
              <w:t> </w:t>
            </w:r>
          </w:p>
        </w:tc>
        <w:tc>
          <w:tcPr>
            <w:tcW w:w="141" w:type="dxa"/>
            <w:tcBorders/>
            <w:shd w:fill="CCEEFF" w:val="clear"/>
            <w:vAlign w:val="bottom"/>
          </w:tcPr>
          <w:p>
            <w:pPr>
              <w:pStyle w:val="TableContents"/>
              <w:spacing w:before="0" w:after="283"/>
              <w:jc w:val="left"/>
              <w:rPr/>
            </w:pPr>
            <w:r>
              <w:rPr/>
              <w:t> </w:t>
            </w:r>
          </w:p>
        </w:tc>
        <w:tc>
          <w:tcPr>
            <w:tcW w:w="1045"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(100,000</w:t>
            </w:r>
          </w:p>
        </w:tc>
        <w:tc>
          <w:tcPr>
            <w:tcW w:w="123" w:type="dxa"/>
            <w:tcBorders/>
            <w:shd w:fill="CCEEFF" w:val="clear"/>
            <w:vAlign w:val="bottom"/>
          </w:tcPr>
          <w:p>
            <w:pPr>
              <w:pStyle w:val="TableContents"/>
              <w:spacing w:before="0" w:after="283"/>
              <w:jc w:val="left"/>
              <w:rPr>
                <w:rFonts w:ascii="helvetica" w:hAnsi="helvetica"/>
                <w:sz w:val="20"/>
              </w:rPr>
            </w:pPr>
            <w:r>
              <w:rPr>
                <w:rFonts w:ascii="helvetica" w:hAnsi="helvetica"/>
                <w:sz w:val="20"/>
              </w:rPr>
              <w:t>)</w:t>
            </w:r>
          </w:p>
        </w:tc>
      </w:tr>
      <w:tr>
        <w:trPr/>
        <w:tc>
          <w:tcPr>
            <w:tcW w:w="2070" w:type="dxa"/>
            <w:tcBorders/>
            <w:shd w:fill="FFFFFF" w:val="clear"/>
            <w:vAlign w:val="bottom"/>
          </w:tcPr>
          <w:p>
            <w:pPr>
              <w:pStyle w:val="TableContents"/>
              <w:spacing w:before="0" w:after="0"/>
              <w:ind w:left="0" w:right="0" w:hanging="0"/>
              <w:jc w:val="left"/>
              <w:rPr/>
            </w:pPr>
            <w:r>
              <w:rPr/>
              <w:t> </w:t>
            </w:r>
            <w:r>
              <w:rPr>
                <w:rFonts w:ascii="helvetica" w:hAnsi="helvetica"/>
                <w:sz w:val="20"/>
              </w:rPr>
              <w:t>Estimated fair value of stock options granted to former</w:t>
            </w:r>
          </w:p>
        </w:tc>
        <w:tc>
          <w:tcPr>
            <w:tcW w:w="81" w:type="dxa"/>
            <w:tcBorders/>
            <w:shd w:fill="FFFFFF" w:val="clear"/>
            <w:vAlign w:val="bottom"/>
          </w:tcPr>
          <w:p>
            <w:pPr>
              <w:pStyle w:val="TableContents"/>
              <w:spacing w:before="0" w:after="283"/>
              <w:rPr/>
            </w:pPr>
            <w:r>
              <w:rPr/>
              <w:t> </w:t>
            </w:r>
          </w:p>
        </w:tc>
        <w:tc>
          <w:tcPr>
            <w:tcW w:w="135" w:type="dxa"/>
            <w:tcBorders/>
            <w:shd w:fill="FFFFFF" w:val="clear"/>
            <w:vAlign w:val="bottom"/>
          </w:tcPr>
          <w:p>
            <w:pPr>
              <w:pStyle w:val="TableContents"/>
              <w:spacing w:before="0" w:after="283"/>
              <w:jc w:val="left"/>
              <w:rPr/>
            </w:pPr>
            <w:r>
              <w:rPr/>
              <w:t> </w:t>
            </w:r>
          </w:p>
        </w:tc>
        <w:tc>
          <w:tcPr>
            <w:tcW w:w="586" w:type="dxa"/>
            <w:tcBorders/>
            <w:shd w:fill="FFFFFF" w:val="clear"/>
            <w:vAlign w:val="bottom"/>
          </w:tcPr>
          <w:p>
            <w:pPr>
              <w:pStyle w:val="TableContents"/>
              <w:spacing w:before="0" w:after="283"/>
              <w:jc w:val="right"/>
              <w:rPr/>
            </w:pPr>
            <w:r>
              <w:rPr/>
              <w:t> </w:t>
            </w:r>
          </w:p>
        </w:tc>
        <w:tc>
          <w:tcPr>
            <w:tcW w:w="92" w:type="dxa"/>
            <w:tcBorders/>
            <w:shd w:fill="FFFFFF" w:val="clear"/>
            <w:vAlign w:val="bottom"/>
          </w:tcPr>
          <w:p>
            <w:pPr>
              <w:pStyle w:val="TableContents"/>
              <w:spacing w:before="0" w:after="283"/>
              <w:jc w:val="left"/>
              <w:rPr/>
            </w:pPr>
            <w:r>
              <w:rPr/>
              <w:t> </w:t>
            </w:r>
          </w:p>
        </w:tc>
        <w:tc>
          <w:tcPr>
            <w:tcW w:w="92" w:type="dxa"/>
            <w:tcBorders/>
            <w:shd w:fill="FFFFFF" w:val="clear"/>
            <w:vAlign w:val="bottom"/>
          </w:tcPr>
          <w:p>
            <w:pPr>
              <w:pStyle w:val="TableContents"/>
              <w:spacing w:before="0" w:after="283"/>
              <w:rPr/>
            </w:pPr>
            <w:r>
              <w:rPr/>
              <w:t> </w:t>
            </w:r>
          </w:p>
        </w:tc>
        <w:tc>
          <w:tcPr>
            <w:tcW w:w="292" w:type="dxa"/>
            <w:tcBorders/>
            <w:shd w:fill="FFFFFF" w:val="clear"/>
            <w:vAlign w:val="bottom"/>
          </w:tcPr>
          <w:p>
            <w:pPr>
              <w:pStyle w:val="TableContents"/>
              <w:spacing w:before="0" w:after="283"/>
              <w:jc w:val="left"/>
              <w:rPr/>
            </w:pPr>
            <w:r>
              <w:rPr/>
              <w:t> </w:t>
            </w:r>
          </w:p>
        </w:tc>
        <w:tc>
          <w:tcPr>
            <w:tcW w:w="334" w:type="dxa"/>
            <w:tcBorders/>
            <w:shd w:fill="FFFFFF" w:val="clear"/>
            <w:vAlign w:val="bottom"/>
          </w:tcPr>
          <w:p>
            <w:pPr>
              <w:pStyle w:val="TableContents"/>
              <w:spacing w:before="0" w:after="283"/>
              <w:jc w:val="right"/>
              <w:rPr/>
            </w:pPr>
            <w:r>
              <w:rPr/>
              <w:t> </w:t>
            </w:r>
          </w:p>
        </w:tc>
        <w:tc>
          <w:tcPr>
            <w:tcW w:w="81"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81" w:type="dxa"/>
            <w:tcBorders/>
            <w:shd w:fill="FFFFFF" w:val="clear"/>
            <w:vAlign w:val="bottom"/>
          </w:tcPr>
          <w:p>
            <w:pPr>
              <w:pStyle w:val="TableContents"/>
              <w:spacing w:before="0" w:after="283"/>
              <w:jc w:val="left"/>
              <w:rPr/>
            </w:pPr>
            <w:r>
              <w:rPr/>
              <w:t> </w:t>
            </w:r>
          </w:p>
        </w:tc>
        <w:tc>
          <w:tcPr>
            <w:tcW w:w="982" w:type="dxa"/>
            <w:tcBorders/>
            <w:shd w:fill="FFFFFF" w:val="clear"/>
            <w:vAlign w:val="bottom"/>
          </w:tcPr>
          <w:p>
            <w:pPr>
              <w:pStyle w:val="TableContents"/>
              <w:spacing w:before="0" w:after="283"/>
              <w:jc w:val="right"/>
              <w:rPr/>
            </w:pPr>
            <w:r>
              <w:rPr/>
              <w:t> </w:t>
            </w:r>
          </w:p>
        </w:tc>
        <w:tc>
          <w:tcPr>
            <w:tcW w:w="99"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139" w:type="dxa"/>
            <w:tcBorders/>
            <w:shd w:fill="FFFFFF" w:val="clear"/>
            <w:vAlign w:val="bottom"/>
          </w:tcPr>
          <w:p>
            <w:pPr>
              <w:pStyle w:val="TableContents"/>
              <w:spacing w:before="0" w:after="283"/>
              <w:jc w:val="left"/>
              <w:rPr/>
            </w:pPr>
            <w:r>
              <w:rPr/>
              <w:t> </w:t>
            </w:r>
          </w:p>
        </w:tc>
        <w:tc>
          <w:tcPr>
            <w:tcW w:w="641" w:type="dxa"/>
            <w:tcBorders/>
            <w:shd w:fill="FFFFFF" w:val="clear"/>
            <w:vAlign w:val="bottom"/>
          </w:tcPr>
          <w:p>
            <w:pPr>
              <w:pStyle w:val="TableContents"/>
              <w:spacing w:before="0" w:after="283"/>
              <w:jc w:val="right"/>
              <w:rPr/>
            </w:pPr>
            <w:r>
              <w:rPr/>
              <w:t> </w:t>
            </w:r>
          </w:p>
        </w:tc>
        <w:tc>
          <w:tcPr>
            <w:tcW w:w="99"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283"/>
              <w:jc w:val="left"/>
              <w:rPr/>
            </w:pPr>
            <w:r>
              <w:rPr/>
              <w:t> </w:t>
            </w:r>
          </w:p>
        </w:tc>
        <w:tc>
          <w:tcPr>
            <w:tcW w:w="1077" w:type="dxa"/>
            <w:tcBorders/>
            <w:shd w:fill="FFFFFF" w:val="clear"/>
            <w:vAlign w:val="bottom"/>
          </w:tcPr>
          <w:p>
            <w:pPr>
              <w:pStyle w:val="TableContents"/>
              <w:spacing w:before="0" w:after="283"/>
              <w:jc w:val="right"/>
              <w:rPr/>
            </w:pPr>
            <w:r>
              <w:rPr/>
              <w:t> </w:t>
            </w:r>
          </w:p>
        </w:tc>
        <w:tc>
          <w:tcPr>
            <w:tcW w:w="99"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283"/>
              <w:jc w:val="left"/>
              <w:rPr/>
            </w:pPr>
            <w:r>
              <w:rPr/>
              <w:t> </w:t>
            </w:r>
          </w:p>
        </w:tc>
        <w:tc>
          <w:tcPr>
            <w:tcW w:w="1132" w:type="dxa"/>
            <w:tcBorders/>
            <w:shd w:fill="FFFFFF" w:val="clear"/>
            <w:vAlign w:val="bottom"/>
          </w:tcPr>
          <w:p>
            <w:pPr>
              <w:pStyle w:val="TableContents"/>
              <w:spacing w:before="0" w:after="283"/>
              <w:jc w:val="right"/>
              <w:rPr/>
            </w:pPr>
            <w:r>
              <w:rPr/>
              <w:t> </w:t>
            </w:r>
          </w:p>
        </w:tc>
        <w:tc>
          <w:tcPr>
            <w:tcW w:w="99"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141" w:type="dxa"/>
            <w:tcBorders/>
            <w:shd w:fill="FFFFFF" w:val="clear"/>
            <w:vAlign w:val="bottom"/>
          </w:tcPr>
          <w:p>
            <w:pPr>
              <w:pStyle w:val="TableContents"/>
              <w:spacing w:before="0" w:after="283"/>
              <w:jc w:val="left"/>
              <w:rPr/>
            </w:pPr>
            <w:r>
              <w:rPr/>
              <w:t> </w:t>
            </w:r>
          </w:p>
        </w:tc>
        <w:tc>
          <w:tcPr>
            <w:tcW w:w="1045" w:type="dxa"/>
            <w:tcBorders/>
            <w:shd w:fill="FFFFFF" w:val="clear"/>
            <w:vAlign w:val="bottom"/>
          </w:tcPr>
          <w:p>
            <w:pPr>
              <w:pStyle w:val="TableContents"/>
              <w:spacing w:before="0" w:after="283"/>
              <w:jc w:val="right"/>
              <w:rPr/>
            </w:pPr>
            <w:r>
              <w:rPr/>
              <w:t> </w:t>
            </w:r>
          </w:p>
        </w:tc>
        <w:tc>
          <w:tcPr>
            <w:tcW w:w="123" w:type="dxa"/>
            <w:tcBorders/>
            <w:shd w:fill="FFFFFF" w:val="clear"/>
            <w:vAlign w:val="bottom"/>
          </w:tcPr>
          <w:p>
            <w:pPr>
              <w:pStyle w:val="TableContents"/>
              <w:spacing w:before="0" w:after="283"/>
              <w:jc w:val="left"/>
              <w:rPr/>
            </w:pPr>
            <w:r>
              <w:rPr/>
              <w:t> </w:t>
            </w:r>
          </w:p>
        </w:tc>
      </w:tr>
      <w:tr>
        <w:trPr/>
        <w:tc>
          <w:tcPr>
            <w:tcW w:w="2070" w:type="dxa"/>
            <w:tcBorders/>
            <w:shd w:fill="CCEEFF" w:val="clear"/>
            <w:vAlign w:val="bottom"/>
          </w:tcPr>
          <w:p>
            <w:pPr>
              <w:pStyle w:val="TableContents"/>
              <w:spacing w:before="0" w:after="0"/>
              <w:ind w:left="0" w:right="0" w:hanging="0"/>
              <w:jc w:val="left"/>
              <w:rPr/>
            </w:pPr>
            <w:r>
              <w:rPr/>
              <w:t>   </w:t>
            </w:r>
            <w:r>
              <w:rPr>
                <w:rFonts w:ascii="helvetica" w:hAnsi="helvetica"/>
                <w:sz w:val="20"/>
              </w:rPr>
              <w:t>employees in forgiveness of liabilities</w:t>
            </w:r>
          </w:p>
        </w:tc>
        <w:tc>
          <w:tcPr>
            <w:tcW w:w="81" w:type="dxa"/>
            <w:tcBorders/>
            <w:shd w:fill="CCEEFF" w:val="clear"/>
            <w:vAlign w:val="bottom"/>
          </w:tcPr>
          <w:p>
            <w:pPr>
              <w:pStyle w:val="TableContents"/>
              <w:spacing w:before="0" w:after="283"/>
              <w:rPr/>
            </w:pPr>
            <w:r>
              <w:rPr/>
              <w:t> </w:t>
            </w:r>
          </w:p>
        </w:tc>
        <w:tc>
          <w:tcPr>
            <w:tcW w:w="135" w:type="dxa"/>
            <w:tcBorders/>
            <w:shd w:fill="CCEEFF" w:val="clear"/>
            <w:vAlign w:val="bottom"/>
          </w:tcPr>
          <w:p>
            <w:pPr>
              <w:pStyle w:val="TableContents"/>
              <w:spacing w:before="0" w:after="283"/>
              <w:jc w:val="left"/>
              <w:rPr/>
            </w:pPr>
            <w:r>
              <w:rPr/>
              <w:t> </w:t>
            </w:r>
          </w:p>
        </w:tc>
        <w:tc>
          <w:tcPr>
            <w:tcW w:w="586"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w:t>
            </w:r>
          </w:p>
        </w:tc>
        <w:tc>
          <w:tcPr>
            <w:tcW w:w="92" w:type="dxa"/>
            <w:tcBorders/>
            <w:shd w:fill="CCEEFF" w:val="clear"/>
            <w:vAlign w:val="bottom"/>
          </w:tcPr>
          <w:p>
            <w:pPr>
              <w:pStyle w:val="TableContents"/>
              <w:spacing w:before="0" w:after="283"/>
              <w:jc w:val="left"/>
              <w:rPr/>
            </w:pPr>
            <w:r>
              <w:rPr/>
              <w:t> </w:t>
            </w:r>
          </w:p>
        </w:tc>
        <w:tc>
          <w:tcPr>
            <w:tcW w:w="92" w:type="dxa"/>
            <w:tcBorders/>
            <w:shd w:fill="CCEEFF" w:val="clear"/>
            <w:vAlign w:val="bottom"/>
          </w:tcPr>
          <w:p>
            <w:pPr>
              <w:pStyle w:val="TableContents"/>
              <w:spacing w:before="0" w:after="283"/>
              <w:rPr/>
            </w:pPr>
            <w:r>
              <w:rPr/>
              <w:t> </w:t>
            </w:r>
          </w:p>
        </w:tc>
        <w:tc>
          <w:tcPr>
            <w:tcW w:w="292" w:type="dxa"/>
            <w:tcBorders/>
            <w:shd w:fill="CCEEFF" w:val="clear"/>
            <w:vAlign w:val="bottom"/>
          </w:tcPr>
          <w:p>
            <w:pPr>
              <w:pStyle w:val="TableContents"/>
              <w:spacing w:before="0" w:after="283"/>
              <w:jc w:val="left"/>
              <w:rPr/>
            </w:pPr>
            <w:r>
              <w:rPr/>
              <w:t> </w:t>
            </w:r>
          </w:p>
        </w:tc>
        <w:tc>
          <w:tcPr>
            <w:tcW w:w="334"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w:t>
            </w:r>
          </w:p>
        </w:tc>
        <w:tc>
          <w:tcPr>
            <w:tcW w:w="81"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81" w:type="dxa"/>
            <w:tcBorders/>
            <w:shd w:fill="CCEEFF" w:val="clear"/>
            <w:vAlign w:val="bottom"/>
          </w:tcPr>
          <w:p>
            <w:pPr>
              <w:pStyle w:val="TableContents"/>
              <w:spacing w:before="0" w:after="283"/>
              <w:jc w:val="left"/>
              <w:rPr/>
            </w:pPr>
            <w:r>
              <w:rPr/>
              <w:t> </w:t>
            </w:r>
          </w:p>
        </w:tc>
        <w:tc>
          <w:tcPr>
            <w:tcW w:w="982"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w:t>
            </w:r>
          </w:p>
        </w:tc>
        <w:tc>
          <w:tcPr>
            <w:tcW w:w="99"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139" w:type="dxa"/>
            <w:tcBorders/>
            <w:shd w:fill="CCEEFF" w:val="clear"/>
            <w:vAlign w:val="bottom"/>
          </w:tcPr>
          <w:p>
            <w:pPr>
              <w:pStyle w:val="TableContents"/>
              <w:spacing w:before="0" w:after="283"/>
              <w:jc w:val="left"/>
              <w:rPr/>
            </w:pPr>
            <w:r>
              <w:rPr/>
              <w:t> </w:t>
            </w:r>
          </w:p>
        </w:tc>
        <w:tc>
          <w:tcPr>
            <w:tcW w:w="641"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w:t>
            </w:r>
          </w:p>
        </w:tc>
        <w:tc>
          <w:tcPr>
            <w:tcW w:w="99"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jc w:val="left"/>
              <w:rPr/>
            </w:pPr>
            <w:r>
              <w:rPr/>
              <w:t> </w:t>
            </w:r>
          </w:p>
        </w:tc>
        <w:tc>
          <w:tcPr>
            <w:tcW w:w="1077"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11,400</w:t>
            </w:r>
          </w:p>
        </w:tc>
        <w:tc>
          <w:tcPr>
            <w:tcW w:w="99"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jc w:val="left"/>
              <w:rPr/>
            </w:pPr>
            <w:r>
              <w:rPr/>
              <w:t> </w:t>
            </w:r>
          </w:p>
        </w:tc>
        <w:tc>
          <w:tcPr>
            <w:tcW w:w="1132"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w:t>
            </w:r>
          </w:p>
        </w:tc>
        <w:tc>
          <w:tcPr>
            <w:tcW w:w="99"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141" w:type="dxa"/>
            <w:tcBorders/>
            <w:shd w:fill="CCEEFF" w:val="clear"/>
            <w:vAlign w:val="bottom"/>
          </w:tcPr>
          <w:p>
            <w:pPr>
              <w:pStyle w:val="TableContents"/>
              <w:spacing w:before="0" w:after="283"/>
              <w:jc w:val="left"/>
              <w:rPr/>
            </w:pPr>
            <w:r>
              <w:rPr/>
              <w:t> </w:t>
            </w:r>
          </w:p>
        </w:tc>
        <w:tc>
          <w:tcPr>
            <w:tcW w:w="1045"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11,400</w:t>
            </w:r>
          </w:p>
        </w:tc>
        <w:tc>
          <w:tcPr>
            <w:tcW w:w="123" w:type="dxa"/>
            <w:tcBorders/>
            <w:shd w:fill="CCEEFF" w:val="clear"/>
            <w:vAlign w:val="bottom"/>
          </w:tcPr>
          <w:p>
            <w:pPr>
              <w:pStyle w:val="TableContents"/>
              <w:spacing w:before="0" w:after="283"/>
              <w:jc w:val="left"/>
              <w:rPr/>
            </w:pPr>
            <w:r>
              <w:rPr/>
              <w:t> </w:t>
            </w:r>
          </w:p>
        </w:tc>
      </w:tr>
      <w:tr>
        <w:trPr/>
        <w:tc>
          <w:tcPr>
            <w:tcW w:w="2070" w:type="dxa"/>
            <w:tcBorders/>
            <w:shd w:fill="FFFFFF" w:val="clear"/>
            <w:vAlign w:val="bottom"/>
          </w:tcPr>
          <w:p>
            <w:pPr>
              <w:pStyle w:val="TableContents"/>
              <w:spacing w:before="0" w:after="0"/>
              <w:ind w:left="0" w:right="0" w:hanging="0"/>
              <w:jc w:val="left"/>
              <w:rPr/>
            </w:pPr>
            <w:r>
              <w:rPr/>
              <w:t> </w:t>
            </w:r>
            <w:r>
              <w:rPr>
                <w:rFonts w:ascii="helvetica" w:hAnsi="helvetica"/>
                <w:sz w:val="20"/>
              </w:rPr>
              <w:t>Stock-based compensation</w:t>
            </w:r>
          </w:p>
        </w:tc>
        <w:tc>
          <w:tcPr>
            <w:tcW w:w="81" w:type="dxa"/>
            <w:tcBorders/>
            <w:shd w:fill="FFFFFF" w:val="clear"/>
            <w:vAlign w:val="bottom"/>
          </w:tcPr>
          <w:p>
            <w:pPr>
              <w:pStyle w:val="TableContents"/>
              <w:spacing w:before="0" w:after="283"/>
              <w:rPr/>
            </w:pPr>
            <w:r>
              <w:rPr/>
              <w:t> </w:t>
            </w:r>
          </w:p>
        </w:tc>
        <w:tc>
          <w:tcPr>
            <w:tcW w:w="135" w:type="dxa"/>
            <w:tcBorders/>
            <w:shd w:fill="FFFFFF" w:val="clear"/>
            <w:vAlign w:val="bottom"/>
          </w:tcPr>
          <w:p>
            <w:pPr>
              <w:pStyle w:val="TableContents"/>
              <w:spacing w:before="0" w:after="283"/>
              <w:jc w:val="left"/>
              <w:rPr/>
            </w:pPr>
            <w:r>
              <w:rPr/>
              <w:t> </w:t>
            </w:r>
          </w:p>
        </w:tc>
        <w:tc>
          <w:tcPr>
            <w:tcW w:w="586"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w:t>
            </w:r>
          </w:p>
        </w:tc>
        <w:tc>
          <w:tcPr>
            <w:tcW w:w="92" w:type="dxa"/>
            <w:tcBorders/>
            <w:shd w:fill="FFFFFF" w:val="clear"/>
            <w:vAlign w:val="bottom"/>
          </w:tcPr>
          <w:p>
            <w:pPr>
              <w:pStyle w:val="TableContents"/>
              <w:spacing w:before="0" w:after="283"/>
              <w:jc w:val="left"/>
              <w:rPr/>
            </w:pPr>
            <w:r>
              <w:rPr/>
              <w:t> </w:t>
            </w:r>
          </w:p>
        </w:tc>
        <w:tc>
          <w:tcPr>
            <w:tcW w:w="92" w:type="dxa"/>
            <w:tcBorders/>
            <w:shd w:fill="FFFFFF" w:val="clear"/>
            <w:vAlign w:val="bottom"/>
          </w:tcPr>
          <w:p>
            <w:pPr>
              <w:pStyle w:val="TableContents"/>
              <w:spacing w:before="0" w:after="283"/>
              <w:rPr/>
            </w:pPr>
            <w:r>
              <w:rPr/>
              <w:t> </w:t>
            </w:r>
          </w:p>
        </w:tc>
        <w:tc>
          <w:tcPr>
            <w:tcW w:w="292" w:type="dxa"/>
            <w:tcBorders/>
            <w:shd w:fill="FFFFFF" w:val="clear"/>
            <w:vAlign w:val="bottom"/>
          </w:tcPr>
          <w:p>
            <w:pPr>
              <w:pStyle w:val="TableContents"/>
              <w:spacing w:before="0" w:after="283"/>
              <w:jc w:val="left"/>
              <w:rPr/>
            </w:pPr>
            <w:r>
              <w:rPr/>
              <w:t> </w:t>
            </w:r>
          </w:p>
        </w:tc>
        <w:tc>
          <w:tcPr>
            <w:tcW w:w="334"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w:t>
            </w:r>
          </w:p>
        </w:tc>
        <w:tc>
          <w:tcPr>
            <w:tcW w:w="81"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81" w:type="dxa"/>
            <w:tcBorders/>
            <w:shd w:fill="FFFFFF" w:val="clear"/>
            <w:vAlign w:val="bottom"/>
          </w:tcPr>
          <w:p>
            <w:pPr>
              <w:pStyle w:val="TableContents"/>
              <w:spacing w:before="0" w:after="283"/>
              <w:jc w:val="left"/>
              <w:rPr/>
            </w:pPr>
            <w:r>
              <w:rPr/>
              <w:t> </w:t>
            </w:r>
          </w:p>
        </w:tc>
        <w:tc>
          <w:tcPr>
            <w:tcW w:w="982"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w:t>
            </w:r>
          </w:p>
        </w:tc>
        <w:tc>
          <w:tcPr>
            <w:tcW w:w="99"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139" w:type="dxa"/>
            <w:tcBorders/>
            <w:shd w:fill="FFFFFF" w:val="clear"/>
            <w:vAlign w:val="bottom"/>
          </w:tcPr>
          <w:p>
            <w:pPr>
              <w:pStyle w:val="TableContents"/>
              <w:spacing w:before="0" w:after="283"/>
              <w:jc w:val="left"/>
              <w:rPr/>
            </w:pPr>
            <w:r>
              <w:rPr/>
              <w:t> </w:t>
            </w:r>
          </w:p>
        </w:tc>
        <w:tc>
          <w:tcPr>
            <w:tcW w:w="641"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w:t>
            </w:r>
          </w:p>
        </w:tc>
        <w:tc>
          <w:tcPr>
            <w:tcW w:w="99"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283"/>
              <w:jc w:val="left"/>
              <w:rPr/>
            </w:pPr>
            <w:r>
              <w:rPr/>
              <w:t> </w:t>
            </w:r>
          </w:p>
        </w:tc>
        <w:tc>
          <w:tcPr>
            <w:tcW w:w="1077"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177,421</w:t>
            </w:r>
          </w:p>
        </w:tc>
        <w:tc>
          <w:tcPr>
            <w:tcW w:w="99"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283"/>
              <w:jc w:val="left"/>
              <w:rPr/>
            </w:pPr>
            <w:r>
              <w:rPr/>
              <w:t> </w:t>
            </w:r>
          </w:p>
        </w:tc>
        <w:tc>
          <w:tcPr>
            <w:tcW w:w="1132"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w:t>
            </w:r>
          </w:p>
        </w:tc>
        <w:tc>
          <w:tcPr>
            <w:tcW w:w="99"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141" w:type="dxa"/>
            <w:tcBorders/>
            <w:shd w:fill="FFFFFF" w:val="clear"/>
            <w:vAlign w:val="bottom"/>
          </w:tcPr>
          <w:p>
            <w:pPr>
              <w:pStyle w:val="TableContents"/>
              <w:spacing w:before="0" w:after="283"/>
              <w:jc w:val="left"/>
              <w:rPr/>
            </w:pPr>
            <w:r>
              <w:rPr/>
              <w:t> </w:t>
            </w:r>
          </w:p>
        </w:tc>
        <w:tc>
          <w:tcPr>
            <w:tcW w:w="1045"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177,421</w:t>
            </w:r>
          </w:p>
        </w:tc>
        <w:tc>
          <w:tcPr>
            <w:tcW w:w="123" w:type="dxa"/>
            <w:tcBorders/>
            <w:shd w:fill="FFFFFF" w:val="clear"/>
            <w:vAlign w:val="bottom"/>
          </w:tcPr>
          <w:p>
            <w:pPr>
              <w:pStyle w:val="TableContents"/>
              <w:spacing w:before="0" w:after="283"/>
              <w:jc w:val="left"/>
              <w:rPr/>
            </w:pPr>
            <w:r>
              <w:rPr/>
              <w:t> </w:t>
            </w:r>
          </w:p>
        </w:tc>
      </w:tr>
      <w:tr>
        <w:trPr/>
        <w:tc>
          <w:tcPr>
            <w:tcW w:w="2070" w:type="dxa"/>
            <w:tcBorders/>
            <w:shd w:fill="CCEEFF" w:val="clear"/>
            <w:vAlign w:val="bottom"/>
          </w:tcPr>
          <w:p>
            <w:pPr>
              <w:pStyle w:val="TableContents"/>
              <w:spacing w:before="0" w:after="0"/>
              <w:ind w:left="0" w:right="0" w:hanging="0"/>
              <w:jc w:val="left"/>
              <w:rPr/>
            </w:pPr>
            <w:r>
              <w:rPr/>
              <w:t> </w:t>
            </w:r>
            <w:r>
              <w:rPr>
                <w:rFonts w:ascii="helvetica" w:hAnsi="helvetica"/>
                <w:sz w:val="20"/>
              </w:rPr>
              <w:t>Net loss</w:t>
            </w:r>
          </w:p>
        </w:tc>
        <w:tc>
          <w:tcPr>
            <w:tcW w:w="81" w:type="dxa"/>
            <w:tcBorders/>
            <w:shd w:fill="CCEEFF" w:val="clear"/>
            <w:vAlign w:val="bottom"/>
          </w:tcPr>
          <w:p>
            <w:pPr>
              <w:pStyle w:val="TableContents"/>
              <w:spacing w:before="0" w:after="283"/>
              <w:rPr/>
            </w:pPr>
            <w:r>
              <w:rPr/>
              <w:t> </w:t>
            </w:r>
          </w:p>
        </w:tc>
        <w:tc>
          <w:tcPr>
            <w:tcW w:w="13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586" w:type="dxa"/>
            <w:tcBorders>
              <w:bottom w:val="single" w:sz="12" w:space="0" w:color="000000"/>
            </w:tcBorders>
            <w:shd w:fill="CCEE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w:t>
            </w:r>
          </w:p>
        </w:tc>
        <w:tc>
          <w:tcPr>
            <w:tcW w:w="92" w:type="dxa"/>
            <w:tcBorders/>
            <w:shd w:fill="CCEEFF" w:val="clear"/>
            <w:vAlign w:val="bottom"/>
          </w:tcPr>
          <w:p>
            <w:pPr>
              <w:pStyle w:val="TableContents"/>
              <w:spacing w:before="0" w:after="283"/>
              <w:jc w:val="left"/>
              <w:rPr/>
            </w:pPr>
            <w:r>
              <w:rPr/>
              <w:t> </w:t>
            </w:r>
          </w:p>
        </w:tc>
        <w:tc>
          <w:tcPr>
            <w:tcW w:w="92" w:type="dxa"/>
            <w:tcBorders/>
            <w:shd w:fill="CCEEFF" w:val="clear"/>
            <w:vAlign w:val="bottom"/>
          </w:tcPr>
          <w:p>
            <w:pPr>
              <w:pStyle w:val="TableContents"/>
              <w:spacing w:before="0" w:after="283"/>
              <w:rPr/>
            </w:pPr>
            <w:r>
              <w:rPr/>
              <w:t> </w:t>
            </w:r>
          </w:p>
        </w:tc>
        <w:tc>
          <w:tcPr>
            <w:tcW w:w="292"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334" w:type="dxa"/>
            <w:tcBorders>
              <w:bottom w:val="single" w:sz="12" w:space="0" w:color="000000"/>
            </w:tcBorders>
            <w:shd w:fill="CCEE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w:t>
            </w:r>
          </w:p>
        </w:tc>
        <w:tc>
          <w:tcPr>
            <w:tcW w:w="81"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81"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982" w:type="dxa"/>
            <w:tcBorders>
              <w:bottom w:val="single" w:sz="12" w:space="0" w:color="000000"/>
            </w:tcBorders>
            <w:shd w:fill="CCEE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w:t>
            </w:r>
          </w:p>
        </w:tc>
        <w:tc>
          <w:tcPr>
            <w:tcW w:w="99"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139"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641" w:type="dxa"/>
            <w:tcBorders>
              <w:bottom w:val="single" w:sz="12" w:space="0" w:color="000000"/>
            </w:tcBorders>
            <w:shd w:fill="CCEE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w:t>
            </w:r>
          </w:p>
        </w:tc>
        <w:tc>
          <w:tcPr>
            <w:tcW w:w="99"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140"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77" w:type="dxa"/>
            <w:tcBorders>
              <w:bottom w:val="single" w:sz="12" w:space="0" w:color="000000"/>
            </w:tcBorders>
            <w:shd w:fill="CCEE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w:t>
            </w:r>
          </w:p>
        </w:tc>
        <w:tc>
          <w:tcPr>
            <w:tcW w:w="99"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140"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132" w:type="dxa"/>
            <w:tcBorders>
              <w:bottom w:val="single" w:sz="12" w:space="0" w:color="000000"/>
            </w:tcBorders>
            <w:shd w:fill="CCEE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(953,936</w:t>
            </w:r>
          </w:p>
        </w:tc>
        <w:tc>
          <w:tcPr>
            <w:tcW w:w="99" w:type="dxa"/>
            <w:tcBorders/>
            <w:shd w:fill="CCEEFF" w:val="clear"/>
            <w:vAlign w:val="bottom"/>
          </w:tcPr>
          <w:p>
            <w:pPr>
              <w:pStyle w:val="TableContents"/>
              <w:spacing w:before="0" w:after="283"/>
              <w:jc w:val="left"/>
              <w:rPr>
                <w:rFonts w:ascii="helvetica" w:hAnsi="helvetica"/>
                <w:sz w:val="20"/>
              </w:rPr>
            </w:pPr>
            <w:r>
              <w:rPr>
                <w:rFonts w:ascii="helvetica" w:hAnsi="helvetica"/>
                <w:sz w:val="20"/>
              </w:rPr>
              <w:t>)</w:t>
            </w:r>
          </w:p>
        </w:tc>
        <w:tc>
          <w:tcPr>
            <w:tcW w:w="81" w:type="dxa"/>
            <w:tcBorders/>
            <w:shd w:fill="CCEEFF" w:val="clear"/>
            <w:vAlign w:val="bottom"/>
          </w:tcPr>
          <w:p>
            <w:pPr>
              <w:pStyle w:val="TableContents"/>
              <w:spacing w:before="0" w:after="283"/>
              <w:rPr/>
            </w:pPr>
            <w:r>
              <w:rPr/>
              <w:t> </w:t>
            </w:r>
          </w:p>
        </w:tc>
        <w:tc>
          <w:tcPr>
            <w:tcW w:w="141"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45" w:type="dxa"/>
            <w:tcBorders>
              <w:bottom w:val="single" w:sz="12" w:space="0" w:color="000000"/>
            </w:tcBorders>
            <w:shd w:fill="CCEE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(953,936</w:t>
            </w:r>
          </w:p>
        </w:tc>
        <w:tc>
          <w:tcPr>
            <w:tcW w:w="123" w:type="dxa"/>
            <w:tcBorders/>
            <w:shd w:fill="CCEEFF" w:val="clear"/>
            <w:vAlign w:val="bottom"/>
          </w:tcPr>
          <w:p>
            <w:pPr>
              <w:pStyle w:val="TableContents"/>
              <w:spacing w:before="0" w:after="283"/>
              <w:jc w:val="left"/>
              <w:rPr>
                <w:rFonts w:ascii="helvetica" w:hAnsi="helvetica"/>
                <w:sz w:val="20"/>
              </w:rPr>
            </w:pPr>
            <w:r>
              <w:rPr>
                <w:rFonts w:ascii="helvetica" w:hAnsi="helvetica"/>
                <w:sz w:val="20"/>
              </w:rPr>
              <w:t>)</w:t>
            </w:r>
          </w:p>
        </w:tc>
      </w:tr>
      <w:tr>
        <w:trPr/>
        <w:tc>
          <w:tcPr>
            <w:tcW w:w="2070" w:type="dxa"/>
            <w:tcBorders/>
            <w:shd w:fill="FFFFFF" w:val="clear"/>
            <w:vAlign w:val="bottom"/>
          </w:tcPr>
          <w:p>
            <w:pPr>
              <w:pStyle w:val="TableContents"/>
              <w:spacing w:before="0" w:after="0"/>
              <w:ind w:left="0" w:right="0" w:hanging="0"/>
              <w:jc w:val="left"/>
              <w:rPr/>
            </w:pPr>
            <w:r>
              <w:rPr/>
              <w:t> </w:t>
            </w:r>
            <w:r>
              <w:rPr>
                <w:rFonts w:ascii="helvetica" w:hAnsi="helvetica"/>
                <w:sz w:val="20"/>
              </w:rPr>
              <w:t>Balance at December 31, 2011</w:t>
            </w:r>
          </w:p>
        </w:tc>
        <w:tc>
          <w:tcPr>
            <w:tcW w:w="81" w:type="dxa"/>
            <w:tcBorders/>
            <w:shd w:fill="FFFFFF" w:val="clear"/>
            <w:vAlign w:val="bottom"/>
          </w:tcPr>
          <w:p>
            <w:pPr>
              <w:pStyle w:val="TableContents"/>
              <w:spacing w:before="0" w:after="283"/>
              <w:rPr/>
            </w:pPr>
            <w:r>
              <w:rPr/>
              <w:t> </w:t>
            </w:r>
          </w:p>
        </w:tc>
        <w:tc>
          <w:tcPr>
            <w:tcW w:w="135" w:type="dxa"/>
            <w:tcBorders>
              <w:bottom w:val="double" w:sz="8" w:space="0" w:color="000000"/>
            </w:tcBorders>
            <w:shd w:fill="FFFFFF" w:val="clear"/>
            <w:tcMar>
              <w:bottom w:w="28" w:type="dxa"/>
            </w:tcMar>
            <w:vAlign w:val="bottom"/>
          </w:tcPr>
          <w:p>
            <w:pPr>
              <w:pStyle w:val="TableContents"/>
              <w:spacing w:before="0" w:after="283"/>
              <w:jc w:val="left"/>
              <w:rPr/>
            </w:pPr>
            <w:r>
              <w:rPr/>
              <w:t> </w:t>
            </w:r>
          </w:p>
        </w:tc>
        <w:tc>
          <w:tcPr>
            <w:tcW w:w="586" w:type="dxa"/>
            <w:tcBorders>
              <w:bottom w:val="double" w:sz="8" w:space="0" w:color="000000"/>
            </w:tcBorders>
            <w:shd w:fill="FFFF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10</w:t>
            </w:r>
          </w:p>
        </w:tc>
        <w:tc>
          <w:tcPr>
            <w:tcW w:w="92" w:type="dxa"/>
            <w:tcBorders/>
            <w:shd w:fill="FFFFFF" w:val="clear"/>
            <w:vAlign w:val="bottom"/>
          </w:tcPr>
          <w:p>
            <w:pPr>
              <w:pStyle w:val="TableContents"/>
              <w:spacing w:before="0" w:after="283"/>
              <w:jc w:val="left"/>
              <w:rPr/>
            </w:pPr>
            <w:r>
              <w:rPr/>
              <w:t> </w:t>
            </w:r>
          </w:p>
        </w:tc>
        <w:tc>
          <w:tcPr>
            <w:tcW w:w="92" w:type="dxa"/>
            <w:tcBorders/>
            <w:shd w:fill="FFFFFF" w:val="clear"/>
            <w:vAlign w:val="bottom"/>
          </w:tcPr>
          <w:p>
            <w:pPr>
              <w:pStyle w:val="TableContents"/>
              <w:spacing w:before="0" w:after="283"/>
              <w:rPr/>
            </w:pPr>
            <w:r>
              <w:rPr/>
              <w:t> </w:t>
            </w:r>
          </w:p>
        </w:tc>
        <w:tc>
          <w:tcPr>
            <w:tcW w:w="292" w:type="dxa"/>
            <w:tcBorders>
              <w:bottom w:val="double" w:sz="8" w:space="0" w:color="000000"/>
            </w:tcBorders>
            <w:shd w:fill="FFFFFF" w:val="clear"/>
            <w:tcMar>
              <w:bottom w:w="28" w:type="dxa"/>
            </w:tcMar>
            <w:vAlign w:val="bottom"/>
          </w:tcPr>
          <w:p>
            <w:pPr>
              <w:pStyle w:val="TableContents"/>
              <w:spacing w:before="0" w:after="283"/>
              <w:jc w:val="left"/>
              <w:rPr>
                <w:rFonts w:ascii="helvetica" w:hAnsi="helvetica"/>
                <w:sz w:val="20"/>
              </w:rPr>
            </w:pPr>
            <w:r>
              <w:rPr>
                <w:rFonts w:ascii="helvetica" w:hAnsi="helvetica"/>
                <w:sz w:val="20"/>
              </w:rPr>
              <w:t>$</w:t>
            </w:r>
          </w:p>
        </w:tc>
        <w:tc>
          <w:tcPr>
            <w:tcW w:w="334" w:type="dxa"/>
            <w:tcBorders>
              <w:bottom w:val="double" w:sz="8" w:space="0" w:color="000000"/>
            </w:tcBorders>
            <w:shd w:fill="FFFF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w:t>
            </w:r>
          </w:p>
        </w:tc>
        <w:tc>
          <w:tcPr>
            <w:tcW w:w="81"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81" w:type="dxa"/>
            <w:tcBorders>
              <w:bottom w:val="double" w:sz="8" w:space="0" w:color="000000"/>
            </w:tcBorders>
            <w:shd w:fill="FFFFFF" w:val="clear"/>
            <w:tcMar>
              <w:bottom w:w="28" w:type="dxa"/>
            </w:tcMar>
            <w:vAlign w:val="bottom"/>
          </w:tcPr>
          <w:p>
            <w:pPr>
              <w:pStyle w:val="TableContents"/>
              <w:spacing w:before="0" w:after="283"/>
              <w:jc w:val="left"/>
              <w:rPr/>
            </w:pPr>
            <w:r>
              <w:rPr/>
              <w:t> </w:t>
            </w:r>
          </w:p>
        </w:tc>
        <w:tc>
          <w:tcPr>
            <w:tcW w:w="982" w:type="dxa"/>
            <w:tcBorders>
              <w:bottom w:val="double" w:sz="8" w:space="0" w:color="000000"/>
            </w:tcBorders>
            <w:shd w:fill="FFFF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1,987,601</w:t>
            </w:r>
          </w:p>
        </w:tc>
        <w:tc>
          <w:tcPr>
            <w:tcW w:w="99"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139" w:type="dxa"/>
            <w:tcBorders>
              <w:bottom w:val="double" w:sz="8" w:space="0" w:color="000000"/>
            </w:tcBorders>
            <w:shd w:fill="FFFFFF" w:val="clear"/>
            <w:tcMar>
              <w:bottom w:w="28" w:type="dxa"/>
            </w:tcMar>
            <w:vAlign w:val="bottom"/>
          </w:tcPr>
          <w:p>
            <w:pPr>
              <w:pStyle w:val="TableContents"/>
              <w:spacing w:before="0" w:after="283"/>
              <w:jc w:val="left"/>
              <w:rPr>
                <w:rFonts w:ascii="helvetica" w:hAnsi="helvetica"/>
                <w:sz w:val="20"/>
              </w:rPr>
            </w:pPr>
            <w:r>
              <w:rPr>
                <w:rFonts w:ascii="helvetica" w:hAnsi="helvetica"/>
                <w:sz w:val="20"/>
              </w:rPr>
              <w:t>$</w:t>
            </w:r>
          </w:p>
        </w:tc>
        <w:tc>
          <w:tcPr>
            <w:tcW w:w="641" w:type="dxa"/>
            <w:tcBorders>
              <w:bottom w:val="double" w:sz="8" w:space="0" w:color="000000"/>
            </w:tcBorders>
            <w:shd w:fill="FFFF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1,988</w:t>
            </w:r>
          </w:p>
        </w:tc>
        <w:tc>
          <w:tcPr>
            <w:tcW w:w="99"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140" w:type="dxa"/>
            <w:tcBorders>
              <w:bottom w:val="double" w:sz="8" w:space="0" w:color="000000"/>
            </w:tcBorders>
            <w:shd w:fill="FFFFFF" w:val="clear"/>
            <w:tcMar>
              <w:bottom w:w="28" w:type="dxa"/>
            </w:tcMar>
            <w:vAlign w:val="bottom"/>
          </w:tcPr>
          <w:p>
            <w:pPr>
              <w:pStyle w:val="TableContents"/>
              <w:spacing w:before="0" w:after="283"/>
              <w:jc w:val="left"/>
              <w:rPr>
                <w:rFonts w:ascii="helvetica" w:hAnsi="helvetica"/>
                <w:sz w:val="20"/>
              </w:rPr>
            </w:pPr>
            <w:r>
              <w:rPr>
                <w:rFonts w:ascii="helvetica" w:hAnsi="helvetica"/>
                <w:sz w:val="20"/>
              </w:rPr>
              <w:t>$</w:t>
            </w:r>
          </w:p>
        </w:tc>
        <w:tc>
          <w:tcPr>
            <w:tcW w:w="1077" w:type="dxa"/>
            <w:tcBorders>
              <w:bottom w:val="double" w:sz="8" w:space="0" w:color="000000"/>
            </w:tcBorders>
            <w:shd w:fill="FFFF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16,818,740</w:t>
            </w:r>
          </w:p>
        </w:tc>
        <w:tc>
          <w:tcPr>
            <w:tcW w:w="99"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140" w:type="dxa"/>
            <w:tcBorders>
              <w:bottom w:val="double" w:sz="8" w:space="0" w:color="000000"/>
            </w:tcBorders>
            <w:shd w:fill="FFFFFF" w:val="clear"/>
            <w:tcMar>
              <w:bottom w:w="28" w:type="dxa"/>
            </w:tcMar>
            <w:vAlign w:val="bottom"/>
          </w:tcPr>
          <w:p>
            <w:pPr>
              <w:pStyle w:val="TableContents"/>
              <w:spacing w:before="0" w:after="283"/>
              <w:jc w:val="left"/>
              <w:rPr>
                <w:rFonts w:ascii="helvetica" w:hAnsi="helvetica"/>
                <w:sz w:val="20"/>
              </w:rPr>
            </w:pPr>
            <w:r>
              <w:rPr>
                <w:rFonts w:ascii="helvetica" w:hAnsi="helvetica"/>
                <w:sz w:val="20"/>
              </w:rPr>
              <w:t>$</w:t>
            </w:r>
          </w:p>
        </w:tc>
        <w:tc>
          <w:tcPr>
            <w:tcW w:w="1132" w:type="dxa"/>
            <w:tcBorders>
              <w:bottom w:val="double" w:sz="8" w:space="0" w:color="000000"/>
            </w:tcBorders>
            <w:shd w:fill="FFFF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(18,520,733</w:t>
            </w:r>
          </w:p>
        </w:tc>
        <w:tc>
          <w:tcPr>
            <w:tcW w:w="99" w:type="dxa"/>
            <w:tcBorders/>
            <w:shd w:fill="FFFFFF" w:val="clear"/>
            <w:vAlign w:val="bottom"/>
          </w:tcPr>
          <w:p>
            <w:pPr>
              <w:pStyle w:val="TableContents"/>
              <w:spacing w:before="0" w:after="283"/>
              <w:jc w:val="left"/>
              <w:rPr>
                <w:rFonts w:ascii="helvetica" w:hAnsi="helvetica"/>
                <w:sz w:val="20"/>
              </w:rPr>
            </w:pPr>
            <w:r>
              <w:rPr>
                <w:rFonts w:ascii="helvetica" w:hAnsi="helvetica"/>
                <w:sz w:val="20"/>
              </w:rPr>
              <w:t>)</w:t>
            </w:r>
          </w:p>
        </w:tc>
        <w:tc>
          <w:tcPr>
            <w:tcW w:w="81" w:type="dxa"/>
            <w:tcBorders/>
            <w:shd w:fill="FFFFFF" w:val="clear"/>
            <w:vAlign w:val="bottom"/>
          </w:tcPr>
          <w:p>
            <w:pPr>
              <w:pStyle w:val="TableContents"/>
              <w:spacing w:before="0" w:after="283"/>
              <w:rPr/>
            </w:pPr>
            <w:r>
              <w:rPr/>
              <w:t> </w:t>
            </w:r>
          </w:p>
        </w:tc>
        <w:tc>
          <w:tcPr>
            <w:tcW w:w="141" w:type="dxa"/>
            <w:tcBorders>
              <w:bottom w:val="double" w:sz="8" w:space="0" w:color="000000"/>
            </w:tcBorders>
            <w:shd w:fill="FFFFFF" w:val="clear"/>
            <w:tcMar>
              <w:bottom w:w="28" w:type="dxa"/>
            </w:tcMar>
            <w:vAlign w:val="bottom"/>
          </w:tcPr>
          <w:p>
            <w:pPr>
              <w:pStyle w:val="TableContents"/>
              <w:spacing w:before="0" w:after="283"/>
              <w:jc w:val="left"/>
              <w:rPr>
                <w:rFonts w:ascii="helvetica" w:hAnsi="helvetica"/>
                <w:sz w:val="20"/>
              </w:rPr>
            </w:pPr>
            <w:r>
              <w:rPr>
                <w:rFonts w:ascii="helvetica" w:hAnsi="helvetica"/>
                <w:sz w:val="20"/>
              </w:rPr>
              <w:t>$</w:t>
            </w:r>
          </w:p>
        </w:tc>
        <w:tc>
          <w:tcPr>
            <w:tcW w:w="1045" w:type="dxa"/>
            <w:tcBorders>
              <w:bottom w:val="double" w:sz="8" w:space="0" w:color="000000"/>
            </w:tcBorders>
            <w:shd w:fill="FFFF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(1,700,005</w:t>
            </w:r>
          </w:p>
        </w:tc>
        <w:tc>
          <w:tcPr>
            <w:tcW w:w="123" w:type="dxa"/>
            <w:tcBorders/>
            <w:shd w:fill="FFFFFF" w:val="clear"/>
            <w:vAlign w:val="bottom"/>
          </w:tcPr>
          <w:p>
            <w:pPr>
              <w:pStyle w:val="TableContents"/>
              <w:spacing w:before="0" w:after="283"/>
              <w:jc w:val="left"/>
              <w:rPr>
                <w:rFonts w:ascii="helvetica" w:hAnsi="helvetica"/>
                <w:sz w:val="20"/>
              </w:rPr>
            </w:pPr>
            <w:r>
              <w:rPr>
                <w:rFonts w:ascii="helvetica" w:hAnsi="helvetica"/>
                <w:sz w:val="20"/>
              </w:rPr>
              <w:t>)</w:t>
            </w:r>
          </w:p>
        </w:tc>
      </w:tr>
    </w:tbl>
    <w:p>
      <w:pPr>
        <w:pStyle w:val="TextBody"/>
        <w:spacing w:before="0" w:after="0"/>
        <w:jc w:val="left"/>
        <w:rPr/>
      </w:pPr>
      <w:r>
        <w:rPr/>
        <w:t> </w:t>
      </w:r>
    </w:p>
    <w:p>
      <w:pPr>
        <w:pStyle w:val="TextBody"/>
        <w:spacing w:before="0" w:after="0"/>
        <w:ind w:left="0" w:right="0" w:hanging="0"/>
        <w:jc w:val="center"/>
        <w:rPr>
          <w:rFonts w:ascii="helvetica" w:hAnsi="helvetica"/>
          <w:sz w:val="20"/>
        </w:rPr>
      </w:pPr>
      <w:r>
        <w:rPr>
          <w:rFonts w:ascii="helvetica" w:hAnsi="helvetica"/>
          <w:sz w:val="20"/>
        </w:rPr>
        <w:t>The accompanying notes are an integral part of these consolidated financial statements</w:t>
      </w:r>
    </w:p>
    <w:p>
      <w:pPr>
        <w:pStyle w:val="TextBody"/>
        <w:spacing w:before="0" w:after="0"/>
        <w:ind w:left="0" w:right="0" w:hanging="0"/>
        <w:jc w:val="center"/>
        <w:rPr/>
      </w:pPr>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r>
      <w:bookmarkStart w:id="1103" w:name="PGBRK94"/>
      <w:bookmarkStart w:id="1104" w:name="PGBRK94"/>
      <w:bookmarkEnd w:id="110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105" w:name="FTR94"/>
      <w:bookmarkStart w:id="1106" w:name="FTR94"/>
      <w:bookmarkEnd w:id="110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1107" w:name="GLFTR93"/>
      <w:bookmarkEnd w:id="1107"/>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helvetica" w:hAnsi="helvetica"/>
          <w:sz w:val="20"/>
        </w:rPr>
      </w:pPr>
      <w:bookmarkStart w:id="1108" w:name="PN93"/>
      <w:bookmarkEnd w:id="1108"/>
      <w:r>
        <w:rPr>
          <w:rFonts w:ascii="helvetica" w:hAnsi="helvetica"/>
          <w:sz w:val="20"/>
        </w:rPr>
        <w:t>F-23</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109" w:name="HDR93"/>
      <w:bookmarkStart w:id="1110" w:name="HDR93"/>
      <w:bookmarkEnd w:id="111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1111" w:name="GLHDR93"/>
      <w:bookmarkEnd w:id="1111"/>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tbl>
      <w:tblPr>
        <w:tblW w:w="5000" w:type="pct"/>
        <w:jc w:val="left"/>
        <w:tblInd w:w="0" w:type="dxa"/>
        <w:tblCellMar>
          <w:top w:w="0" w:type="dxa"/>
          <w:left w:w="0" w:type="dxa"/>
          <w:bottom w:w="0" w:type="dxa"/>
          <w:right w:w="0" w:type="dxa"/>
        </w:tblCellMar>
      </w:tblPr>
      <w:tblGrid>
        <w:gridCol w:w="10205"/>
      </w:tblGrid>
      <w:tr>
        <w:trPr/>
        <w:tc>
          <w:tcPr>
            <w:tcW w:w="10205" w:type="dxa"/>
            <w:tcBorders/>
            <w:shd w:fill="auto" w:val="clear"/>
            <w:vAlign w:val="bottom"/>
          </w:tcPr>
          <w:p>
            <w:pPr>
              <w:pStyle w:val="TableContents"/>
              <w:spacing w:before="0" w:after="0"/>
              <w:ind w:left="0" w:right="0" w:hanging="0"/>
              <w:jc w:val="center"/>
              <w:rPr>
                <w:rFonts w:ascii="helvetica" w:hAnsi="helvetica"/>
                <w:b/>
                <w:sz w:val="20"/>
              </w:rPr>
            </w:pPr>
            <w:r>
              <w:rPr>
                <w:rFonts w:ascii="helvetica" w:hAnsi="helvetica"/>
                <w:b/>
                <w:sz w:val="20"/>
              </w:rPr>
              <w:t>IMPRIMIS PHARMACEUTICALS, INC.</w:t>
            </w:r>
          </w:p>
        </w:tc>
      </w:tr>
      <w:tr>
        <w:trPr/>
        <w:tc>
          <w:tcPr>
            <w:tcW w:w="10205" w:type="dxa"/>
            <w:tcBorders/>
            <w:shd w:fill="auto" w:val="clear"/>
            <w:vAlign w:val="bottom"/>
          </w:tcPr>
          <w:p>
            <w:pPr>
              <w:pStyle w:val="TableContents"/>
              <w:spacing w:before="0" w:after="0"/>
              <w:ind w:left="0" w:right="0" w:hanging="0"/>
              <w:jc w:val="center"/>
              <w:rPr>
                <w:rFonts w:ascii="helvetica" w:hAnsi="helvetica"/>
                <w:b/>
                <w:sz w:val="20"/>
              </w:rPr>
            </w:pPr>
            <w:r>
              <w:rPr>
                <w:rFonts w:ascii="helvetica" w:hAnsi="helvetica"/>
                <w:b/>
                <w:sz w:val="20"/>
              </w:rPr>
              <w:t>(A Development Stage Company)</w:t>
            </w:r>
          </w:p>
        </w:tc>
      </w:tr>
      <w:tr>
        <w:trPr/>
        <w:tc>
          <w:tcPr>
            <w:tcW w:w="10205" w:type="dxa"/>
            <w:tcBorders/>
            <w:shd w:fill="auto" w:val="clear"/>
            <w:vAlign w:val="bottom"/>
          </w:tcPr>
          <w:p>
            <w:pPr>
              <w:pStyle w:val="TableContents"/>
              <w:spacing w:before="0" w:after="0"/>
              <w:ind w:left="0" w:right="0" w:hanging="0"/>
              <w:jc w:val="center"/>
              <w:rPr/>
            </w:pPr>
            <w:r>
              <w:rPr/>
              <w:t> </w:t>
            </w:r>
            <w:r>
              <w:rPr>
                <w:rFonts w:ascii="helvetica" w:hAnsi="helvetica"/>
                <w:b/>
                <w:sz w:val="20"/>
              </w:rPr>
              <w:t>CONSOLIDATED STATEMENTS OF CASH FLOWS</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990"/>
        <w:gridCol w:w="104"/>
        <w:gridCol w:w="125"/>
        <w:gridCol w:w="1016"/>
        <w:gridCol w:w="110"/>
        <w:gridCol w:w="104"/>
        <w:gridCol w:w="125"/>
        <w:gridCol w:w="1069"/>
        <w:gridCol w:w="110"/>
        <w:gridCol w:w="103"/>
        <w:gridCol w:w="125"/>
        <w:gridCol w:w="1103"/>
        <w:gridCol w:w="121"/>
      </w:tblGrid>
      <w:tr>
        <w:trPr/>
        <w:tc>
          <w:tcPr>
            <w:tcW w:w="5990" w:type="dxa"/>
            <w:tcBorders/>
            <w:shd w:fill="auto" w:val="clear"/>
            <w:vAlign w:val="bottom"/>
          </w:tcPr>
          <w:p>
            <w:pPr>
              <w:pStyle w:val="TableContents"/>
              <w:spacing w:before="0" w:after="283"/>
              <w:rPr/>
            </w:pPr>
            <w:r>
              <w:rPr/>
              <w:t xml:space="preserve">  </w:t>
            </w:r>
          </w:p>
        </w:tc>
        <w:tc>
          <w:tcPr>
            <w:tcW w:w="104" w:type="dxa"/>
            <w:tcBorders/>
            <w:shd w:fill="auto" w:val="clear"/>
            <w:vAlign w:val="bottom"/>
          </w:tcPr>
          <w:p>
            <w:pPr>
              <w:pStyle w:val="TableContents"/>
              <w:spacing w:before="0" w:after="283"/>
              <w:rPr/>
            </w:pPr>
            <w:r>
              <w:rPr/>
              <w:t> </w:t>
            </w:r>
          </w:p>
        </w:tc>
        <w:tc>
          <w:tcPr>
            <w:tcW w:w="1141" w:type="dxa"/>
            <w:gridSpan w:val="2"/>
            <w:tcBorders/>
            <w:shd w:fill="auto" w:val="clear"/>
            <w:vAlign w:val="bottom"/>
          </w:tcPr>
          <w:p>
            <w:pPr>
              <w:pStyle w:val="TableContents"/>
              <w:spacing w:before="0" w:after="0"/>
              <w:ind w:left="0" w:right="0" w:hanging="0"/>
              <w:jc w:val="center"/>
              <w:rPr>
                <w:rFonts w:ascii="helvetica" w:hAnsi="helvetica"/>
                <w:b/>
                <w:sz w:val="16"/>
              </w:rPr>
            </w:pPr>
            <w:r>
              <w:rPr>
                <w:rFonts w:ascii="helvetica" w:hAnsi="helvetica"/>
                <w:b/>
                <w:sz w:val="16"/>
              </w:rPr>
              <w:t>For The</w:t>
            </w:r>
          </w:p>
        </w:tc>
        <w:tc>
          <w:tcPr>
            <w:tcW w:w="110" w:type="dxa"/>
            <w:tcBorders/>
            <w:shd w:fill="auto" w:val="clear"/>
            <w:vAlign w:val="bottom"/>
          </w:tcPr>
          <w:p>
            <w:pPr>
              <w:pStyle w:val="TableContents"/>
              <w:spacing w:before="0" w:after="283"/>
              <w:jc w:val="left"/>
              <w:rPr/>
            </w:pPr>
            <w:r>
              <w:rPr/>
              <w:t> </w:t>
            </w:r>
          </w:p>
        </w:tc>
        <w:tc>
          <w:tcPr>
            <w:tcW w:w="104" w:type="dxa"/>
            <w:tcBorders/>
            <w:shd w:fill="auto" w:val="clear"/>
            <w:vAlign w:val="bottom"/>
          </w:tcPr>
          <w:p>
            <w:pPr>
              <w:pStyle w:val="TableContents"/>
              <w:spacing w:before="0" w:after="283"/>
              <w:rPr/>
            </w:pPr>
            <w:r>
              <w:rPr/>
              <w:t> </w:t>
            </w:r>
          </w:p>
        </w:tc>
        <w:tc>
          <w:tcPr>
            <w:tcW w:w="1194" w:type="dxa"/>
            <w:gridSpan w:val="2"/>
            <w:tcBorders/>
            <w:shd w:fill="auto" w:val="clear"/>
            <w:vAlign w:val="bottom"/>
          </w:tcPr>
          <w:p>
            <w:pPr>
              <w:pStyle w:val="TableContents"/>
              <w:spacing w:before="0" w:after="0"/>
              <w:ind w:left="0" w:right="0" w:hanging="0"/>
              <w:jc w:val="center"/>
              <w:rPr>
                <w:rFonts w:ascii="helvetica" w:hAnsi="helvetica"/>
                <w:b/>
                <w:sz w:val="16"/>
              </w:rPr>
            </w:pPr>
            <w:r>
              <w:rPr>
                <w:rFonts w:ascii="helvetica" w:hAnsi="helvetica"/>
                <w:b/>
                <w:sz w:val="16"/>
              </w:rPr>
              <w:t>For The</w:t>
            </w:r>
          </w:p>
        </w:tc>
        <w:tc>
          <w:tcPr>
            <w:tcW w:w="110" w:type="dxa"/>
            <w:tcBorders/>
            <w:shd w:fill="auto" w:val="clear"/>
            <w:vAlign w:val="bottom"/>
          </w:tcPr>
          <w:p>
            <w:pPr>
              <w:pStyle w:val="TableContents"/>
              <w:spacing w:before="0" w:after="283"/>
              <w:jc w:val="left"/>
              <w:rPr/>
            </w:pPr>
            <w:r>
              <w:rPr/>
              <w:t> </w:t>
            </w:r>
          </w:p>
        </w:tc>
        <w:tc>
          <w:tcPr>
            <w:tcW w:w="103" w:type="dxa"/>
            <w:tcBorders/>
            <w:shd w:fill="auto" w:val="clear"/>
            <w:vAlign w:val="bottom"/>
          </w:tcPr>
          <w:p>
            <w:pPr>
              <w:pStyle w:val="TableContents"/>
              <w:spacing w:before="0" w:after="283"/>
              <w:rPr/>
            </w:pPr>
            <w:r>
              <w:rPr/>
              <w:t> </w:t>
            </w:r>
          </w:p>
        </w:tc>
        <w:tc>
          <w:tcPr>
            <w:tcW w:w="1228" w:type="dxa"/>
            <w:gridSpan w:val="2"/>
            <w:tcBorders/>
            <w:shd w:fill="auto" w:val="clear"/>
            <w:vAlign w:val="bottom"/>
          </w:tcPr>
          <w:p>
            <w:pPr>
              <w:pStyle w:val="TableContents"/>
              <w:spacing w:before="0" w:after="0"/>
              <w:ind w:left="0" w:right="0" w:hanging="0"/>
              <w:jc w:val="center"/>
              <w:rPr>
                <w:rFonts w:ascii="helvetica" w:hAnsi="helvetica"/>
                <w:b/>
                <w:sz w:val="16"/>
              </w:rPr>
            </w:pPr>
            <w:r>
              <w:rPr>
                <w:rFonts w:ascii="helvetica" w:hAnsi="helvetica"/>
                <w:b/>
                <w:sz w:val="16"/>
              </w:rPr>
              <w:t>For the Period From</w:t>
            </w:r>
          </w:p>
        </w:tc>
        <w:tc>
          <w:tcPr>
            <w:tcW w:w="121" w:type="dxa"/>
            <w:tcBorders/>
            <w:shd w:fill="auto" w:val="clear"/>
            <w:vAlign w:val="bottom"/>
          </w:tcPr>
          <w:p>
            <w:pPr>
              <w:pStyle w:val="TableContents"/>
              <w:spacing w:before="0" w:after="283"/>
              <w:jc w:val="left"/>
              <w:rPr/>
            </w:pPr>
            <w:r>
              <w:rPr/>
              <w:t> </w:t>
            </w:r>
          </w:p>
        </w:tc>
      </w:tr>
      <w:tr>
        <w:trPr/>
        <w:tc>
          <w:tcPr>
            <w:tcW w:w="5990" w:type="dxa"/>
            <w:tcBorders/>
            <w:shd w:fill="auto" w:val="clear"/>
            <w:vAlign w:val="bottom"/>
          </w:tcPr>
          <w:p>
            <w:pPr>
              <w:pStyle w:val="TableContents"/>
              <w:spacing w:before="0" w:after="283"/>
              <w:rPr/>
            </w:pPr>
            <w:r>
              <w:rPr/>
              <w:t xml:space="preserve">  </w:t>
            </w:r>
          </w:p>
        </w:tc>
        <w:tc>
          <w:tcPr>
            <w:tcW w:w="104" w:type="dxa"/>
            <w:tcBorders/>
            <w:shd w:fill="auto" w:val="clear"/>
            <w:vAlign w:val="bottom"/>
          </w:tcPr>
          <w:p>
            <w:pPr>
              <w:pStyle w:val="TableContents"/>
              <w:spacing w:before="0" w:after="283"/>
              <w:rPr/>
            </w:pPr>
            <w:r>
              <w:rPr/>
              <w:t> </w:t>
            </w:r>
          </w:p>
        </w:tc>
        <w:tc>
          <w:tcPr>
            <w:tcW w:w="1141" w:type="dxa"/>
            <w:gridSpan w:val="2"/>
            <w:tcBorders/>
            <w:shd w:fill="auto" w:val="clear"/>
            <w:vAlign w:val="bottom"/>
          </w:tcPr>
          <w:p>
            <w:pPr>
              <w:pStyle w:val="TableContents"/>
              <w:spacing w:before="0" w:after="0"/>
              <w:ind w:left="0" w:right="0" w:hanging="0"/>
              <w:jc w:val="center"/>
              <w:rPr>
                <w:rFonts w:ascii="helvetica" w:hAnsi="helvetica"/>
                <w:b/>
                <w:sz w:val="16"/>
              </w:rPr>
            </w:pPr>
            <w:r>
              <w:rPr>
                <w:rFonts w:ascii="helvetica" w:hAnsi="helvetica"/>
                <w:b/>
                <w:sz w:val="16"/>
              </w:rPr>
              <w:t>Year Ended</w:t>
            </w:r>
          </w:p>
        </w:tc>
        <w:tc>
          <w:tcPr>
            <w:tcW w:w="110" w:type="dxa"/>
            <w:tcBorders/>
            <w:shd w:fill="auto" w:val="clear"/>
            <w:vAlign w:val="bottom"/>
          </w:tcPr>
          <w:p>
            <w:pPr>
              <w:pStyle w:val="TableContents"/>
              <w:spacing w:before="0" w:after="283"/>
              <w:jc w:val="left"/>
              <w:rPr/>
            </w:pPr>
            <w:r>
              <w:rPr/>
              <w:t> </w:t>
            </w:r>
          </w:p>
        </w:tc>
        <w:tc>
          <w:tcPr>
            <w:tcW w:w="104" w:type="dxa"/>
            <w:tcBorders/>
            <w:shd w:fill="auto" w:val="clear"/>
            <w:vAlign w:val="bottom"/>
          </w:tcPr>
          <w:p>
            <w:pPr>
              <w:pStyle w:val="TableContents"/>
              <w:spacing w:before="0" w:after="283"/>
              <w:rPr/>
            </w:pPr>
            <w:r>
              <w:rPr/>
              <w:t> </w:t>
            </w:r>
          </w:p>
        </w:tc>
        <w:tc>
          <w:tcPr>
            <w:tcW w:w="1194" w:type="dxa"/>
            <w:gridSpan w:val="2"/>
            <w:tcBorders/>
            <w:shd w:fill="auto" w:val="clear"/>
            <w:vAlign w:val="bottom"/>
          </w:tcPr>
          <w:p>
            <w:pPr>
              <w:pStyle w:val="TableContents"/>
              <w:spacing w:before="0" w:after="0"/>
              <w:ind w:left="0" w:right="0" w:hanging="0"/>
              <w:jc w:val="center"/>
              <w:rPr>
                <w:rFonts w:ascii="helvetica" w:hAnsi="helvetica"/>
                <w:b/>
                <w:sz w:val="16"/>
              </w:rPr>
            </w:pPr>
            <w:r>
              <w:rPr>
                <w:rFonts w:ascii="helvetica" w:hAnsi="helvetica"/>
                <w:b/>
                <w:sz w:val="16"/>
              </w:rPr>
              <w:t>Year Ended</w:t>
            </w:r>
          </w:p>
        </w:tc>
        <w:tc>
          <w:tcPr>
            <w:tcW w:w="110" w:type="dxa"/>
            <w:tcBorders/>
            <w:shd w:fill="auto" w:val="clear"/>
            <w:vAlign w:val="bottom"/>
          </w:tcPr>
          <w:p>
            <w:pPr>
              <w:pStyle w:val="TableContents"/>
              <w:spacing w:before="0" w:after="283"/>
              <w:jc w:val="left"/>
              <w:rPr/>
            </w:pPr>
            <w:r>
              <w:rPr/>
              <w:t> </w:t>
            </w:r>
          </w:p>
        </w:tc>
        <w:tc>
          <w:tcPr>
            <w:tcW w:w="103" w:type="dxa"/>
            <w:tcBorders/>
            <w:shd w:fill="auto" w:val="clear"/>
            <w:vAlign w:val="bottom"/>
          </w:tcPr>
          <w:p>
            <w:pPr>
              <w:pStyle w:val="TableContents"/>
              <w:spacing w:before="0" w:after="283"/>
              <w:rPr/>
            </w:pPr>
            <w:r>
              <w:rPr/>
              <w:t> </w:t>
            </w:r>
          </w:p>
        </w:tc>
        <w:tc>
          <w:tcPr>
            <w:tcW w:w="1228" w:type="dxa"/>
            <w:gridSpan w:val="2"/>
            <w:tcBorders/>
            <w:shd w:fill="auto" w:val="clear"/>
            <w:vAlign w:val="bottom"/>
          </w:tcPr>
          <w:p>
            <w:pPr>
              <w:pStyle w:val="TableContents"/>
              <w:spacing w:before="0" w:after="0"/>
              <w:ind w:left="0" w:right="0" w:hanging="0"/>
              <w:jc w:val="center"/>
              <w:rPr>
                <w:rFonts w:ascii="helvetica" w:hAnsi="helvetica"/>
                <w:b/>
                <w:sz w:val="16"/>
              </w:rPr>
            </w:pPr>
            <w:r>
              <w:rPr>
                <w:rFonts w:ascii="helvetica" w:hAnsi="helvetica"/>
                <w:b/>
                <w:sz w:val="16"/>
              </w:rPr>
              <w:t>July 24, 1998 (Inception)</w:t>
            </w:r>
          </w:p>
        </w:tc>
        <w:tc>
          <w:tcPr>
            <w:tcW w:w="121" w:type="dxa"/>
            <w:tcBorders/>
            <w:shd w:fill="auto" w:val="clear"/>
            <w:vAlign w:val="bottom"/>
          </w:tcPr>
          <w:p>
            <w:pPr>
              <w:pStyle w:val="TableContents"/>
              <w:spacing w:before="0" w:after="283"/>
              <w:jc w:val="left"/>
              <w:rPr/>
            </w:pPr>
            <w:r>
              <w:rPr/>
              <w:t> </w:t>
            </w:r>
          </w:p>
        </w:tc>
      </w:tr>
      <w:tr>
        <w:trPr/>
        <w:tc>
          <w:tcPr>
            <w:tcW w:w="5990" w:type="dxa"/>
            <w:tcBorders/>
            <w:shd w:fill="auto" w:val="clear"/>
            <w:vAlign w:val="bottom"/>
          </w:tcPr>
          <w:p>
            <w:pPr>
              <w:pStyle w:val="TableContents"/>
              <w:spacing w:before="0" w:after="283"/>
              <w:rPr/>
            </w:pPr>
            <w:r>
              <w:rPr/>
              <w:t xml:space="preserve">  </w:t>
            </w:r>
          </w:p>
        </w:tc>
        <w:tc>
          <w:tcPr>
            <w:tcW w:w="104" w:type="dxa"/>
            <w:tcBorders/>
            <w:shd w:fill="auto" w:val="clear"/>
            <w:vAlign w:val="bottom"/>
          </w:tcPr>
          <w:p>
            <w:pPr>
              <w:pStyle w:val="TableContents"/>
              <w:spacing w:before="0" w:after="283"/>
              <w:rPr/>
            </w:pPr>
            <w:r>
              <w:rPr/>
              <w:t> </w:t>
            </w:r>
          </w:p>
        </w:tc>
        <w:tc>
          <w:tcPr>
            <w:tcW w:w="1141" w:type="dxa"/>
            <w:gridSpan w:val="2"/>
            <w:tcBorders/>
            <w:shd w:fill="auto" w:val="clear"/>
            <w:vAlign w:val="bottom"/>
          </w:tcPr>
          <w:p>
            <w:pPr>
              <w:pStyle w:val="TableContents"/>
              <w:spacing w:before="0" w:after="0"/>
              <w:ind w:left="0" w:right="0" w:hanging="0"/>
              <w:jc w:val="center"/>
              <w:rPr>
                <w:rFonts w:ascii="helvetica" w:hAnsi="helvetica"/>
                <w:b/>
                <w:sz w:val="16"/>
              </w:rPr>
            </w:pPr>
            <w:r>
              <w:rPr>
                <w:rFonts w:ascii="helvetica" w:hAnsi="helvetica"/>
                <w:b/>
                <w:sz w:val="16"/>
              </w:rPr>
              <w:t>December 31,</w:t>
            </w:r>
          </w:p>
        </w:tc>
        <w:tc>
          <w:tcPr>
            <w:tcW w:w="110" w:type="dxa"/>
            <w:tcBorders/>
            <w:shd w:fill="auto" w:val="clear"/>
            <w:vAlign w:val="bottom"/>
          </w:tcPr>
          <w:p>
            <w:pPr>
              <w:pStyle w:val="TableContents"/>
              <w:spacing w:before="0" w:after="283"/>
              <w:jc w:val="left"/>
              <w:rPr/>
            </w:pPr>
            <w:r>
              <w:rPr/>
              <w:t> </w:t>
            </w:r>
          </w:p>
        </w:tc>
        <w:tc>
          <w:tcPr>
            <w:tcW w:w="104" w:type="dxa"/>
            <w:tcBorders/>
            <w:shd w:fill="auto" w:val="clear"/>
            <w:vAlign w:val="bottom"/>
          </w:tcPr>
          <w:p>
            <w:pPr>
              <w:pStyle w:val="TableContents"/>
              <w:spacing w:before="0" w:after="283"/>
              <w:rPr/>
            </w:pPr>
            <w:r>
              <w:rPr/>
              <w:t> </w:t>
            </w:r>
          </w:p>
        </w:tc>
        <w:tc>
          <w:tcPr>
            <w:tcW w:w="1194" w:type="dxa"/>
            <w:gridSpan w:val="2"/>
            <w:tcBorders/>
            <w:shd w:fill="auto" w:val="clear"/>
            <w:vAlign w:val="bottom"/>
          </w:tcPr>
          <w:p>
            <w:pPr>
              <w:pStyle w:val="TableContents"/>
              <w:spacing w:before="0" w:after="0"/>
              <w:ind w:left="0" w:right="0" w:hanging="0"/>
              <w:jc w:val="center"/>
              <w:rPr>
                <w:rFonts w:ascii="helvetica" w:hAnsi="helvetica"/>
                <w:b/>
                <w:sz w:val="16"/>
              </w:rPr>
            </w:pPr>
            <w:r>
              <w:rPr>
                <w:rFonts w:ascii="helvetica" w:hAnsi="helvetica"/>
                <w:b/>
                <w:sz w:val="16"/>
              </w:rPr>
              <w:t>December 31,</w:t>
            </w:r>
          </w:p>
        </w:tc>
        <w:tc>
          <w:tcPr>
            <w:tcW w:w="110" w:type="dxa"/>
            <w:tcBorders/>
            <w:shd w:fill="auto" w:val="clear"/>
            <w:vAlign w:val="bottom"/>
          </w:tcPr>
          <w:p>
            <w:pPr>
              <w:pStyle w:val="TableContents"/>
              <w:spacing w:before="0" w:after="283"/>
              <w:jc w:val="left"/>
              <w:rPr/>
            </w:pPr>
            <w:r>
              <w:rPr/>
              <w:t> </w:t>
            </w:r>
          </w:p>
        </w:tc>
        <w:tc>
          <w:tcPr>
            <w:tcW w:w="103" w:type="dxa"/>
            <w:tcBorders/>
            <w:shd w:fill="auto" w:val="clear"/>
            <w:vAlign w:val="bottom"/>
          </w:tcPr>
          <w:p>
            <w:pPr>
              <w:pStyle w:val="TableContents"/>
              <w:spacing w:before="0" w:after="283"/>
              <w:rPr/>
            </w:pPr>
            <w:r>
              <w:rPr/>
              <w:t> </w:t>
            </w:r>
          </w:p>
        </w:tc>
        <w:tc>
          <w:tcPr>
            <w:tcW w:w="1228" w:type="dxa"/>
            <w:gridSpan w:val="2"/>
            <w:tcBorders/>
            <w:shd w:fill="auto" w:val="clear"/>
            <w:vAlign w:val="bottom"/>
          </w:tcPr>
          <w:p>
            <w:pPr>
              <w:pStyle w:val="TableContents"/>
              <w:spacing w:before="0" w:after="0"/>
              <w:ind w:left="0" w:right="0" w:hanging="0"/>
              <w:jc w:val="center"/>
              <w:rPr>
                <w:rFonts w:ascii="helvetica" w:hAnsi="helvetica"/>
                <w:b/>
                <w:sz w:val="16"/>
              </w:rPr>
            </w:pPr>
            <w:r>
              <w:rPr>
                <w:rFonts w:ascii="helvetica" w:hAnsi="helvetica"/>
                <w:b/>
                <w:sz w:val="16"/>
              </w:rPr>
              <w:t>through December 31,</w:t>
            </w:r>
          </w:p>
        </w:tc>
        <w:tc>
          <w:tcPr>
            <w:tcW w:w="121" w:type="dxa"/>
            <w:tcBorders/>
            <w:shd w:fill="auto" w:val="clear"/>
            <w:vAlign w:val="bottom"/>
          </w:tcPr>
          <w:p>
            <w:pPr>
              <w:pStyle w:val="TableContents"/>
              <w:spacing w:before="0" w:after="283"/>
              <w:jc w:val="left"/>
              <w:rPr/>
            </w:pPr>
            <w:r>
              <w:rPr/>
              <w:t> </w:t>
            </w:r>
          </w:p>
        </w:tc>
      </w:tr>
      <w:tr>
        <w:trPr/>
        <w:tc>
          <w:tcPr>
            <w:tcW w:w="5990" w:type="dxa"/>
            <w:tcBorders/>
            <w:shd w:fill="auto" w:val="clear"/>
            <w:vAlign w:val="bottom"/>
          </w:tcPr>
          <w:p>
            <w:pPr>
              <w:pStyle w:val="TableContents"/>
              <w:spacing w:before="0" w:after="283"/>
              <w:rPr/>
            </w:pPr>
            <w:r>
              <w:rPr/>
              <w:t xml:space="preserve">  </w:t>
            </w:r>
          </w:p>
        </w:tc>
        <w:tc>
          <w:tcPr>
            <w:tcW w:w="104" w:type="dxa"/>
            <w:tcBorders/>
            <w:shd w:fill="auto" w:val="clear"/>
            <w:vAlign w:val="bottom"/>
          </w:tcPr>
          <w:p>
            <w:pPr>
              <w:pStyle w:val="TableContents"/>
              <w:spacing w:before="0" w:after="283"/>
              <w:rPr/>
            </w:pPr>
            <w:r>
              <w:rPr/>
              <w:t> </w:t>
            </w:r>
          </w:p>
        </w:tc>
        <w:tc>
          <w:tcPr>
            <w:tcW w:w="1141"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helvetica" w:hAnsi="helvetica"/>
                <w:b/>
                <w:sz w:val="16"/>
              </w:rPr>
            </w:pPr>
            <w:r>
              <w:rPr>
                <w:rFonts w:ascii="helvetica" w:hAnsi="helvetica"/>
                <w:b/>
                <w:sz w:val="16"/>
              </w:rPr>
              <w:t>2011</w:t>
            </w:r>
          </w:p>
        </w:tc>
        <w:tc>
          <w:tcPr>
            <w:tcW w:w="110" w:type="dxa"/>
            <w:tcBorders/>
            <w:shd w:fill="auto" w:val="clear"/>
            <w:vAlign w:val="bottom"/>
          </w:tcPr>
          <w:p>
            <w:pPr>
              <w:pStyle w:val="TableContents"/>
              <w:spacing w:before="0" w:after="283"/>
              <w:jc w:val="left"/>
              <w:rPr/>
            </w:pPr>
            <w:r>
              <w:rPr/>
              <w:t> </w:t>
            </w:r>
          </w:p>
        </w:tc>
        <w:tc>
          <w:tcPr>
            <w:tcW w:w="104" w:type="dxa"/>
            <w:tcBorders/>
            <w:shd w:fill="auto" w:val="clear"/>
            <w:vAlign w:val="bottom"/>
          </w:tcPr>
          <w:p>
            <w:pPr>
              <w:pStyle w:val="TableContents"/>
              <w:spacing w:before="0" w:after="283"/>
              <w:rPr/>
            </w:pPr>
            <w:r>
              <w:rPr/>
              <w:t> </w:t>
            </w:r>
          </w:p>
        </w:tc>
        <w:tc>
          <w:tcPr>
            <w:tcW w:w="1194"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helvetica" w:hAnsi="helvetica"/>
                <w:b/>
                <w:sz w:val="16"/>
              </w:rPr>
            </w:pPr>
            <w:r>
              <w:rPr>
                <w:rFonts w:ascii="helvetica" w:hAnsi="helvetica"/>
                <w:b/>
                <w:sz w:val="16"/>
              </w:rPr>
              <w:t>2010</w:t>
            </w:r>
          </w:p>
        </w:tc>
        <w:tc>
          <w:tcPr>
            <w:tcW w:w="110" w:type="dxa"/>
            <w:tcBorders/>
            <w:shd w:fill="auto" w:val="clear"/>
            <w:vAlign w:val="bottom"/>
          </w:tcPr>
          <w:p>
            <w:pPr>
              <w:pStyle w:val="TableContents"/>
              <w:spacing w:before="0" w:after="283"/>
              <w:jc w:val="left"/>
              <w:rPr/>
            </w:pPr>
            <w:r>
              <w:rPr/>
              <w:t> </w:t>
            </w:r>
          </w:p>
        </w:tc>
        <w:tc>
          <w:tcPr>
            <w:tcW w:w="103" w:type="dxa"/>
            <w:tcBorders/>
            <w:shd w:fill="auto" w:val="clear"/>
            <w:vAlign w:val="bottom"/>
          </w:tcPr>
          <w:p>
            <w:pPr>
              <w:pStyle w:val="TableContents"/>
              <w:spacing w:before="0" w:after="283"/>
              <w:rPr/>
            </w:pPr>
            <w:r>
              <w:rPr/>
              <w:t> </w:t>
            </w:r>
          </w:p>
        </w:tc>
        <w:tc>
          <w:tcPr>
            <w:tcW w:w="1228"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helvetica" w:hAnsi="helvetica"/>
                <w:b/>
                <w:sz w:val="16"/>
              </w:rPr>
            </w:pPr>
            <w:r>
              <w:rPr>
                <w:rFonts w:ascii="helvetica" w:hAnsi="helvetica"/>
                <w:b/>
                <w:sz w:val="16"/>
              </w:rPr>
              <w:t>2011</w:t>
            </w:r>
          </w:p>
        </w:tc>
        <w:tc>
          <w:tcPr>
            <w:tcW w:w="121" w:type="dxa"/>
            <w:tcBorders/>
            <w:shd w:fill="auto" w:val="clear"/>
            <w:vAlign w:val="bottom"/>
          </w:tcPr>
          <w:p>
            <w:pPr>
              <w:pStyle w:val="TableContents"/>
              <w:spacing w:before="0" w:after="283"/>
              <w:jc w:val="left"/>
              <w:rPr/>
            </w:pPr>
            <w:r>
              <w:rPr/>
              <w:t> </w:t>
            </w:r>
          </w:p>
        </w:tc>
      </w:tr>
      <w:tr>
        <w:trPr/>
        <w:tc>
          <w:tcPr>
            <w:tcW w:w="5990" w:type="dxa"/>
            <w:tcBorders/>
            <w:shd w:fill="auto" w:val="clear"/>
            <w:vAlign w:val="bottom"/>
          </w:tcPr>
          <w:p>
            <w:pPr>
              <w:pStyle w:val="TableContents"/>
              <w:spacing w:before="0" w:after="283"/>
              <w:rPr/>
            </w:pPr>
            <w:r>
              <w:rPr/>
              <w:t xml:space="preserve">  </w:t>
            </w:r>
          </w:p>
        </w:tc>
        <w:tc>
          <w:tcPr>
            <w:tcW w:w="104" w:type="dxa"/>
            <w:tcBorders/>
            <w:shd w:fill="auto" w:val="clear"/>
            <w:vAlign w:val="bottom"/>
          </w:tcPr>
          <w:p>
            <w:pPr>
              <w:pStyle w:val="TableContents"/>
              <w:spacing w:before="0" w:after="283"/>
              <w:rPr/>
            </w:pPr>
            <w:r>
              <w:rPr/>
              <w:t> </w:t>
            </w:r>
          </w:p>
        </w:tc>
        <w:tc>
          <w:tcPr>
            <w:tcW w:w="1141" w:type="dxa"/>
            <w:gridSpan w:val="2"/>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jc w:val="left"/>
              <w:rPr/>
            </w:pPr>
            <w:r>
              <w:rPr/>
              <w:t> </w:t>
            </w:r>
          </w:p>
        </w:tc>
        <w:tc>
          <w:tcPr>
            <w:tcW w:w="104" w:type="dxa"/>
            <w:tcBorders/>
            <w:shd w:fill="auto" w:val="clear"/>
            <w:vAlign w:val="bottom"/>
          </w:tcPr>
          <w:p>
            <w:pPr>
              <w:pStyle w:val="TableContents"/>
              <w:spacing w:before="0" w:after="283"/>
              <w:rPr/>
            </w:pPr>
            <w:r>
              <w:rPr/>
              <w:t> </w:t>
            </w:r>
          </w:p>
        </w:tc>
        <w:tc>
          <w:tcPr>
            <w:tcW w:w="1194" w:type="dxa"/>
            <w:gridSpan w:val="2"/>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jc w:val="left"/>
              <w:rPr/>
            </w:pPr>
            <w:r>
              <w:rPr/>
              <w:t> </w:t>
            </w:r>
          </w:p>
        </w:tc>
        <w:tc>
          <w:tcPr>
            <w:tcW w:w="103" w:type="dxa"/>
            <w:tcBorders/>
            <w:shd w:fill="auto" w:val="clear"/>
            <w:vAlign w:val="bottom"/>
          </w:tcPr>
          <w:p>
            <w:pPr>
              <w:pStyle w:val="TableContents"/>
              <w:spacing w:before="0" w:after="283"/>
              <w:rPr/>
            </w:pPr>
            <w:r>
              <w:rPr/>
              <w:t> </w:t>
            </w:r>
          </w:p>
        </w:tc>
        <w:tc>
          <w:tcPr>
            <w:tcW w:w="1228" w:type="dxa"/>
            <w:gridSpan w:val="2"/>
            <w:tcBorders/>
            <w:shd w:fill="auto" w:val="clear"/>
            <w:vAlign w:val="bottom"/>
          </w:tcPr>
          <w:p>
            <w:pPr>
              <w:pStyle w:val="TableContents"/>
              <w:spacing w:before="0" w:after="283"/>
              <w:rPr/>
            </w:pPr>
            <w:r>
              <w:rPr/>
              <w:t> </w:t>
            </w:r>
          </w:p>
        </w:tc>
        <w:tc>
          <w:tcPr>
            <w:tcW w:w="121" w:type="dxa"/>
            <w:tcBorders/>
            <w:shd w:fill="auto" w:val="clear"/>
            <w:vAlign w:val="bottom"/>
          </w:tcPr>
          <w:p>
            <w:pPr>
              <w:pStyle w:val="TableContents"/>
              <w:spacing w:before="0" w:after="283"/>
              <w:jc w:val="left"/>
              <w:rPr/>
            </w:pPr>
            <w:r>
              <w:rPr/>
              <w:t> </w:t>
            </w:r>
          </w:p>
        </w:tc>
      </w:tr>
      <w:tr>
        <w:trPr/>
        <w:tc>
          <w:tcPr>
            <w:tcW w:w="5990" w:type="dxa"/>
            <w:tcBorders/>
            <w:shd w:fill="auto" w:val="clear"/>
            <w:vAlign w:val="bottom"/>
          </w:tcPr>
          <w:p>
            <w:pPr>
              <w:pStyle w:val="TableContents"/>
              <w:spacing w:before="0" w:after="0"/>
              <w:ind w:left="0" w:right="0" w:hanging="0"/>
              <w:jc w:val="left"/>
              <w:rPr>
                <w:rFonts w:ascii="helvetica" w:hAnsi="helvetica"/>
                <w:sz w:val="20"/>
              </w:rPr>
            </w:pPr>
            <w:r>
              <w:rPr>
                <w:rFonts w:ascii="helvetica" w:hAnsi="helvetica"/>
                <w:sz w:val="20"/>
              </w:rPr>
              <w:t>CASH FLOWS FROM OPERATING ACTIVITIES</w:t>
            </w:r>
          </w:p>
        </w:tc>
        <w:tc>
          <w:tcPr>
            <w:tcW w:w="104" w:type="dxa"/>
            <w:tcBorders/>
            <w:shd w:fill="auto" w:val="clear"/>
            <w:vAlign w:val="bottom"/>
          </w:tcPr>
          <w:p>
            <w:pPr>
              <w:pStyle w:val="TableContents"/>
              <w:spacing w:before="0" w:after="283"/>
              <w:rPr/>
            </w:pPr>
            <w:r>
              <w:rPr/>
              <w:t> </w:t>
            </w:r>
          </w:p>
        </w:tc>
        <w:tc>
          <w:tcPr>
            <w:tcW w:w="1141" w:type="dxa"/>
            <w:gridSpan w:val="2"/>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jc w:val="left"/>
              <w:rPr/>
            </w:pPr>
            <w:r>
              <w:rPr/>
              <w:t> </w:t>
            </w:r>
          </w:p>
        </w:tc>
        <w:tc>
          <w:tcPr>
            <w:tcW w:w="104" w:type="dxa"/>
            <w:tcBorders/>
            <w:shd w:fill="auto" w:val="clear"/>
            <w:vAlign w:val="bottom"/>
          </w:tcPr>
          <w:p>
            <w:pPr>
              <w:pStyle w:val="TableContents"/>
              <w:spacing w:before="0" w:after="283"/>
              <w:rPr/>
            </w:pPr>
            <w:r>
              <w:rPr/>
              <w:t> </w:t>
            </w:r>
          </w:p>
        </w:tc>
        <w:tc>
          <w:tcPr>
            <w:tcW w:w="1194" w:type="dxa"/>
            <w:gridSpan w:val="2"/>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jc w:val="left"/>
              <w:rPr/>
            </w:pPr>
            <w:r>
              <w:rPr/>
              <w:t> </w:t>
            </w:r>
          </w:p>
        </w:tc>
        <w:tc>
          <w:tcPr>
            <w:tcW w:w="103" w:type="dxa"/>
            <w:tcBorders/>
            <w:shd w:fill="auto" w:val="clear"/>
            <w:vAlign w:val="bottom"/>
          </w:tcPr>
          <w:p>
            <w:pPr>
              <w:pStyle w:val="TableContents"/>
              <w:spacing w:before="0" w:after="283"/>
              <w:rPr/>
            </w:pPr>
            <w:r>
              <w:rPr/>
              <w:t> </w:t>
            </w:r>
          </w:p>
        </w:tc>
        <w:tc>
          <w:tcPr>
            <w:tcW w:w="1228" w:type="dxa"/>
            <w:gridSpan w:val="2"/>
            <w:tcBorders/>
            <w:shd w:fill="auto" w:val="clear"/>
            <w:vAlign w:val="bottom"/>
          </w:tcPr>
          <w:p>
            <w:pPr>
              <w:pStyle w:val="TableContents"/>
              <w:spacing w:before="0" w:after="283"/>
              <w:rPr/>
            </w:pPr>
            <w:r>
              <w:rPr/>
              <w:t> </w:t>
            </w:r>
          </w:p>
        </w:tc>
        <w:tc>
          <w:tcPr>
            <w:tcW w:w="121" w:type="dxa"/>
            <w:tcBorders/>
            <w:shd w:fill="auto" w:val="clear"/>
            <w:vAlign w:val="bottom"/>
          </w:tcPr>
          <w:p>
            <w:pPr>
              <w:pStyle w:val="TableContents"/>
              <w:spacing w:before="0" w:after="283"/>
              <w:jc w:val="left"/>
              <w:rPr/>
            </w:pPr>
            <w:r>
              <w:rPr/>
              <w:t> </w:t>
            </w:r>
          </w:p>
        </w:tc>
      </w:tr>
      <w:tr>
        <w:trPr/>
        <w:tc>
          <w:tcPr>
            <w:tcW w:w="5990" w:type="dxa"/>
            <w:tcBorders/>
            <w:shd w:fill="CCEEFF" w:val="clear"/>
            <w:vAlign w:val="bottom"/>
          </w:tcPr>
          <w:p>
            <w:pPr>
              <w:pStyle w:val="TableContents"/>
              <w:spacing w:before="0" w:after="0"/>
              <w:ind w:left="0" w:right="0" w:hanging="0"/>
              <w:jc w:val="left"/>
              <w:rPr/>
            </w:pPr>
            <w:r>
              <w:rPr/>
              <w:t>  </w:t>
            </w:r>
            <w:r>
              <w:rPr>
                <w:rFonts w:ascii="helvetica" w:hAnsi="helvetica"/>
                <w:sz w:val="20"/>
              </w:rPr>
              <w:t>Net loss</w:t>
            </w:r>
          </w:p>
        </w:tc>
        <w:tc>
          <w:tcPr>
            <w:tcW w:w="10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rFonts w:ascii="helvetica" w:hAnsi="helvetica"/>
                <w:sz w:val="20"/>
              </w:rPr>
            </w:pPr>
            <w:r>
              <w:rPr>
                <w:rFonts w:ascii="helvetica" w:hAnsi="helvetica"/>
                <w:sz w:val="20"/>
              </w:rPr>
              <w:t>$</w:t>
            </w:r>
          </w:p>
        </w:tc>
        <w:tc>
          <w:tcPr>
            <w:tcW w:w="1016"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(953,936</w:t>
            </w:r>
          </w:p>
        </w:tc>
        <w:tc>
          <w:tcPr>
            <w:tcW w:w="110" w:type="dxa"/>
            <w:tcBorders/>
            <w:shd w:fill="CCEEFF" w:val="clear"/>
            <w:vAlign w:val="bottom"/>
          </w:tcPr>
          <w:p>
            <w:pPr>
              <w:pStyle w:val="TableContents"/>
              <w:spacing w:before="0" w:after="283"/>
              <w:jc w:val="left"/>
              <w:rPr>
                <w:rFonts w:ascii="helvetica" w:hAnsi="helvetica"/>
                <w:sz w:val="20"/>
              </w:rPr>
            </w:pPr>
            <w:r>
              <w:rPr>
                <w:rFonts w:ascii="helvetica" w:hAnsi="helvetica"/>
                <w:sz w:val="20"/>
              </w:rPr>
              <w:t>)</w:t>
            </w:r>
          </w:p>
        </w:tc>
        <w:tc>
          <w:tcPr>
            <w:tcW w:w="10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rFonts w:ascii="helvetica" w:hAnsi="helvetica"/>
                <w:sz w:val="20"/>
              </w:rPr>
            </w:pPr>
            <w:r>
              <w:rPr>
                <w:rFonts w:ascii="helvetica" w:hAnsi="helvetica"/>
                <w:sz w:val="20"/>
              </w:rPr>
              <w:t>$</w:t>
            </w:r>
          </w:p>
        </w:tc>
        <w:tc>
          <w:tcPr>
            <w:tcW w:w="1069"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(2,531,228</w:t>
            </w:r>
          </w:p>
        </w:tc>
        <w:tc>
          <w:tcPr>
            <w:tcW w:w="110" w:type="dxa"/>
            <w:tcBorders/>
            <w:shd w:fill="CCEEFF" w:val="clear"/>
            <w:vAlign w:val="bottom"/>
          </w:tcPr>
          <w:p>
            <w:pPr>
              <w:pStyle w:val="TableContents"/>
              <w:spacing w:before="0" w:after="283"/>
              <w:jc w:val="left"/>
              <w:rPr>
                <w:rFonts w:ascii="helvetica" w:hAnsi="helvetica"/>
                <w:sz w:val="20"/>
              </w:rPr>
            </w:pPr>
            <w:r>
              <w:rPr>
                <w:rFonts w:ascii="helvetica" w:hAnsi="helvetica"/>
                <w:sz w:val="20"/>
              </w:rPr>
              <w:t>)</w:t>
            </w:r>
          </w:p>
        </w:tc>
        <w:tc>
          <w:tcPr>
            <w:tcW w:w="10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rFonts w:ascii="helvetica" w:hAnsi="helvetica"/>
                <w:sz w:val="20"/>
              </w:rPr>
            </w:pPr>
            <w:r>
              <w:rPr>
                <w:rFonts w:ascii="helvetica" w:hAnsi="helvetica"/>
                <w:sz w:val="20"/>
              </w:rPr>
              <w:t>$</w:t>
            </w:r>
          </w:p>
        </w:tc>
        <w:tc>
          <w:tcPr>
            <w:tcW w:w="1103"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(18,420,733</w:t>
            </w:r>
          </w:p>
        </w:tc>
        <w:tc>
          <w:tcPr>
            <w:tcW w:w="121" w:type="dxa"/>
            <w:tcBorders/>
            <w:shd w:fill="CCEEFF" w:val="clear"/>
            <w:vAlign w:val="bottom"/>
          </w:tcPr>
          <w:p>
            <w:pPr>
              <w:pStyle w:val="TableContents"/>
              <w:spacing w:before="0" w:after="283"/>
              <w:jc w:val="left"/>
              <w:rPr>
                <w:rFonts w:ascii="helvetica" w:hAnsi="helvetica"/>
                <w:sz w:val="20"/>
              </w:rPr>
            </w:pPr>
            <w:r>
              <w:rPr>
                <w:rFonts w:ascii="helvetica" w:hAnsi="helvetica"/>
                <w:sz w:val="20"/>
              </w:rPr>
              <w:t>)</w:t>
            </w:r>
          </w:p>
        </w:tc>
      </w:tr>
      <w:tr>
        <w:trPr/>
        <w:tc>
          <w:tcPr>
            <w:tcW w:w="5990" w:type="dxa"/>
            <w:tcBorders/>
            <w:shd w:fill="FFFFFF" w:val="clear"/>
            <w:vAlign w:val="bottom"/>
          </w:tcPr>
          <w:p>
            <w:pPr>
              <w:pStyle w:val="TableContents"/>
              <w:spacing w:before="0" w:after="283"/>
              <w:rPr/>
            </w:pPr>
            <w:r>
              <w:rPr/>
              <w:t xml:space="preserve">  </w:t>
            </w:r>
          </w:p>
        </w:tc>
        <w:tc>
          <w:tcPr>
            <w:tcW w:w="104"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16" w:type="dxa"/>
            <w:tcBorders/>
            <w:shd w:fill="FFFFFF" w:val="clear"/>
            <w:vAlign w:val="bottom"/>
          </w:tcPr>
          <w:p>
            <w:pPr>
              <w:pStyle w:val="TableContents"/>
              <w:spacing w:before="0" w:after="283"/>
              <w:jc w:val="right"/>
              <w:rPr/>
            </w:pPr>
            <w:r>
              <w:rPr/>
              <w:t> </w:t>
            </w:r>
          </w:p>
        </w:tc>
        <w:tc>
          <w:tcPr>
            <w:tcW w:w="110" w:type="dxa"/>
            <w:tcBorders/>
            <w:shd w:fill="FFFFFF" w:val="clear"/>
            <w:vAlign w:val="bottom"/>
          </w:tcPr>
          <w:p>
            <w:pPr>
              <w:pStyle w:val="TableContents"/>
              <w:spacing w:before="0" w:after="283"/>
              <w:jc w:val="left"/>
              <w:rPr/>
            </w:pPr>
            <w:r>
              <w:rPr/>
              <w:t> </w:t>
            </w:r>
          </w:p>
        </w:tc>
        <w:tc>
          <w:tcPr>
            <w:tcW w:w="104"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69" w:type="dxa"/>
            <w:tcBorders/>
            <w:shd w:fill="FFFFFF" w:val="clear"/>
            <w:vAlign w:val="bottom"/>
          </w:tcPr>
          <w:p>
            <w:pPr>
              <w:pStyle w:val="TableContents"/>
              <w:spacing w:before="0" w:after="283"/>
              <w:jc w:val="right"/>
              <w:rPr/>
            </w:pPr>
            <w:r>
              <w:rPr/>
              <w:t> </w:t>
            </w:r>
          </w:p>
        </w:tc>
        <w:tc>
          <w:tcPr>
            <w:tcW w:w="110" w:type="dxa"/>
            <w:tcBorders/>
            <w:shd w:fill="FFFFFF" w:val="clear"/>
            <w:vAlign w:val="bottom"/>
          </w:tcPr>
          <w:p>
            <w:pPr>
              <w:pStyle w:val="TableContents"/>
              <w:spacing w:before="0" w:after="283"/>
              <w:jc w:val="left"/>
              <w:rPr/>
            </w:pPr>
            <w:r>
              <w:rPr/>
              <w:t> </w:t>
            </w:r>
          </w:p>
        </w:tc>
        <w:tc>
          <w:tcPr>
            <w:tcW w:w="103"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103" w:type="dxa"/>
            <w:tcBorders/>
            <w:shd w:fill="FFFFFF" w:val="clear"/>
            <w:vAlign w:val="bottom"/>
          </w:tcPr>
          <w:p>
            <w:pPr>
              <w:pStyle w:val="TableContents"/>
              <w:spacing w:before="0" w:after="283"/>
              <w:jc w:val="right"/>
              <w:rPr/>
            </w:pPr>
            <w:r>
              <w:rPr/>
              <w:t> </w:t>
            </w:r>
          </w:p>
        </w:tc>
        <w:tc>
          <w:tcPr>
            <w:tcW w:w="121" w:type="dxa"/>
            <w:tcBorders/>
            <w:shd w:fill="FFFFFF" w:val="clear"/>
            <w:vAlign w:val="bottom"/>
          </w:tcPr>
          <w:p>
            <w:pPr>
              <w:pStyle w:val="TableContents"/>
              <w:spacing w:before="0" w:after="283"/>
              <w:jc w:val="left"/>
              <w:rPr/>
            </w:pPr>
            <w:r>
              <w:rPr/>
              <w:t> </w:t>
            </w:r>
          </w:p>
        </w:tc>
      </w:tr>
      <w:tr>
        <w:trPr/>
        <w:tc>
          <w:tcPr>
            <w:tcW w:w="5990" w:type="dxa"/>
            <w:tcBorders/>
            <w:shd w:fill="CCEEFF" w:val="clear"/>
            <w:vAlign w:val="bottom"/>
          </w:tcPr>
          <w:p>
            <w:pPr>
              <w:pStyle w:val="TableContents"/>
              <w:spacing w:before="0" w:after="0"/>
              <w:ind w:left="0" w:right="0" w:hanging="0"/>
              <w:jc w:val="left"/>
              <w:rPr>
                <w:rFonts w:ascii="helvetica" w:hAnsi="helvetica"/>
                <w:sz w:val="20"/>
              </w:rPr>
            </w:pPr>
            <w:r>
              <w:rPr>
                <w:rFonts w:ascii="helvetica" w:hAnsi="helvetica"/>
                <w:sz w:val="20"/>
              </w:rPr>
              <w:t>Adjustments to reconcile net loss to net cash used in</w:t>
            </w:r>
          </w:p>
        </w:tc>
        <w:tc>
          <w:tcPr>
            <w:tcW w:w="10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16" w:type="dxa"/>
            <w:tcBorders/>
            <w:shd w:fill="CCEEFF" w:val="clear"/>
            <w:vAlign w:val="bottom"/>
          </w:tcPr>
          <w:p>
            <w:pPr>
              <w:pStyle w:val="TableContents"/>
              <w:spacing w:before="0" w:after="283"/>
              <w:jc w:val="right"/>
              <w:rPr/>
            </w:pPr>
            <w:r>
              <w:rPr/>
              <w:t> </w:t>
            </w:r>
          </w:p>
        </w:tc>
        <w:tc>
          <w:tcPr>
            <w:tcW w:w="110" w:type="dxa"/>
            <w:tcBorders/>
            <w:shd w:fill="CCEEFF" w:val="clear"/>
            <w:vAlign w:val="bottom"/>
          </w:tcPr>
          <w:p>
            <w:pPr>
              <w:pStyle w:val="TableContents"/>
              <w:spacing w:before="0" w:after="283"/>
              <w:jc w:val="left"/>
              <w:rPr/>
            </w:pPr>
            <w:r>
              <w:rPr/>
              <w:t> </w:t>
            </w:r>
          </w:p>
        </w:tc>
        <w:tc>
          <w:tcPr>
            <w:tcW w:w="10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69" w:type="dxa"/>
            <w:tcBorders/>
            <w:shd w:fill="CCEEFF" w:val="clear"/>
            <w:vAlign w:val="bottom"/>
          </w:tcPr>
          <w:p>
            <w:pPr>
              <w:pStyle w:val="TableContents"/>
              <w:spacing w:before="0" w:after="283"/>
              <w:jc w:val="right"/>
              <w:rPr/>
            </w:pPr>
            <w:r>
              <w:rPr/>
              <w:t> </w:t>
            </w:r>
          </w:p>
        </w:tc>
        <w:tc>
          <w:tcPr>
            <w:tcW w:w="110" w:type="dxa"/>
            <w:tcBorders/>
            <w:shd w:fill="CCEEFF" w:val="clear"/>
            <w:vAlign w:val="bottom"/>
          </w:tcPr>
          <w:p>
            <w:pPr>
              <w:pStyle w:val="TableContents"/>
              <w:spacing w:before="0" w:after="283"/>
              <w:jc w:val="left"/>
              <w:rPr/>
            </w:pPr>
            <w:r>
              <w:rPr/>
              <w:t> </w:t>
            </w:r>
          </w:p>
        </w:tc>
        <w:tc>
          <w:tcPr>
            <w:tcW w:w="10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103" w:type="dxa"/>
            <w:tcBorders/>
            <w:shd w:fill="CCEEFF" w:val="clear"/>
            <w:vAlign w:val="bottom"/>
          </w:tcPr>
          <w:p>
            <w:pPr>
              <w:pStyle w:val="TableContents"/>
              <w:spacing w:before="0" w:after="283"/>
              <w:jc w:val="right"/>
              <w:rPr/>
            </w:pPr>
            <w:r>
              <w:rPr/>
              <w:t> </w:t>
            </w:r>
          </w:p>
        </w:tc>
        <w:tc>
          <w:tcPr>
            <w:tcW w:w="121" w:type="dxa"/>
            <w:tcBorders/>
            <w:shd w:fill="CCEEFF" w:val="clear"/>
            <w:vAlign w:val="bottom"/>
          </w:tcPr>
          <w:p>
            <w:pPr>
              <w:pStyle w:val="TableContents"/>
              <w:spacing w:before="0" w:after="283"/>
              <w:jc w:val="left"/>
              <w:rPr/>
            </w:pPr>
            <w:r>
              <w:rPr/>
              <w:t> </w:t>
            </w:r>
          </w:p>
        </w:tc>
      </w:tr>
      <w:tr>
        <w:trPr/>
        <w:tc>
          <w:tcPr>
            <w:tcW w:w="5990" w:type="dxa"/>
            <w:tcBorders/>
            <w:shd w:fill="FFFFFF" w:val="clear"/>
            <w:vAlign w:val="bottom"/>
          </w:tcPr>
          <w:p>
            <w:pPr>
              <w:pStyle w:val="TableContents"/>
              <w:spacing w:before="0" w:after="0"/>
              <w:ind w:left="0" w:right="0" w:hanging="0"/>
              <w:jc w:val="left"/>
              <w:rPr>
                <w:rFonts w:ascii="helvetica" w:hAnsi="helvetica"/>
                <w:sz w:val="20"/>
              </w:rPr>
            </w:pPr>
            <w:r>
              <w:rPr>
                <w:rFonts w:ascii="helvetica" w:hAnsi="helvetica"/>
                <w:sz w:val="20"/>
              </w:rPr>
              <w:t>operating activities:</w:t>
            </w:r>
          </w:p>
        </w:tc>
        <w:tc>
          <w:tcPr>
            <w:tcW w:w="104"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16" w:type="dxa"/>
            <w:tcBorders/>
            <w:shd w:fill="FFFFFF" w:val="clear"/>
            <w:vAlign w:val="bottom"/>
          </w:tcPr>
          <w:p>
            <w:pPr>
              <w:pStyle w:val="TableContents"/>
              <w:spacing w:before="0" w:after="283"/>
              <w:jc w:val="right"/>
              <w:rPr/>
            </w:pPr>
            <w:r>
              <w:rPr/>
              <w:t> </w:t>
            </w:r>
          </w:p>
        </w:tc>
        <w:tc>
          <w:tcPr>
            <w:tcW w:w="110" w:type="dxa"/>
            <w:tcBorders/>
            <w:shd w:fill="FFFFFF" w:val="clear"/>
            <w:vAlign w:val="bottom"/>
          </w:tcPr>
          <w:p>
            <w:pPr>
              <w:pStyle w:val="TableContents"/>
              <w:spacing w:before="0" w:after="283"/>
              <w:jc w:val="left"/>
              <w:rPr/>
            </w:pPr>
            <w:r>
              <w:rPr/>
              <w:t> </w:t>
            </w:r>
          </w:p>
        </w:tc>
        <w:tc>
          <w:tcPr>
            <w:tcW w:w="104"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69" w:type="dxa"/>
            <w:tcBorders/>
            <w:shd w:fill="FFFFFF" w:val="clear"/>
            <w:vAlign w:val="bottom"/>
          </w:tcPr>
          <w:p>
            <w:pPr>
              <w:pStyle w:val="TableContents"/>
              <w:spacing w:before="0" w:after="283"/>
              <w:jc w:val="right"/>
              <w:rPr/>
            </w:pPr>
            <w:r>
              <w:rPr/>
              <w:t> </w:t>
            </w:r>
          </w:p>
        </w:tc>
        <w:tc>
          <w:tcPr>
            <w:tcW w:w="110" w:type="dxa"/>
            <w:tcBorders/>
            <w:shd w:fill="FFFFFF" w:val="clear"/>
            <w:vAlign w:val="bottom"/>
          </w:tcPr>
          <w:p>
            <w:pPr>
              <w:pStyle w:val="TableContents"/>
              <w:spacing w:before="0" w:after="283"/>
              <w:jc w:val="left"/>
              <w:rPr/>
            </w:pPr>
            <w:r>
              <w:rPr/>
              <w:t> </w:t>
            </w:r>
          </w:p>
        </w:tc>
        <w:tc>
          <w:tcPr>
            <w:tcW w:w="103"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103" w:type="dxa"/>
            <w:tcBorders/>
            <w:shd w:fill="FFFFFF" w:val="clear"/>
            <w:vAlign w:val="bottom"/>
          </w:tcPr>
          <w:p>
            <w:pPr>
              <w:pStyle w:val="TableContents"/>
              <w:spacing w:before="0" w:after="283"/>
              <w:jc w:val="right"/>
              <w:rPr/>
            </w:pPr>
            <w:r>
              <w:rPr/>
              <w:t> </w:t>
            </w:r>
          </w:p>
        </w:tc>
        <w:tc>
          <w:tcPr>
            <w:tcW w:w="121" w:type="dxa"/>
            <w:tcBorders/>
            <w:shd w:fill="FFFFFF" w:val="clear"/>
            <w:vAlign w:val="bottom"/>
          </w:tcPr>
          <w:p>
            <w:pPr>
              <w:pStyle w:val="TableContents"/>
              <w:spacing w:before="0" w:after="283"/>
              <w:jc w:val="left"/>
              <w:rPr/>
            </w:pPr>
            <w:r>
              <w:rPr/>
              <w:t> </w:t>
            </w:r>
          </w:p>
        </w:tc>
      </w:tr>
      <w:tr>
        <w:trPr/>
        <w:tc>
          <w:tcPr>
            <w:tcW w:w="5990" w:type="dxa"/>
            <w:tcBorders/>
            <w:shd w:fill="CCEEFF" w:val="clear"/>
            <w:vAlign w:val="bottom"/>
          </w:tcPr>
          <w:p>
            <w:pPr>
              <w:pStyle w:val="TableContents"/>
              <w:spacing w:before="0" w:after="0"/>
              <w:ind w:left="0" w:right="0" w:hanging="0"/>
              <w:jc w:val="left"/>
              <w:rPr/>
            </w:pPr>
            <w:r>
              <w:rPr/>
              <w:t>     </w:t>
            </w:r>
            <w:r>
              <w:rPr>
                <w:rFonts w:ascii="helvetica" w:hAnsi="helvetica"/>
                <w:sz w:val="20"/>
              </w:rPr>
              <w:t>Estimated fair value of contributed services</w:t>
            </w:r>
          </w:p>
        </w:tc>
        <w:tc>
          <w:tcPr>
            <w:tcW w:w="10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16"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w:t>
            </w:r>
          </w:p>
        </w:tc>
        <w:tc>
          <w:tcPr>
            <w:tcW w:w="110" w:type="dxa"/>
            <w:tcBorders/>
            <w:shd w:fill="CCEEFF" w:val="clear"/>
            <w:vAlign w:val="bottom"/>
          </w:tcPr>
          <w:p>
            <w:pPr>
              <w:pStyle w:val="TableContents"/>
              <w:spacing w:before="0" w:after="283"/>
              <w:jc w:val="left"/>
              <w:rPr/>
            </w:pPr>
            <w:r>
              <w:rPr/>
              <w:t> </w:t>
            </w:r>
          </w:p>
        </w:tc>
        <w:tc>
          <w:tcPr>
            <w:tcW w:w="10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69"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w:t>
            </w:r>
          </w:p>
        </w:tc>
        <w:tc>
          <w:tcPr>
            <w:tcW w:w="110" w:type="dxa"/>
            <w:tcBorders/>
            <w:shd w:fill="CCEEFF" w:val="clear"/>
            <w:vAlign w:val="bottom"/>
          </w:tcPr>
          <w:p>
            <w:pPr>
              <w:pStyle w:val="TableContents"/>
              <w:spacing w:before="0" w:after="283"/>
              <w:jc w:val="left"/>
              <w:rPr/>
            </w:pPr>
            <w:r>
              <w:rPr/>
              <w:t> </w:t>
            </w:r>
          </w:p>
        </w:tc>
        <w:tc>
          <w:tcPr>
            <w:tcW w:w="10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103"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2,475,000</w:t>
            </w:r>
          </w:p>
        </w:tc>
        <w:tc>
          <w:tcPr>
            <w:tcW w:w="121" w:type="dxa"/>
            <w:tcBorders/>
            <w:shd w:fill="CCEEFF" w:val="clear"/>
            <w:vAlign w:val="bottom"/>
          </w:tcPr>
          <w:p>
            <w:pPr>
              <w:pStyle w:val="TableContents"/>
              <w:spacing w:before="0" w:after="283"/>
              <w:jc w:val="left"/>
              <w:rPr/>
            </w:pPr>
            <w:r>
              <w:rPr/>
              <w:t> </w:t>
            </w:r>
          </w:p>
        </w:tc>
      </w:tr>
      <w:tr>
        <w:trPr/>
        <w:tc>
          <w:tcPr>
            <w:tcW w:w="5990" w:type="dxa"/>
            <w:tcBorders/>
            <w:shd w:fill="FFFFFF" w:val="clear"/>
            <w:vAlign w:val="bottom"/>
          </w:tcPr>
          <w:p>
            <w:pPr>
              <w:pStyle w:val="TableContents"/>
              <w:spacing w:before="0" w:after="0"/>
              <w:ind w:left="0" w:right="0" w:hanging="0"/>
              <w:jc w:val="left"/>
              <w:rPr/>
            </w:pPr>
            <w:r>
              <w:rPr/>
              <w:t>     </w:t>
            </w:r>
            <w:r>
              <w:rPr>
                <w:rFonts w:ascii="helvetica" w:hAnsi="helvetica"/>
                <w:sz w:val="20"/>
              </w:rPr>
              <w:t>Gain on forgiveness of liabilities</w:t>
            </w:r>
          </w:p>
        </w:tc>
        <w:tc>
          <w:tcPr>
            <w:tcW w:w="104"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16"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(60,292</w:t>
            </w:r>
          </w:p>
        </w:tc>
        <w:tc>
          <w:tcPr>
            <w:tcW w:w="110" w:type="dxa"/>
            <w:tcBorders/>
            <w:shd w:fill="FFFFFF" w:val="clear"/>
            <w:vAlign w:val="bottom"/>
          </w:tcPr>
          <w:p>
            <w:pPr>
              <w:pStyle w:val="TableContents"/>
              <w:spacing w:before="0" w:after="283"/>
              <w:jc w:val="left"/>
              <w:rPr>
                <w:rFonts w:ascii="helvetica" w:hAnsi="helvetica"/>
                <w:sz w:val="20"/>
              </w:rPr>
            </w:pPr>
            <w:r>
              <w:rPr>
                <w:rFonts w:ascii="helvetica" w:hAnsi="helvetica"/>
                <w:sz w:val="20"/>
              </w:rPr>
              <w:t>)</w:t>
            </w:r>
          </w:p>
        </w:tc>
        <w:tc>
          <w:tcPr>
            <w:tcW w:w="104"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69"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(26,299</w:t>
            </w:r>
          </w:p>
        </w:tc>
        <w:tc>
          <w:tcPr>
            <w:tcW w:w="110" w:type="dxa"/>
            <w:tcBorders/>
            <w:shd w:fill="FFFFFF" w:val="clear"/>
            <w:vAlign w:val="bottom"/>
          </w:tcPr>
          <w:p>
            <w:pPr>
              <w:pStyle w:val="TableContents"/>
              <w:spacing w:before="0" w:after="283"/>
              <w:jc w:val="left"/>
              <w:rPr>
                <w:rFonts w:ascii="helvetica" w:hAnsi="helvetica"/>
                <w:sz w:val="20"/>
              </w:rPr>
            </w:pPr>
            <w:r>
              <w:rPr>
                <w:rFonts w:ascii="helvetica" w:hAnsi="helvetica"/>
                <w:sz w:val="20"/>
              </w:rPr>
              <w:t>)</w:t>
            </w:r>
          </w:p>
        </w:tc>
        <w:tc>
          <w:tcPr>
            <w:tcW w:w="103"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103"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(176,505</w:t>
            </w:r>
          </w:p>
        </w:tc>
        <w:tc>
          <w:tcPr>
            <w:tcW w:w="121" w:type="dxa"/>
            <w:tcBorders/>
            <w:shd w:fill="FFFFFF" w:val="clear"/>
            <w:vAlign w:val="bottom"/>
          </w:tcPr>
          <w:p>
            <w:pPr>
              <w:pStyle w:val="TableContents"/>
              <w:spacing w:before="0" w:after="283"/>
              <w:jc w:val="left"/>
              <w:rPr>
                <w:rFonts w:ascii="helvetica" w:hAnsi="helvetica"/>
                <w:sz w:val="20"/>
              </w:rPr>
            </w:pPr>
            <w:r>
              <w:rPr>
                <w:rFonts w:ascii="helvetica" w:hAnsi="helvetica"/>
                <w:sz w:val="20"/>
              </w:rPr>
              <w:t>)</w:t>
            </w:r>
          </w:p>
        </w:tc>
      </w:tr>
      <w:tr>
        <w:trPr/>
        <w:tc>
          <w:tcPr>
            <w:tcW w:w="5990" w:type="dxa"/>
            <w:tcBorders/>
            <w:shd w:fill="CCEEFF" w:val="clear"/>
            <w:vAlign w:val="bottom"/>
          </w:tcPr>
          <w:p>
            <w:pPr>
              <w:pStyle w:val="TableContents"/>
              <w:spacing w:before="0" w:after="0"/>
              <w:ind w:left="0" w:right="0" w:hanging="0"/>
              <w:jc w:val="left"/>
              <w:rPr/>
            </w:pPr>
            <w:r>
              <w:rPr/>
              <w:t>     </w:t>
            </w:r>
            <w:r>
              <w:rPr>
                <w:rFonts w:ascii="helvetica" w:hAnsi="helvetica"/>
                <w:sz w:val="20"/>
              </w:rPr>
              <w:t>Amortization of prepaid consulting fees</w:t>
            </w:r>
          </w:p>
        </w:tc>
        <w:tc>
          <w:tcPr>
            <w:tcW w:w="10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16"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w:t>
            </w:r>
          </w:p>
        </w:tc>
        <w:tc>
          <w:tcPr>
            <w:tcW w:w="110" w:type="dxa"/>
            <w:tcBorders/>
            <w:shd w:fill="CCEEFF" w:val="clear"/>
            <w:vAlign w:val="bottom"/>
          </w:tcPr>
          <w:p>
            <w:pPr>
              <w:pStyle w:val="TableContents"/>
              <w:spacing w:before="0" w:after="283"/>
              <w:jc w:val="left"/>
              <w:rPr/>
            </w:pPr>
            <w:r>
              <w:rPr/>
              <w:t> </w:t>
            </w:r>
          </w:p>
        </w:tc>
        <w:tc>
          <w:tcPr>
            <w:tcW w:w="10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69"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235,600</w:t>
            </w:r>
          </w:p>
        </w:tc>
        <w:tc>
          <w:tcPr>
            <w:tcW w:w="110" w:type="dxa"/>
            <w:tcBorders/>
            <w:shd w:fill="CCEEFF" w:val="clear"/>
            <w:vAlign w:val="bottom"/>
          </w:tcPr>
          <w:p>
            <w:pPr>
              <w:pStyle w:val="TableContents"/>
              <w:spacing w:before="0" w:after="283"/>
              <w:jc w:val="left"/>
              <w:rPr/>
            </w:pPr>
            <w:r>
              <w:rPr/>
              <w:t> </w:t>
            </w:r>
          </w:p>
        </w:tc>
        <w:tc>
          <w:tcPr>
            <w:tcW w:w="10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103"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807,608</w:t>
            </w:r>
          </w:p>
        </w:tc>
        <w:tc>
          <w:tcPr>
            <w:tcW w:w="121" w:type="dxa"/>
            <w:tcBorders/>
            <w:shd w:fill="CCEEFF" w:val="clear"/>
            <w:vAlign w:val="bottom"/>
          </w:tcPr>
          <w:p>
            <w:pPr>
              <w:pStyle w:val="TableContents"/>
              <w:spacing w:before="0" w:after="283"/>
              <w:jc w:val="left"/>
              <w:rPr/>
            </w:pPr>
            <w:r>
              <w:rPr/>
              <w:t> </w:t>
            </w:r>
          </w:p>
        </w:tc>
      </w:tr>
      <w:tr>
        <w:trPr/>
        <w:tc>
          <w:tcPr>
            <w:tcW w:w="5990" w:type="dxa"/>
            <w:tcBorders/>
            <w:shd w:fill="FFFFFF" w:val="clear"/>
            <w:vAlign w:val="bottom"/>
          </w:tcPr>
          <w:p>
            <w:pPr>
              <w:pStyle w:val="TableContents"/>
              <w:spacing w:before="0" w:after="0"/>
              <w:ind w:left="0" w:right="0" w:hanging="0"/>
              <w:jc w:val="left"/>
              <w:rPr/>
            </w:pPr>
            <w:r>
              <w:rPr/>
              <w:t>     </w:t>
            </w:r>
            <w:r>
              <w:rPr>
                <w:rFonts w:ascii="helvetica" w:hAnsi="helvetica"/>
                <w:sz w:val="20"/>
              </w:rPr>
              <w:t>Depreciation</w:t>
            </w:r>
          </w:p>
        </w:tc>
        <w:tc>
          <w:tcPr>
            <w:tcW w:w="104"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16"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338</w:t>
            </w:r>
          </w:p>
        </w:tc>
        <w:tc>
          <w:tcPr>
            <w:tcW w:w="110" w:type="dxa"/>
            <w:tcBorders/>
            <w:shd w:fill="FFFFFF" w:val="clear"/>
            <w:vAlign w:val="bottom"/>
          </w:tcPr>
          <w:p>
            <w:pPr>
              <w:pStyle w:val="TableContents"/>
              <w:spacing w:before="0" w:after="283"/>
              <w:jc w:val="left"/>
              <w:rPr/>
            </w:pPr>
            <w:r>
              <w:rPr/>
              <w:t> </w:t>
            </w:r>
          </w:p>
        </w:tc>
        <w:tc>
          <w:tcPr>
            <w:tcW w:w="104"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69"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1,056</w:t>
            </w:r>
          </w:p>
        </w:tc>
        <w:tc>
          <w:tcPr>
            <w:tcW w:w="110" w:type="dxa"/>
            <w:tcBorders/>
            <w:shd w:fill="FFFFFF" w:val="clear"/>
            <w:vAlign w:val="bottom"/>
          </w:tcPr>
          <w:p>
            <w:pPr>
              <w:pStyle w:val="TableContents"/>
              <w:spacing w:before="0" w:after="283"/>
              <w:jc w:val="left"/>
              <w:rPr/>
            </w:pPr>
            <w:r>
              <w:rPr/>
              <w:t> </w:t>
            </w:r>
          </w:p>
        </w:tc>
        <w:tc>
          <w:tcPr>
            <w:tcW w:w="103"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103"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3,154</w:t>
            </w:r>
          </w:p>
        </w:tc>
        <w:tc>
          <w:tcPr>
            <w:tcW w:w="121" w:type="dxa"/>
            <w:tcBorders/>
            <w:shd w:fill="FFFFFF" w:val="clear"/>
            <w:vAlign w:val="bottom"/>
          </w:tcPr>
          <w:p>
            <w:pPr>
              <w:pStyle w:val="TableContents"/>
              <w:spacing w:before="0" w:after="283"/>
              <w:jc w:val="left"/>
              <w:rPr/>
            </w:pPr>
            <w:r>
              <w:rPr/>
              <w:t> </w:t>
            </w:r>
          </w:p>
        </w:tc>
      </w:tr>
      <w:tr>
        <w:trPr/>
        <w:tc>
          <w:tcPr>
            <w:tcW w:w="5990" w:type="dxa"/>
            <w:tcBorders/>
            <w:shd w:fill="CCEEFF" w:val="clear"/>
            <w:vAlign w:val="bottom"/>
          </w:tcPr>
          <w:p>
            <w:pPr>
              <w:pStyle w:val="TableContents"/>
              <w:spacing w:before="0" w:after="0"/>
              <w:ind w:left="0" w:right="0" w:hanging="0"/>
              <w:jc w:val="left"/>
              <w:rPr/>
            </w:pPr>
            <w:r>
              <w:rPr/>
              <w:t>     </w:t>
            </w:r>
            <w:r>
              <w:rPr>
                <w:rFonts w:ascii="helvetica" w:hAnsi="helvetica"/>
                <w:sz w:val="20"/>
              </w:rPr>
              <w:t>Non-cash interest on notes payable</w:t>
            </w:r>
          </w:p>
        </w:tc>
        <w:tc>
          <w:tcPr>
            <w:tcW w:w="10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16"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75,000</w:t>
            </w:r>
          </w:p>
        </w:tc>
        <w:tc>
          <w:tcPr>
            <w:tcW w:w="110" w:type="dxa"/>
            <w:tcBorders/>
            <w:shd w:fill="CCEEFF" w:val="clear"/>
            <w:vAlign w:val="bottom"/>
          </w:tcPr>
          <w:p>
            <w:pPr>
              <w:pStyle w:val="TableContents"/>
              <w:spacing w:before="0" w:after="283"/>
              <w:jc w:val="left"/>
              <w:rPr/>
            </w:pPr>
            <w:r>
              <w:rPr/>
              <w:t> </w:t>
            </w:r>
          </w:p>
        </w:tc>
        <w:tc>
          <w:tcPr>
            <w:tcW w:w="10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69"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55,479</w:t>
            </w:r>
          </w:p>
        </w:tc>
        <w:tc>
          <w:tcPr>
            <w:tcW w:w="110" w:type="dxa"/>
            <w:tcBorders/>
            <w:shd w:fill="CCEEFF" w:val="clear"/>
            <w:vAlign w:val="bottom"/>
          </w:tcPr>
          <w:p>
            <w:pPr>
              <w:pStyle w:val="TableContents"/>
              <w:spacing w:before="0" w:after="283"/>
              <w:jc w:val="left"/>
              <w:rPr/>
            </w:pPr>
            <w:r>
              <w:rPr/>
              <w:t> </w:t>
            </w:r>
          </w:p>
        </w:tc>
        <w:tc>
          <w:tcPr>
            <w:tcW w:w="10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103"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1,706,234</w:t>
            </w:r>
          </w:p>
        </w:tc>
        <w:tc>
          <w:tcPr>
            <w:tcW w:w="121" w:type="dxa"/>
            <w:tcBorders/>
            <w:shd w:fill="CCEEFF" w:val="clear"/>
            <w:vAlign w:val="bottom"/>
          </w:tcPr>
          <w:p>
            <w:pPr>
              <w:pStyle w:val="TableContents"/>
              <w:spacing w:before="0" w:after="283"/>
              <w:jc w:val="left"/>
              <w:rPr/>
            </w:pPr>
            <w:r>
              <w:rPr/>
              <w:t> </w:t>
            </w:r>
          </w:p>
        </w:tc>
      </w:tr>
      <w:tr>
        <w:trPr/>
        <w:tc>
          <w:tcPr>
            <w:tcW w:w="5990" w:type="dxa"/>
            <w:tcBorders/>
            <w:shd w:fill="FFFFFF" w:val="clear"/>
            <w:vAlign w:val="bottom"/>
          </w:tcPr>
          <w:p>
            <w:pPr>
              <w:pStyle w:val="TableContents"/>
              <w:spacing w:before="0" w:after="0"/>
              <w:ind w:left="0" w:right="0" w:hanging="0"/>
              <w:jc w:val="left"/>
              <w:rPr/>
            </w:pPr>
            <w:r>
              <w:rPr/>
              <w:t>     </w:t>
            </w:r>
            <w:r>
              <w:rPr>
                <w:rFonts w:ascii="helvetica" w:hAnsi="helvetica"/>
                <w:sz w:val="20"/>
              </w:rPr>
              <w:t>Stock-based compensation</w:t>
            </w:r>
          </w:p>
        </w:tc>
        <w:tc>
          <w:tcPr>
            <w:tcW w:w="104"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16"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192,153</w:t>
            </w:r>
          </w:p>
        </w:tc>
        <w:tc>
          <w:tcPr>
            <w:tcW w:w="110" w:type="dxa"/>
            <w:tcBorders/>
            <w:shd w:fill="FFFFFF" w:val="clear"/>
            <w:vAlign w:val="bottom"/>
          </w:tcPr>
          <w:p>
            <w:pPr>
              <w:pStyle w:val="TableContents"/>
              <w:spacing w:before="0" w:after="283"/>
              <w:jc w:val="left"/>
              <w:rPr/>
            </w:pPr>
            <w:r>
              <w:rPr/>
              <w:t> </w:t>
            </w:r>
          </w:p>
        </w:tc>
        <w:tc>
          <w:tcPr>
            <w:tcW w:w="104"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69"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680,195</w:t>
            </w:r>
          </w:p>
        </w:tc>
        <w:tc>
          <w:tcPr>
            <w:tcW w:w="110" w:type="dxa"/>
            <w:tcBorders/>
            <w:shd w:fill="FFFFFF" w:val="clear"/>
            <w:vAlign w:val="bottom"/>
          </w:tcPr>
          <w:p>
            <w:pPr>
              <w:pStyle w:val="TableContents"/>
              <w:spacing w:before="0" w:after="283"/>
              <w:jc w:val="left"/>
              <w:rPr/>
            </w:pPr>
            <w:r>
              <w:rPr/>
              <w:t> </w:t>
            </w:r>
          </w:p>
        </w:tc>
        <w:tc>
          <w:tcPr>
            <w:tcW w:w="103"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103"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2,128,816</w:t>
            </w:r>
          </w:p>
        </w:tc>
        <w:tc>
          <w:tcPr>
            <w:tcW w:w="121" w:type="dxa"/>
            <w:tcBorders/>
            <w:shd w:fill="FFFFFF" w:val="clear"/>
            <w:vAlign w:val="bottom"/>
          </w:tcPr>
          <w:p>
            <w:pPr>
              <w:pStyle w:val="TableContents"/>
              <w:spacing w:before="0" w:after="283"/>
              <w:jc w:val="left"/>
              <w:rPr/>
            </w:pPr>
            <w:r>
              <w:rPr/>
              <w:t> </w:t>
            </w:r>
          </w:p>
        </w:tc>
      </w:tr>
      <w:tr>
        <w:trPr/>
        <w:tc>
          <w:tcPr>
            <w:tcW w:w="5990" w:type="dxa"/>
            <w:tcBorders/>
            <w:shd w:fill="CCEEFF" w:val="clear"/>
            <w:vAlign w:val="bottom"/>
          </w:tcPr>
          <w:p>
            <w:pPr>
              <w:pStyle w:val="TableContents"/>
              <w:spacing w:before="0" w:after="0"/>
              <w:ind w:left="0" w:right="0" w:hanging="0"/>
              <w:jc w:val="left"/>
              <w:rPr/>
            </w:pPr>
            <w:r>
              <w:rPr/>
              <w:t>     </w:t>
            </w:r>
            <w:r>
              <w:rPr>
                <w:rFonts w:ascii="helvetica" w:hAnsi="helvetica"/>
                <w:sz w:val="20"/>
              </w:rPr>
              <w:t>Payments made on behalf of Company by related party</w:t>
            </w:r>
          </w:p>
        </w:tc>
        <w:tc>
          <w:tcPr>
            <w:tcW w:w="10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16"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254,142</w:t>
            </w:r>
          </w:p>
        </w:tc>
        <w:tc>
          <w:tcPr>
            <w:tcW w:w="110" w:type="dxa"/>
            <w:tcBorders/>
            <w:shd w:fill="CCEEFF" w:val="clear"/>
            <w:vAlign w:val="bottom"/>
          </w:tcPr>
          <w:p>
            <w:pPr>
              <w:pStyle w:val="TableContents"/>
              <w:spacing w:before="0" w:after="283"/>
              <w:jc w:val="left"/>
              <w:rPr/>
            </w:pPr>
            <w:r>
              <w:rPr/>
              <w:t> </w:t>
            </w:r>
          </w:p>
        </w:tc>
        <w:tc>
          <w:tcPr>
            <w:tcW w:w="10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69"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w:t>
            </w:r>
          </w:p>
        </w:tc>
        <w:tc>
          <w:tcPr>
            <w:tcW w:w="110" w:type="dxa"/>
            <w:tcBorders/>
            <w:shd w:fill="CCEEFF" w:val="clear"/>
            <w:vAlign w:val="bottom"/>
          </w:tcPr>
          <w:p>
            <w:pPr>
              <w:pStyle w:val="TableContents"/>
              <w:spacing w:before="0" w:after="283"/>
              <w:jc w:val="left"/>
              <w:rPr/>
            </w:pPr>
            <w:r>
              <w:rPr/>
              <w:t> </w:t>
            </w:r>
          </w:p>
        </w:tc>
        <w:tc>
          <w:tcPr>
            <w:tcW w:w="10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103"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254,142</w:t>
            </w:r>
          </w:p>
        </w:tc>
        <w:tc>
          <w:tcPr>
            <w:tcW w:w="121" w:type="dxa"/>
            <w:tcBorders/>
            <w:shd w:fill="CCEEFF" w:val="clear"/>
            <w:vAlign w:val="bottom"/>
          </w:tcPr>
          <w:p>
            <w:pPr>
              <w:pStyle w:val="TableContents"/>
              <w:spacing w:before="0" w:after="283"/>
              <w:jc w:val="left"/>
              <w:rPr/>
            </w:pPr>
            <w:r>
              <w:rPr/>
              <w:t> </w:t>
            </w:r>
          </w:p>
        </w:tc>
      </w:tr>
      <w:tr>
        <w:trPr/>
        <w:tc>
          <w:tcPr>
            <w:tcW w:w="5990" w:type="dxa"/>
            <w:tcBorders/>
            <w:shd w:fill="FFFFFF" w:val="clear"/>
            <w:vAlign w:val="bottom"/>
          </w:tcPr>
          <w:p>
            <w:pPr>
              <w:pStyle w:val="TableContents"/>
              <w:spacing w:before="0" w:after="0"/>
              <w:ind w:left="0" w:right="0" w:hanging="0"/>
              <w:jc w:val="left"/>
              <w:rPr>
                <w:rFonts w:ascii="helvetica" w:hAnsi="helvetica"/>
                <w:sz w:val="20"/>
              </w:rPr>
            </w:pPr>
            <w:r>
              <w:rPr>
                <w:rFonts w:ascii="helvetica" w:hAnsi="helvetica"/>
                <w:sz w:val="20"/>
              </w:rPr>
              <w:t>Changes in assets and liabilities:</w:t>
            </w:r>
          </w:p>
        </w:tc>
        <w:tc>
          <w:tcPr>
            <w:tcW w:w="104"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16" w:type="dxa"/>
            <w:tcBorders/>
            <w:shd w:fill="FFFFFF" w:val="clear"/>
            <w:vAlign w:val="bottom"/>
          </w:tcPr>
          <w:p>
            <w:pPr>
              <w:pStyle w:val="TableContents"/>
              <w:spacing w:before="0" w:after="283"/>
              <w:jc w:val="right"/>
              <w:rPr/>
            </w:pPr>
            <w:r>
              <w:rPr/>
              <w:t> </w:t>
            </w:r>
          </w:p>
        </w:tc>
        <w:tc>
          <w:tcPr>
            <w:tcW w:w="110" w:type="dxa"/>
            <w:tcBorders/>
            <w:shd w:fill="FFFFFF" w:val="clear"/>
            <w:vAlign w:val="bottom"/>
          </w:tcPr>
          <w:p>
            <w:pPr>
              <w:pStyle w:val="TableContents"/>
              <w:spacing w:before="0" w:after="283"/>
              <w:jc w:val="left"/>
              <w:rPr/>
            </w:pPr>
            <w:r>
              <w:rPr/>
              <w:t> </w:t>
            </w:r>
          </w:p>
        </w:tc>
        <w:tc>
          <w:tcPr>
            <w:tcW w:w="104"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69" w:type="dxa"/>
            <w:tcBorders/>
            <w:shd w:fill="FFFFFF" w:val="clear"/>
            <w:vAlign w:val="bottom"/>
          </w:tcPr>
          <w:p>
            <w:pPr>
              <w:pStyle w:val="TableContents"/>
              <w:spacing w:before="0" w:after="283"/>
              <w:jc w:val="right"/>
              <w:rPr/>
            </w:pPr>
            <w:r>
              <w:rPr/>
              <w:t> </w:t>
            </w:r>
          </w:p>
        </w:tc>
        <w:tc>
          <w:tcPr>
            <w:tcW w:w="110" w:type="dxa"/>
            <w:tcBorders/>
            <w:shd w:fill="FFFFFF" w:val="clear"/>
            <w:vAlign w:val="bottom"/>
          </w:tcPr>
          <w:p>
            <w:pPr>
              <w:pStyle w:val="TableContents"/>
              <w:spacing w:before="0" w:after="283"/>
              <w:jc w:val="left"/>
              <w:rPr/>
            </w:pPr>
            <w:r>
              <w:rPr/>
              <w:t> </w:t>
            </w:r>
          </w:p>
        </w:tc>
        <w:tc>
          <w:tcPr>
            <w:tcW w:w="103"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103" w:type="dxa"/>
            <w:tcBorders/>
            <w:shd w:fill="FFFFFF" w:val="clear"/>
            <w:vAlign w:val="bottom"/>
          </w:tcPr>
          <w:p>
            <w:pPr>
              <w:pStyle w:val="TableContents"/>
              <w:spacing w:before="0" w:after="283"/>
              <w:jc w:val="right"/>
              <w:rPr/>
            </w:pPr>
            <w:r>
              <w:rPr/>
              <w:t> </w:t>
            </w:r>
          </w:p>
        </w:tc>
        <w:tc>
          <w:tcPr>
            <w:tcW w:w="121" w:type="dxa"/>
            <w:tcBorders/>
            <w:shd w:fill="FFFFFF" w:val="clear"/>
            <w:vAlign w:val="bottom"/>
          </w:tcPr>
          <w:p>
            <w:pPr>
              <w:pStyle w:val="TableContents"/>
              <w:spacing w:before="0" w:after="283"/>
              <w:jc w:val="left"/>
              <w:rPr/>
            </w:pPr>
            <w:r>
              <w:rPr/>
              <w:t> </w:t>
            </w:r>
          </w:p>
        </w:tc>
      </w:tr>
      <w:tr>
        <w:trPr/>
        <w:tc>
          <w:tcPr>
            <w:tcW w:w="5990" w:type="dxa"/>
            <w:tcBorders/>
            <w:shd w:fill="CCEEFF" w:val="clear"/>
            <w:vAlign w:val="bottom"/>
          </w:tcPr>
          <w:p>
            <w:pPr>
              <w:pStyle w:val="TableContents"/>
              <w:spacing w:before="0" w:after="0"/>
              <w:ind w:left="0" w:right="0" w:hanging="0"/>
              <w:jc w:val="left"/>
              <w:rPr/>
            </w:pPr>
            <w:r>
              <w:rPr/>
              <w:t>      </w:t>
            </w:r>
            <w:r>
              <w:rPr>
                <w:rFonts w:ascii="helvetica" w:hAnsi="helvetica"/>
                <w:sz w:val="20"/>
              </w:rPr>
              <w:t>Prepaid consulting costs</w:t>
            </w:r>
          </w:p>
        </w:tc>
        <w:tc>
          <w:tcPr>
            <w:tcW w:w="10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16"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w:t>
            </w:r>
          </w:p>
        </w:tc>
        <w:tc>
          <w:tcPr>
            <w:tcW w:w="110" w:type="dxa"/>
            <w:tcBorders/>
            <w:shd w:fill="CCEEFF" w:val="clear"/>
            <w:vAlign w:val="bottom"/>
          </w:tcPr>
          <w:p>
            <w:pPr>
              <w:pStyle w:val="TableContents"/>
              <w:spacing w:before="0" w:after="283"/>
              <w:jc w:val="left"/>
              <w:rPr/>
            </w:pPr>
            <w:r>
              <w:rPr/>
              <w:t> </w:t>
            </w:r>
          </w:p>
        </w:tc>
        <w:tc>
          <w:tcPr>
            <w:tcW w:w="10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69"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w:t>
            </w:r>
          </w:p>
        </w:tc>
        <w:tc>
          <w:tcPr>
            <w:tcW w:w="110" w:type="dxa"/>
            <w:tcBorders/>
            <w:shd w:fill="CCEEFF" w:val="clear"/>
            <w:vAlign w:val="bottom"/>
          </w:tcPr>
          <w:p>
            <w:pPr>
              <w:pStyle w:val="TableContents"/>
              <w:spacing w:before="0" w:after="283"/>
              <w:jc w:val="left"/>
              <w:rPr/>
            </w:pPr>
            <w:r>
              <w:rPr/>
              <w:t> </w:t>
            </w:r>
          </w:p>
        </w:tc>
        <w:tc>
          <w:tcPr>
            <w:tcW w:w="10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103"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(140,000</w:t>
            </w:r>
          </w:p>
        </w:tc>
        <w:tc>
          <w:tcPr>
            <w:tcW w:w="121" w:type="dxa"/>
            <w:tcBorders/>
            <w:shd w:fill="CCEEFF" w:val="clear"/>
            <w:vAlign w:val="bottom"/>
          </w:tcPr>
          <w:p>
            <w:pPr>
              <w:pStyle w:val="TableContents"/>
              <w:spacing w:before="0" w:after="283"/>
              <w:jc w:val="left"/>
              <w:rPr>
                <w:rFonts w:ascii="helvetica" w:hAnsi="helvetica"/>
                <w:sz w:val="20"/>
              </w:rPr>
            </w:pPr>
            <w:r>
              <w:rPr>
                <w:rFonts w:ascii="helvetica" w:hAnsi="helvetica"/>
                <w:sz w:val="20"/>
              </w:rPr>
              <w:t>)</w:t>
            </w:r>
          </w:p>
        </w:tc>
      </w:tr>
      <w:tr>
        <w:trPr/>
        <w:tc>
          <w:tcPr>
            <w:tcW w:w="5990" w:type="dxa"/>
            <w:tcBorders/>
            <w:shd w:fill="FFFFFF" w:val="clear"/>
            <w:vAlign w:val="bottom"/>
          </w:tcPr>
          <w:p>
            <w:pPr>
              <w:pStyle w:val="TableContents"/>
              <w:spacing w:before="0" w:after="0"/>
              <w:ind w:left="0" w:right="0" w:hanging="0"/>
              <w:jc w:val="left"/>
              <w:rPr/>
            </w:pPr>
            <w:r>
              <w:rPr/>
              <w:t>      </w:t>
            </w:r>
            <w:r>
              <w:rPr>
                <w:rFonts w:ascii="helvetica" w:hAnsi="helvetica"/>
                <w:sz w:val="20"/>
              </w:rPr>
              <w:t>Prepaid expenses and other current assets</w:t>
            </w:r>
          </w:p>
        </w:tc>
        <w:tc>
          <w:tcPr>
            <w:tcW w:w="104"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16"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45,695</w:t>
            </w:r>
          </w:p>
        </w:tc>
        <w:tc>
          <w:tcPr>
            <w:tcW w:w="110" w:type="dxa"/>
            <w:tcBorders/>
            <w:shd w:fill="FFFFFF" w:val="clear"/>
            <w:vAlign w:val="bottom"/>
          </w:tcPr>
          <w:p>
            <w:pPr>
              <w:pStyle w:val="TableContents"/>
              <w:spacing w:before="0" w:after="283"/>
              <w:jc w:val="left"/>
              <w:rPr/>
            </w:pPr>
            <w:r>
              <w:rPr/>
              <w:t> </w:t>
            </w:r>
          </w:p>
        </w:tc>
        <w:tc>
          <w:tcPr>
            <w:tcW w:w="104"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69"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20,425</w:t>
            </w:r>
          </w:p>
        </w:tc>
        <w:tc>
          <w:tcPr>
            <w:tcW w:w="110" w:type="dxa"/>
            <w:tcBorders/>
            <w:shd w:fill="FFFFFF" w:val="clear"/>
            <w:vAlign w:val="bottom"/>
          </w:tcPr>
          <w:p>
            <w:pPr>
              <w:pStyle w:val="TableContents"/>
              <w:spacing w:before="0" w:after="283"/>
              <w:jc w:val="left"/>
              <w:rPr/>
            </w:pPr>
            <w:r>
              <w:rPr/>
              <w:t> </w:t>
            </w:r>
          </w:p>
        </w:tc>
        <w:tc>
          <w:tcPr>
            <w:tcW w:w="103"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103"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(14,797</w:t>
            </w:r>
          </w:p>
        </w:tc>
        <w:tc>
          <w:tcPr>
            <w:tcW w:w="121" w:type="dxa"/>
            <w:tcBorders/>
            <w:shd w:fill="FFFFFF" w:val="clear"/>
            <w:vAlign w:val="bottom"/>
          </w:tcPr>
          <w:p>
            <w:pPr>
              <w:pStyle w:val="TableContents"/>
              <w:spacing w:before="0" w:after="283"/>
              <w:jc w:val="left"/>
              <w:rPr>
                <w:rFonts w:ascii="helvetica" w:hAnsi="helvetica"/>
                <w:sz w:val="20"/>
              </w:rPr>
            </w:pPr>
            <w:r>
              <w:rPr>
                <w:rFonts w:ascii="helvetica" w:hAnsi="helvetica"/>
                <w:sz w:val="20"/>
              </w:rPr>
              <w:t>)</w:t>
            </w:r>
          </w:p>
        </w:tc>
      </w:tr>
      <w:tr>
        <w:trPr/>
        <w:tc>
          <w:tcPr>
            <w:tcW w:w="5990" w:type="dxa"/>
            <w:tcBorders/>
            <w:shd w:fill="CCEEFF" w:val="clear"/>
            <w:vAlign w:val="bottom"/>
          </w:tcPr>
          <w:p>
            <w:pPr>
              <w:pStyle w:val="TableContents"/>
              <w:spacing w:before="0" w:after="0"/>
              <w:ind w:left="0" w:right="0" w:hanging="0"/>
              <w:jc w:val="left"/>
              <w:rPr/>
            </w:pPr>
            <w:r>
              <w:rPr/>
              <w:t>     </w:t>
            </w:r>
            <w:r>
              <w:rPr>
                <w:rFonts w:ascii="helvetica" w:hAnsi="helvetica"/>
                <w:sz w:val="20"/>
              </w:rPr>
              <w:t>Accounts payable</w:t>
            </w:r>
          </w:p>
        </w:tc>
        <w:tc>
          <w:tcPr>
            <w:tcW w:w="10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16"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144,980</w:t>
            </w:r>
          </w:p>
        </w:tc>
        <w:tc>
          <w:tcPr>
            <w:tcW w:w="110" w:type="dxa"/>
            <w:tcBorders/>
            <w:shd w:fill="CCEEFF" w:val="clear"/>
            <w:vAlign w:val="bottom"/>
          </w:tcPr>
          <w:p>
            <w:pPr>
              <w:pStyle w:val="TableContents"/>
              <w:spacing w:before="0" w:after="283"/>
              <w:jc w:val="left"/>
              <w:rPr/>
            </w:pPr>
            <w:r>
              <w:rPr/>
              <w:t> </w:t>
            </w:r>
          </w:p>
        </w:tc>
        <w:tc>
          <w:tcPr>
            <w:tcW w:w="10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69"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(607,382</w:t>
            </w:r>
          </w:p>
        </w:tc>
        <w:tc>
          <w:tcPr>
            <w:tcW w:w="110" w:type="dxa"/>
            <w:tcBorders/>
            <w:shd w:fill="CCEEFF" w:val="clear"/>
            <w:vAlign w:val="bottom"/>
          </w:tcPr>
          <w:p>
            <w:pPr>
              <w:pStyle w:val="TableContents"/>
              <w:spacing w:before="0" w:after="283"/>
              <w:jc w:val="left"/>
              <w:rPr>
                <w:rFonts w:ascii="helvetica" w:hAnsi="helvetica"/>
                <w:sz w:val="20"/>
              </w:rPr>
            </w:pPr>
            <w:r>
              <w:rPr>
                <w:rFonts w:ascii="helvetica" w:hAnsi="helvetica"/>
                <w:sz w:val="20"/>
              </w:rPr>
              <w:t>)</w:t>
            </w:r>
          </w:p>
        </w:tc>
        <w:tc>
          <w:tcPr>
            <w:tcW w:w="10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103"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308,526</w:t>
            </w:r>
          </w:p>
        </w:tc>
        <w:tc>
          <w:tcPr>
            <w:tcW w:w="121" w:type="dxa"/>
            <w:tcBorders/>
            <w:shd w:fill="CCEEFF" w:val="clear"/>
            <w:vAlign w:val="bottom"/>
          </w:tcPr>
          <w:p>
            <w:pPr>
              <w:pStyle w:val="TableContents"/>
              <w:spacing w:before="0" w:after="283"/>
              <w:jc w:val="left"/>
              <w:rPr/>
            </w:pPr>
            <w:r>
              <w:rPr/>
              <w:t> </w:t>
            </w:r>
          </w:p>
        </w:tc>
      </w:tr>
      <w:tr>
        <w:trPr/>
        <w:tc>
          <w:tcPr>
            <w:tcW w:w="5990" w:type="dxa"/>
            <w:tcBorders/>
            <w:shd w:fill="FFFFFF" w:val="clear"/>
            <w:vAlign w:val="bottom"/>
          </w:tcPr>
          <w:p>
            <w:pPr>
              <w:pStyle w:val="TableContents"/>
              <w:spacing w:before="0" w:after="0"/>
              <w:ind w:left="0" w:right="0" w:hanging="0"/>
              <w:jc w:val="left"/>
              <w:rPr/>
            </w:pPr>
            <w:r>
              <w:rPr/>
              <w:t>     </w:t>
            </w:r>
            <w:r>
              <w:rPr>
                <w:rFonts w:ascii="helvetica" w:hAnsi="helvetica"/>
                <w:sz w:val="20"/>
              </w:rPr>
              <w:t>Accrued Phase 3 expenses</w:t>
            </w:r>
          </w:p>
        </w:tc>
        <w:tc>
          <w:tcPr>
            <w:tcW w:w="104"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16"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w:t>
            </w:r>
          </w:p>
        </w:tc>
        <w:tc>
          <w:tcPr>
            <w:tcW w:w="110" w:type="dxa"/>
            <w:tcBorders/>
            <w:shd w:fill="FFFFFF" w:val="clear"/>
            <w:vAlign w:val="bottom"/>
          </w:tcPr>
          <w:p>
            <w:pPr>
              <w:pStyle w:val="TableContents"/>
              <w:spacing w:before="0" w:after="283"/>
              <w:jc w:val="left"/>
              <w:rPr/>
            </w:pPr>
            <w:r>
              <w:rPr/>
              <w:t> </w:t>
            </w:r>
          </w:p>
        </w:tc>
        <w:tc>
          <w:tcPr>
            <w:tcW w:w="104"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69"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(231,762</w:t>
            </w:r>
          </w:p>
        </w:tc>
        <w:tc>
          <w:tcPr>
            <w:tcW w:w="110" w:type="dxa"/>
            <w:tcBorders/>
            <w:shd w:fill="FFFFFF" w:val="clear"/>
            <w:vAlign w:val="bottom"/>
          </w:tcPr>
          <w:p>
            <w:pPr>
              <w:pStyle w:val="TableContents"/>
              <w:spacing w:before="0" w:after="283"/>
              <w:jc w:val="left"/>
              <w:rPr>
                <w:rFonts w:ascii="helvetica" w:hAnsi="helvetica"/>
                <w:sz w:val="20"/>
              </w:rPr>
            </w:pPr>
            <w:r>
              <w:rPr>
                <w:rFonts w:ascii="helvetica" w:hAnsi="helvetica"/>
                <w:sz w:val="20"/>
              </w:rPr>
              <w:t>)</w:t>
            </w:r>
          </w:p>
        </w:tc>
        <w:tc>
          <w:tcPr>
            <w:tcW w:w="103"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103"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111,871</w:t>
            </w:r>
          </w:p>
        </w:tc>
        <w:tc>
          <w:tcPr>
            <w:tcW w:w="121" w:type="dxa"/>
            <w:tcBorders/>
            <w:shd w:fill="FFFFFF" w:val="clear"/>
            <w:vAlign w:val="bottom"/>
          </w:tcPr>
          <w:p>
            <w:pPr>
              <w:pStyle w:val="TableContents"/>
              <w:spacing w:before="0" w:after="283"/>
              <w:jc w:val="left"/>
              <w:rPr/>
            </w:pPr>
            <w:r>
              <w:rPr/>
              <w:t> </w:t>
            </w:r>
          </w:p>
        </w:tc>
      </w:tr>
      <w:tr>
        <w:trPr/>
        <w:tc>
          <w:tcPr>
            <w:tcW w:w="5990" w:type="dxa"/>
            <w:tcBorders/>
            <w:shd w:fill="CCEEFF" w:val="clear"/>
            <w:vAlign w:val="bottom"/>
          </w:tcPr>
          <w:p>
            <w:pPr>
              <w:pStyle w:val="TableContents"/>
              <w:spacing w:before="0" w:after="0"/>
              <w:ind w:left="0" w:right="0" w:hanging="0"/>
              <w:jc w:val="left"/>
              <w:rPr/>
            </w:pPr>
            <w:r>
              <w:rPr/>
              <w:t>     </w:t>
            </w:r>
            <w:r>
              <w:rPr>
                <w:rFonts w:ascii="helvetica" w:hAnsi="helvetica"/>
                <w:sz w:val="20"/>
              </w:rPr>
              <w:t>Accrued expenses and payroll liabilities</w:t>
            </w:r>
          </w:p>
        </w:tc>
        <w:tc>
          <w:tcPr>
            <w:tcW w:w="10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16"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(9,240</w:t>
            </w:r>
          </w:p>
        </w:tc>
        <w:tc>
          <w:tcPr>
            <w:tcW w:w="110" w:type="dxa"/>
            <w:tcBorders/>
            <w:shd w:fill="CCEEFF" w:val="clear"/>
            <w:vAlign w:val="bottom"/>
          </w:tcPr>
          <w:p>
            <w:pPr>
              <w:pStyle w:val="TableContents"/>
              <w:spacing w:before="0" w:after="283"/>
              <w:jc w:val="left"/>
              <w:rPr>
                <w:rFonts w:ascii="helvetica" w:hAnsi="helvetica"/>
                <w:sz w:val="20"/>
              </w:rPr>
            </w:pPr>
            <w:r>
              <w:rPr>
                <w:rFonts w:ascii="helvetica" w:hAnsi="helvetica"/>
                <w:sz w:val="20"/>
              </w:rPr>
              <w:t>)</w:t>
            </w:r>
          </w:p>
        </w:tc>
        <w:tc>
          <w:tcPr>
            <w:tcW w:w="10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69"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25,605</w:t>
            </w:r>
          </w:p>
        </w:tc>
        <w:tc>
          <w:tcPr>
            <w:tcW w:w="110" w:type="dxa"/>
            <w:tcBorders/>
            <w:shd w:fill="CCEEFF" w:val="clear"/>
            <w:vAlign w:val="bottom"/>
          </w:tcPr>
          <w:p>
            <w:pPr>
              <w:pStyle w:val="TableContents"/>
              <w:spacing w:before="0" w:after="283"/>
              <w:jc w:val="left"/>
              <w:rPr/>
            </w:pPr>
            <w:r>
              <w:rPr/>
              <w:t> </w:t>
            </w:r>
          </w:p>
        </w:tc>
        <w:tc>
          <w:tcPr>
            <w:tcW w:w="10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103"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86,591</w:t>
            </w:r>
          </w:p>
        </w:tc>
        <w:tc>
          <w:tcPr>
            <w:tcW w:w="121" w:type="dxa"/>
            <w:tcBorders/>
            <w:shd w:fill="CCEEFF" w:val="clear"/>
            <w:vAlign w:val="bottom"/>
          </w:tcPr>
          <w:p>
            <w:pPr>
              <w:pStyle w:val="TableContents"/>
              <w:spacing w:before="0" w:after="283"/>
              <w:jc w:val="left"/>
              <w:rPr/>
            </w:pPr>
            <w:r>
              <w:rPr/>
              <w:t> </w:t>
            </w:r>
          </w:p>
        </w:tc>
      </w:tr>
      <w:tr>
        <w:trPr/>
        <w:tc>
          <w:tcPr>
            <w:tcW w:w="5990" w:type="dxa"/>
            <w:tcBorders/>
            <w:shd w:fill="FFFFFF" w:val="clear"/>
            <w:vAlign w:val="bottom"/>
          </w:tcPr>
          <w:p>
            <w:pPr>
              <w:pStyle w:val="TableContents"/>
              <w:spacing w:before="0" w:after="0"/>
              <w:ind w:left="0" w:right="0" w:hanging="0"/>
              <w:jc w:val="left"/>
              <w:rPr/>
            </w:pPr>
            <w:r>
              <w:rPr/>
              <w:t>     </w:t>
            </w:r>
            <w:r>
              <w:rPr>
                <w:rFonts w:ascii="helvetica" w:hAnsi="helvetica"/>
                <w:sz w:val="20"/>
              </w:rPr>
              <w:t>Deferred revenue</w:t>
            </w:r>
          </w:p>
        </w:tc>
        <w:tc>
          <w:tcPr>
            <w:tcW w:w="104" w:type="dxa"/>
            <w:tcBorders/>
            <w:shd w:fill="FFFFFF" w:val="clear"/>
            <w:vAlign w:val="bottom"/>
          </w:tcPr>
          <w:p>
            <w:pPr>
              <w:pStyle w:val="TableContents"/>
              <w:spacing w:before="0" w:after="283"/>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16" w:type="dxa"/>
            <w:tcBorders>
              <w:bottom w:val="single" w:sz="12" w:space="0" w:color="000000"/>
            </w:tcBorders>
            <w:shd w:fill="FFFF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20,000</w:t>
            </w:r>
          </w:p>
        </w:tc>
        <w:tc>
          <w:tcPr>
            <w:tcW w:w="110" w:type="dxa"/>
            <w:tcBorders/>
            <w:shd w:fill="FFFFFF" w:val="clear"/>
            <w:vAlign w:val="bottom"/>
          </w:tcPr>
          <w:p>
            <w:pPr>
              <w:pStyle w:val="TableContents"/>
              <w:spacing w:before="0" w:after="283"/>
              <w:jc w:val="left"/>
              <w:rPr/>
            </w:pPr>
            <w:r>
              <w:rPr/>
              <w:t> </w:t>
            </w:r>
          </w:p>
        </w:tc>
        <w:tc>
          <w:tcPr>
            <w:tcW w:w="104" w:type="dxa"/>
            <w:tcBorders/>
            <w:shd w:fill="FFFFFF" w:val="clear"/>
            <w:vAlign w:val="bottom"/>
          </w:tcPr>
          <w:p>
            <w:pPr>
              <w:pStyle w:val="TableContents"/>
              <w:spacing w:before="0" w:after="283"/>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69" w:type="dxa"/>
            <w:tcBorders>
              <w:bottom w:val="single" w:sz="12" w:space="0" w:color="000000"/>
            </w:tcBorders>
            <w:shd w:fill="FFFF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80,000</w:t>
            </w:r>
          </w:p>
        </w:tc>
        <w:tc>
          <w:tcPr>
            <w:tcW w:w="110" w:type="dxa"/>
            <w:tcBorders/>
            <w:shd w:fill="FFFFFF" w:val="clear"/>
            <w:vAlign w:val="bottom"/>
          </w:tcPr>
          <w:p>
            <w:pPr>
              <w:pStyle w:val="TableContents"/>
              <w:spacing w:before="0" w:after="283"/>
              <w:jc w:val="left"/>
              <w:rPr/>
            </w:pPr>
            <w:r>
              <w:rPr/>
              <w:t> </w:t>
            </w:r>
          </w:p>
        </w:tc>
        <w:tc>
          <w:tcPr>
            <w:tcW w:w="103" w:type="dxa"/>
            <w:tcBorders/>
            <w:shd w:fill="FFFFFF" w:val="clear"/>
            <w:vAlign w:val="bottom"/>
          </w:tcPr>
          <w:p>
            <w:pPr>
              <w:pStyle w:val="TableContents"/>
              <w:spacing w:before="0" w:after="283"/>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103" w:type="dxa"/>
            <w:tcBorders>
              <w:bottom w:val="single" w:sz="12" w:space="0" w:color="000000"/>
            </w:tcBorders>
            <w:shd w:fill="FFFF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100,000</w:t>
            </w:r>
          </w:p>
        </w:tc>
        <w:tc>
          <w:tcPr>
            <w:tcW w:w="121" w:type="dxa"/>
            <w:tcBorders/>
            <w:shd w:fill="FFFFFF" w:val="clear"/>
            <w:vAlign w:val="bottom"/>
          </w:tcPr>
          <w:p>
            <w:pPr>
              <w:pStyle w:val="TableContents"/>
              <w:spacing w:before="0" w:after="283"/>
              <w:jc w:val="left"/>
              <w:rPr/>
            </w:pPr>
            <w:r>
              <w:rPr/>
              <w:t> </w:t>
            </w:r>
          </w:p>
        </w:tc>
      </w:tr>
      <w:tr>
        <w:trPr/>
        <w:tc>
          <w:tcPr>
            <w:tcW w:w="5990" w:type="dxa"/>
            <w:tcBorders/>
            <w:shd w:fill="CCEEFF" w:val="clear"/>
            <w:vAlign w:val="bottom"/>
          </w:tcPr>
          <w:p>
            <w:pPr>
              <w:pStyle w:val="TableContents"/>
              <w:spacing w:before="0" w:after="0"/>
              <w:ind w:left="0" w:right="0" w:hanging="0"/>
              <w:jc w:val="left"/>
              <w:rPr>
                <w:rFonts w:ascii="helvetica" w:hAnsi="helvetica"/>
                <w:sz w:val="20"/>
              </w:rPr>
            </w:pPr>
            <w:r>
              <w:rPr>
                <w:rFonts w:ascii="helvetica" w:hAnsi="helvetica"/>
                <w:sz w:val="20"/>
              </w:rPr>
              <w:t>NET CASH USED IN OPERATING ACTIVITIES</w:t>
            </w:r>
          </w:p>
        </w:tc>
        <w:tc>
          <w:tcPr>
            <w:tcW w:w="104" w:type="dxa"/>
            <w:tcBorders/>
            <w:shd w:fill="CCEEFF" w:val="clear"/>
            <w:vAlign w:val="bottom"/>
          </w:tcPr>
          <w:p>
            <w:pPr>
              <w:pStyle w:val="TableContents"/>
              <w:spacing w:before="0" w:after="283"/>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16" w:type="dxa"/>
            <w:tcBorders>
              <w:bottom w:val="single" w:sz="12" w:space="0" w:color="000000"/>
            </w:tcBorders>
            <w:shd w:fill="CCEE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(291,160</w:t>
            </w:r>
          </w:p>
        </w:tc>
        <w:tc>
          <w:tcPr>
            <w:tcW w:w="110" w:type="dxa"/>
            <w:tcBorders/>
            <w:shd w:fill="CCEEFF" w:val="clear"/>
            <w:vAlign w:val="bottom"/>
          </w:tcPr>
          <w:p>
            <w:pPr>
              <w:pStyle w:val="TableContents"/>
              <w:spacing w:before="0" w:after="283"/>
              <w:jc w:val="left"/>
              <w:rPr>
                <w:rFonts w:ascii="helvetica" w:hAnsi="helvetica"/>
                <w:sz w:val="20"/>
              </w:rPr>
            </w:pPr>
            <w:r>
              <w:rPr>
                <w:rFonts w:ascii="helvetica" w:hAnsi="helvetica"/>
                <w:sz w:val="20"/>
              </w:rPr>
              <w:t>)</w:t>
            </w:r>
          </w:p>
        </w:tc>
        <w:tc>
          <w:tcPr>
            <w:tcW w:w="104" w:type="dxa"/>
            <w:tcBorders/>
            <w:shd w:fill="CCEEFF" w:val="clear"/>
            <w:vAlign w:val="bottom"/>
          </w:tcPr>
          <w:p>
            <w:pPr>
              <w:pStyle w:val="TableContents"/>
              <w:spacing w:before="0" w:after="283"/>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69" w:type="dxa"/>
            <w:tcBorders>
              <w:bottom w:val="single" w:sz="12" w:space="0" w:color="000000"/>
            </w:tcBorders>
            <w:shd w:fill="CCEE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(2,298,311</w:t>
            </w:r>
          </w:p>
        </w:tc>
        <w:tc>
          <w:tcPr>
            <w:tcW w:w="110" w:type="dxa"/>
            <w:tcBorders/>
            <w:shd w:fill="CCEEFF" w:val="clear"/>
            <w:vAlign w:val="bottom"/>
          </w:tcPr>
          <w:p>
            <w:pPr>
              <w:pStyle w:val="TableContents"/>
              <w:spacing w:before="0" w:after="283"/>
              <w:jc w:val="left"/>
              <w:rPr>
                <w:rFonts w:ascii="helvetica" w:hAnsi="helvetica"/>
                <w:sz w:val="20"/>
              </w:rPr>
            </w:pPr>
            <w:r>
              <w:rPr>
                <w:rFonts w:ascii="helvetica" w:hAnsi="helvetica"/>
                <w:sz w:val="20"/>
              </w:rPr>
              <w:t>)</w:t>
            </w:r>
          </w:p>
        </w:tc>
        <w:tc>
          <w:tcPr>
            <w:tcW w:w="103" w:type="dxa"/>
            <w:tcBorders/>
            <w:shd w:fill="CCEEFF" w:val="clear"/>
            <w:vAlign w:val="bottom"/>
          </w:tcPr>
          <w:p>
            <w:pPr>
              <w:pStyle w:val="TableContents"/>
              <w:spacing w:before="0" w:after="283"/>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103" w:type="dxa"/>
            <w:tcBorders>
              <w:bottom w:val="single" w:sz="12" w:space="0" w:color="000000"/>
            </w:tcBorders>
            <w:shd w:fill="CCEE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(10,770,093</w:t>
            </w:r>
          </w:p>
        </w:tc>
        <w:tc>
          <w:tcPr>
            <w:tcW w:w="121" w:type="dxa"/>
            <w:tcBorders/>
            <w:shd w:fill="CCEEFF" w:val="clear"/>
            <w:vAlign w:val="bottom"/>
          </w:tcPr>
          <w:p>
            <w:pPr>
              <w:pStyle w:val="TableContents"/>
              <w:spacing w:before="0" w:after="283"/>
              <w:jc w:val="left"/>
              <w:rPr>
                <w:rFonts w:ascii="helvetica" w:hAnsi="helvetica"/>
                <w:sz w:val="20"/>
              </w:rPr>
            </w:pPr>
            <w:r>
              <w:rPr>
                <w:rFonts w:ascii="helvetica" w:hAnsi="helvetica"/>
                <w:sz w:val="20"/>
              </w:rPr>
              <w:t>)</w:t>
            </w:r>
          </w:p>
        </w:tc>
      </w:tr>
      <w:tr>
        <w:trPr/>
        <w:tc>
          <w:tcPr>
            <w:tcW w:w="5990" w:type="dxa"/>
            <w:tcBorders/>
            <w:shd w:fill="FFFFFF" w:val="clear"/>
            <w:vAlign w:val="bottom"/>
          </w:tcPr>
          <w:p>
            <w:pPr>
              <w:pStyle w:val="TableContents"/>
              <w:spacing w:before="0" w:after="283"/>
              <w:rPr/>
            </w:pPr>
            <w:r>
              <w:rPr/>
              <w:t xml:space="preserve">  </w:t>
            </w:r>
          </w:p>
        </w:tc>
        <w:tc>
          <w:tcPr>
            <w:tcW w:w="104"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16" w:type="dxa"/>
            <w:tcBorders/>
            <w:shd w:fill="FFFFFF" w:val="clear"/>
            <w:vAlign w:val="bottom"/>
          </w:tcPr>
          <w:p>
            <w:pPr>
              <w:pStyle w:val="TableContents"/>
              <w:spacing w:before="0" w:after="283"/>
              <w:jc w:val="right"/>
              <w:rPr/>
            </w:pPr>
            <w:r>
              <w:rPr/>
              <w:t> </w:t>
            </w:r>
          </w:p>
        </w:tc>
        <w:tc>
          <w:tcPr>
            <w:tcW w:w="110" w:type="dxa"/>
            <w:tcBorders/>
            <w:shd w:fill="FFFFFF" w:val="clear"/>
            <w:vAlign w:val="bottom"/>
          </w:tcPr>
          <w:p>
            <w:pPr>
              <w:pStyle w:val="TableContents"/>
              <w:spacing w:before="0" w:after="283"/>
              <w:jc w:val="left"/>
              <w:rPr/>
            </w:pPr>
            <w:r>
              <w:rPr/>
              <w:t> </w:t>
            </w:r>
          </w:p>
        </w:tc>
        <w:tc>
          <w:tcPr>
            <w:tcW w:w="104"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69" w:type="dxa"/>
            <w:tcBorders/>
            <w:shd w:fill="FFFFFF" w:val="clear"/>
            <w:vAlign w:val="bottom"/>
          </w:tcPr>
          <w:p>
            <w:pPr>
              <w:pStyle w:val="TableContents"/>
              <w:spacing w:before="0" w:after="283"/>
              <w:jc w:val="right"/>
              <w:rPr/>
            </w:pPr>
            <w:r>
              <w:rPr/>
              <w:t> </w:t>
            </w:r>
          </w:p>
        </w:tc>
        <w:tc>
          <w:tcPr>
            <w:tcW w:w="110" w:type="dxa"/>
            <w:tcBorders/>
            <w:shd w:fill="FFFFFF" w:val="clear"/>
            <w:vAlign w:val="bottom"/>
          </w:tcPr>
          <w:p>
            <w:pPr>
              <w:pStyle w:val="TableContents"/>
              <w:spacing w:before="0" w:after="283"/>
              <w:jc w:val="left"/>
              <w:rPr/>
            </w:pPr>
            <w:r>
              <w:rPr/>
              <w:t> </w:t>
            </w:r>
          </w:p>
        </w:tc>
        <w:tc>
          <w:tcPr>
            <w:tcW w:w="103"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103" w:type="dxa"/>
            <w:tcBorders/>
            <w:shd w:fill="FFFFFF" w:val="clear"/>
            <w:vAlign w:val="bottom"/>
          </w:tcPr>
          <w:p>
            <w:pPr>
              <w:pStyle w:val="TableContents"/>
              <w:spacing w:before="0" w:after="283"/>
              <w:jc w:val="right"/>
              <w:rPr/>
            </w:pPr>
            <w:r>
              <w:rPr/>
              <w:t> </w:t>
            </w:r>
          </w:p>
        </w:tc>
        <w:tc>
          <w:tcPr>
            <w:tcW w:w="121" w:type="dxa"/>
            <w:tcBorders/>
            <w:shd w:fill="FFFFFF" w:val="clear"/>
            <w:vAlign w:val="bottom"/>
          </w:tcPr>
          <w:p>
            <w:pPr>
              <w:pStyle w:val="TableContents"/>
              <w:spacing w:before="0" w:after="283"/>
              <w:jc w:val="left"/>
              <w:rPr/>
            </w:pPr>
            <w:r>
              <w:rPr/>
              <w:t> </w:t>
            </w:r>
          </w:p>
        </w:tc>
      </w:tr>
      <w:tr>
        <w:trPr/>
        <w:tc>
          <w:tcPr>
            <w:tcW w:w="5990" w:type="dxa"/>
            <w:tcBorders/>
            <w:shd w:fill="CCEEFF" w:val="clear"/>
            <w:vAlign w:val="bottom"/>
          </w:tcPr>
          <w:p>
            <w:pPr>
              <w:pStyle w:val="TableContents"/>
              <w:spacing w:before="0" w:after="0"/>
              <w:ind w:left="0" w:right="0" w:hanging="0"/>
              <w:jc w:val="left"/>
              <w:rPr>
                <w:rFonts w:ascii="helvetica" w:hAnsi="helvetica"/>
                <w:sz w:val="20"/>
              </w:rPr>
            </w:pPr>
            <w:r>
              <w:rPr>
                <w:rFonts w:ascii="helvetica" w:hAnsi="helvetica"/>
                <w:sz w:val="20"/>
              </w:rPr>
              <w:t>CASH FLOWS FROM INVESTING ACTIVITIES</w:t>
            </w:r>
          </w:p>
        </w:tc>
        <w:tc>
          <w:tcPr>
            <w:tcW w:w="10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16" w:type="dxa"/>
            <w:tcBorders/>
            <w:shd w:fill="CCEEFF" w:val="clear"/>
            <w:vAlign w:val="bottom"/>
          </w:tcPr>
          <w:p>
            <w:pPr>
              <w:pStyle w:val="TableContents"/>
              <w:spacing w:before="0" w:after="283"/>
              <w:jc w:val="right"/>
              <w:rPr/>
            </w:pPr>
            <w:r>
              <w:rPr/>
              <w:t> </w:t>
            </w:r>
          </w:p>
        </w:tc>
        <w:tc>
          <w:tcPr>
            <w:tcW w:w="110" w:type="dxa"/>
            <w:tcBorders/>
            <w:shd w:fill="CCEEFF" w:val="clear"/>
            <w:vAlign w:val="bottom"/>
          </w:tcPr>
          <w:p>
            <w:pPr>
              <w:pStyle w:val="TableContents"/>
              <w:spacing w:before="0" w:after="283"/>
              <w:jc w:val="left"/>
              <w:rPr/>
            </w:pPr>
            <w:r>
              <w:rPr/>
              <w:t> </w:t>
            </w:r>
          </w:p>
        </w:tc>
        <w:tc>
          <w:tcPr>
            <w:tcW w:w="10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69" w:type="dxa"/>
            <w:tcBorders/>
            <w:shd w:fill="CCEEFF" w:val="clear"/>
            <w:vAlign w:val="bottom"/>
          </w:tcPr>
          <w:p>
            <w:pPr>
              <w:pStyle w:val="TableContents"/>
              <w:spacing w:before="0" w:after="283"/>
              <w:jc w:val="right"/>
              <w:rPr/>
            </w:pPr>
            <w:r>
              <w:rPr/>
              <w:t> </w:t>
            </w:r>
          </w:p>
        </w:tc>
        <w:tc>
          <w:tcPr>
            <w:tcW w:w="110" w:type="dxa"/>
            <w:tcBorders/>
            <w:shd w:fill="CCEEFF" w:val="clear"/>
            <w:vAlign w:val="bottom"/>
          </w:tcPr>
          <w:p>
            <w:pPr>
              <w:pStyle w:val="TableContents"/>
              <w:spacing w:before="0" w:after="283"/>
              <w:jc w:val="left"/>
              <w:rPr/>
            </w:pPr>
            <w:r>
              <w:rPr/>
              <w:t> </w:t>
            </w:r>
          </w:p>
        </w:tc>
        <w:tc>
          <w:tcPr>
            <w:tcW w:w="10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103" w:type="dxa"/>
            <w:tcBorders/>
            <w:shd w:fill="CCEEFF" w:val="clear"/>
            <w:vAlign w:val="bottom"/>
          </w:tcPr>
          <w:p>
            <w:pPr>
              <w:pStyle w:val="TableContents"/>
              <w:spacing w:before="0" w:after="283"/>
              <w:jc w:val="right"/>
              <w:rPr/>
            </w:pPr>
            <w:r>
              <w:rPr/>
              <w:t> </w:t>
            </w:r>
          </w:p>
        </w:tc>
        <w:tc>
          <w:tcPr>
            <w:tcW w:w="121" w:type="dxa"/>
            <w:tcBorders/>
            <w:shd w:fill="CCEEFF" w:val="clear"/>
            <w:vAlign w:val="bottom"/>
          </w:tcPr>
          <w:p>
            <w:pPr>
              <w:pStyle w:val="TableContents"/>
              <w:spacing w:before="0" w:after="283"/>
              <w:jc w:val="left"/>
              <w:rPr/>
            </w:pPr>
            <w:r>
              <w:rPr/>
              <w:t> </w:t>
            </w:r>
          </w:p>
        </w:tc>
      </w:tr>
      <w:tr>
        <w:trPr/>
        <w:tc>
          <w:tcPr>
            <w:tcW w:w="5990" w:type="dxa"/>
            <w:tcBorders/>
            <w:shd w:fill="FFFFFF" w:val="clear"/>
            <w:vAlign w:val="bottom"/>
          </w:tcPr>
          <w:p>
            <w:pPr>
              <w:pStyle w:val="TableContents"/>
              <w:spacing w:before="0" w:after="0"/>
              <w:ind w:left="0" w:right="0" w:hanging="0"/>
              <w:jc w:val="left"/>
              <w:rPr/>
            </w:pPr>
            <w:r>
              <w:rPr/>
              <w:t>     </w:t>
            </w:r>
            <w:r>
              <w:rPr>
                <w:rFonts w:ascii="helvetica" w:hAnsi="helvetica"/>
                <w:sz w:val="20"/>
              </w:rPr>
              <w:t>Purchases of fixed assets</w:t>
            </w:r>
          </w:p>
        </w:tc>
        <w:tc>
          <w:tcPr>
            <w:tcW w:w="104" w:type="dxa"/>
            <w:tcBorders/>
            <w:shd w:fill="FFFFFF" w:val="clear"/>
            <w:vAlign w:val="bottom"/>
          </w:tcPr>
          <w:p>
            <w:pPr>
              <w:pStyle w:val="TableContents"/>
              <w:spacing w:before="0" w:after="283"/>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16" w:type="dxa"/>
            <w:tcBorders>
              <w:bottom w:val="single" w:sz="12" w:space="0" w:color="000000"/>
            </w:tcBorders>
            <w:shd w:fill="FFFF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w:t>
            </w:r>
          </w:p>
        </w:tc>
        <w:tc>
          <w:tcPr>
            <w:tcW w:w="110" w:type="dxa"/>
            <w:tcBorders/>
            <w:shd w:fill="FFFFFF" w:val="clear"/>
            <w:vAlign w:val="bottom"/>
          </w:tcPr>
          <w:p>
            <w:pPr>
              <w:pStyle w:val="TableContents"/>
              <w:spacing w:before="0" w:after="283"/>
              <w:jc w:val="left"/>
              <w:rPr/>
            </w:pPr>
            <w:r>
              <w:rPr/>
              <w:t> </w:t>
            </w:r>
          </w:p>
        </w:tc>
        <w:tc>
          <w:tcPr>
            <w:tcW w:w="104" w:type="dxa"/>
            <w:tcBorders/>
            <w:shd w:fill="FFFFFF" w:val="clear"/>
            <w:vAlign w:val="bottom"/>
          </w:tcPr>
          <w:p>
            <w:pPr>
              <w:pStyle w:val="TableContents"/>
              <w:spacing w:before="0" w:after="283"/>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69" w:type="dxa"/>
            <w:tcBorders>
              <w:bottom w:val="single" w:sz="12" w:space="0" w:color="000000"/>
            </w:tcBorders>
            <w:shd w:fill="FFFF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w:t>
            </w:r>
          </w:p>
        </w:tc>
        <w:tc>
          <w:tcPr>
            <w:tcW w:w="110" w:type="dxa"/>
            <w:tcBorders/>
            <w:shd w:fill="FFFFFF" w:val="clear"/>
            <w:vAlign w:val="bottom"/>
          </w:tcPr>
          <w:p>
            <w:pPr>
              <w:pStyle w:val="TableContents"/>
              <w:spacing w:before="0" w:after="283"/>
              <w:jc w:val="left"/>
              <w:rPr/>
            </w:pPr>
            <w:r>
              <w:rPr/>
              <w:t> </w:t>
            </w:r>
          </w:p>
        </w:tc>
        <w:tc>
          <w:tcPr>
            <w:tcW w:w="103" w:type="dxa"/>
            <w:tcBorders/>
            <w:shd w:fill="FFFFFF" w:val="clear"/>
            <w:vAlign w:val="bottom"/>
          </w:tcPr>
          <w:p>
            <w:pPr>
              <w:pStyle w:val="TableContents"/>
              <w:spacing w:before="0" w:after="283"/>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103" w:type="dxa"/>
            <w:tcBorders>
              <w:bottom w:val="single" w:sz="12" w:space="0" w:color="000000"/>
            </w:tcBorders>
            <w:shd w:fill="FFFF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(3,154</w:t>
            </w:r>
          </w:p>
        </w:tc>
        <w:tc>
          <w:tcPr>
            <w:tcW w:w="121" w:type="dxa"/>
            <w:tcBorders/>
            <w:shd w:fill="FFFFFF" w:val="clear"/>
            <w:vAlign w:val="bottom"/>
          </w:tcPr>
          <w:p>
            <w:pPr>
              <w:pStyle w:val="TableContents"/>
              <w:spacing w:before="0" w:after="283"/>
              <w:jc w:val="left"/>
              <w:rPr>
                <w:rFonts w:ascii="helvetica" w:hAnsi="helvetica"/>
                <w:sz w:val="20"/>
              </w:rPr>
            </w:pPr>
            <w:r>
              <w:rPr>
                <w:rFonts w:ascii="helvetica" w:hAnsi="helvetica"/>
                <w:sz w:val="20"/>
              </w:rPr>
              <w:t>)</w:t>
            </w:r>
          </w:p>
        </w:tc>
      </w:tr>
      <w:tr>
        <w:trPr/>
        <w:tc>
          <w:tcPr>
            <w:tcW w:w="5990" w:type="dxa"/>
            <w:tcBorders/>
            <w:shd w:fill="CCEEFF" w:val="clear"/>
            <w:vAlign w:val="bottom"/>
          </w:tcPr>
          <w:p>
            <w:pPr>
              <w:pStyle w:val="TableContents"/>
              <w:spacing w:before="0" w:after="0"/>
              <w:ind w:left="0" w:right="0" w:hanging="0"/>
              <w:jc w:val="left"/>
              <w:rPr>
                <w:rFonts w:ascii="helvetica" w:hAnsi="helvetica"/>
                <w:sz w:val="20"/>
              </w:rPr>
            </w:pPr>
            <w:r>
              <w:rPr>
                <w:rFonts w:ascii="helvetica" w:hAnsi="helvetica"/>
                <w:sz w:val="20"/>
              </w:rPr>
              <w:t>NET CASH USED IN INVESTING ACTIVITIES</w:t>
            </w:r>
          </w:p>
        </w:tc>
        <w:tc>
          <w:tcPr>
            <w:tcW w:w="104" w:type="dxa"/>
            <w:tcBorders/>
            <w:shd w:fill="CCEEFF" w:val="clear"/>
            <w:vAlign w:val="bottom"/>
          </w:tcPr>
          <w:p>
            <w:pPr>
              <w:pStyle w:val="TableContents"/>
              <w:spacing w:before="0" w:after="283"/>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16" w:type="dxa"/>
            <w:tcBorders>
              <w:bottom w:val="single" w:sz="12" w:space="0" w:color="000000"/>
            </w:tcBorders>
            <w:shd w:fill="CCEE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w:t>
            </w:r>
          </w:p>
        </w:tc>
        <w:tc>
          <w:tcPr>
            <w:tcW w:w="110" w:type="dxa"/>
            <w:tcBorders/>
            <w:shd w:fill="CCEEFF" w:val="clear"/>
            <w:vAlign w:val="bottom"/>
          </w:tcPr>
          <w:p>
            <w:pPr>
              <w:pStyle w:val="TableContents"/>
              <w:spacing w:before="0" w:after="283"/>
              <w:jc w:val="left"/>
              <w:rPr/>
            </w:pPr>
            <w:r>
              <w:rPr/>
              <w:t> </w:t>
            </w:r>
          </w:p>
        </w:tc>
        <w:tc>
          <w:tcPr>
            <w:tcW w:w="104" w:type="dxa"/>
            <w:tcBorders/>
            <w:shd w:fill="CCEEFF" w:val="clear"/>
            <w:vAlign w:val="bottom"/>
          </w:tcPr>
          <w:p>
            <w:pPr>
              <w:pStyle w:val="TableContents"/>
              <w:spacing w:before="0" w:after="283"/>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69" w:type="dxa"/>
            <w:tcBorders>
              <w:bottom w:val="single" w:sz="12" w:space="0" w:color="000000"/>
            </w:tcBorders>
            <w:shd w:fill="CCEE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w:t>
            </w:r>
          </w:p>
        </w:tc>
        <w:tc>
          <w:tcPr>
            <w:tcW w:w="110" w:type="dxa"/>
            <w:tcBorders/>
            <w:shd w:fill="CCEEFF" w:val="clear"/>
            <w:vAlign w:val="bottom"/>
          </w:tcPr>
          <w:p>
            <w:pPr>
              <w:pStyle w:val="TableContents"/>
              <w:spacing w:before="0" w:after="283"/>
              <w:jc w:val="left"/>
              <w:rPr/>
            </w:pPr>
            <w:r>
              <w:rPr/>
              <w:t> </w:t>
            </w:r>
          </w:p>
        </w:tc>
        <w:tc>
          <w:tcPr>
            <w:tcW w:w="103" w:type="dxa"/>
            <w:tcBorders/>
            <w:shd w:fill="CCEEFF" w:val="clear"/>
            <w:vAlign w:val="bottom"/>
          </w:tcPr>
          <w:p>
            <w:pPr>
              <w:pStyle w:val="TableContents"/>
              <w:spacing w:before="0" w:after="283"/>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103" w:type="dxa"/>
            <w:tcBorders>
              <w:bottom w:val="single" w:sz="12" w:space="0" w:color="000000"/>
            </w:tcBorders>
            <w:shd w:fill="CCEE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(3,154</w:t>
            </w:r>
          </w:p>
        </w:tc>
        <w:tc>
          <w:tcPr>
            <w:tcW w:w="121" w:type="dxa"/>
            <w:tcBorders/>
            <w:shd w:fill="CCEEFF" w:val="clear"/>
            <w:vAlign w:val="bottom"/>
          </w:tcPr>
          <w:p>
            <w:pPr>
              <w:pStyle w:val="TableContents"/>
              <w:spacing w:before="0" w:after="283"/>
              <w:jc w:val="left"/>
              <w:rPr>
                <w:rFonts w:ascii="helvetica" w:hAnsi="helvetica"/>
                <w:sz w:val="20"/>
              </w:rPr>
            </w:pPr>
            <w:r>
              <w:rPr>
                <w:rFonts w:ascii="helvetica" w:hAnsi="helvetica"/>
                <w:sz w:val="20"/>
              </w:rPr>
              <w:t>)</w:t>
            </w:r>
          </w:p>
        </w:tc>
      </w:tr>
      <w:tr>
        <w:trPr/>
        <w:tc>
          <w:tcPr>
            <w:tcW w:w="5990" w:type="dxa"/>
            <w:tcBorders/>
            <w:shd w:fill="FFFFFF" w:val="clear"/>
            <w:vAlign w:val="bottom"/>
          </w:tcPr>
          <w:p>
            <w:pPr>
              <w:pStyle w:val="TableContents"/>
              <w:spacing w:before="0" w:after="283"/>
              <w:rPr/>
            </w:pPr>
            <w:r>
              <w:rPr/>
              <w:t xml:space="preserve">  </w:t>
            </w:r>
          </w:p>
        </w:tc>
        <w:tc>
          <w:tcPr>
            <w:tcW w:w="104"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16" w:type="dxa"/>
            <w:tcBorders/>
            <w:shd w:fill="FFFFFF" w:val="clear"/>
            <w:vAlign w:val="bottom"/>
          </w:tcPr>
          <w:p>
            <w:pPr>
              <w:pStyle w:val="TableContents"/>
              <w:spacing w:before="0" w:after="283"/>
              <w:jc w:val="right"/>
              <w:rPr/>
            </w:pPr>
            <w:r>
              <w:rPr/>
              <w:t> </w:t>
            </w:r>
          </w:p>
        </w:tc>
        <w:tc>
          <w:tcPr>
            <w:tcW w:w="110" w:type="dxa"/>
            <w:tcBorders/>
            <w:shd w:fill="FFFFFF" w:val="clear"/>
            <w:vAlign w:val="bottom"/>
          </w:tcPr>
          <w:p>
            <w:pPr>
              <w:pStyle w:val="TableContents"/>
              <w:spacing w:before="0" w:after="283"/>
              <w:jc w:val="left"/>
              <w:rPr/>
            </w:pPr>
            <w:r>
              <w:rPr/>
              <w:t> </w:t>
            </w:r>
          </w:p>
        </w:tc>
        <w:tc>
          <w:tcPr>
            <w:tcW w:w="104"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69" w:type="dxa"/>
            <w:tcBorders/>
            <w:shd w:fill="FFFFFF" w:val="clear"/>
            <w:vAlign w:val="bottom"/>
          </w:tcPr>
          <w:p>
            <w:pPr>
              <w:pStyle w:val="TableContents"/>
              <w:spacing w:before="0" w:after="283"/>
              <w:jc w:val="right"/>
              <w:rPr/>
            </w:pPr>
            <w:r>
              <w:rPr/>
              <w:t> </w:t>
            </w:r>
          </w:p>
        </w:tc>
        <w:tc>
          <w:tcPr>
            <w:tcW w:w="110" w:type="dxa"/>
            <w:tcBorders/>
            <w:shd w:fill="FFFFFF" w:val="clear"/>
            <w:vAlign w:val="bottom"/>
          </w:tcPr>
          <w:p>
            <w:pPr>
              <w:pStyle w:val="TableContents"/>
              <w:spacing w:before="0" w:after="283"/>
              <w:jc w:val="left"/>
              <w:rPr/>
            </w:pPr>
            <w:r>
              <w:rPr/>
              <w:t> </w:t>
            </w:r>
          </w:p>
        </w:tc>
        <w:tc>
          <w:tcPr>
            <w:tcW w:w="103"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103" w:type="dxa"/>
            <w:tcBorders/>
            <w:shd w:fill="FFFFFF" w:val="clear"/>
            <w:vAlign w:val="bottom"/>
          </w:tcPr>
          <w:p>
            <w:pPr>
              <w:pStyle w:val="TableContents"/>
              <w:spacing w:before="0" w:after="283"/>
              <w:jc w:val="right"/>
              <w:rPr/>
            </w:pPr>
            <w:r>
              <w:rPr/>
              <w:t> </w:t>
            </w:r>
          </w:p>
        </w:tc>
        <w:tc>
          <w:tcPr>
            <w:tcW w:w="121" w:type="dxa"/>
            <w:tcBorders/>
            <w:shd w:fill="FFFFFF" w:val="clear"/>
            <w:vAlign w:val="bottom"/>
          </w:tcPr>
          <w:p>
            <w:pPr>
              <w:pStyle w:val="TableContents"/>
              <w:spacing w:before="0" w:after="283"/>
              <w:jc w:val="left"/>
              <w:rPr/>
            </w:pPr>
            <w:r>
              <w:rPr/>
              <w:t> </w:t>
            </w:r>
          </w:p>
        </w:tc>
      </w:tr>
      <w:tr>
        <w:trPr/>
        <w:tc>
          <w:tcPr>
            <w:tcW w:w="5990" w:type="dxa"/>
            <w:tcBorders/>
            <w:shd w:fill="CCEEFF" w:val="clear"/>
            <w:vAlign w:val="bottom"/>
          </w:tcPr>
          <w:p>
            <w:pPr>
              <w:pStyle w:val="TableContents"/>
              <w:spacing w:before="0" w:after="0"/>
              <w:ind w:left="0" w:right="0" w:hanging="0"/>
              <w:jc w:val="left"/>
              <w:rPr>
                <w:rFonts w:ascii="helvetica" w:hAnsi="helvetica"/>
                <w:sz w:val="20"/>
              </w:rPr>
            </w:pPr>
            <w:r>
              <w:rPr>
                <w:rFonts w:ascii="helvetica" w:hAnsi="helvetica"/>
                <w:sz w:val="20"/>
              </w:rPr>
              <w:t>CASH FLOWS FROM FINANCING ACTIVITIES</w:t>
            </w:r>
          </w:p>
        </w:tc>
        <w:tc>
          <w:tcPr>
            <w:tcW w:w="10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16" w:type="dxa"/>
            <w:tcBorders/>
            <w:shd w:fill="CCEEFF" w:val="clear"/>
            <w:vAlign w:val="bottom"/>
          </w:tcPr>
          <w:p>
            <w:pPr>
              <w:pStyle w:val="TableContents"/>
              <w:spacing w:before="0" w:after="283"/>
              <w:jc w:val="right"/>
              <w:rPr/>
            </w:pPr>
            <w:r>
              <w:rPr/>
              <w:t> </w:t>
            </w:r>
          </w:p>
        </w:tc>
        <w:tc>
          <w:tcPr>
            <w:tcW w:w="110" w:type="dxa"/>
            <w:tcBorders/>
            <w:shd w:fill="CCEEFF" w:val="clear"/>
            <w:vAlign w:val="bottom"/>
          </w:tcPr>
          <w:p>
            <w:pPr>
              <w:pStyle w:val="TableContents"/>
              <w:spacing w:before="0" w:after="283"/>
              <w:jc w:val="left"/>
              <w:rPr/>
            </w:pPr>
            <w:r>
              <w:rPr/>
              <w:t> </w:t>
            </w:r>
          </w:p>
        </w:tc>
        <w:tc>
          <w:tcPr>
            <w:tcW w:w="10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69" w:type="dxa"/>
            <w:tcBorders/>
            <w:shd w:fill="CCEEFF" w:val="clear"/>
            <w:vAlign w:val="bottom"/>
          </w:tcPr>
          <w:p>
            <w:pPr>
              <w:pStyle w:val="TableContents"/>
              <w:spacing w:before="0" w:after="283"/>
              <w:jc w:val="right"/>
              <w:rPr/>
            </w:pPr>
            <w:r>
              <w:rPr/>
              <w:t> </w:t>
            </w:r>
          </w:p>
        </w:tc>
        <w:tc>
          <w:tcPr>
            <w:tcW w:w="110" w:type="dxa"/>
            <w:tcBorders/>
            <w:shd w:fill="CCEEFF" w:val="clear"/>
            <w:vAlign w:val="bottom"/>
          </w:tcPr>
          <w:p>
            <w:pPr>
              <w:pStyle w:val="TableContents"/>
              <w:spacing w:before="0" w:after="283"/>
              <w:jc w:val="left"/>
              <w:rPr/>
            </w:pPr>
            <w:r>
              <w:rPr/>
              <w:t> </w:t>
            </w:r>
          </w:p>
        </w:tc>
        <w:tc>
          <w:tcPr>
            <w:tcW w:w="10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103" w:type="dxa"/>
            <w:tcBorders/>
            <w:shd w:fill="CCEEFF" w:val="clear"/>
            <w:vAlign w:val="bottom"/>
          </w:tcPr>
          <w:p>
            <w:pPr>
              <w:pStyle w:val="TableContents"/>
              <w:spacing w:before="0" w:after="283"/>
              <w:jc w:val="right"/>
              <w:rPr/>
            </w:pPr>
            <w:r>
              <w:rPr/>
              <w:t> </w:t>
            </w:r>
          </w:p>
        </w:tc>
        <w:tc>
          <w:tcPr>
            <w:tcW w:w="121" w:type="dxa"/>
            <w:tcBorders/>
            <w:shd w:fill="CCEEFF" w:val="clear"/>
            <w:vAlign w:val="bottom"/>
          </w:tcPr>
          <w:p>
            <w:pPr>
              <w:pStyle w:val="TableContents"/>
              <w:spacing w:before="0" w:after="283"/>
              <w:jc w:val="left"/>
              <w:rPr/>
            </w:pPr>
            <w:r>
              <w:rPr/>
              <w:t> </w:t>
            </w:r>
          </w:p>
        </w:tc>
      </w:tr>
      <w:tr>
        <w:trPr/>
        <w:tc>
          <w:tcPr>
            <w:tcW w:w="5990" w:type="dxa"/>
            <w:tcBorders/>
            <w:shd w:fill="FFFFFF" w:val="clear"/>
            <w:vAlign w:val="bottom"/>
          </w:tcPr>
          <w:p>
            <w:pPr>
              <w:pStyle w:val="TableContents"/>
              <w:spacing w:before="0" w:after="0"/>
              <w:ind w:left="0" w:right="0" w:hanging="0"/>
              <w:jc w:val="left"/>
              <w:rPr/>
            </w:pPr>
            <w:r>
              <w:rPr/>
              <w:t>     </w:t>
            </w:r>
            <w:r>
              <w:rPr>
                <w:rFonts w:ascii="helvetica" w:hAnsi="helvetica"/>
                <w:sz w:val="20"/>
              </w:rPr>
              <w:t>Proceeds from issuance of notes payable to stockholders</w:t>
            </w:r>
          </w:p>
        </w:tc>
        <w:tc>
          <w:tcPr>
            <w:tcW w:w="104"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16"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300,000</w:t>
            </w:r>
          </w:p>
        </w:tc>
        <w:tc>
          <w:tcPr>
            <w:tcW w:w="110" w:type="dxa"/>
            <w:tcBorders/>
            <w:shd w:fill="FFFFFF" w:val="clear"/>
            <w:vAlign w:val="bottom"/>
          </w:tcPr>
          <w:p>
            <w:pPr>
              <w:pStyle w:val="TableContents"/>
              <w:spacing w:before="0" w:after="283"/>
              <w:jc w:val="left"/>
              <w:rPr/>
            </w:pPr>
            <w:r>
              <w:rPr/>
              <w:t> </w:t>
            </w:r>
          </w:p>
        </w:tc>
        <w:tc>
          <w:tcPr>
            <w:tcW w:w="104"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69"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w:t>
            </w:r>
          </w:p>
        </w:tc>
        <w:tc>
          <w:tcPr>
            <w:tcW w:w="110" w:type="dxa"/>
            <w:tcBorders/>
            <w:shd w:fill="FFFFFF" w:val="clear"/>
            <w:vAlign w:val="bottom"/>
          </w:tcPr>
          <w:p>
            <w:pPr>
              <w:pStyle w:val="TableContents"/>
              <w:spacing w:before="0" w:after="283"/>
              <w:jc w:val="left"/>
              <w:rPr/>
            </w:pPr>
            <w:r>
              <w:rPr/>
              <w:t> </w:t>
            </w:r>
          </w:p>
        </w:tc>
        <w:tc>
          <w:tcPr>
            <w:tcW w:w="103"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103"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526,300</w:t>
            </w:r>
          </w:p>
        </w:tc>
        <w:tc>
          <w:tcPr>
            <w:tcW w:w="121" w:type="dxa"/>
            <w:tcBorders/>
            <w:shd w:fill="FFFFFF" w:val="clear"/>
            <w:vAlign w:val="bottom"/>
          </w:tcPr>
          <w:p>
            <w:pPr>
              <w:pStyle w:val="TableContents"/>
              <w:spacing w:before="0" w:after="283"/>
              <w:jc w:val="left"/>
              <w:rPr/>
            </w:pPr>
            <w:r>
              <w:rPr/>
              <w:t> </w:t>
            </w:r>
          </w:p>
        </w:tc>
      </w:tr>
      <w:tr>
        <w:trPr/>
        <w:tc>
          <w:tcPr>
            <w:tcW w:w="5990" w:type="dxa"/>
            <w:tcBorders/>
            <w:shd w:fill="CCEEFF" w:val="clear"/>
            <w:vAlign w:val="bottom"/>
          </w:tcPr>
          <w:p>
            <w:pPr>
              <w:pStyle w:val="TableContents"/>
              <w:spacing w:before="0" w:after="0"/>
              <w:ind w:left="0" w:right="0" w:hanging="0"/>
              <w:jc w:val="left"/>
              <w:rPr/>
            </w:pPr>
            <w:r>
              <w:rPr/>
              <w:t>     </w:t>
            </w:r>
            <w:r>
              <w:rPr>
                <w:rFonts w:ascii="helvetica" w:hAnsi="helvetica"/>
                <w:sz w:val="20"/>
              </w:rPr>
              <w:t>Proceeds from issuance of preferred stock</w:t>
            </w:r>
          </w:p>
        </w:tc>
        <w:tc>
          <w:tcPr>
            <w:tcW w:w="10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16"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100,000</w:t>
            </w:r>
          </w:p>
        </w:tc>
        <w:tc>
          <w:tcPr>
            <w:tcW w:w="110" w:type="dxa"/>
            <w:tcBorders/>
            <w:shd w:fill="CCEEFF" w:val="clear"/>
            <w:vAlign w:val="bottom"/>
          </w:tcPr>
          <w:p>
            <w:pPr>
              <w:pStyle w:val="TableContents"/>
              <w:spacing w:before="0" w:after="283"/>
              <w:jc w:val="left"/>
              <w:rPr/>
            </w:pPr>
            <w:r>
              <w:rPr/>
              <w:t> </w:t>
            </w:r>
          </w:p>
        </w:tc>
        <w:tc>
          <w:tcPr>
            <w:tcW w:w="10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69"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w:t>
            </w:r>
          </w:p>
        </w:tc>
        <w:tc>
          <w:tcPr>
            <w:tcW w:w="110" w:type="dxa"/>
            <w:tcBorders/>
            <w:shd w:fill="CCEEFF" w:val="clear"/>
            <w:vAlign w:val="bottom"/>
          </w:tcPr>
          <w:p>
            <w:pPr>
              <w:pStyle w:val="TableContents"/>
              <w:spacing w:before="0" w:after="283"/>
              <w:jc w:val="left"/>
              <w:rPr/>
            </w:pPr>
            <w:r>
              <w:rPr/>
              <w:t> </w:t>
            </w:r>
          </w:p>
        </w:tc>
        <w:tc>
          <w:tcPr>
            <w:tcW w:w="10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103"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100,000</w:t>
            </w:r>
          </w:p>
        </w:tc>
        <w:tc>
          <w:tcPr>
            <w:tcW w:w="121" w:type="dxa"/>
            <w:tcBorders/>
            <w:shd w:fill="CCEEFF" w:val="clear"/>
            <w:vAlign w:val="bottom"/>
          </w:tcPr>
          <w:p>
            <w:pPr>
              <w:pStyle w:val="TableContents"/>
              <w:spacing w:before="0" w:after="283"/>
              <w:jc w:val="left"/>
              <w:rPr/>
            </w:pPr>
            <w:r>
              <w:rPr/>
              <w:t> </w:t>
            </w:r>
          </w:p>
        </w:tc>
      </w:tr>
      <w:tr>
        <w:trPr/>
        <w:tc>
          <w:tcPr>
            <w:tcW w:w="5990" w:type="dxa"/>
            <w:tcBorders/>
            <w:shd w:fill="FFFFFF" w:val="clear"/>
            <w:vAlign w:val="bottom"/>
          </w:tcPr>
          <w:p>
            <w:pPr>
              <w:pStyle w:val="TableContents"/>
              <w:spacing w:before="0" w:after="0"/>
              <w:ind w:left="0" w:right="0" w:hanging="0"/>
              <w:jc w:val="left"/>
              <w:rPr/>
            </w:pPr>
            <w:r>
              <w:rPr/>
              <w:t>     </w:t>
            </w:r>
            <w:r>
              <w:rPr>
                <w:rFonts w:ascii="helvetica" w:hAnsi="helvetica"/>
                <w:sz w:val="20"/>
              </w:rPr>
              <w:t>Proceeds from notes payable</w:t>
            </w:r>
          </w:p>
        </w:tc>
        <w:tc>
          <w:tcPr>
            <w:tcW w:w="104"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16"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w:t>
            </w:r>
          </w:p>
        </w:tc>
        <w:tc>
          <w:tcPr>
            <w:tcW w:w="110" w:type="dxa"/>
            <w:tcBorders/>
            <w:shd w:fill="FFFFFF" w:val="clear"/>
            <w:vAlign w:val="bottom"/>
          </w:tcPr>
          <w:p>
            <w:pPr>
              <w:pStyle w:val="TableContents"/>
              <w:spacing w:before="0" w:after="283"/>
              <w:jc w:val="left"/>
              <w:rPr/>
            </w:pPr>
            <w:r>
              <w:rPr/>
              <w:t> </w:t>
            </w:r>
          </w:p>
        </w:tc>
        <w:tc>
          <w:tcPr>
            <w:tcW w:w="104"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69"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1,000,000</w:t>
            </w:r>
          </w:p>
        </w:tc>
        <w:tc>
          <w:tcPr>
            <w:tcW w:w="110" w:type="dxa"/>
            <w:tcBorders/>
            <w:shd w:fill="FFFFFF" w:val="clear"/>
            <w:vAlign w:val="bottom"/>
          </w:tcPr>
          <w:p>
            <w:pPr>
              <w:pStyle w:val="TableContents"/>
              <w:spacing w:before="0" w:after="283"/>
              <w:jc w:val="left"/>
              <w:rPr/>
            </w:pPr>
            <w:r>
              <w:rPr/>
              <w:t> </w:t>
            </w:r>
          </w:p>
        </w:tc>
        <w:tc>
          <w:tcPr>
            <w:tcW w:w="103"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103"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2,500,000</w:t>
            </w:r>
          </w:p>
        </w:tc>
        <w:tc>
          <w:tcPr>
            <w:tcW w:w="121" w:type="dxa"/>
            <w:tcBorders/>
            <w:shd w:fill="FFFFFF" w:val="clear"/>
            <w:vAlign w:val="bottom"/>
          </w:tcPr>
          <w:p>
            <w:pPr>
              <w:pStyle w:val="TableContents"/>
              <w:spacing w:before="0" w:after="283"/>
              <w:jc w:val="left"/>
              <w:rPr/>
            </w:pPr>
            <w:r>
              <w:rPr/>
              <w:t> </w:t>
            </w:r>
          </w:p>
        </w:tc>
      </w:tr>
      <w:tr>
        <w:trPr/>
        <w:tc>
          <w:tcPr>
            <w:tcW w:w="5990" w:type="dxa"/>
            <w:tcBorders/>
            <w:shd w:fill="CCEEFF" w:val="clear"/>
            <w:vAlign w:val="bottom"/>
          </w:tcPr>
          <w:p>
            <w:pPr>
              <w:pStyle w:val="TableContents"/>
              <w:spacing w:before="0" w:after="0"/>
              <w:ind w:left="0" w:right="0" w:hanging="0"/>
              <w:jc w:val="left"/>
              <w:rPr/>
            </w:pPr>
            <w:r>
              <w:rPr/>
              <w:t>     </w:t>
            </w:r>
            <w:r>
              <w:rPr>
                <w:rFonts w:ascii="helvetica" w:hAnsi="helvetica"/>
                <w:sz w:val="20"/>
              </w:rPr>
              <w:t>Cash advances from related party</w:t>
            </w:r>
          </w:p>
        </w:tc>
        <w:tc>
          <w:tcPr>
            <w:tcW w:w="10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16"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27,537</w:t>
            </w:r>
          </w:p>
        </w:tc>
        <w:tc>
          <w:tcPr>
            <w:tcW w:w="110" w:type="dxa"/>
            <w:tcBorders/>
            <w:shd w:fill="CCEEFF" w:val="clear"/>
            <w:vAlign w:val="bottom"/>
          </w:tcPr>
          <w:p>
            <w:pPr>
              <w:pStyle w:val="TableContents"/>
              <w:spacing w:before="0" w:after="283"/>
              <w:jc w:val="left"/>
              <w:rPr/>
            </w:pPr>
            <w:r>
              <w:rPr/>
              <w:t> </w:t>
            </w:r>
          </w:p>
        </w:tc>
        <w:tc>
          <w:tcPr>
            <w:tcW w:w="10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69"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w:t>
            </w:r>
          </w:p>
        </w:tc>
        <w:tc>
          <w:tcPr>
            <w:tcW w:w="110" w:type="dxa"/>
            <w:tcBorders/>
            <w:shd w:fill="CCEEFF" w:val="clear"/>
            <w:vAlign w:val="bottom"/>
          </w:tcPr>
          <w:p>
            <w:pPr>
              <w:pStyle w:val="TableContents"/>
              <w:spacing w:before="0" w:after="283"/>
              <w:jc w:val="left"/>
              <w:rPr/>
            </w:pPr>
            <w:r>
              <w:rPr/>
              <w:t> </w:t>
            </w:r>
          </w:p>
        </w:tc>
        <w:tc>
          <w:tcPr>
            <w:tcW w:w="10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103"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27,537</w:t>
            </w:r>
          </w:p>
        </w:tc>
        <w:tc>
          <w:tcPr>
            <w:tcW w:w="121" w:type="dxa"/>
            <w:tcBorders/>
            <w:shd w:fill="CCEEFF" w:val="clear"/>
            <w:vAlign w:val="bottom"/>
          </w:tcPr>
          <w:p>
            <w:pPr>
              <w:pStyle w:val="TableContents"/>
              <w:spacing w:before="0" w:after="283"/>
              <w:jc w:val="left"/>
              <w:rPr/>
            </w:pPr>
            <w:r>
              <w:rPr/>
              <w:t> </w:t>
            </w:r>
          </w:p>
        </w:tc>
      </w:tr>
      <w:tr>
        <w:trPr/>
        <w:tc>
          <w:tcPr>
            <w:tcW w:w="5990" w:type="dxa"/>
            <w:tcBorders/>
            <w:shd w:fill="FFFFFF" w:val="clear"/>
            <w:vAlign w:val="bottom"/>
          </w:tcPr>
          <w:p>
            <w:pPr>
              <w:pStyle w:val="TableContents"/>
              <w:spacing w:before="0" w:after="0"/>
              <w:ind w:left="0" w:right="0" w:hanging="0"/>
              <w:jc w:val="left"/>
              <w:rPr/>
            </w:pPr>
            <w:r>
              <w:rPr/>
              <w:t>     </w:t>
            </w:r>
            <w:r>
              <w:rPr>
                <w:rFonts w:ascii="helvetica" w:hAnsi="helvetica"/>
                <w:sz w:val="20"/>
              </w:rPr>
              <w:t>Repayment of advances from related party</w:t>
            </w:r>
          </w:p>
        </w:tc>
        <w:tc>
          <w:tcPr>
            <w:tcW w:w="104"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16"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(281,679</w:t>
            </w:r>
          </w:p>
        </w:tc>
        <w:tc>
          <w:tcPr>
            <w:tcW w:w="110" w:type="dxa"/>
            <w:tcBorders/>
            <w:shd w:fill="FFFFFF" w:val="clear"/>
            <w:vAlign w:val="bottom"/>
          </w:tcPr>
          <w:p>
            <w:pPr>
              <w:pStyle w:val="TableContents"/>
              <w:spacing w:before="0" w:after="283"/>
              <w:jc w:val="left"/>
              <w:rPr>
                <w:rFonts w:ascii="helvetica" w:hAnsi="helvetica"/>
                <w:sz w:val="20"/>
              </w:rPr>
            </w:pPr>
            <w:r>
              <w:rPr>
                <w:rFonts w:ascii="helvetica" w:hAnsi="helvetica"/>
                <w:sz w:val="20"/>
              </w:rPr>
              <w:t>)</w:t>
            </w:r>
          </w:p>
        </w:tc>
        <w:tc>
          <w:tcPr>
            <w:tcW w:w="104"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69"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w:t>
            </w:r>
          </w:p>
        </w:tc>
        <w:tc>
          <w:tcPr>
            <w:tcW w:w="110" w:type="dxa"/>
            <w:tcBorders/>
            <w:shd w:fill="FFFFFF" w:val="clear"/>
            <w:vAlign w:val="bottom"/>
          </w:tcPr>
          <w:p>
            <w:pPr>
              <w:pStyle w:val="TableContents"/>
              <w:spacing w:before="0" w:after="283"/>
              <w:jc w:val="left"/>
              <w:rPr/>
            </w:pPr>
            <w:r>
              <w:rPr/>
              <w:t> </w:t>
            </w:r>
          </w:p>
        </w:tc>
        <w:tc>
          <w:tcPr>
            <w:tcW w:w="103"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103"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(281,679</w:t>
            </w:r>
          </w:p>
        </w:tc>
        <w:tc>
          <w:tcPr>
            <w:tcW w:w="121" w:type="dxa"/>
            <w:tcBorders/>
            <w:shd w:fill="FFFFFF" w:val="clear"/>
            <w:vAlign w:val="bottom"/>
          </w:tcPr>
          <w:p>
            <w:pPr>
              <w:pStyle w:val="TableContents"/>
              <w:spacing w:before="0" w:after="283"/>
              <w:jc w:val="left"/>
              <w:rPr>
                <w:rFonts w:ascii="helvetica" w:hAnsi="helvetica"/>
                <w:sz w:val="20"/>
              </w:rPr>
            </w:pPr>
            <w:r>
              <w:rPr>
                <w:rFonts w:ascii="helvetica" w:hAnsi="helvetica"/>
                <w:sz w:val="20"/>
              </w:rPr>
              <w:t>)</w:t>
            </w:r>
          </w:p>
        </w:tc>
      </w:tr>
      <w:tr>
        <w:trPr/>
        <w:tc>
          <w:tcPr>
            <w:tcW w:w="5990" w:type="dxa"/>
            <w:tcBorders/>
            <w:shd w:fill="CCEEFF" w:val="clear"/>
            <w:vAlign w:val="bottom"/>
          </w:tcPr>
          <w:p>
            <w:pPr>
              <w:pStyle w:val="TableContents"/>
              <w:spacing w:before="0" w:after="0"/>
              <w:ind w:left="0" w:right="0" w:hanging="0"/>
              <w:jc w:val="left"/>
              <w:rPr/>
            </w:pPr>
            <w:r>
              <w:rPr/>
              <w:t>     </w:t>
            </w:r>
            <w:r>
              <w:rPr>
                <w:rFonts w:ascii="helvetica" w:hAnsi="helvetica"/>
                <w:sz w:val="20"/>
              </w:rPr>
              <w:t>Capital contributions</w:t>
            </w:r>
          </w:p>
        </w:tc>
        <w:tc>
          <w:tcPr>
            <w:tcW w:w="10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16"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w:t>
            </w:r>
          </w:p>
        </w:tc>
        <w:tc>
          <w:tcPr>
            <w:tcW w:w="110" w:type="dxa"/>
            <w:tcBorders/>
            <w:shd w:fill="CCEEFF" w:val="clear"/>
            <w:vAlign w:val="bottom"/>
          </w:tcPr>
          <w:p>
            <w:pPr>
              <w:pStyle w:val="TableContents"/>
              <w:spacing w:before="0" w:after="283"/>
              <w:jc w:val="left"/>
              <w:rPr/>
            </w:pPr>
            <w:r>
              <w:rPr/>
              <w:t> </w:t>
            </w:r>
          </w:p>
        </w:tc>
        <w:tc>
          <w:tcPr>
            <w:tcW w:w="10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69"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w:t>
            </w:r>
          </w:p>
        </w:tc>
        <w:tc>
          <w:tcPr>
            <w:tcW w:w="110" w:type="dxa"/>
            <w:tcBorders/>
            <w:shd w:fill="CCEEFF" w:val="clear"/>
            <w:vAlign w:val="bottom"/>
          </w:tcPr>
          <w:p>
            <w:pPr>
              <w:pStyle w:val="TableContents"/>
              <w:spacing w:before="0" w:after="283"/>
              <w:jc w:val="left"/>
              <w:rPr/>
            </w:pPr>
            <w:r>
              <w:rPr/>
              <w:t> </w:t>
            </w:r>
          </w:p>
        </w:tc>
        <w:tc>
          <w:tcPr>
            <w:tcW w:w="10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103"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168,707</w:t>
            </w:r>
          </w:p>
        </w:tc>
        <w:tc>
          <w:tcPr>
            <w:tcW w:w="121" w:type="dxa"/>
            <w:tcBorders/>
            <w:shd w:fill="CCEEFF" w:val="clear"/>
            <w:vAlign w:val="bottom"/>
          </w:tcPr>
          <w:p>
            <w:pPr>
              <w:pStyle w:val="TableContents"/>
              <w:spacing w:before="0" w:after="283"/>
              <w:jc w:val="left"/>
              <w:rPr/>
            </w:pPr>
            <w:r>
              <w:rPr/>
              <w:t> </w:t>
            </w:r>
          </w:p>
        </w:tc>
      </w:tr>
      <w:tr>
        <w:trPr/>
        <w:tc>
          <w:tcPr>
            <w:tcW w:w="5990" w:type="dxa"/>
            <w:tcBorders/>
            <w:shd w:fill="FFFFFF" w:val="clear"/>
            <w:vAlign w:val="bottom"/>
          </w:tcPr>
          <w:p>
            <w:pPr>
              <w:pStyle w:val="TableContents"/>
              <w:spacing w:before="0" w:after="0"/>
              <w:ind w:left="0" w:right="0" w:hanging="0"/>
              <w:jc w:val="left"/>
              <w:rPr/>
            </w:pPr>
            <w:r>
              <w:rPr/>
              <w:t>     </w:t>
            </w:r>
            <w:r>
              <w:rPr>
                <w:rFonts w:ascii="helvetica" w:hAnsi="helvetica"/>
                <w:sz w:val="20"/>
              </w:rPr>
              <w:t>Net proceeds from purchase of common stock and exercise</w:t>
            </w:r>
          </w:p>
        </w:tc>
        <w:tc>
          <w:tcPr>
            <w:tcW w:w="104"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16" w:type="dxa"/>
            <w:tcBorders/>
            <w:shd w:fill="FFFFFF" w:val="clear"/>
            <w:vAlign w:val="bottom"/>
          </w:tcPr>
          <w:p>
            <w:pPr>
              <w:pStyle w:val="TableContents"/>
              <w:spacing w:before="0" w:after="283"/>
              <w:jc w:val="right"/>
              <w:rPr/>
            </w:pPr>
            <w:r>
              <w:rPr/>
              <w:t> </w:t>
            </w:r>
          </w:p>
        </w:tc>
        <w:tc>
          <w:tcPr>
            <w:tcW w:w="110" w:type="dxa"/>
            <w:tcBorders/>
            <w:shd w:fill="FFFFFF" w:val="clear"/>
            <w:vAlign w:val="bottom"/>
          </w:tcPr>
          <w:p>
            <w:pPr>
              <w:pStyle w:val="TableContents"/>
              <w:spacing w:before="0" w:after="283"/>
              <w:jc w:val="left"/>
              <w:rPr/>
            </w:pPr>
            <w:r>
              <w:rPr/>
              <w:t> </w:t>
            </w:r>
          </w:p>
        </w:tc>
        <w:tc>
          <w:tcPr>
            <w:tcW w:w="104"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69" w:type="dxa"/>
            <w:tcBorders/>
            <w:shd w:fill="FFFFFF" w:val="clear"/>
            <w:vAlign w:val="bottom"/>
          </w:tcPr>
          <w:p>
            <w:pPr>
              <w:pStyle w:val="TableContents"/>
              <w:spacing w:before="0" w:after="283"/>
              <w:jc w:val="right"/>
              <w:rPr/>
            </w:pPr>
            <w:r>
              <w:rPr/>
              <w:t> </w:t>
            </w:r>
          </w:p>
        </w:tc>
        <w:tc>
          <w:tcPr>
            <w:tcW w:w="110" w:type="dxa"/>
            <w:tcBorders/>
            <w:shd w:fill="FFFFFF" w:val="clear"/>
            <w:vAlign w:val="bottom"/>
          </w:tcPr>
          <w:p>
            <w:pPr>
              <w:pStyle w:val="TableContents"/>
              <w:spacing w:before="0" w:after="283"/>
              <w:jc w:val="left"/>
              <w:rPr/>
            </w:pPr>
            <w:r>
              <w:rPr/>
              <w:t> </w:t>
            </w:r>
          </w:p>
        </w:tc>
        <w:tc>
          <w:tcPr>
            <w:tcW w:w="103"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103" w:type="dxa"/>
            <w:tcBorders/>
            <w:shd w:fill="FFFFFF" w:val="clear"/>
            <w:vAlign w:val="bottom"/>
          </w:tcPr>
          <w:p>
            <w:pPr>
              <w:pStyle w:val="TableContents"/>
              <w:spacing w:before="0" w:after="283"/>
              <w:jc w:val="right"/>
              <w:rPr/>
            </w:pPr>
            <w:r>
              <w:rPr/>
              <w:t> </w:t>
            </w:r>
          </w:p>
        </w:tc>
        <w:tc>
          <w:tcPr>
            <w:tcW w:w="121" w:type="dxa"/>
            <w:tcBorders/>
            <w:shd w:fill="FFFFFF" w:val="clear"/>
            <w:vAlign w:val="bottom"/>
          </w:tcPr>
          <w:p>
            <w:pPr>
              <w:pStyle w:val="TableContents"/>
              <w:spacing w:before="0" w:after="283"/>
              <w:jc w:val="left"/>
              <w:rPr/>
            </w:pPr>
            <w:r>
              <w:rPr/>
              <w:t> </w:t>
            </w:r>
          </w:p>
        </w:tc>
      </w:tr>
      <w:tr>
        <w:trPr/>
        <w:tc>
          <w:tcPr>
            <w:tcW w:w="5990" w:type="dxa"/>
            <w:tcBorders/>
            <w:shd w:fill="CCEEFF" w:val="clear"/>
            <w:vAlign w:val="bottom"/>
          </w:tcPr>
          <w:p>
            <w:pPr>
              <w:pStyle w:val="TableContents"/>
              <w:spacing w:before="0" w:after="0"/>
              <w:ind w:left="0" w:right="0" w:hanging="0"/>
              <w:jc w:val="left"/>
              <w:rPr/>
            </w:pPr>
            <w:r>
              <w:rPr/>
              <w:t>         </w:t>
            </w:r>
            <w:r>
              <w:rPr>
                <w:rFonts w:ascii="helvetica" w:hAnsi="helvetica"/>
                <w:sz w:val="20"/>
              </w:rPr>
              <w:t>of warrants and stock options</w:t>
            </w:r>
          </w:p>
        </w:tc>
        <w:tc>
          <w:tcPr>
            <w:tcW w:w="10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16"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w:t>
            </w:r>
          </w:p>
        </w:tc>
        <w:tc>
          <w:tcPr>
            <w:tcW w:w="110" w:type="dxa"/>
            <w:tcBorders/>
            <w:shd w:fill="CCEEFF" w:val="clear"/>
            <w:vAlign w:val="bottom"/>
          </w:tcPr>
          <w:p>
            <w:pPr>
              <w:pStyle w:val="TableContents"/>
              <w:spacing w:before="0" w:after="283"/>
              <w:jc w:val="left"/>
              <w:rPr/>
            </w:pPr>
            <w:r>
              <w:rPr/>
              <w:t> </w:t>
            </w:r>
          </w:p>
        </w:tc>
        <w:tc>
          <w:tcPr>
            <w:tcW w:w="10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69"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w:t>
            </w:r>
          </w:p>
        </w:tc>
        <w:tc>
          <w:tcPr>
            <w:tcW w:w="110" w:type="dxa"/>
            <w:tcBorders/>
            <w:shd w:fill="CCEEFF" w:val="clear"/>
            <w:vAlign w:val="bottom"/>
          </w:tcPr>
          <w:p>
            <w:pPr>
              <w:pStyle w:val="TableContents"/>
              <w:spacing w:before="0" w:after="283"/>
              <w:jc w:val="left"/>
              <w:rPr/>
            </w:pPr>
            <w:r>
              <w:rPr/>
              <w:t> </w:t>
            </w:r>
          </w:p>
        </w:tc>
        <w:tc>
          <w:tcPr>
            <w:tcW w:w="10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103"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99,450</w:t>
            </w:r>
          </w:p>
        </w:tc>
        <w:tc>
          <w:tcPr>
            <w:tcW w:w="121" w:type="dxa"/>
            <w:tcBorders/>
            <w:shd w:fill="CCEEFF" w:val="clear"/>
            <w:vAlign w:val="bottom"/>
          </w:tcPr>
          <w:p>
            <w:pPr>
              <w:pStyle w:val="TableContents"/>
              <w:spacing w:before="0" w:after="283"/>
              <w:jc w:val="left"/>
              <w:rPr/>
            </w:pPr>
            <w:r>
              <w:rPr/>
              <w:t> </w:t>
            </w:r>
          </w:p>
        </w:tc>
      </w:tr>
      <w:tr>
        <w:trPr/>
        <w:tc>
          <w:tcPr>
            <w:tcW w:w="5990" w:type="dxa"/>
            <w:tcBorders/>
            <w:shd w:fill="FFFFFF" w:val="clear"/>
            <w:vAlign w:val="bottom"/>
          </w:tcPr>
          <w:p>
            <w:pPr>
              <w:pStyle w:val="TableContents"/>
              <w:spacing w:before="0" w:after="0"/>
              <w:ind w:left="0" w:right="0" w:hanging="0"/>
              <w:jc w:val="left"/>
              <w:rPr/>
            </w:pPr>
            <w:r>
              <w:rPr/>
              <w:t>    </w:t>
            </w:r>
            <w:r>
              <w:rPr>
                <w:rFonts w:ascii="helvetica" w:hAnsi="helvetica"/>
                <w:sz w:val="20"/>
              </w:rPr>
              <w:t>Proceeds from issuance of common stock for cash, net of offering costs</w:t>
            </w:r>
          </w:p>
        </w:tc>
        <w:tc>
          <w:tcPr>
            <w:tcW w:w="104" w:type="dxa"/>
            <w:tcBorders/>
            <w:shd w:fill="FFFFFF" w:val="clear"/>
            <w:vAlign w:val="bottom"/>
          </w:tcPr>
          <w:p>
            <w:pPr>
              <w:pStyle w:val="TableContents"/>
              <w:spacing w:before="0" w:after="283"/>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16" w:type="dxa"/>
            <w:tcBorders>
              <w:bottom w:val="single" w:sz="12" w:space="0" w:color="000000"/>
            </w:tcBorders>
            <w:shd w:fill="FFFF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w:t>
            </w:r>
          </w:p>
        </w:tc>
        <w:tc>
          <w:tcPr>
            <w:tcW w:w="110" w:type="dxa"/>
            <w:tcBorders/>
            <w:shd w:fill="FFFFFF" w:val="clear"/>
            <w:vAlign w:val="bottom"/>
          </w:tcPr>
          <w:p>
            <w:pPr>
              <w:pStyle w:val="TableContents"/>
              <w:spacing w:before="0" w:after="283"/>
              <w:jc w:val="left"/>
              <w:rPr/>
            </w:pPr>
            <w:r>
              <w:rPr/>
              <w:t> </w:t>
            </w:r>
          </w:p>
        </w:tc>
        <w:tc>
          <w:tcPr>
            <w:tcW w:w="104" w:type="dxa"/>
            <w:tcBorders/>
            <w:shd w:fill="FFFFFF" w:val="clear"/>
            <w:vAlign w:val="bottom"/>
          </w:tcPr>
          <w:p>
            <w:pPr>
              <w:pStyle w:val="TableContents"/>
              <w:spacing w:before="0" w:after="283"/>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69" w:type="dxa"/>
            <w:tcBorders>
              <w:bottom w:val="single" w:sz="12" w:space="0" w:color="000000"/>
            </w:tcBorders>
            <w:shd w:fill="FFFF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w:t>
            </w:r>
          </w:p>
        </w:tc>
        <w:tc>
          <w:tcPr>
            <w:tcW w:w="110" w:type="dxa"/>
            <w:tcBorders/>
            <w:shd w:fill="FFFFFF" w:val="clear"/>
            <w:vAlign w:val="bottom"/>
          </w:tcPr>
          <w:p>
            <w:pPr>
              <w:pStyle w:val="TableContents"/>
              <w:spacing w:before="0" w:after="283"/>
              <w:jc w:val="left"/>
              <w:rPr/>
            </w:pPr>
            <w:r>
              <w:rPr/>
              <w:t> </w:t>
            </w:r>
          </w:p>
        </w:tc>
        <w:tc>
          <w:tcPr>
            <w:tcW w:w="103" w:type="dxa"/>
            <w:tcBorders/>
            <w:shd w:fill="FFFFFF" w:val="clear"/>
            <w:vAlign w:val="bottom"/>
          </w:tcPr>
          <w:p>
            <w:pPr>
              <w:pStyle w:val="TableContents"/>
              <w:spacing w:before="0" w:after="283"/>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103" w:type="dxa"/>
            <w:tcBorders>
              <w:bottom w:val="single" w:sz="12" w:space="0" w:color="000000"/>
            </w:tcBorders>
            <w:shd w:fill="FFFF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7,779,092</w:t>
            </w:r>
          </w:p>
        </w:tc>
        <w:tc>
          <w:tcPr>
            <w:tcW w:w="121" w:type="dxa"/>
            <w:tcBorders/>
            <w:shd w:fill="FFFFFF" w:val="clear"/>
            <w:vAlign w:val="bottom"/>
          </w:tcPr>
          <w:p>
            <w:pPr>
              <w:pStyle w:val="TableContents"/>
              <w:spacing w:before="0" w:after="283"/>
              <w:jc w:val="left"/>
              <w:rPr/>
            </w:pPr>
            <w:r>
              <w:rPr/>
              <w:t> </w:t>
            </w:r>
          </w:p>
        </w:tc>
      </w:tr>
      <w:tr>
        <w:trPr/>
        <w:tc>
          <w:tcPr>
            <w:tcW w:w="5990" w:type="dxa"/>
            <w:tcBorders/>
            <w:shd w:fill="CCEEFF" w:val="clear"/>
            <w:vAlign w:val="bottom"/>
          </w:tcPr>
          <w:p>
            <w:pPr>
              <w:pStyle w:val="TableContents"/>
              <w:spacing w:before="0" w:after="0"/>
              <w:ind w:left="0" w:right="0" w:hanging="0"/>
              <w:jc w:val="left"/>
              <w:rPr>
                <w:rFonts w:ascii="helvetica" w:hAnsi="helvetica"/>
                <w:sz w:val="20"/>
              </w:rPr>
            </w:pPr>
            <w:r>
              <w:rPr>
                <w:rFonts w:ascii="helvetica" w:hAnsi="helvetica"/>
                <w:sz w:val="20"/>
              </w:rPr>
              <w:t>NET CASH PROVIDED BY FINANCING ACTIVITIES</w:t>
            </w:r>
          </w:p>
        </w:tc>
        <w:tc>
          <w:tcPr>
            <w:tcW w:w="104" w:type="dxa"/>
            <w:tcBorders/>
            <w:shd w:fill="CCEEFF" w:val="clear"/>
            <w:vAlign w:val="bottom"/>
          </w:tcPr>
          <w:p>
            <w:pPr>
              <w:pStyle w:val="TableContents"/>
              <w:spacing w:before="0" w:after="283"/>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16" w:type="dxa"/>
            <w:tcBorders>
              <w:bottom w:val="single" w:sz="12" w:space="0" w:color="000000"/>
            </w:tcBorders>
            <w:shd w:fill="CCEE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145,858</w:t>
            </w:r>
          </w:p>
        </w:tc>
        <w:tc>
          <w:tcPr>
            <w:tcW w:w="110" w:type="dxa"/>
            <w:tcBorders/>
            <w:shd w:fill="CCEEFF" w:val="clear"/>
            <w:vAlign w:val="bottom"/>
          </w:tcPr>
          <w:p>
            <w:pPr>
              <w:pStyle w:val="TableContents"/>
              <w:spacing w:before="0" w:after="283"/>
              <w:jc w:val="left"/>
              <w:rPr/>
            </w:pPr>
            <w:r>
              <w:rPr/>
              <w:t> </w:t>
            </w:r>
          </w:p>
        </w:tc>
        <w:tc>
          <w:tcPr>
            <w:tcW w:w="104" w:type="dxa"/>
            <w:tcBorders/>
            <w:shd w:fill="CCEEFF" w:val="clear"/>
            <w:vAlign w:val="bottom"/>
          </w:tcPr>
          <w:p>
            <w:pPr>
              <w:pStyle w:val="TableContents"/>
              <w:spacing w:before="0" w:after="283"/>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69" w:type="dxa"/>
            <w:tcBorders>
              <w:bottom w:val="single" w:sz="12" w:space="0" w:color="000000"/>
            </w:tcBorders>
            <w:shd w:fill="CCEE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1,000,000</w:t>
            </w:r>
          </w:p>
        </w:tc>
        <w:tc>
          <w:tcPr>
            <w:tcW w:w="110" w:type="dxa"/>
            <w:tcBorders/>
            <w:shd w:fill="CCEEFF" w:val="clear"/>
            <w:vAlign w:val="bottom"/>
          </w:tcPr>
          <w:p>
            <w:pPr>
              <w:pStyle w:val="TableContents"/>
              <w:spacing w:before="0" w:after="283"/>
              <w:jc w:val="left"/>
              <w:rPr/>
            </w:pPr>
            <w:r>
              <w:rPr/>
              <w:t> </w:t>
            </w:r>
          </w:p>
        </w:tc>
        <w:tc>
          <w:tcPr>
            <w:tcW w:w="103" w:type="dxa"/>
            <w:tcBorders/>
            <w:shd w:fill="CCEEFF" w:val="clear"/>
            <w:vAlign w:val="bottom"/>
          </w:tcPr>
          <w:p>
            <w:pPr>
              <w:pStyle w:val="TableContents"/>
              <w:spacing w:before="0" w:after="283"/>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103" w:type="dxa"/>
            <w:tcBorders>
              <w:bottom w:val="single" w:sz="12" w:space="0" w:color="000000"/>
            </w:tcBorders>
            <w:shd w:fill="CCEE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10,919,407</w:t>
            </w:r>
          </w:p>
        </w:tc>
        <w:tc>
          <w:tcPr>
            <w:tcW w:w="121" w:type="dxa"/>
            <w:tcBorders/>
            <w:shd w:fill="CCEEFF" w:val="clear"/>
            <w:vAlign w:val="bottom"/>
          </w:tcPr>
          <w:p>
            <w:pPr>
              <w:pStyle w:val="TableContents"/>
              <w:spacing w:before="0" w:after="283"/>
              <w:jc w:val="left"/>
              <w:rPr/>
            </w:pPr>
            <w:r>
              <w:rPr/>
              <w:t> </w:t>
            </w:r>
          </w:p>
        </w:tc>
      </w:tr>
      <w:tr>
        <w:trPr/>
        <w:tc>
          <w:tcPr>
            <w:tcW w:w="5990" w:type="dxa"/>
            <w:tcBorders/>
            <w:shd w:fill="FFFFFF" w:val="clear"/>
            <w:vAlign w:val="bottom"/>
          </w:tcPr>
          <w:p>
            <w:pPr>
              <w:pStyle w:val="TableContents"/>
              <w:spacing w:before="0" w:after="283"/>
              <w:rPr/>
            </w:pPr>
            <w:r>
              <w:rPr/>
              <w:t xml:space="preserve">  </w:t>
            </w:r>
          </w:p>
        </w:tc>
        <w:tc>
          <w:tcPr>
            <w:tcW w:w="104"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16" w:type="dxa"/>
            <w:tcBorders/>
            <w:shd w:fill="FFFFFF" w:val="clear"/>
            <w:vAlign w:val="bottom"/>
          </w:tcPr>
          <w:p>
            <w:pPr>
              <w:pStyle w:val="TableContents"/>
              <w:spacing w:before="0" w:after="283"/>
              <w:jc w:val="right"/>
              <w:rPr/>
            </w:pPr>
            <w:r>
              <w:rPr/>
              <w:t> </w:t>
            </w:r>
          </w:p>
        </w:tc>
        <w:tc>
          <w:tcPr>
            <w:tcW w:w="110" w:type="dxa"/>
            <w:tcBorders/>
            <w:shd w:fill="FFFFFF" w:val="clear"/>
            <w:vAlign w:val="bottom"/>
          </w:tcPr>
          <w:p>
            <w:pPr>
              <w:pStyle w:val="TableContents"/>
              <w:spacing w:before="0" w:after="283"/>
              <w:jc w:val="left"/>
              <w:rPr/>
            </w:pPr>
            <w:r>
              <w:rPr/>
              <w:t> </w:t>
            </w:r>
          </w:p>
        </w:tc>
        <w:tc>
          <w:tcPr>
            <w:tcW w:w="104"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69" w:type="dxa"/>
            <w:tcBorders/>
            <w:shd w:fill="FFFFFF" w:val="clear"/>
            <w:vAlign w:val="bottom"/>
          </w:tcPr>
          <w:p>
            <w:pPr>
              <w:pStyle w:val="TableContents"/>
              <w:spacing w:before="0" w:after="283"/>
              <w:jc w:val="right"/>
              <w:rPr/>
            </w:pPr>
            <w:r>
              <w:rPr/>
              <w:t> </w:t>
            </w:r>
          </w:p>
        </w:tc>
        <w:tc>
          <w:tcPr>
            <w:tcW w:w="110" w:type="dxa"/>
            <w:tcBorders/>
            <w:shd w:fill="FFFFFF" w:val="clear"/>
            <w:vAlign w:val="bottom"/>
          </w:tcPr>
          <w:p>
            <w:pPr>
              <w:pStyle w:val="TableContents"/>
              <w:spacing w:before="0" w:after="283"/>
              <w:jc w:val="left"/>
              <w:rPr/>
            </w:pPr>
            <w:r>
              <w:rPr/>
              <w:t> </w:t>
            </w:r>
          </w:p>
        </w:tc>
        <w:tc>
          <w:tcPr>
            <w:tcW w:w="103"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103" w:type="dxa"/>
            <w:tcBorders/>
            <w:shd w:fill="FFFFFF" w:val="clear"/>
            <w:vAlign w:val="bottom"/>
          </w:tcPr>
          <w:p>
            <w:pPr>
              <w:pStyle w:val="TableContents"/>
              <w:spacing w:before="0" w:after="283"/>
              <w:jc w:val="right"/>
              <w:rPr/>
            </w:pPr>
            <w:r>
              <w:rPr/>
              <w:t> </w:t>
            </w:r>
          </w:p>
        </w:tc>
        <w:tc>
          <w:tcPr>
            <w:tcW w:w="121" w:type="dxa"/>
            <w:tcBorders/>
            <w:shd w:fill="FFFFFF" w:val="clear"/>
            <w:vAlign w:val="bottom"/>
          </w:tcPr>
          <w:p>
            <w:pPr>
              <w:pStyle w:val="TableContents"/>
              <w:spacing w:before="0" w:after="283"/>
              <w:jc w:val="left"/>
              <w:rPr/>
            </w:pPr>
            <w:r>
              <w:rPr/>
              <w:t> </w:t>
            </w:r>
          </w:p>
        </w:tc>
      </w:tr>
      <w:tr>
        <w:trPr/>
        <w:tc>
          <w:tcPr>
            <w:tcW w:w="5990" w:type="dxa"/>
            <w:tcBorders/>
            <w:shd w:fill="CCEEFF" w:val="clear"/>
            <w:vAlign w:val="bottom"/>
          </w:tcPr>
          <w:p>
            <w:pPr>
              <w:pStyle w:val="TableContents"/>
              <w:spacing w:before="0" w:after="0"/>
              <w:ind w:left="0" w:right="0" w:hanging="0"/>
              <w:jc w:val="left"/>
              <w:rPr>
                <w:rFonts w:ascii="helvetica" w:hAnsi="helvetica"/>
                <w:sz w:val="20"/>
              </w:rPr>
            </w:pPr>
            <w:r>
              <w:rPr>
                <w:rFonts w:ascii="helvetica" w:hAnsi="helvetica"/>
                <w:sz w:val="20"/>
              </w:rPr>
              <w:t>NET CHANGE IN CASH AND CASH EQUIVALENTS</w:t>
            </w:r>
          </w:p>
        </w:tc>
        <w:tc>
          <w:tcPr>
            <w:tcW w:w="10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16"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(145,302</w:t>
            </w:r>
          </w:p>
        </w:tc>
        <w:tc>
          <w:tcPr>
            <w:tcW w:w="110" w:type="dxa"/>
            <w:tcBorders/>
            <w:shd w:fill="CCEEFF" w:val="clear"/>
            <w:vAlign w:val="bottom"/>
          </w:tcPr>
          <w:p>
            <w:pPr>
              <w:pStyle w:val="TableContents"/>
              <w:spacing w:before="0" w:after="283"/>
              <w:jc w:val="left"/>
              <w:rPr>
                <w:rFonts w:ascii="helvetica" w:hAnsi="helvetica"/>
                <w:sz w:val="20"/>
              </w:rPr>
            </w:pPr>
            <w:r>
              <w:rPr>
                <w:rFonts w:ascii="helvetica" w:hAnsi="helvetica"/>
                <w:sz w:val="20"/>
              </w:rPr>
              <w:t>)</w:t>
            </w:r>
          </w:p>
        </w:tc>
        <w:tc>
          <w:tcPr>
            <w:tcW w:w="10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69"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(1,298,311</w:t>
            </w:r>
          </w:p>
        </w:tc>
        <w:tc>
          <w:tcPr>
            <w:tcW w:w="110" w:type="dxa"/>
            <w:tcBorders/>
            <w:shd w:fill="CCEEFF" w:val="clear"/>
            <w:vAlign w:val="bottom"/>
          </w:tcPr>
          <w:p>
            <w:pPr>
              <w:pStyle w:val="TableContents"/>
              <w:spacing w:before="0" w:after="283"/>
              <w:jc w:val="left"/>
              <w:rPr>
                <w:rFonts w:ascii="helvetica" w:hAnsi="helvetica"/>
                <w:sz w:val="20"/>
              </w:rPr>
            </w:pPr>
            <w:r>
              <w:rPr>
                <w:rFonts w:ascii="helvetica" w:hAnsi="helvetica"/>
                <w:sz w:val="20"/>
              </w:rPr>
              <w:t>)</w:t>
            </w:r>
          </w:p>
        </w:tc>
        <w:tc>
          <w:tcPr>
            <w:tcW w:w="10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103"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146,160</w:t>
            </w:r>
          </w:p>
        </w:tc>
        <w:tc>
          <w:tcPr>
            <w:tcW w:w="121" w:type="dxa"/>
            <w:tcBorders/>
            <w:shd w:fill="CCEEFF" w:val="clear"/>
            <w:vAlign w:val="bottom"/>
          </w:tcPr>
          <w:p>
            <w:pPr>
              <w:pStyle w:val="TableContents"/>
              <w:spacing w:before="0" w:after="283"/>
              <w:jc w:val="left"/>
              <w:rPr/>
            </w:pPr>
            <w:r>
              <w:rPr/>
              <w:t> </w:t>
            </w:r>
          </w:p>
        </w:tc>
      </w:tr>
      <w:tr>
        <w:trPr/>
        <w:tc>
          <w:tcPr>
            <w:tcW w:w="5990" w:type="dxa"/>
            <w:tcBorders/>
            <w:shd w:fill="FFFFFF" w:val="clear"/>
            <w:vAlign w:val="bottom"/>
          </w:tcPr>
          <w:p>
            <w:pPr>
              <w:pStyle w:val="TableContents"/>
              <w:spacing w:before="0" w:after="0"/>
              <w:ind w:left="0" w:right="0" w:hanging="0"/>
              <w:jc w:val="left"/>
              <w:rPr/>
            </w:pPr>
            <w:r>
              <w:rPr/>
              <w:t>  </w:t>
            </w:r>
            <w:r>
              <w:rPr>
                <w:rFonts w:ascii="helvetica" w:hAnsi="helvetica"/>
                <w:sz w:val="20"/>
              </w:rPr>
              <w:t>CASH AND CASH EQUIVALENTS, beginning of period</w:t>
            </w:r>
          </w:p>
        </w:tc>
        <w:tc>
          <w:tcPr>
            <w:tcW w:w="104" w:type="dxa"/>
            <w:tcBorders/>
            <w:shd w:fill="FFFFFF" w:val="clear"/>
            <w:vAlign w:val="bottom"/>
          </w:tcPr>
          <w:p>
            <w:pPr>
              <w:pStyle w:val="TableContents"/>
              <w:spacing w:before="0" w:after="283"/>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16" w:type="dxa"/>
            <w:tcBorders>
              <w:bottom w:val="single" w:sz="12" w:space="0" w:color="000000"/>
            </w:tcBorders>
            <w:shd w:fill="FFFF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291,462</w:t>
            </w:r>
          </w:p>
        </w:tc>
        <w:tc>
          <w:tcPr>
            <w:tcW w:w="110" w:type="dxa"/>
            <w:tcBorders/>
            <w:shd w:fill="FFFFFF" w:val="clear"/>
            <w:vAlign w:val="bottom"/>
          </w:tcPr>
          <w:p>
            <w:pPr>
              <w:pStyle w:val="TableContents"/>
              <w:spacing w:before="0" w:after="283"/>
              <w:jc w:val="left"/>
              <w:rPr/>
            </w:pPr>
            <w:r>
              <w:rPr/>
              <w:t> </w:t>
            </w:r>
          </w:p>
        </w:tc>
        <w:tc>
          <w:tcPr>
            <w:tcW w:w="104" w:type="dxa"/>
            <w:tcBorders/>
            <w:shd w:fill="FFFFFF" w:val="clear"/>
            <w:vAlign w:val="bottom"/>
          </w:tcPr>
          <w:p>
            <w:pPr>
              <w:pStyle w:val="TableContents"/>
              <w:spacing w:before="0" w:after="283"/>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69" w:type="dxa"/>
            <w:tcBorders>
              <w:bottom w:val="single" w:sz="12" w:space="0" w:color="000000"/>
            </w:tcBorders>
            <w:shd w:fill="FFFF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1,589,773</w:t>
            </w:r>
          </w:p>
        </w:tc>
        <w:tc>
          <w:tcPr>
            <w:tcW w:w="110" w:type="dxa"/>
            <w:tcBorders/>
            <w:shd w:fill="FFFFFF" w:val="clear"/>
            <w:vAlign w:val="bottom"/>
          </w:tcPr>
          <w:p>
            <w:pPr>
              <w:pStyle w:val="TableContents"/>
              <w:spacing w:before="0" w:after="283"/>
              <w:jc w:val="left"/>
              <w:rPr/>
            </w:pPr>
            <w:r>
              <w:rPr/>
              <w:t> </w:t>
            </w:r>
          </w:p>
        </w:tc>
        <w:tc>
          <w:tcPr>
            <w:tcW w:w="103" w:type="dxa"/>
            <w:tcBorders/>
            <w:shd w:fill="FFFFFF" w:val="clear"/>
            <w:vAlign w:val="bottom"/>
          </w:tcPr>
          <w:p>
            <w:pPr>
              <w:pStyle w:val="TableContents"/>
              <w:spacing w:before="0" w:after="283"/>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103" w:type="dxa"/>
            <w:tcBorders>
              <w:bottom w:val="single" w:sz="12" w:space="0" w:color="000000"/>
            </w:tcBorders>
            <w:shd w:fill="FFFF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w:t>
            </w:r>
          </w:p>
        </w:tc>
        <w:tc>
          <w:tcPr>
            <w:tcW w:w="121" w:type="dxa"/>
            <w:tcBorders/>
            <w:shd w:fill="FFFFFF" w:val="clear"/>
            <w:vAlign w:val="bottom"/>
          </w:tcPr>
          <w:p>
            <w:pPr>
              <w:pStyle w:val="TableContents"/>
              <w:spacing w:before="0" w:after="283"/>
              <w:jc w:val="left"/>
              <w:rPr/>
            </w:pPr>
            <w:r>
              <w:rPr/>
              <w:t> </w:t>
            </w:r>
          </w:p>
        </w:tc>
      </w:tr>
      <w:tr>
        <w:trPr/>
        <w:tc>
          <w:tcPr>
            <w:tcW w:w="5990" w:type="dxa"/>
            <w:tcBorders/>
            <w:shd w:fill="CCEEFF" w:val="clear"/>
            <w:vAlign w:val="bottom"/>
          </w:tcPr>
          <w:p>
            <w:pPr>
              <w:pStyle w:val="TableContents"/>
              <w:spacing w:before="0" w:after="0"/>
              <w:ind w:left="0" w:right="0" w:hanging="0"/>
              <w:jc w:val="left"/>
              <w:rPr/>
            </w:pPr>
            <w:r>
              <w:rPr/>
              <w:t>  </w:t>
            </w:r>
            <w:r>
              <w:rPr>
                <w:rFonts w:ascii="helvetica" w:hAnsi="helvetica"/>
                <w:sz w:val="20"/>
              </w:rPr>
              <w:t>CASH AND CASH EQUIVALENTS, end of period</w:t>
            </w:r>
          </w:p>
        </w:tc>
        <w:tc>
          <w:tcPr>
            <w:tcW w:w="104" w:type="dxa"/>
            <w:tcBorders/>
            <w:shd w:fill="CCEEFF" w:val="clear"/>
            <w:vAlign w:val="bottom"/>
          </w:tcPr>
          <w:p>
            <w:pPr>
              <w:pStyle w:val="TableContents"/>
              <w:spacing w:before="0" w:after="283"/>
              <w:rPr/>
            </w:pPr>
            <w:r>
              <w:rPr/>
              <w:t> </w:t>
            </w:r>
          </w:p>
        </w:tc>
        <w:tc>
          <w:tcPr>
            <w:tcW w:w="125" w:type="dxa"/>
            <w:tcBorders>
              <w:bottom w:val="double" w:sz="8" w:space="0" w:color="000000"/>
            </w:tcBorders>
            <w:shd w:fill="CCEEFF" w:val="clear"/>
            <w:tcMar>
              <w:bottom w:w="28" w:type="dxa"/>
            </w:tcMar>
            <w:vAlign w:val="bottom"/>
          </w:tcPr>
          <w:p>
            <w:pPr>
              <w:pStyle w:val="TableContents"/>
              <w:spacing w:before="0" w:after="283"/>
              <w:jc w:val="left"/>
              <w:rPr>
                <w:rFonts w:ascii="helvetica" w:hAnsi="helvetica"/>
                <w:sz w:val="20"/>
              </w:rPr>
            </w:pPr>
            <w:r>
              <w:rPr>
                <w:rFonts w:ascii="helvetica" w:hAnsi="helvetica"/>
                <w:sz w:val="20"/>
              </w:rPr>
              <w:t>$</w:t>
            </w:r>
          </w:p>
        </w:tc>
        <w:tc>
          <w:tcPr>
            <w:tcW w:w="1016" w:type="dxa"/>
            <w:tcBorders>
              <w:bottom w:val="double" w:sz="8" w:space="0" w:color="000000"/>
            </w:tcBorders>
            <w:shd w:fill="CCEE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146,160</w:t>
            </w:r>
          </w:p>
        </w:tc>
        <w:tc>
          <w:tcPr>
            <w:tcW w:w="110" w:type="dxa"/>
            <w:tcBorders/>
            <w:shd w:fill="CCEEFF" w:val="clear"/>
            <w:vAlign w:val="bottom"/>
          </w:tcPr>
          <w:p>
            <w:pPr>
              <w:pStyle w:val="TableContents"/>
              <w:spacing w:before="0" w:after="283"/>
              <w:jc w:val="left"/>
              <w:rPr/>
            </w:pPr>
            <w:r>
              <w:rPr/>
              <w:t> </w:t>
            </w:r>
          </w:p>
        </w:tc>
        <w:tc>
          <w:tcPr>
            <w:tcW w:w="104" w:type="dxa"/>
            <w:tcBorders/>
            <w:shd w:fill="CCEEFF" w:val="clear"/>
            <w:vAlign w:val="bottom"/>
          </w:tcPr>
          <w:p>
            <w:pPr>
              <w:pStyle w:val="TableContents"/>
              <w:spacing w:before="0" w:after="283"/>
              <w:rPr/>
            </w:pPr>
            <w:r>
              <w:rPr/>
              <w:t> </w:t>
            </w:r>
          </w:p>
        </w:tc>
        <w:tc>
          <w:tcPr>
            <w:tcW w:w="125" w:type="dxa"/>
            <w:tcBorders>
              <w:bottom w:val="double" w:sz="8" w:space="0" w:color="000000"/>
            </w:tcBorders>
            <w:shd w:fill="CCEEFF" w:val="clear"/>
            <w:tcMar>
              <w:bottom w:w="28" w:type="dxa"/>
            </w:tcMar>
            <w:vAlign w:val="bottom"/>
          </w:tcPr>
          <w:p>
            <w:pPr>
              <w:pStyle w:val="TableContents"/>
              <w:spacing w:before="0" w:after="283"/>
              <w:jc w:val="left"/>
              <w:rPr>
                <w:rFonts w:ascii="helvetica" w:hAnsi="helvetica"/>
                <w:sz w:val="20"/>
              </w:rPr>
            </w:pPr>
            <w:r>
              <w:rPr>
                <w:rFonts w:ascii="helvetica" w:hAnsi="helvetica"/>
                <w:sz w:val="20"/>
              </w:rPr>
              <w:t>$</w:t>
            </w:r>
          </w:p>
        </w:tc>
        <w:tc>
          <w:tcPr>
            <w:tcW w:w="1069" w:type="dxa"/>
            <w:tcBorders>
              <w:bottom w:val="double" w:sz="8" w:space="0" w:color="000000"/>
            </w:tcBorders>
            <w:shd w:fill="CCEE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291,462</w:t>
            </w:r>
          </w:p>
        </w:tc>
        <w:tc>
          <w:tcPr>
            <w:tcW w:w="110" w:type="dxa"/>
            <w:tcBorders/>
            <w:shd w:fill="CCEEFF" w:val="clear"/>
            <w:vAlign w:val="bottom"/>
          </w:tcPr>
          <w:p>
            <w:pPr>
              <w:pStyle w:val="TableContents"/>
              <w:spacing w:before="0" w:after="283"/>
              <w:jc w:val="left"/>
              <w:rPr/>
            </w:pPr>
            <w:r>
              <w:rPr/>
              <w:t> </w:t>
            </w:r>
          </w:p>
        </w:tc>
        <w:tc>
          <w:tcPr>
            <w:tcW w:w="103" w:type="dxa"/>
            <w:tcBorders/>
            <w:shd w:fill="CCEEFF" w:val="clear"/>
            <w:vAlign w:val="bottom"/>
          </w:tcPr>
          <w:p>
            <w:pPr>
              <w:pStyle w:val="TableContents"/>
              <w:spacing w:before="0" w:after="283"/>
              <w:rPr/>
            </w:pPr>
            <w:r>
              <w:rPr/>
              <w:t> </w:t>
            </w:r>
          </w:p>
        </w:tc>
        <w:tc>
          <w:tcPr>
            <w:tcW w:w="125" w:type="dxa"/>
            <w:tcBorders>
              <w:bottom w:val="double" w:sz="8" w:space="0" w:color="000000"/>
            </w:tcBorders>
            <w:shd w:fill="CCEEFF" w:val="clear"/>
            <w:tcMar>
              <w:bottom w:w="28" w:type="dxa"/>
            </w:tcMar>
            <w:vAlign w:val="bottom"/>
          </w:tcPr>
          <w:p>
            <w:pPr>
              <w:pStyle w:val="TableContents"/>
              <w:spacing w:before="0" w:after="283"/>
              <w:jc w:val="left"/>
              <w:rPr>
                <w:rFonts w:ascii="helvetica" w:hAnsi="helvetica"/>
                <w:sz w:val="20"/>
              </w:rPr>
            </w:pPr>
            <w:r>
              <w:rPr>
                <w:rFonts w:ascii="helvetica" w:hAnsi="helvetica"/>
                <w:sz w:val="20"/>
              </w:rPr>
              <w:t>$</w:t>
            </w:r>
          </w:p>
        </w:tc>
        <w:tc>
          <w:tcPr>
            <w:tcW w:w="1103" w:type="dxa"/>
            <w:tcBorders>
              <w:bottom w:val="double" w:sz="8" w:space="0" w:color="000000"/>
            </w:tcBorders>
            <w:shd w:fill="CCEE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146,160</w:t>
            </w:r>
          </w:p>
        </w:tc>
        <w:tc>
          <w:tcPr>
            <w:tcW w:w="121" w:type="dxa"/>
            <w:tcBorders/>
            <w:shd w:fill="CCEEFF" w:val="clear"/>
            <w:vAlign w:val="bottom"/>
          </w:tcPr>
          <w:p>
            <w:pPr>
              <w:pStyle w:val="TableContents"/>
              <w:spacing w:before="0" w:after="283"/>
              <w:jc w:val="left"/>
              <w:rPr/>
            </w:pPr>
            <w:r>
              <w:rPr/>
              <w:t> </w:t>
            </w:r>
          </w:p>
        </w:tc>
      </w:tr>
      <w:tr>
        <w:trPr/>
        <w:tc>
          <w:tcPr>
            <w:tcW w:w="5990" w:type="dxa"/>
            <w:tcBorders/>
            <w:shd w:fill="FFFFFF" w:val="clear"/>
            <w:vAlign w:val="bottom"/>
          </w:tcPr>
          <w:p>
            <w:pPr>
              <w:pStyle w:val="TableContents"/>
              <w:spacing w:before="0" w:after="283"/>
              <w:rPr/>
            </w:pPr>
            <w:r>
              <w:rPr/>
              <w:t xml:space="preserve">  </w:t>
            </w:r>
          </w:p>
        </w:tc>
        <w:tc>
          <w:tcPr>
            <w:tcW w:w="104"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16" w:type="dxa"/>
            <w:tcBorders/>
            <w:shd w:fill="FFFFFF" w:val="clear"/>
            <w:vAlign w:val="bottom"/>
          </w:tcPr>
          <w:p>
            <w:pPr>
              <w:pStyle w:val="TableContents"/>
              <w:spacing w:before="0" w:after="283"/>
              <w:jc w:val="right"/>
              <w:rPr/>
            </w:pPr>
            <w:r>
              <w:rPr/>
              <w:t> </w:t>
            </w:r>
          </w:p>
        </w:tc>
        <w:tc>
          <w:tcPr>
            <w:tcW w:w="110" w:type="dxa"/>
            <w:tcBorders/>
            <w:shd w:fill="FFFFFF" w:val="clear"/>
            <w:vAlign w:val="bottom"/>
          </w:tcPr>
          <w:p>
            <w:pPr>
              <w:pStyle w:val="TableContents"/>
              <w:spacing w:before="0" w:after="283"/>
              <w:jc w:val="left"/>
              <w:rPr/>
            </w:pPr>
            <w:r>
              <w:rPr/>
              <w:t> </w:t>
            </w:r>
          </w:p>
        </w:tc>
        <w:tc>
          <w:tcPr>
            <w:tcW w:w="104"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69" w:type="dxa"/>
            <w:tcBorders/>
            <w:shd w:fill="FFFFFF" w:val="clear"/>
            <w:vAlign w:val="bottom"/>
          </w:tcPr>
          <w:p>
            <w:pPr>
              <w:pStyle w:val="TableContents"/>
              <w:spacing w:before="0" w:after="283"/>
              <w:jc w:val="right"/>
              <w:rPr/>
            </w:pPr>
            <w:r>
              <w:rPr/>
              <w:t> </w:t>
            </w:r>
          </w:p>
        </w:tc>
        <w:tc>
          <w:tcPr>
            <w:tcW w:w="110" w:type="dxa"/>
            <w:tcBorders/>
            <w:shd w:fill="FFFFFF" w:val="clear"/>
            <w:vAlign w:val="bottom"/>
          </w:tcPr>
          <w:p>
            <w:pPr>
              <w:pStyle w:val="TableContents"/>
              <w:spacing w:before="0" w:after="283"/>
              <w:jc w:val="left"/>
              <w:rPr/>
            </w:pPr>
            <w:r>
              <w:rPr/>
              <w:t> </w:t>
            </w:r>
          </w:p>
        </w:tc>
        <w:tc>
          <w:tcPr>
            <w:tcW w:w="103"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103" w:type="dxa"/>
            <w:tcBorders/>
            <w:shd w:fill="FFFFFF" w:val="clear"/>
            <w:vAlign w:val="bottom"/>
          </w:tcPr>
          <w:p>
            <w:pPr>
              <w:pStyle w:val="TableContents"/>
              <w:spacing w:before="0" w:after="283"/>
              <w:jc w:val="right"/>
              <w:rPr/>
            </w:pPr>
            <w:r>
              <w:rPr/>
              <w:t> </w:t>
            </w:r>
          </w:p>
        </w:tc>
        <w:tc>
          <w:tcPr>
            <w:tcW w:w="121" w:type="dxa"/>
            <w:tcBorders/>
            <w:shd w:fill="FFFFFF" w:val="clear"/>
            <w:vAlign w:val="bottom"/>
          </w:tcPr>
          <w:p>
            <w:pPr>
              <w:pStyle w:val="TableContents"/>
              <w:spacing w:before="0" w:after="283"/>
              <w:jc w:val="left"/>
              <w:rPr/>
            </w:pPr>
            <w:r>
              <w:rPr/>
              <w:t> </w:t>
            </w:r>
          </w:p>
        </w:tc>
      </w:tr>
      <w:tr>
        <w:trPr/>
        <w:tc>
          <w:tcPr>
            <w:tcW w:w="5990" w:type="dxa"/>
            <w:tcBorders/>
            <w:shd w:fill="CCEEFF" w:val="clear"/>
            <w:vAlign w:val="bottom"/>
          </w:tcPr>
          <w:p>
            <w:pPr>
              <w:pStyle w:val="TableContents"/>
              <w:spacing w:before="0" w:after="0"/>
              <w:ind w:left="0" w:right="0" w:hanging="0"/>
              <w:jc w:val="left"/>
              <w:rPr>
                <w:rFonts w:ascii="helvetica" w:hAnsi="helvetica"/>
                <w:sz w:val="20"/>
              </w:rPr>
            </w:pPr>
            <w:r>
              <w:rPr>
                <w:rFonts w:ascii="helvetica" w:hAnsi="helvetica"/>
                <w:sz w:val="20"/>
              </w:rPr>
              <w:t>SUPPLEMENTAL DISCLOSURE OF CASH FLOW INFORMATION:</w:t>
            </w:r>
          </w:p>
        </w:tc>
        <w:tc>
          <w:tcPr>
            <w:tcW w:w="10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16" w:type="dxa"/>
            <w:tcBorders/>
            <w:shd w:fill="CCEEFF" w:val="clear"/>
            <w:vAlign w:val="bottom"/>
          </w:tcPr>
          <w:p>
            <w:pPr>
              <w:pStyle w:val="TableContents"/>
              <w:spacing w:before="0" w:after="283"/>
              <w:jc w:val="right"/>
              <w:rPr/>
            </w:pPr>
            <w:r>
              <w:rPr/>
              <w:t> </w:t>
            </w:r>
          </w:p>
        </w:tc>
        <w:tc>
          <w:tcPr>
            <w:tcW w:w="110" w:type="dxa"/>
            <w:tcBorders/>
            <w:shd w:fill="CCEEFF" w:val="clear"/>
            <w:vAlign w:val="bottom"/>
          </w:tcPr>
          <w:p>
            <w:pPr>
              <w:pStyle w:val="TableContents"/>
              <w:spacing w:before="0" w:after="283"/>
              <w:jc w:val="left"/>
              <w:rPr/>
            </w:pPr>
            <w:r>
              <w:rPr/>
              <w:t> </w:t>
            </w:r>
          </w:p>
        </w:tc>
        <w:tc>
          <w:tcPr>
            <w:tcW w:w="10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69" w:type="dxa"/>
            <w:tcBorders/>
            <w:shd w:fill="CCEEFF" w:val="clear"/>
            <w:vAlign w:val="bottom"/>
          </w:tcPr>
          <w:p>
            <w:pPr>
              <w:pStyle w:val="TableContents"/>
              <w:spacing w:before="0" w:after="283"/>
              <w:jc w:val="right"/>
              <w:rPr/>
            </w:pPr>
            <w:r>
              <w:rPr/>
              <w:t> </w:t>
            </w:r>
          </w:p>
        </w:tc>
        <w:tc>
          <w:tcPr>
            <w:tcW w:w="110" w:type="dxa"/>
            <w:tcBorders/>
            <w:shd w:fill="CCEEFF" w:val="clear"/>
            <w:vAlign w:val="bottom"/>
          </w:tcPr>
          <w:p>
            <w:pPr>
              <w:pStyle w:val="TableContents"/>
              <w:spacing w:before="0" w:after="283"/>
              <w:jc w:val="left"/>
              <w:rPr/>
            </w:pPr>
            <w:r>
              <w:rPr/>
              <w:t> </w:t>
            </w:r>
          </w:p>
        </w:tc>
        <w:tc>
          <w:tcPr>
            <w:tcW w:w="10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103" w:type="dxa"/>
            <w:tcBorders/>
            <w:shd w:fill="CCEEFF" w:val="clear"/>
            <w:vAlign w:val="bottom"/>
          </w:tcPr>
          <w:p>
            <w:pPr>
              <w:pStyle w:val="TableContents"/>
              <w:spacing w:before="0" w:after="283"/>
              <w:jc w:val="right"/>
              <w:rPr/>
            </w:pPr>
            <w:r>
              <w:rPr/>
              <w:t> </w:t>
            </w:r>
          </w:p>
        </w:tc>
        <w:tc>
          <w:tcPr>
            <w:tcW w:w="121" w:type="dxa"/>
            <w:tcBorders/>
            <w:shd w:fill="CCEEFF" w:val="clear"/>
            <w:vAlign w:val="bottom"/>
          </w:tcPr>
          <w:p>
            <w:pPr>
              <w:pStyle w:val="TableContents"/>
              <w:spacing w:before="0" w:after="283"/>
              <w:jc w:val="left"/>
              <w:rPr/>
            </w:pPr>
            <w:r>
              <w:rPr/>
              <w:t> </w:t>
            </w:r>
          </w:p>
        </w:tc>
      </w:tr>
      <w:tr>
        <w:trPr/>
        <w:tc>
          <w:tcPr>
            <w:tcW w:w="5990" w:type="dxa"/>
            <w:tcBorders/>
            <w:shd w:fill="FFFFFF" w:val="clear"/>
            <w:vAlign w:val="bottom"/>
          </w:tcPr>
          <w:p>
            <w:pPr>
              <w:pStyle w:val="TableContents"/>
              <w:spacing w:before="0" w:after="0"/>
              <w:ind w:left="0" w:right="0" w:hanging="0"/>
              <w:jc w:val="left"/>
              <w:rPr>
                <w:rFonts w:ascii="helvetica" w:hAnsi="helvetica"/>
                <w:sz w:val="20"/>
              </w:rPr>
            </w:pPr>
            <w:r>
              <w:rPr>
                <w:rFonts w:ascii="helvetica" w:hAnsi="helvetica"/>
                <w:sz w:val="20"/>
              </w:rPr>
              <w:t>Issuance of and adjustment to common stock and warrants to</w:t>
            </w:r>
          </w:p>
        </w:tc>
        <w:tc>
          <w:tcPr>
            <w:tcW w:w="104"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16" w:type="dxa"/>
            <w:tcBorders/>
            <w:shd w:fill="FFFFFF" w:val="clear"/>
            <w:vAlign w:val="bottom"/>
          </w:tcPr>
          <w:p>
            <w:pPr>
              <w:pStyle w:val="TableContents"/>
              <w:spacing w:before="0" w:after="283"/>
              <w:jc w:val="right"/>
              <w:rPr/>
            </w:pPr>
            <w:r>
              <w:rPr/>
              <w:t> </w:t>
            </w:r>
          </w:p>
        </w:tc>
        <w:tc>
          <w:tcPr>
            <w:tcW w:w="110" w:type="dxa"/>
            <w:tcBorders/>
            <w:shd w:fill="FFFFFF" w:val="clear"/>
            <w:vAlign w:val="bottom"/>
          </w:tcPr>
          <w:p>
            <w:pPr>
              <w:pStyle w:val="TableContents"/>
              <w:spacing w:before="0" w:after="283"/>
              <w:jc w:val="left"/>
              <w:rPr/>
            </w:pPr>
            <w:r>
              <w:rPr/>
              <w:t> </w:t>
            </w:r>
          </w:p>
        </w:tc>
        <w:tc>
          <w:tcPr>
            <w:tcW w:w="104"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69" w:type="dxa"/>
            <w:tcBorders/>
            <w:shd w:fill="FFFFFF" w:val="clear"/>
            <w:vAlign w:val="bottom"/>
          </w:tcPr>
          <w:p>
            <w:pPr>
              <w:pStyle w:val="TableContents"/>
              <w:spacing w:before="0" w:after="283"/>
              <w:jc w:val="right"/>
              <w:rPr/>
            </w:pPr>
            <w:r>
              <w:rPr/>
              <w:t> </w:t>
            </w:r>
          </w:p>
        </w:tc>
        <w:tc>
          <w:tcPr>
            <w:tcW w:w="110" w:type="dxa"/>
            <w:tcBorders/>
            <w:shd w:fill="FFFFFF" w:val="clear"/>
            <w:vAlign w:val="bottom"/>
          </w:tcPr>
          <w:p>
            <w:pPr>
              <w:pStyle w:val="TableContents"/>
              <w:spacing w:before="0" w:after="283"/>
              <w:jc w:val="left"/>
              <w:rPr/>
            </w:pPr>
            <w:r>
              <w:rPr/>
              <w:t> </w:t>
            </w:r>
          </w:p>
        </w:tc>
        <w:tc>
          <w:tcPr>
            <w:tcW w:w="103"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103" w:type="dxa"/>
            <w:tcBorders/>
            <w:shd w:fill="FFFFFF" w:val="clear"/>
            <w:vAlign w:val="bottom"/>
          </w:tcPr>
          <w:p>
            <w:pPr>
              <w:pStyle w:val="TableContents"/>
              <w:spacing w:before="0" w:after="283"/>
              <w:jc w:val="right"/>
              <w:rPr/>
            </w:pPr>
            <w:r>
              <w:rPr/>
              <w:t> </w:t>
            </w:r>
          </w:p>
        </w:tc>
        <w:tc>
          <w:tcPr>
            <w:tcW w:w="121" w:type="dxa"/>
            <w:tcBorders/>
            <w:shd w:fill="FFFFFF" w:val="clear"/>
            <w:vAlign w:val="bottom"/>
          </w:tcPr>
          <w:p>
            <w:pPr>
              <w:pStyle w:val="TableContents"/>
              <w:spacing w:before="0" w:after="283"/>
              <w:jc w:val="left"/>
              <w:rPr/>
            </w:pPr>
            <w:r>
              <w:rPr/>
              <w:t> </w:t>
            </w:r>
          </w:p>
        </w:tc>
      </w:tr>
      <w:tr>
        <w:trPr/>
        <w:tc>
          <w:tcPr>
            <w:tcW w:w="5990" w:type="dxa"/>
            <w:tcBorders/>
            <w:shd w:fill="CCEEFF" w:val="clear"/>
            <w:vAlign w:val="bottom"/>
          </w:tcPr>
          <w:p>
            <w:pPr>
              <w:pStyle w:val="TableContents"/>
              <w:spacing w:before="0" w:after="0"/>
              <w:ind w:left="0" w:right="0" w:hanging="0"/>
              <w:jc w:val="left"/>
              <w:rPr/>
            </w:pPr>
            <w:r>
              <w:rPr/>
              <w:t>  </w:t>
            </w:r>
            <w:r>
              <w:rPr>
                <w:rFonts w:ascii="helvetica" w:hAnsi="helvetica"/>
                <w:sz w:val="20"/>
              </w:rPr>
              <w:t>consulting firms for prepaid consulting fees</w:t>
            </w:r>
          </w:p>
        </w:tc>
        <w:tc>
          <w:tcPr>
            <w:tcW w:w="10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rFonts w:ascii="helvetica" w:hAnsi="helvetica"/>
                <w:sz w:val="20"/>
              </w:rPr>
            </w:pPr>
            <w:r>
              <w:rPr>
                <w:rFonts w:ascii="helvetica" w:hAnsi="helvetica"/>
                <w:sz w:val="20"/>
              </w:rPr>
              <w:t>$</w:t>
            </w:r>
          </w:p>
        </w:tc>
        <w:tc>
          <w:tcPr>
            <w:tcW w:w="1016"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w:t>
            </w:r>
          </w:p>
        </w:tc>
        <w:tc>
          <w:tcPr>
            <w:tcW w:w="110" w:type="dxa"/>
            <w:tcBorders/>
            <w:shd w:fill="CCEEFF" w:val="clear"/>
            <w:vAlign w:val="bottom"/>
          </w:tcPr>
          <w:p>
            <w:pPr>
              <w:pStyle w:val="TableContents"/>
              <w:spacing w:before="0" w:after="283"/>
              <w:jc w:val="left"/>
              <w:rPr/>
            </w:pPr>
            <w:r>
              <w:rPr/>
              <w:t> </w:t>
            </w:r>
          </w:p>
        </w:tc>
        <w:tc>
          <w:tcPr>
            <w:tcW w:w="10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rFonts w:ascii="helvetica" w:hAnsi="helvetica"/>
                <w:sz w:val="20"/>
              </w:rPr>
            </w:pPr>
            <w:r>
              <w:rPr>
                <w:rFonts w:ascii="helvetica" w:hAnsi="helvetica"/>
                <w:sz w:val="20"/>
              </w:rPr>
              <w:t>$</w:t>
            </w:r>
          </w:p>
        </w:tc>
        <w:tc>
          <w:tcPr>
            <w:tcW w:w="1069"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w:t>
            </w:r>
          </w:p>
        </w:tc>
        <w:tc>
          <w:tcPr>
            <w:tcW w:w="110" w:type="dxa"/>
            <w:tcBorders/>
            <w:shd w:fill="CCEEFF" w:val="clear"/>
            <w:vAlign w:val="bottom"/>
          </w:tcPr>
          <w:p>
            <w:pPr>
              <w:pStyle w:val="TableContents"/>
              <w:spacing w:before="0" w:after="283"/>
              <w:jc w:val="left"/>
              <w:rPr/>
            </w:pPr>
            <w:r>
              <w:rPr/>
              <w:t> </w:t>
            </w:r>
          </w:p>
        </w:tc>
        <w:tc>
          <w:tcPr>
            <w:tcW w:w="10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rFonts w:ascii="helvetica" w:hAnsi="helvetica"/>
                <w:sz w:val="20"/>
              </w:rPr>
            </w:pPr>
            <w:r>
              <w:rPr>
                <w:rFonts w:ascii="helvetica" w:hAnsi="helvetica"/>
                <w:sz w:val="20"/>
              </w:rPr>
              <w:t>$</w:t>
            </w:r>
          </w:p>
        </w:tc>
        <w:tc>
          <w:tcPr>
            <w:tcW w:w="1103"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432,007</w:t>
            </w:r>
          </w:p>
        </w:tc>
        <w:tc>
          <w:tcPr>
            <w:tcW w:w="121" w:type="dxa"/>
            <w:tcBorders/>
            <w:shd w:fill="CCEEFF" w:val="clear"/>
            <w:vAlign w:val="bottom"/>
          </w:tcPr>
          <w:p>
            <w:pPr>
              <w:pStyle w:val="TableContents"/>
              <w:spacing w:before="0" w:after="283"/>
              <w:jc w:val="left"/>
              <w:rPr/>
            </w:pPr>
            <w:r>
              <w:rPr/>
              <w:t> </w:t>
            </w:r>
          </w:p>
        </w:tc>
      </w:tr>
      <w:tr>
        <w:trPr/>
        <w:tc>
          <w:tcPr>
            <w:tcW w:w="5990" w:type="dxa"/>
            <w:tcBorders/>
            <w:shd w:fill="FFFFFF" w:val="clear"/>
            <w:vAlign w:val="bottom"/>
          </w:tcPr>
          <w:p>
            <w:pPr>
              <w:pStyle w:val="TableContents"/>
              <w:spacing w:before="0" w:after="0"/>
              <w:ind w:left="0" w:right="0" w:hanging="0"/>
              <w:jc w:val="left"/>
              <w:rPr>
                <w:rFonts w:ascii="helvetica" w:hAnsi="helvetica"/>
                <w:sz w:val="20"/>
              </w:rPr>
            </w:pPr>
            <w:r>
              <w:rPr>
                <w:rFonts w:ascii="helvetica" w:hAnsi="helvetica"/>
                <w:sz w:val="20"/>
              </w:rPr>
              <w:t>Conversion of notes payable and accrued interest into common stock</w:t>
            </w:r>
          </w:p>
        </w:tc>
        <w:tc>
          <w:tcPr>
            <w:tcW w:w="104"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rFonts w:ascii="helvetica" w:hAnsi="helvetica"/>
                <w:sz w:val="20"/>
              </w:rPr>
            </w:pPr>
            <w:r>
              <w:rPr>
                <w:rFonts w:ascii="helvetica" w:hAnsi="helvetica"/>
                <w:sz w:val="20"/>
              </w:rPr>
              <w:t>$</w:t>
            </w:r>
          </w:p>
        </w:tc>
        <w:tc>
          <w:tcPr>
            <w:tcW w:w="1016"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w:t>
            </w:r>
          </w:p>
        </w:tc>
        <w:tc>
          <w:tcPr>
            <w:tcW w:w="110" w:type="dxa"/>
            <w:tcBorders/>
            <w:shd w:fill="FFFFFF" w:val="clear"/>
            <w:vAlign w:val="bottom"/>
          </w:tcPr>
          <w:p>
            <w:pPr>
              <w:pStyle w:val="TableContents"/>
              <w:spacing w:before="0" w:after="283"/>
              <w:jc w:val="left"/>
              <w:rPr/>
            </w:pPr>
            <w:r>
              <w:rPr/>
              <w:t> </w:t>
            </w:r>
          </w:p>
        </w:tc>
        <w:tc>
          <w:tcPr>
            <w:tcW w:w="104"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rFonts w:ascii="helvetica" w:hAnsi="helvetica"/>
                <w:sz w:val="20"/>
              </w:rPr>
            </w:pPr>
            <w:r>
              <w:rPr>
                <w:rFonts w:ascii="helvetica" w:hAnsi="helvetica"/>
                <w:sz w:val="20"/>
              </w:rPr>
              <w:t>$</w:t>
            </w:r>
          </w:p>
        </w:tc>
        <w:tc>
          <w:tcPr>
            <w:tcW w:w="1069"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w:t>
            </w:r>
          </w:p>
        </w:tc>
        <w:tc>
          <w:tcPr>
            <w:tcW w:w="110" w:type="dxa"/>
            <w:tcBorders/>
            <w:shd w:fill="FFFFFF" w:val="clear"/>
            <w:vAlign w:val="bottom"/>
          </w:tcPr>
          <w:p>
            <w:pPr>
              <w:pStyle w:val="TableContents"/>
              <w:spacing w:before="0" w:after="283"/>
              <w:jc w:val="left"/>
              <w:rPr/>
            </w:pPr>
            <w:r>
              <w:rPr/>
              <w:t> </w:t>
            </w:r>
          </w:p>
        </w:tc>
        <w:tc>
          <w:tcPr>
            <w:tcW w:w="103"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rFonts w:ascii="helvetica" w:hAnsi="helvetica"/>
                <w:sz w:val="20"/>
              </w:rPr>
            </w:pPr>
            <w:r>
              <w:rPr>
                <w:rFonts w:ascii="helvetica" w:hAnsi="helvetica"/>
                <w:sz w:val="20"/>
              </w:rPr>
              <w:t>$</w:t>
            </w:r>
          </w:p>
        </w:tc>
        <w:tc>
          <w:tcPr>
            <w:tcW w:w="1103"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1,530,177</w:t>
            </w:r>
          </w:p>
        </w:tc>
        <w:tc>
          <w:tcPr>
            <w:tcW w:w="121" w:type="dxa"/>
            <w:tcBorders/>
            <w:shd w:fill="FFFFFF" w:val="clear"/>
            <w:vAlign w:val="bottom"/>
          </w:tcPr>
          <w:p>
            <w:pPr>
              <w:pStyle w:val="TableContents"/>
              <w:spacing w:before="0" w:after="283"/>
              <w:jc w:val="left"/>
              <w:rPr/>
            </w:pPr>
            <w:r>
              <w:rPr/>
              <w:t> </w:t>
            </w:r>
          </w:p>
        </w:tc>
      </w:tr>
      <w:tr>
        <w:trPr/>
        <w:tc>
          <w:tcPr>
            <w:tcW w:w="5990" w:type="dxa"/>
            <w:tcBorders/>
            <w:shd w:fill="CCEEFF" w:val="clear"/>
            <w:vAlign w:val="bottom"/>
          </w:tcPr>
          <w:p>
            <w:pPr>
              <w:pStyle w:val="TableContents"/>
              <w:spacing w:before="0" w:after="0"/>
              <w:ind w:left="0" w:right="0" w:hanging="0"/>
              <w:jc w:val="left"/>
              <w:rPr>
                <w:rFonts w:ascii="helvetica" w:hAnsi="helvetica"/>
                <w:sz w:val="20"/>
              </w:rPr>
            </w:pPr>
            <w:r>
              <w:rPr>
                <w:rFonts w:ascii="helvetica" w:hAnsi="helvetica"/>
                <w:sz w:val="20"/>
              </w:rPr>
              <w:t>Forgiveness of notes payable and accrued interest to shareholders</w:t>
            </w:r>
          </w:p>
        </w:tc>
        <w:tc>
          <w:tcPr>
            <w:tcW w:w="10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rFonts w:ascii="helvetica" w:hAnsi="helvetica"/>
                <w:sz w:val="20"/>
              </w:rPr>
            </w:pPr>
            <w:r>
              <w:rPr>
                <w:rFonts w:ascii="helvetica" w:hAnsi="helvetica"/>
                <w:sz w:val="20"/>
              </w:rPr>
              <w:t>$</w:t>
            </w:r>
          </w:p>
        </w:tc>
        <w:tc>
          <w:tcPr>
            <w:tcW w:w="1016"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w:t>
            </w:r>
          </w:p>
        </w:tc>
        <w:tc>
          <w:tcPr>
            <w:tcW w:w="110" w:type="dxa"/>
            <w:tcBorders/>
            <w:shd w:fill="CCEEFF" w:val="clear"/>
            <w:vAlign w:val="bottom"/>
          </w:tcPr>
          <w:p>
            <w:pPr>
              <w:pStyle w:val="TableContents"/>
              <w:spacing w:before="0" w:after="283"/>
              <w:jc w:val="left"/>
              <w:rPr/>
            </w:pPr>
            <w:r>
              <w:rPr/>
              <w:t> </w:t>
            </w:r>
          </w:p>
        </w:tc>
        <w:tc>
          <w:tcPr>
            <w:tcW w:w="10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rFonts w:ascii="helvetica" w:hAnsi="helvetica"/>
                <w:sz w:val="20"/>
              </w:rPr>
            </w:pPr>
            <w:r>
              <w:rPr>
                <w:rFonts w:ascii="helvetica" w:hAnsi="helvetica"/>
                <w:sz w:val="20"/>
              </w:rPr>
              <w:t>$</w:t>
            </w:r>
          </w:p>
        </w:tc>
        <w:tc>
          <w:tcPr>
            <w:tcW w:w="1069"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w:t>
            </w:r>
          </w:p>
        </w:tc>
        <w:tc>
          <w:tcPr>
            <w:tcW w:w="110" w:type="dxa"/>
            <w:tcBorders/>
            <w:shd w:fill="CCEEFF" w:val="clear"/>
            <w:vAlign w:val="bottom"/>
          </w:tcPr>
          <w:p>
            <w:pPr>
              <w:pStyle w:val="TableContents"/>
              <w:spacing w:before="0" w:after="283"/>
              <w:jc w:val="left"/>
              <w:rPr/>
            </w:pPr>
            <w:r>
              <w:rPr/>
              <w:t> </w:t>
            </w:r>
          </w:p>
        </w:tc>
        <w:tc>
          <w:tcPr>
            <w:tcW w:w="10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rFonts w:ascii="helvetica" w:hAnsi="helvetica"/>
                <w:sz w:val="20"/>
              </w:rPr>
            </w:pPr>
            <w:r>
              <w:rPr>
                <w:rFonts w:ascii="helvetica" w:hAnsi="helvetica"/>
                <w:sz w:val="20"/>
              </w:rPr>
              <w:t>$</w:t>
            </w:r>
          </w:p>
        </w:tc>
        <w:tc>
          <w:tcPr>
            <w:tcW w:w="1103"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241,701</w:t>
            </w:r>
          </w:p>
        </w:tc>
        <w:tc>
          <w:tcPr>
            <w:tcW w:w="121" w:type="dxa"/>
            <w:tcBorders/>
            <w:shd w:fill="CCEEFF" w:val="clear"/>
            <w:vAlign w:val="bottom"/>
          </w:tcPr>
          <w:p>
            <w:pPr>
              <w:pStyle w:val="TableContents"/>
              <w:spacing w:before="0" w:after="283"/>
              <w:jc w:val="left"/>
              <w:rPr/>
            </w:pPr>
            <w:r>
              <w:rPr/>
              <w:t> </w:t>
            </w:r>
          </w:p>
        </w:tc>
      </w:tr>
      <w:tr>
        <w:trPr/>
        <w:tc>
          <w:tcPr>
            <w:tcW w:w="5990" w:type="dxa"/>
            <w:tcBorders/>
            <w:shd w:fill="FFFFFF" w:val="clear"/>
            <w:vAlign w:val="bottom"/>
          </w:tcPr>
          <w:p>
            <w:pPr>
              <w:pStyle w:val="TableContents"/>
              <w:spacing w:before="0" w:after="0"/>
              <w:ind w:left="0" w:right="0" w:hanging="0"/>
              <w:jc w:val="left"/>
              <w:rPr>
                <w:rFonts w:ascii="helvetica" w:hAnsi="helvetica"/>
                <w:sz w:val="20"/>
              </w:rPr>
            </w:pPr>
            <w:r>
              <w:rPr>
                <w:rFonts w:ascii="helvetica" w:hAnsi="helvetica"/>
                <w:sz w:val="20"/>
              </w:rPr>
              <w:t>Conversion of advances to notes payable to shareholders</w:t>
            </w:r>
          </w:p>
        </w:tc>
        <w:tc>
          <w:tcPr>
            <w:tcW w:w="104"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rFonts w:ascii="helvetica" w:hAnsi="helvetica"/>
                <w:sz w:val="20"/>
              </w:rPr>
            </w:pPr>
            <w:r>
              <w:rPr>
                <w:rFonts w:ascii="helvetica" w:hAnsi="helvetica"/>
                <w:sz w:val="20"/>
              </w:rPr>
              <w:t>$</w:t>
            </w:r>
          </w:p>
        </w:tc>
        <w:tc>
          <w:tcPr>
            <w:tcW w:w="1016"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w:t>
            </w:r>
          </w:p>
        </w:tc>
        <w:tc>
          <w:tcPr>
            <w:tcW w:w="110" w:type="dxa"/>
            <w:tcBorders/>
            <w:shd w:fill="FFFFFF" w:val="clear"/>
            <w:vAlign w:val="bottom"/>
          </w:tcPr>
          <w:p>
            <w:pPr>
              <w:pStyle w:val="TableContents"/>
              <w:spacing w:before="0" w:after="283"/>
              <w:jc w:val="left"/>
              <w:rPr/>
            </w:pPr>
            <w:r>
              <w:rPr/>
              <w:t> </w:t>
            </w:r>
          </w:p>
        </w:tc>
        <w:tc>
          <w:tcPr>
            <w:tcW w:w="104"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rFonts w:ascii="helvetica" w:hAnsi="helvetica"/>
                <w:sz w:val="20"/>
              </w:rPr>
            </w:pPr>
            <w:r>
              <w:rPr>
                <w:rFonts w:ascii="helvetica" w:hAnsi="helvetica"/>
                <w:sz w:val="20"/>
              </w:rPr>
              <w:t>$</w:t>
            </w:r>
          </w:p>
        </w:tc>
        <w:tc>
          <w:tcPr>
            <w:tcW w:w="1069"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w:t>
            </w:r>
          </w:p>
        </w:tc>
        <w:tc>
          <w:tcPr>
            <w:tcW w:w="110" w:type="dxa"/>
            <w:tcBorders/>
            <w:shd w:fill="FFFFFF" w:val="clear"/>
            <w:vAlign w:val="bottom"/>
          </w:tcPr>
          <w:p>
            <w:pPr>
              <w:pStyle w:val="TableContents"/>
              <w:spacing w:before="0" w:after="283"/>
              <w:jc w:val="left"/>
              <w:rPr/>
            </w:pPr>
            <w:r>
              <w:rPr/>
              <w:t> </w:t>
            </w:r>
          </w:p>
        </w:tc>
        <w:tc>
          <w:tcPr>
            <w:tcW w:w="103"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rFonts w:ascii="helvetica" w:hAnsi="helvetica"/>
                <w:sz w:val="20"/>
              </w:rPr>
            </w:pPr>
            <w:r>
              <w:rPr>
                <w:rFonts w:ascii="helvetica" w:hAnsi="helvetica"/>
                <w:sz w:val="20"/>
              </w:rPr>
              <w:t>$</w:t>
            </w:r>
          </w:p>
        </w:tc>
        <w:tc>
          <w:tcPr>
            <w:tcW w:w="1103"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196,300</w:t>
            </w:r>
          </w:p>
        </w:tc>
        <w:tc>
          <w:tcPr>
            <w:tcW w:w="121" w:type="dxa"/>
            <w:tcBorders/>
            <w:shd w:fill="FFFFFF" w:val="clear"/>
            <w:vAlign w:val="bottom"/>
          </w:tcPr>
          <w:p>
            <w:pPr>
              <w:pStyle w:val="TableContents"/>
              <w:spacing w:before="0" w:after="283"/>
              <w:jc w:val="left"/>
              <w:rPr/>
            </w:pPr>
            <w:r>
              <w:rPr/>
              <w:t> </w:t>
            </w:r>
          </w:p>
        </w:tc>
      </w:tr>
      <w:tr>
        <w:trPr/>
        <w:tc>
          <w:tcPr>
            <w:tcW w:w="5990" w:type="dxa"/>
            <w:tcBorders/>
            <w:shd w:fill="CCEEFF" w:val="clear"/>
            <w:vAlign w:val="bottom"/>
          </w:tcPr>
          <w:p>
            <w:pPr>
              <w:pStyle w:val="TableContents"/>
              <w:spacing w:before="0" w:after="0"/>
              <w:ind w:left="0" w:right="0" w:hanging="0"/>
              <w:jc w:val="left"/>
              <w:rPr>
                <w:rFonts w:ascii="helvetica" w:hAnsi="helvetica"/>
                <w:sz w:val="20"/>
              </w:rPr>
            </w:pPr>
            <w:r>
              <w:rPr>
                <w:rFonts w:ascii="helvetica" w:hAnsi="helvetica"/>
                <w:sz w:val="20"/>
              </w:rPr>
              <w:t>Accretion of preferred stock discount</w:t>
            </w:r>
          </w:p>
        </w:tc>
        <w:tc>
          <w:tcPr>
            <w:tcW w:w="10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rFonts w:ascii="helvetica" w:hAnsi="helvetica"/>
                <w:sz w:val="20"/>
              </w:rPr>
            </w:pPr>
            <w:r>
              <w:rPr>
                <w:rFonts w:ascii="helvetica" w:hAnsi="helvetica"/>
                <w:sz w:val="20"/>
              </w:rPr>
              <w:t>$</w:t>
            </w:r>
          </w:p>
        </w:tc>
        <w:tc>
          <w:tcPr>
            <w:tcW w:w="1016"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100,000</w:t>
            </w:r>
          </w:p>
        </w:tc>
        <w:tc>
          <w:tcPr>
            <w:tcW w:w="110" w:type="dxa"/>
            <w:tcBorders/>
            <w:shd w:fill="CCEEFF" w:val="clear"/>
            <w:vAlign w:val="bottom"/>
          </w:tcPr>
          <w:p>
            <w:pPr>
              <w:pStyle w:val="TableContents"/>
              <w:spacing w:before="0" w:after="283"/>
              <w:jc w:val="left"/>
              <w:rPr/>
            </w:pPr>
            <w:r>
              <w:rPr/>
              <w:t> </w:t>
            </w:r>
          </w:p>
        </w:tc>
        <w:tc>
          <w:tcPr>
            <w:tcW w:w="10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rFonts w:ascii="helvetica" w:hAnsi="helvetica"/>
                <w:sz w:val="20"/>
              </w:rPr>
            </w:pPr>
            <w:r>
              <w:rPr>
                <w:rFonts w:ascii="helvetica" w:hAnsi="helvetica"/>
                <w:sz w:val="20"/>
              </w:rPr>
              <w:t>$</w:t>
            </w:r>
          </w:p>
        </w:tc>
        <w:tc>
          <w:tcPr>
            <w:tcW w:w="1069"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w:t>
            </w:r>
          </w:p>
        </w:tc>
        <w:tc>
          <w:tcPr>
            <w:tcW w:w="110" w:type="dxa"/>
            <w:tcBorders/>
            <w:shd w:fill="CCEEFF" w:val="clear"/>
            <w:vAlign w:val="bottom"/>
          </w:tcPr>
          <w:p>
            <w:pPr>
              <w:pStyle w:val="TableContents"/>
              <w:spacing w:before="0" w:after="283"/>
              <w:jc w:val="left"/>
              <w:rPr/>
            </w:pPr>
            <w:r>
              <w:rPr/>
              <w:t> </w:t>
            </w:r>
          </w:p>
        </w:tc>
        <w:tc>
          <w:tcPr>
            <w:tcW w:w="10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rFonts w:ascii="helvetica" w:hAnsi="helvetica"/>
                <w:sz w:val="20"/>
              </w:rPr>
            </w:pPr>
            <w:r>
              <w:rPr>
                <w:rFonts w:ascii="helvetica" w:hAnsi="helvetica"/>
                <w:sz w:val="20"/>
              </w:rPr>
              <w:t>$</w:t>
            </w:r>
          </w:p>
        </w:tc>
        <w:tc>
          <w:tcPr>
            <w:tcW w:w="1103"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100,000</w:t>
            </w:r>
          </w:p>
        </w:tc>
        <w:tc>
          <w:tcPr>
            <w:tcW w:w="121" w:type="dxa"/>
            <w:tcBorders/>
            <w:shd w:fill="CCEEFF" w:val="clear"/>
            <w:vAlign w:val="bottom"/>
          </w:tcPr>
          <w:p>
            <w:pPr>
              <w:pStyle w:val="TableContents"/>
              <w:spacing w:before="0" w:after="283"/>
              <w:jc w:val="left"/>
              <w:rPr/>
            </w:pPr>
            <w:r>
              <w:rPr/>
              <w:t> </w:t>
            </w:r>
          </w:p>
        </w:tc>
      </w:tr>
      <w:tr>
        <w:trPr/>
        <w:tc>
          <w:tcPr>
            <w:tcW w:w="5990" w:type="dxa"/>
            <w:tcBorders/>
            <w:shd w:fill="FFFFFF" w:val="clear"/>
            <w:vAlign w:val="bottom"/>
          </w:tcPr>
          <w:p>
            <w:pPr>
              <w:pStyle w:val="TableContents"/>
              <w:spacing w:before="0" w:after="0"/>
              <w:ind w:left="0" w:right="0" w:hanging="0"/>
              <w:jc w:val="left"/>
              <w:rPr>
                <w:rFonts w:ascii="helvetica" w:hAnsi="helvetica"/>
                <w:sz w:val="20"/>
              </w:rPr>
            </w:pPr>
            <w:r>
              <w:rPr>
                <w:rFonts w:ascii="helvetica" w:hAnsi="helvetica"/>
                <w:sz w:val="20"/>
              </w:rPr>
              <w:t>Payment of Phase 3 Liabilities by related party</w:t>
            </w:r>
          </w:p>
        </w:tc>
        <w:tc>
          <w:tcPr>
            <w:tcW w:w="104"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rFonts w:ascii="helvetica" w:hAnsi="helvetica"/>
                <w:sz w:val="20"/>
              </w:rPr>
            </w:pPr>
            <w:r>
              <w:rPr>
                <w:rFonts w:ascii="helvetica" w:hAnsi="helvetica"/>
                <w:sz w:val="20"/>
              </w:rPr>
              <w:t>$</w:t>
            </w:r>
          </w:p>
        </w:tc>
        <w:tc>
          <w:tcPr>
            <w:tcW w:w="1016"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56,087</w:t>
            </w:r>
          </w:p>
        </w:tc>
        <w:tc>
          <w:tcPr>
            <w:tcW w:w="110" w:type="dxa"/>
            <w:tcBorders/>
            <w:shd w:fill="FFFFFF" w:val="clear"/>
            <w:vAlign w:val="bottom"/>
          </w:tcPr>
          <w:p>
            <w:pPr>
              <w:pStyle w:val="TableContents"/>
              <w:spacing w:before="0" w:after="283"/>
              <w:jc w:val="left"/>
              <w:rPr/>
            </w:pPr>
            <w:r>
              <w:rPr/>
              <w:t> </w:t>
            </w:r>
          </w:p>
        </w:tc>
        <w:tc>
          <w:tcPr>
            <w:tcW w:w="104"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rFonts w:ascii="helvetica" w:hAnsi="helvetica"/>
                <w:sz w:val="20"/>
              </w:rPr>
            </w:pPr>
            <w:r>
              <w:rPr>
                <w:rFonts w:ascii="helvetica" w:hAnsi="helvetica"/>
                <w:sz w:val="20"/>
              </w:rPr>
              <w:t>$</w:t>
            </w:r>
          </w:p>
        </w:tc>
        <w:tc>
          <w:tcPr>
            <w:tcW w:w="1069"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w:t>
            </w:r>
          </w:p>
        </w:tc>
        <w:tc>
          <w:tcPr>
            <w:tcW w:w="110" w:type="dxa"/>
            <w:tcBorders/>
            <w:shd w:fill="FFFFFF" w:val="clear"/>
            <w:vAlign w:val="bottom"/>
          </w:tcPr>
          <w:p>
            <w:pPr>
              <w:pStyle w:val="TableContents"/>
              <w:spacing w:before="0" w:after="283"/>
              <w:jc w:val="left"/>
              <w:rPr/>
            </w:pPr>
            <w:r>
              <w:rPr/>
              <w:t> </w:t>
            </w:r>
          </w:p>
        </w:tc>
        <w:tc>
          <w:tcPr>
            <w:tcW w:w="103"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rFonts w:ascii="helvetica" w:hAnsi="helvetica"/>
                <w:sz w:val="20"/>
              </w:rPr>
            </w:pPr>
            <w:r>
              <w:rPr>
                <w:rFonts w:ascii="helvetica" w:hAnsi="helvetica"/>
                <w:sz w:val="20"/>
              </w:rPr>
              <w:t>$</w:t>
            </w:r>
          </w:p>
        </w:tc>
        <w:tc>
          <w:tcPr>
            <w:tcW w:w="1103"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56,087</w:t>
            </w:r>
          </w:p>
        </w:tc>
        <w:tc>
          <w:tcPr>
            <w:tcW w:w="121" w:type="dxa"/>
            <w:tcBorders/>
            <w:shd w:fill="FFFFFF" w:val="clear"/>
            <w:vAlign w:val="bottom"/>
          </w:tcPr>
          <w:p>
            <w:pPr>
              <w:pStyle w:val="TableContents"/>
              <w:spacing w:before="0" w:after="283"/>
              <w:jc w:val="left"/>
              <w:rPr/>
            </w:pPr>
            <w:r>
              <w:rPr/>
              <w:t> </w:t>
            </w:r>
          </w:p>
        </w:tc>
      </w:tr>
    </w:tbl>
    <w:p>
      <w:pPr>
        <w:pStyle w:val="TextBody"/>
        <w:spacing w:before="0" w:after="0"/>
        <w:jc w:val="left"/>
        <w:rPr/>
      </w:pPr>
      <w:r>
        <w:rPr/>
        <w:t> </w:t>
      </w:r>
    </w:p>
    <w:p>
      <w:pPr>
        <w:pStyle w:val="TextBody"/>
        <w:spacing w:before="0" w:after="0"/>
        <w:jc w:val="center"/>
        <w:rPr>
          <w:rFonts w:ascii="helvetica" w:hAnsi="helvetica"/>
          <w:b w:val="false"/>
          <w:sz w:val="20"/>
        </w:rPr>
      </w:pPr>
      <w:r>
        <w:rPr>
          <w:rFonts w:ascii="helvetica" w:hAnsi="helvetica"/>
          <w:b w:val="false"/>
          <w:sz w:val="20"/>
        </w:rPr>
        <w:t>The accompanying notes are an integral part of these consolidated financial statements</w:t>
      </w:r>
    </w:p>
    <w:p>
      <w:pPr>
        <w:pStyle w:val="TextBody"/>
        <w:spacing w:before="0" w:after="0"/>
        <w:ind w:left="0" w:right="0" w:hanging="0"/>
        <w:jc w:val="center"/>
        <w:rPr/>
      </w:pPr>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r>
      <w:bookmarkStart w:id="1112" w:name="PGBRK95"/>
      <w:bookmarkStart w:id="1113" w:name="PGBRK95"/>
      <w:bookmarkEnd w:id="111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114" w:name="FTR95"/>
      <w:bookmarkStart w:id="1115" w:name="FTR95"/>
      <w:bookmarkEnd w:id="111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1116" w:name="GLFTR94"/>
      <w:bookmarkEnd w:id="1116"/>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helvetica" w:hAnsi="helvetica"/>
          <w:sz w:val="20"/>
        </w:rPr>
      </w:pPr>
      <w:bookmarkStart w:id="1117" w:name="PN94"/>
      <w:bookmarkEnd w:id="1117"/>
      <w:r>
        <w:rPr>
          <w:rFonts w:ascii="helvetica" w:hAnsi="helvetica"/>
          <w:sz w:val="20"/>
        </w:rPr>
        <w:t>F-24</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118" w:name="HDR94"/>
      <w:bookmarkStart w:id="1119" w:name="HDR94"/>
      <w:bookmarkEnd w:id="111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1120" w:name="GLHDR94"/>
      <w:bookmarkEnd w:id="1120"/>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center"/>
        <w:rPr/>
      </w:pPr>
      <w:r>
        <w:rPr/>
        <w:t> </w:t>
      </w:r>
    </w:p>
    <w:p>
      <w:pPr>
        <w:pStyle w:val="TextBody"/>
        <w:spacing w:before="0" w:after="0"/>
        <w:ind w:left="0" w:right="0" w:hanging="0"/>
        <w:jc w:val="center"/>
        <w:rPr>
          <w:rFonts w:ascii="helvetica" w:hAnsi="helvetica"/>
          <w:b/>
          <w:sz w:val="20"/>
        </w:rPr>
      </w:pPr>
      <w:r>
        <w:rPr>
          <w:rFonts w:ascii="helvetica" w:hAnsi="helvetica"/>
          <w:b/>
          <w:sz w:val="20"/>
        </w:rPr>
        <w:t>IMPRIMIS PHARMACEUTICALS, INC.</w:t>
      </w:r>
    </w:p>
    <w:p>
      <w:pPr>
        <w:pStyle w:val="TextBody"/>
        <w:spacing w:before="0" w:after="0"/>
        <w:ind w:left="0" w:right="0" w:hanging="0"/>
        <w:jc w:val="center"/>
        <w:rPr>
          <w:rFonts w:ascii="helvetica" w:hAnsi="helvetica"/>
          <w:b/>
          <w:sz w:val="20"/>
        </w:rPr>
      </w:pPr>
      <w:r>
        <w:rPr>
          <w:rFonts w:ascii="helvetica" w:hAnsi="helvetica"/>
          <w:b/>
          <w:sz w:val="20"/>
        </w:rPr>
        <w:t>(A Development Stage Company)</w:t>
      </w:r>
    </w:p>
    <w:p>
      <w:pPr>
        <w:pStyle w:val="TextBody"/>
        <w:spacing w:before="0" w:after="0"/>
        <w:ind w:left="0" w:right="0" w:hanging="0"/>
        <w:jc w:val="center"/>
        <w:rPr>
          <w:rFonts w:ascii="helvetica" w:hAnsi="helvetica"/>
          <w:b/>
          <w:sz w:val="20"/>
        </w:rPr>
      </w:pPr>
      <w:r>
        <w:rPr>
          <w:rFonts w:ascii="helvetica" w:hAnsi="helvetica"/>
          <w:b/>
          <w:sz w:val="20"/>
        </w:rPr>
        <w:t>NOTES TO THE CONSOLIDATED FINANCIAL STATEMENTS</w:t>
      </w:r>
    </w:p>
    <w:p>
      <w:pPr>
        <w:pStyle w:val="TextBody"/>
        <w:spacing w:before="0" w:after="0"/>
        <w:ind w:left="0" w:right="0" w:hanging="0"/>
        <w:jc w:val="center"/>
        <w:rPr>
          <w:rFonts w:ascii="helvetica" w:hAnsi="helvetica"/>
          <w:b/>
          <w:sz w:val="20"/>
        </w:rPr>
      </w:pPr>
      <w:r>
        <w:rPr>
          <w:rFonts w:ascii="helvetica" w:hAnsi="helvetica"/>
          <w:b/>
          <w:sz w:val="20"/>
        </w:rPr>
        <w:t>For the years ended December 31, 2011 and 2010 and the period from July 24, 1998 (Inception) through December 31, 2011</w:t>
      </w:r>
    </w:p>
    <w:p>
      <w:pPr>
        <w:pStyle w:val="TextBody"/>
        <w:spacing w:before="0" w:after="0"/>
        <w:ind w:left="0" w:right="0" w:hanging="0"/>
        <w:rPr/>
      </w:pPr>
      <w:r>
        <w:rPr/>
        <w:t> </w:t>
      </w:r>
    </w:p>
    <w:p>
      <w:pPr>
        <w:pStyle w:val="TextBody"/>
        <w:spacing w:before="0" w:after="0"/>
        <w:ind w:left="0" w:right="0" w:hanging="0"/>
        <w:jc w:val="left"/>
        <w:rPr>
          <w:rFonts w:ascii="helvetica" w:hAnsi="helvetica"/>
          <w:b/>
          <w:sz w:val="20"/>
        </w:rPr>
      </w:pPr>
      <w:r>
        <w:rPr>
          <w:rFonts w:ascii="helvetica" w:hAnsi="helvetica"/>
          <w:b/>
          <w:sz w:val="20"/>
        </w:rPr>
        <w:t>NOTE 1.   ORGANIZATION</w:t>
      </w:r>
    </w:p>
    <w:p>
      <w:pPr>
        <w:pStyle w:val="TextBody"/>
        <w:spacing w:before="0" w:after="0"/>
        <w:ind w:left="0" w:right="0" w:hanging="0"/>
        <w:rPr/>
      </w:pPr>
      <w:r>
        <w:rPr/>
        <w:t> </w:t>
      </w:r>
    </w:p>
    <w:p>
      <w:pPr>
        <w:pStyle w:val="TextBody"/>
        <w:spacing w:before="0" w:after="0"/>
        <w:ind w:left="0" w:right="0" w:hanging="0"/>
        <w:jc w:val="both"/>
        <w:rPr>
          <w:rFonts w:ascii="helvetica" w:hAnsi="helvetica"/>
          <w:sz w:val="20"/>
        </w:rPr>
      </w:pPr>
      <w:r>
        <w:rPr>
          <w:rFonts w:ascii="helvetica" w:hAnsi="helvetica"/>
          <w:sz w:val="20"/>
        </w:rPr>
        <w:t>On February 28, 2012, the Company changed its name from Transdel Pharmaceuticals, Inc. to Imprimis Pharmaceuticals, Inc. All prior references to Transdel Pharmaceuticals, Inc. have been changed to Imprimis Pharmaceuticals, Inc. to reflect the change.</w:t>
      </w:r>
    </w:p>
    <w:p>
      <w:pPr>
        <w:pStyle w:val="TextBody"/>
        <w:spacing w:before="0" w:after="0"/>
        <w:ind w:left="0" w:right="0" w:hanging="0"/>
        <w:jc w:val="both"/>
        <w:rPr/>
      </w:pPr>
      <w:r>
        <w:rPr/>
        <w:t> </w:t>
      </w:r>
    </w:p>
    <w:p>
      <w:pPr>
        <w:pStyle w:val="TextBody"/>
        <w:spacing w:before="0" w:after="0"/>
        <w:ind w:left="0" w:right="0" w:hanging="0"/>
        <w:jc w:val="both"/>
        <w:rPr>
          <w:rFonts w:ascii="helvetica" w:hAnsi="helvetica"/>
          <w:sz w:val="20"/>
        </w:rPr>
      </w:pPr>
      <w:r>
        <w:rPr>
          <w:rFonts w:ascii="helvetica" w:hAnsi="helvetica"/>
          <w:sz w:val="20"/>
        </w:rPr>
        <w:t>Imprimis Pharmaceuticals, Inc. (“Imprimis” or “Company”) is a specialty pharmaceutical company developing non-invasive, topically delivered products. The Company’s innovative patented Accudel cream formulation technology is designed to facilitate the effective penetration of a variety of products through the skin barrier. Impracor , the Company’s lead pain product, utilizes the Accudel platform technology to deliver the active drug, ketoprofen, a non-steroidal anti-inflammatory drug (“NSAID”), through the skin directly into the underlying musculoskeletal and soft tissues where the drug exerts its anti-inflammatory and analgesic effects. The Company intends to leverage its Accudel platform technology to expand and create a portfolio of topical products for a variety of indications.</w:t>
      </w:r>
    </w:p>
    <w:p>
      <w:pPr>
        <w:pStyle w:val="TextBody"/>
        <w:spacing w:before="0" w:after="0"/>
        <w:ind w:left="0" w:right="0" w:hanging="0"/>
        <w:jc w:val="both"/>
        <w:rPr/>
      </w:pPr>
      <w:r>
        <w:rPr/>
        <w:t> </w:t>
      </w:r>
    </w:p>
    <w:p>
      <w:pPr>
        <w:pStyle w:val="TextBody"/>
        <w:spacing w:before="0" w:after="0"/>
        <w:ind w:left="0" w:right="0" w:hanging="0"/>
        <w:jc w:val="both"/>
        <w:rPr>
          <w:rFonts w:ascii="helvetica" w:hAnsi="helvetica"/>
          <w:sz w:val="20"/>
        </w:rPr>
      </w:pPr>
      <w:r>
        <w:rPr>
          <w:rFonts w:ascii="helvetica" w:hAnsi="helvetica"/>
          <w:sz w:val="20"/>
        </w:rPr>
        <w:t>As described in Note 4, the Company, on June 26, 2011, filed a voluntary petition for reorganization relief under Chapter 11 of the United States Bankruptcy Code in the United States Bankruptcy Court for the Southern District of California (the “Bankruptcy Court”), Case No. 11-10497-11 (the “Chapter 11 Case”). On November 21, 2011, in connection with the transactions described throughout these notes to the consolidated financial statements, the Company requested that the Bankruptcy Court dismiss the Chapter 11 Case, and on December 8, 2011, the Bankruptcy Court entered an order dismissing the Chapter 11 Case.  </w:t>
      </w:r>
    </w:p>
    <w:p>
      <w:pPr>
        <w:pStyle w:val="TextBody"/>
        <w:spacing w:before="0" w:after="0"/>
        <w:ind w:left="0" w:right="0" w:hanging="0"/>
        <w:jc w:val="both"/>
        <w:rPr/>
      </w:pPr>
      <w:r>
        <w:rPr/>
        <w:t> </w:t>
      </w:r>
    </w:p>
    <w:p>
      <w:pPr>
        <w:pStyle w:val="TextBody"/>
        <w:spacing w:before="0" w:after="0"/>
        <w:ind w:left="0" w:right="0" w:hanging="0"/>
        <w:jc w:val="both"/>
        <w:rPr>
          <w:rFonts w:ascii="helvetica" w:hAnsi="helvetica"/>
          <w:b/>
          <w:sz w:val="20"/>
        </w:rPr>
      </w:pPr>
      <w:r>
        <w:rPr>
          <w:rFonts w:ascii="helvetica" w:hAnsi="helvetica"/>
          <w:b/>
          <w:sz w:val="20"/>
        </w:rPr>
        <w:t>NOTE 2.   GOING CONCERN</w:t>
      </w:r>
    </w:p>
    <w:p>
      <w:pPr>
        <w:pStyle w:val="TextBody"/>
        <w:spacing w:before="0" w:after="0"/>
        <w:ind w:left="0" w:right="0" w:hanging="0"/>
        <w:jc w:val="both"/>
        <w:rPr/>
      </w:pPr>
      <w:r>
        <w:rPr/>
        <w:t> </w:t>
      </w:r>
    </w:p>
    <w:p>
      <w:pPr>
        <w:pStyle w:val="TextBody"/>
        <w:spacing w:before="0" w:after="0"/>
        <w:ind w:left="0" w:right="0" w:hanging="0"/>
        <w:jc w:val="both"/>
        <w:rPr>
          <w:rFonts w:ascii="helvetica" w:hAnsi="helvetica"/>
          <w:sz w:val="20"/>
        </w:rPr>
      </w:pPr>
      <w:r>
        <w:rPr>
          <w:rFonts w:ascii="helvetica" w:hAnsi="helvetica"/>
          <w:sz w:val="20"/>
        </w:rPr>
        <w:t>The accompanying consolidated financial statements have been prepared on a going-concern basis, which contemplates the realization of assets and the satisfaction of liabilities in the normal course of business. The Company has incurred recurring operating losses, had negative operating cash flows and has not recognized any revenues since July 24, 1998 (Inception). In addition, the Company had a deficit accumulated during the development stage of $18.5 million at December 31, 2011. These factors raise substantial doubt about the Company’s ability to continue as a going concern.</w:t>
      </w:r>
    </w:p>
    <w:p>
      <w:pPr>
        <w:pStyle w:val="TextBody"/>
        <w:spacing w:before="0" w:after="0"/>
        <w:ind w:left="0" w:right="0" w:hanging="0"/>
        <w:jc w:val="both"/>
        <w:rPr/>
      </w:pPr>
      <w:r>
        <w:rPr/>
        <w:t> </w:t>
      </w:r>
    </w:p>
    <w:p>
      <w:pPr>
        <w:pStyle w:val="TextBody"/>
        <w:spacing w:before="0" w:after="0"/>
        <w:ind w:left="0" w:right="0" w:hanging="0"/>
        <w:jc w:val="both"/>
        <w:rPr>
          <w:rFonts w:ascii="helvetica" w:hAnsi="helvetica"/>
          <w:sz w:val="20"/>
        </w:rPr>
      </w:pPr>
      <w:r>
        <w:rPr>
          <w:rFonts w:ascii="helvetica" w:hAnsi="helvetica"/>
          <w:sz w:val="20"/>
        </w:rPr>
        <w:t>The Company’s continuation as a going concern is dependent on its ability to obtain additional financing to fund operations, implement its business model, and ultimately, to attain profitable operations.  In order to execute the second Phase 3 clinical trial and other supportive safety studies for Impracor , which are required by the U.S. Food and Drug Administration (“FDA”) to obtain final regulatory approval for Impracor , the Company will need to secure additional funds through various means, including equity and debt financing, funding from a corporate partnership or licensing arrangement or any similar financing. There can be no assurance that the Company will be able to obtain additional debt or equity financing, if and when needed, on terms acceptable to the Company. Any additional equity or debt financing may involve substantial dilution to the Company’s stockholders, restrictive covenants or high interest costs. The failure to raise needed funds on sufficiently favorable terms could have a material adverse effect on the execution of the Company’s business plan, operating results and financial condition. The Company’s long term liquidity also depends upon its ability to generate revenues from the sale of its products and achieve profitability. The failure to achieve these goals could have a material adverse effect on the execution of the Company’s business plan, operating results and financial condition. The Company intends to raise additional financing to fund its operations through various means, including equity or debt financing, funding from a corporate partnership or licensing arrangement or any similar financing. However, there is no assurance that sufficient financing will be available or, if available, on terms that would be acceptable to the Company.</w:t>
      </w:r>
    </w:p>
    <w:p>
      <w:pPr>
        <w:pStyle w:val="TextBody"/>
        <w:spacing w:before="0" w:after="0"/>
        <w:ind w:left="0" w:right="0" w:hanging="0"/>
        <w:jc w:val="both"/>
        <w:rPr/>
      </w:pPr>
      <w:r>
        <w:rPr/>
        <w:t> </w:t>
      </w:r>
    </w:p>
    <w:p>
      <w:pPr>
        <w:pStyle w:val="TextBody"/>
        <w:spacing w:before="0" w:after="0"/>
        <w:ind w:left="0" w:right="0" w:hanging="0"/>
        <w:jc w:val="both"/>
        <w:rPr>
          <w:rFonts w:ascii="helvetica" w:hAnsi="helvetica"/>
          <w:sz w:val="20"/>
        </w:rPr>
      </w:pPr>
      <w:r>
        <w:rPr>
          <w:rFonts w:ascii="helvetica" w:hAnsi="helvetica"/>
          <w:sz w:val="20"/>
        </w:rPr>
        <w:t>The consolidated financial statements do not include any adjustments relating to the recoverability and classification of recorded asset amounts or the amounts and classification of liabilities that might be necessary should the Company be unable to continue as a going concern.</w:t>
      </w:r>
    </w:p>
    <w:p>
      <w:pPr>
        <w:pStyle w:val="TextBody"/>
        <w:spacing w:before="0" w:after="0"/>
        <w:ind w:left="0" w:right="0" w:hanging="0"/>
        <w:jc w:val="both"/>
        <w:rPr/>
      </w:pPr>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r>
      <w:bookmarkStart w:id="1121" w:name="PGBRK96"/>
      <w:bookmarkStart w:id="1122" w:name="PGBRK96"/>
      <w:bookmarkEnd w:id="112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123" w:name="FTR96"/>
      <w:bookmarkStart w:id="1124" w:name="FTR96"/>
      <w:bookmarkEnd w:id="112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1125" w:name="GLFTR95"/>
      <w:bookmarkEnd w:id="1125"/>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helvetica" w:hAnsi="helvetica"/>
          <w:sz w:val="20"/>
        </w:rPr>
      </w:pPr>
      <w:bookmarkStart w:id="1126" w:name="PN95"/>
      <w:bookmarkEnd w:id="1126"/>
      <w:r>
        <w:rPr>
          <w:rFonts w:ascii="helvetica" w:hAnsi="helvetica"/>
          <w:sz w:val="20"/>
        </w:rPr>
        <w:t>F-25</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127" w:name="HDR95"/>
      <w:bookmarkStart w:id="1128" w:name="HDR95"/>
      <w:bookmarkEnd w:id="112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1129" w:name="GLHDR95"/>
      <w:bookmarkEnd w:id="1129"/>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t> </w:t>
      </w:r>
    </w:p>
    <w:p>
      <w:pPr>
        <w:pStyle w:val="TextBody"/>
        <w:spacing w:before="0" w:after="0"/>
        <w:ind w:left="0" w:right="0" w:hanging="0"/>
        <w:jc w:val="left"/>
        <w:rPr>
          <w:rFonts w:ascii="helvetica" w:hAnsi="helvetica"/>
          <w:b/>
          <w:sz w:val="20"/>
        </w:rPr>
      </w:pPr>
      <w:r>
        <w:rPr>
          <w:rFonts w:ascii="helvetica" w:hAnsi="helvetica"/>
          <w:b/>
          <w:sz w:val="20"/>
        </w:rPr>
        <w:t>NOTE 3.    SUMMARY OF SIGNIFICANT ACCOUNTING POLICIES</w:t>
      </w:r>
    </w:p>
    <w:p>
      <w:pPr>
        <w:pStyle w:val="TextBody"/>
        <w:spacing w:before="0" w:after="0"/>
        <w:ind w:left="0" w:right="0" w:hanging="0"/>
        <w:rPr/>
      </w:pPr>
      <w:r>
        <w:rPr/>
        <w:t> </w:t>
      </w:r>
    </w:p>
    <w:p>
      <w:pPr>
        <w:pStyle w:val="TextBody"/>
        <w:spacing w:before="0" w:after="0"/>
        <w:ind w:left="0" w:right="0" w:hanging="0"/>
        <w:jc w:val="both"/>
        <w:rPr>
          <w:rFonts w:ascii="helvetica" w:hAnsi="helvetica"/>
          <w:b/>
          <w:sz w:val="20"/>
        </w:rPr>
      </w:pPr>
      <w:r>
        <w:rPr>
          <w:rFonts w:ascii="helvetica" w:hAnsi="helvetica"/>
          <w:b/>
          <w:sz w:val="20"/>
        </w:rPr>
        <w:t>Basis of Presentation</w:t>
      </w:r>
    </w:p>
    <w:p>
      <w:pPr>
        <w:pStyle w:val="TextBody"/>
        <w:spacing w:before="0" w:after="0"/>
        <w:ind w:left="0" w:right="0" w:hanging="0"/>
        <w:rPr/>
      </w:pPr>
      <w:r>
        <w:rPr/>
        <w:t> </w:t>
      </w:r>
    </w:p>
    <w:p>
      <w:pPr>
        <w:pStyle w:val="TextBody"/>
        <w:spacing w:before="0" w:after="0"/>
        <w:ind w:left="0" w:right="0" w:hanging="0"/>
        <w:jc w:val="both"/>
        <w:rPr>
          <w:rFonts w:ascii="helvetica" w:hAnsi="helvetica"/>
          <w:sz w:val="20"/>
        </w:rPr>
      </w:pPr>
      <w:r>
        <w:rPr>
          <w:rFonts w:ascii="helvetica" w:hAnsi="helvetica"/>
          <w:sz w:val="20"/>
        </w:rPr>
        <w:t>The accompanying consolidated financial statements have been prepared in accordance with accounting principles generally accepted in the United States of America (“GAAP”), and with the rules and regulations of the Securities and Exchange Commission (“SEC”) related to an annual report on Form 10-K. The consolidated financial statements include the accounts of Imprimis Pharmaceuticals Inc. and its wholly-owned subsidiary, Transdel Pharmaceuticals Holdings, Inc. (collectively, the “Company”). All significant intercompany balances and transactions have been eliminated in consolidation. The Company has evaluated subsequent events through the filing date of this Form 10-K, and determined that no subsequent events have occurred that would require recognition in the consolidated financial statements or disclosure in the notes thereto other than as disclosed in the accompanying notes.</w:t>
      </w:r>
    </w:p>
    <w:p>
      <w:pPr>
        <w:pStyle w:val="TextBody"/>
        <w:spacing w:before="0" w:after="0"/>
        <w:ind w:left="0" w:right="0" w:hanging="0"/>
        <w:jc w:val="both"/>
        <w:rPr/>
      </w:pPr>
      <w:r>
        <w:rPr/>
        <w:t> </w:t>
      </w:r>
    </w:p>
    <w:p>
      <w:pPr>
        <w:pStyle w:val="TextBody"/>
        <w:spacing w:before="0" w:after="0"/>
        <w:ind w:left="0" w:right="0" w:hanging="0"/>
        <w:jc w:val="both"/>
        <w:rPr>
          <w:rFonts w:ascii="helvetica" w:hAnsi="helvetica"/>
          <w:b/>
          <w:sz w:val="20"/>
        </w:rPr>
      </w:pPr>
      <w:r>
        <w:rPr>
          <w:rFonts w:ascii="helvetica" w:hAnsi="helvetica"/>
          <w:b/>
          <w:sz w:val="20"/>
        </w:rPr>
        <w:t>Principles of Consolidation</w:t>
      </w:r>
    </w:p>
    <w:p>
      <w:pPr>
        <w:pStyle w:val="TextBody"/>
        <w:spacing w:before="0" w:after="0"/>
        <w:ind w:left="0" w:right="0" w:hanging="0"/>
        <w:jc w:val="both"/>
        <w:rPr/>
      </w:pPr>
      <w:r>
        <w:rPr/>
        <w:t> </w:t>
      </w:r>
    </w:p>
    <w:p>
      <w:pPr>
        <w:pStyle w:val="TextBody"/>
        <w:spacing w:before="0" w:after="0"/>
        <w:ind w:left="0" w:right="0" w:hanging="0"/>
        <w:jc w:val="both"/>
        <w:rPr>
          <w:rFonts w:ascii="helvetica" w:hAnsi="helvetica"/>
          <w:sz w:val="20"/>
        </w:rPr>
      </w:pPr>
      <w:r>
        <w:rPr>
          <w:rFonts w:ascii="helvetica" w:hAnsi="helvetica"/>
          <w:sz w:val="20"/>
        </w:rPr>
        <w:t>On September 17, 2007, Imprimis entered into an Agreement of Merger and Plan of Reorganization (the “Merger Agreement”) by and among Imprimis, Transdel Pharmaceuticals Holdings, Inc., a privately held Nevada corporation (“Transdel Holdings”), and Trans-Pharma Acquisition Corp., a newly formed, wholly-owned Delaware subsidiary of Imprimis (“Acquisition Sub”). Upon closing of the merger transaction contemplated under the Merger Agreement (the “Merger”), Acquisition Sub merged with and into Transdel Holdings, and Transdel Holdings, as the surviving corporation, became a wholly-owned subsidiary of Imprimis.</w:t>
      </w:r>
    </w:p>
    <w:p>
      <w:pPr>
        <w:pStyle w:val="TextBody"/>
        <w:spacing w:before="0" w:after="0"/>
        <w:ind w:left="0" w:right="0" w:hanging="0"/>
        <w:jc w:val="both"/>
        <w:rPr/>
      </w:pPr>
      <w:r>
        <w:rPr/>
        <w:t> </w:t>
      </w:r>
    </w:p>
    <w:p>
      <w:pPr>
        <w:pStyle w:val="TextBody"/>
        <w:spacing w:before="0" w:after="0"/>
        <w:ind w:left="0" w:right="0" w:hanging="0"/>
        <w:jc w:val="both"/>
        <w:rPr>
          <w:rFonts w:ascii="helvetica" w:hAnsi="helvetica"/>
          <w:sz w:val="20"/>
        </w:rPr>
      </w:pPr>
      <w:r>
        <w:rPr>
          <w:rFonts w:ascii="helvetica" w:hAnsi="helvetica"/>
          <w:sz w:val="20"/>
        </w:rPr>
        <w:t>In connection with the merger, 231,242 of Imprimis common shares remain outstanding and all other outstanding shares of Imprimis were cancelled. Also, at the closing of the Merger, each share of Transdel Holdings common stock issued and outstanding immediately prior to the closing of the Merger was exchanged for the right to receive 1.25 of one share of Imprimis’ common stock. An aggregate of 1,000,000 shares of Imprimis’ common stock, which includes 24,414 shares of restricted stock which were subject to forfeiture, were issued to the holders of Transdel Holdings’ common stock. As a result of the transaction, the former owners of Transdel Holdings became the controlling stockholders of Imprimis. Accordingly, the merger of Transdel Holdings and Imprimis is a reverse merger that has been accounted for as a recapitalization of Transdel Holdings.</w:t>
      </w:r>
    </w:p>
    <w:p>
      <w:pPr>
        <w:pStyle w:val="TextBody"/>
        <w:spacing w:before="0" w:after="0"/>
        <w:ind w:left="0" w:right="0" w:hanging="0"/>
        <w:jc w:val="both"/>
        <w:rPr/>
      </w:pPr>
      <w:r>
        <w:rPr/>
        <w:t> </w:t>
      </w:r>
    </w:p>
    <w:p>
      <w:pPr>
        <w:pStyle w:val="TextBody"/>
        <w:spacing w:before="0" w:after="0"/>
        <w:ind w:left="0" w:right="0" w:hanging="0"/>
        <w:jc w:val="both"/>
        <w:rPr>
          <w:rFonts w:ascii="helvetica" w:hAnsi="helvetica"/>
          <w:sz w:val="20"/>
        </w:rPr>
      </w:pPr>
      <w:r>
        <w:rPr>
          <w:rFonts w:ascii="helvetica" w:hAnsi="helvetica"/>
          <w:sz w:val="20"/>
        </w:rPr>
        <w:t>Effective on September 17, 2007, and for all reporting periods thereafter, Imprimis’ operating activities, including any prior comparative period, include only those of Transdel Holdings. All references to share and per share amounts in the accompanying consolidated financial statements and footnotes have been restated to reflect the aforementioned share exchange. All significant intercompany accounts and transactions have been eliminated in consolidation.</w:t>
      </w:r>
    </w:p>
    <w:p>
      <w:pPr>
        <w:pStyle w:val="TextBody"/>
        <w:spacing w:before="0" w:after="0"/>
        <w:ind w:left="0" w:right="0" w:hanging="0"/>
        <w:jc w:val="both"/>
        <w:rPr/>
      </w:pPr>
      <w:r>
        <w:rPr/>
        <w:t> </w:t>
      </w:r>
    </w:p>
    <w:p>
      <w:pPr>
        <w:pStyle w:val="TextBody"/>
        <w:spacing w:before="0" w:after="0"/>
        <w:ind w:left="0" w:right="0" w:hanging="0"/>
        <w:jc w:val="both"/>
        <w:rPr>
          <w:rFonts w:ascii="helvetica" w:hAnsi="helvetica"/>
          <w:sz w:val="20"/>
        </w:rPr>
      </w:pPr>
      <w:r>
        <w:rPr>
          <w:rFonts w:ascii="helvetica" w:hAnsi="helvetica"/>
          <w:sz w:val="20"/>
        </w:rPr>
        <w:t>On June 20, 2011, Transdel Holdings was merged with Imprimis Pharmaceuticals, Inc., at which time Transdel Holdings ceased as a corporation, and Imprimis Pharmaceuticals, Inc. remains as the sole surviving corporation.</w:t>
      </w:r>
    </w:p>
    <w:p>
      <w:pPr>
        <w:pStyle w:val="TextBody"/>
        <w:spacing w:before="0" w:after="0"/>
        <w:ind w:left="0" w:right="0" w:hanging="0"/>
        <w:jc w:val="both"/>
        <w:rPr/>
      </w:pPr>
      <w:r>
        <w:rPr/>
        <w:t> </w:t>
      </w:r>
    </w:p>
    <w:p>
      <w:pPr>
        <w:pStyle w:val="TextBody"/>
        <w:spacing w:before="0" w:after="0"/>
        <w:ind w:left="0" w:right="0" w:hanging="0"/>
        <w:jc w:val="both"/>
        <w:rPr>
          <w:rFonts w:ascii="helvetica" w:hAnsi="helvetica"/>
          <w:b/>
          <w:sz w:val="20"/>
        </w:rPr>
      </w:pPr>
      <w:r>
        <w:rPr>
          <w:rFonts w:ascii="helvetica" w:hAnsi="helvetica"/>
          <w:b/>
          <w:sz w:val="20"/>
        </w:rPr>
        <w:t>Development Stage Enterprise</w:t>
      </w:r>
    </w:p>
    <w:p>
      <w:pPr>
        <w:pStyle w:val="TextBody"/>
        <w:spacing w:before="0" w:after="0"/>
        <w:ind w:left="0" w:right="0" w:hanging="0"/>
        <w:jc w:val="both"/>
        <w:rPr/>
      </w:pPr>
      <w:r>
        <w:rPr/>
        <w:t> </w:t>
      </w:r>
    </w:p>
    <w:p>
      <w:pPr>
        <w:pStyle w:val="TextBody"/>
        <w:spacing w:before="0" w:after="0"/>
        <w:ind w:left="0" w:right="0" w:hanging="0"/>
        <w:jc w:val="both"/>
        <w:rPr>
          <w:rFonts w:ascii="helvetica" w:hAnsi="helvetica"/>
          <w:sz w:val="20"/>
        </w:rPr>
      </w:pPr>
      <w:r>
        <w:rPr>
          <w:rFonts w:ascii="helvetica" w:hAnsi="helvetica"/>
          <w:sz w:val="20"/>
        </w:rPr>
        <w:t>The Company is a development stage company as defined by the Financial Accounting Standards Board (the “FASB”). The Company is devoting substantially all of its present efforts to establish a new business, and its planned principal operations have not yet commenced. All losses accumulated since inception have been considered as part of the Company’s development stage activities.</w:t>
      </w:r>
    </w:p>
    <w:p>
      <w:pPr>
        <w:pStyle w:val="TextBody"/>
        <w:spacing w:before="0" w:after="0"/>
        <w:ind w:left="0" w:right="0" w:hanging="0"/>
        <w:jc w:val="both"/>
        <w:rPr/>
      </w:pPr>
      <w:r>
        <w:rPr/>
        <w:t> </w:t>
      </w:r>
    </w:p>
    <w:p>
      <w:pPr>
        <w:pStyle w:val="TextBody"/>
        <w:spacing w:before="0" w:after="0"/>
        <w:ind w:left="0" w:right="0" w:hanging="0"/>
        <w:jc w:val="both"/>
        <w:rPr>
          <w:rFonts w:ascii="helvetica" w:hAnsi="helvetica"/>
          <w:sz w:val="20"/>
        </w:rPr>
      </w:pPr>
      <w:r>
        <w:rPr>
          <w:rFonts w:ascii="helvetica" w:hAnsi="helvetica"/>
          <w:sz w:val="20"/>
        </w:rPr>
        <w:t>These consolidated financial statements contemplate the realization of assets and the satisfaction of liabilities in the normal course of business. The Company is a development stage enterprise and has sustained significant losses since inception and expects to continue to incur losses through 2012.</w:t>
      </w:r>
    </w:p>
    <w:p>
      <w:pPr>
        <w:pStyle w:val="TextBody"/>
        <w:spacing w:before="0" w:after="0"/>
        <w:ind w:left="0" w:right="0" w:hanging="0"/>
        <w:jc w:val="both"/>
        <w:rPr/>
      </w:pPr>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r>
      <w:bookmarkStart w:id="1130" w:name="PGBRK97"/>
      <w:bookmarkStart w:id="1131" w:name="PGBRK97"/>
      <w:bookmarkEnd w:id="113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132" w:name="FTR97"/>
      <w:bookmarkStart w:id="1133" w:name="FTR97"/>
      <w:bookmarkEnd w:id="113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1134" w:name="GLFTR96"/>
      <w:bookmarkEnd w:id="1134"/>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helvetica" w:hAnsi="helvetica"/>
          <w:sz w:val="20"/>
        </w:rPr>
      </w:pPr>
      <w:bookmarkStart w:id="1135" w:name="PN96"/>
      <w:bookmarkEnd w:id="1135"/>
      <w:r>
        <w:rPr>
          <w:rFonts w:ascii="helvetica" w:hAnsi="helvetica"/>
          <w:sz w:val="20"/>
        </w:rPr>
        <w:t>F-26</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136" w:name="HDR96"/>
      <w:bookmarkStart w:id="1137" w:name="HDR96"/>
      <w:bookmarkEnd w:id="113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1138" w:name="GLHDR96"/>
      <w:bookmarkEnd w:id="1138"/>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t> </w:t>
      </w:r>
    </w:p>
    <w:p>
      <w:pPr>
        <w:pStyle w:val="TextBody"/>
        <w:spacing w:before="0" w:after="0"/>
        <w:ind w:left="0" w:right="0" w:hanging="0"/>
        <w:jc w:val="both"/>
        <w:rPr>
          <w:rFonts w:ascii="helvetica" w:hAnsi="helvetica"/>
          <w:b/>
          <w:sz w:val="20"/>
        </w:rPr>
      </w:pPr>
      <w:r>
        <w:rPr>
          <w:rFonts w:ascii="helvetica" w:hAnsi="helvetica"/>
          <w:b/>
          <w:sz w:val="20"/>
        </w:rPr>
        <w:t>Research and Development</w:t>
      </w:r>
    </w:p>
    <w:p>
      <w:pPr>
        <w:pStyle w:val="TextBody"/>
        <w:spacing w:before="0" w:after="0"/>
        <w:ind w:left="0" w:right="0" w:hanging="0"/>
        <w:rPr/>
      </w:pPr>
      <w:r>
        <w:rPr/>
        <w:t> </w:t>
      </w:r>
    </w:p>
    <w:p>
      <w:pPr>
        <w:pStyle w:val="TextBody"/>
        <w:spacing w:before="0" w:after="0"/>
        <w:ind w:left="0" w:right="0" w:hanging="0"/>
        <w:jc w:val="both"/>
        <w:rPr>
          <w:rFonts w:ascii="helvetica" w:hAnsi="helvetica"/>
          <w:sz w:val="20"/>
        </w:rPr>
      </w:pPr>
      <w:r>
        <w:rPr>
          <w:rFonts w:ascii="helvetica" w:hAnsi="helvetica"/>
          <w:sz w:val="20"/>
        </w:rPr>
        <w:t>The Company expenses all costs related to research and development as they are incurred.</w:t>
      </w:r>
    </w:p>
    <w:p>
      <w:pPr>
        <w:pStyle w:val="TextBody"/>
        <w:spacing w:before="0" w:after="0"/>
        <w:ind w:left="0" w:right="0" w:hanging="0"/>
        <w:rPr/>
      </w:pPr>
      <w:r>
        <w:rPr/>
        <w:t> </w:t>
      </w:r>
    </w:p>
    <w:p>
      <w:pPr>
        <w:pStyle w:val="TextBody"/>
        <w:spacing w:before="0" w:after="0"/>
        <w:ind w:left="0" w:right="0" w:hanging="0"/>
        <w:jc w:val="both"/>
        <w:rPr>
          <w:rFonts w:ascii="helvetica" w:hAnsi="helvetica"/>
          <w:b/>
          <w:sz w:val="20"/>
        </w:rPr>
      </w:pPr>
      <w:r>
        <w:rPr>
          <w:rFonts w:ascii="helvetica" w:hAnsi="helvetica"/>
          <w:b/>
          <w:sz w:val="20"/>
        </w:rPr>
        <w:t>Revenue Recognition and Deferred Revenue</w:t>
      </w:r>
    </w:p>
    <w:p>
      <w:pPr>
        <w:pStyle w:val="TextBody"/>
        <w:spacing w:before="0" w:after="0"/>
        <w:ind w:left="0" w:right="0" w:hanging="0"/>
        <w:jc w:val="both"/>
        <w:rPr/>
      </w:pPr>
      <w:r>
        <w:rPr/>
        <w:t> </w:t>
      </w:r>
    </w:p>
    <w:p>
      <w:pPr>
        <w:pStyle w:val="TextBody"/>
        <w:spacing w:before="0" w:after="0"/>
        <w:ind w:left="0" w:right="0" w:hanging="0"/>
        <w:jc w:val="both"/>
        <w:rPr>
          <w:rFonts w:ascii="helvetica" w:hAnsi="helvetica"/>
          <w:sz w:val="20"/>
        </w:rPr>
      </w:pPr>
      <w:r>
        <w:rPr>
          <w:rFonts w:ascii="helvetica" w:hAnsi="helvetica"/>
          <w:sz w:val="20"/>
        </w:rPr>
        <w:t>The Company will recognize revenues in accordance with FASB guidance, which requires that four basic criteria must be met before revenue can be recognized: (1) persuasive evidence of an arrangement exists; (2) delivery has occurred; (3) the selling price is fixed and determinable; and (4) collectibility is reasonably assured. Determination of criteria (3) and (4) will be based on management’s judgments regarding the fixed nature of the selling prices of the products delivered and the collectibility of those amounts. Provisions for discounts and rebates to customers, estimated returns and allowances, and other adjustments will be provided for in the same period the related sales are recorded. The Company will defer any revenue for which the product has not been delivered or for which services have not been rendered or are subject to refund until such time that the Company and the customer jointly determine that the product has been delivered or services have been rendered or no refund will be required.</w:t>
      </w:r>
    </w:p>
    <w:p>
      <w:pPr>
        <w:pStyle w:val="TextBody"/>
        <w:spacing w:before="0" w:after="0"/>
        <w:ind w:left="0" w:right="0" w:hanging="0"/>
        <w:jc w:val="both"/>
        <w:rPr/>
      </w:pPr>
      <w:r>
        <w:rPr/>
        <w:t> </w:t>
      </w:r>
    </w:p>
    <w:p>
      <w:pPr>
        <w:pStyle w:val="TextBody"/>
        <w:spacing w:before="0" w:after="0"/>
        <w:ind w:left="0" w:right="0" w:hanging="0"/>
        <w:jc w:val="both"/>
        <w:rPr>
          <w:rFonts w:ascii="helvetica" w:hAnsi="helvetica"/>
          <w:sz w:val="20"/>
        </w:rPr>
      </w:pPr>
      <w:r>
        <w:rPr>
          <w:rFonts w:ascii="helvetica" w:hAnsi="helvetica"/>
          <w:sz w:val="20"/>
        </w:rPr>
        <w:t>As of December 31, 2011, the Company had not generated any revenues and the Company does not anticipate that it will generate any significant revenues until one or more of its drug candidates are approved by the FDA or until the Company is able to commercialize one or more of its cosmetic products. Also, effective sales and marketing support must be in place for either the drug candidates or the cosmetic products in order to generate any revenues. The FDA approval process is highly uncertain and the Company cannot estimate when it will generate revenues at this time from sales of its products.</w:t>
      </w:r>
    </w:p>
    <w:p>
      <w:pPr>
        <w:pStyle w:val="TextBody"/>
        <w:spacing w:before="0" w:after="0"/>
        <w:ind w:left="0" w:right="0" w:hanging="0"/>
        <w:jc w:val="both"/>
        <w:rPr/>
      </w:pPr>
      <w:r>
        <w:rPr/>
        <w:t> </w:t>
      </w:r>
    </w:p>
    <w:p>
      <w:pPr>
        <w:pStyle w:val="TextBody"/>
        <w:spacing w:before="0" w:after="0"/>
        <w:ind w:left="0" w:right="0" w:hanging="0"/>
        <w:jc w:val="both"/>
        <w:rPr>
          <w:rFonts w:ascii="helvetica" w:hAnsi="helvetica"/>
          <w:b/>
          <w:sz w:val="20"/>
        </w:rPr>
      </w:pPr>
      <w:r>
        <w:rPr>
          <w:rFonts w:ascii="helvetica" w:hAnsi="helvetica"/>
          <w:b/>
          <w:sz w:val="20"/>
        </w:rPr>
        <w:t>Cash and Cash Equivalents</w:t>
      </w:r>
    </w:p>
    <w:p>
      <w:pPr>
        <w:pStyle w:val="TextBody"/>
        <w:spacing w:before="0" w:after="0"/>
        <w:ind w:left="0" w:right="0" w:hanging="0"/>
        <w:jc w:val="both"/>
        <w:rPr/>
      </w:pPr>
      <w:r>
        <w:rPr/>
        <w:t> </w:t>
      </w:r>
    </w:p>
    <w:p>
      <w:pPr>
        <w:pStyle w:val="TextBody"/>
        <w:spacing w:before="0" w:after="0"/>
        <w:ind w:left="0" w:right="0" w:hanging="0"/>
        <w:jc w:val="both"/>
        <w:rPr>
          <w:rFonts w:ascii="helvetica" w:hAnsi="helvetica"/>
          <w:sz w:val="20"/>
        </w:rPr>
      </w:pPr>
      <w:r>
        <w:rPr>
          <w:rFonts w:ascii="helvetica" w:hAnsi="helvetica"/>
          <w:sz w:val="20"/>
        </w:rPr>
        <w:t>Cash equivalents include short-term, highly liquid investments with maturities of three months or less at the time of acquisition.</w:t>
      </w:r>
    </w:p>
    <w:p>
      <w:pPr>
        <w:pStyle w:val="TextBody"/>
        <w:spacing w:before="0" w:after="0"/>
        <w:ind w:left="0" w:right="0" w:hanging="0"/>
        <w:jc w:val="both"/>
        <w:rPr/>
      </w:pPr>
      <w:r>
        <w:rPr/>
        <w:t> </w:t>
      </w:r>
    </w:p>
    <w:p>
      <w:pPr>
        <w:pStyle w:val="TextBody"/>
        <w:spacing w:before="0" w:after="0"/>
        <w:ind w:left="0" w:right="0" w:hanging="0"/>
        <w:jc w:val="both"/>
        <w:rPr>
          <w:rFonts w:ascii="helvetica" w:hAnsi="helvetica"/>
          <w:b/>
          <w:sz w:val="20"/>
        </w:rPr>
      </w:pPr>
      <w:r>
        <w:rPr>
          <w:rFonts w:ascii="helvetica" w:hAnsi="helvetica"/>
          <w:b/>
          <w:sz w:val="20"/>
        </w:rPr>
        <w:t>Concentrations of Credit Risk</w:t>
      </w:r>
    </w:p>
    <w:p>
      <w:pPr>
        <w:pStyle w:val="TextBody"/>
        <w:spacing w:before="0" w:after="0"/>
        <w:ind w:left="0" w:right="0" w:hanging="0"/>
        <w:jc w:val="both"/>
        <w:rPr/>
      </w:pPr>
      <w:r>
        <w:rPr/>
        <w:t> </w:t>
      </w:r>
    </w:p>
    <w:p>
      <w:pPr>
        <w:pStyle w:val="TextBody"/>
        <w:spacing w:before="0" w:after="0"/>
        <w:ind w:left="0" w:right="0" w:hanging="0"/>
        <w:jc w:val="both"/>
        <w:rPr>
          <w:rFonts w:ascii="helvetica" w:hAnsi="helvetica"/>
          <w:sz w:val="20"/>
        </w:rPr>
      </w:pPr>
      <w:r>
        <w:rPr>
          <w:rFonts w:ascii="helvetica" w:hAnsi="helvetica"/>
          <w:sz w:val="20"/>
        </w:rPr>
        <w:t>A financial instrument which potentially subjects the Company to concentrations of credit risk is cash.  The Company places its cash with financial institutions deemed by management to be of high credit quality.  The Federal Deposit Insurance Corporation (“FDIC”) provides basic deposit coverage with limits to $250,000 per owner.  In addition to the basic insurance deposit coverage, the FDIC is providing temporary unlimited coverage for noninterest-bearing transaction accounts from December 31, 2010 to December 31, 2012.  At December 31, 2011, there were no uninsured deposits.</w:t>
      </w:r>
    </w:p>
    <w:p>
      <w:pPr>
        <w:pStyle w:val="TextBody"/>
        <w:spacing w:before="0" w:after="0"/>
        <w:ind w:left="0" w:right="0" w:hanging="0"/>
        <w:jc w:val="both"/>
        <w:rPr/>
      </w:pPr>
      <w:r>
        <w:rPr/>
        <w:t> </w:t>
      </w:r>
    </w:p>
    <w:p>
      <w:pPr>
        <w:pStyle w:val="TextBody"/>
        <w:spacing w:before="0" w:after="0"/>
        <w:ind w:left="0" w:right="0" w:hanging="0"/>
        <w:jc w:val="both"/>
        <w:rPr>
          <w:rFonts w:ascii="helvetica" w:hAnsi="helvetica"/>
          <w:b/>
          <w:sz w:val="20"/>
        </w:rPr>
      </w:pPr>
      <w:r>
        <w:rPr>
          <w:rFonts w:ascii="helvetica" w:hAnsi="helvetica"/>
          <w:b/>
          <w:sz w:val="20"/>
        </w:rPr>
        <w:t>Computer Equipment</w:t>
      </w:r>
    </w:p>
    <w:p>
      <w:pPr>
        <w:pStyle w:val="TextBody"/>
        <w:spacing w:before="0" w:after="0"/>
        <w:ind w:left="0" w:right="0" w:hanging="0"/>
        <w:jc w:val="both"/>
        <w:rPr>
          <w:rFonts w:ascii="helvetica" w:hAnsi="helvetica"/>
          <w:sz w:val="20"/>
        </w:rPr>
      </w:pPr>
      <w:r>
        <w:rPr>
          <w:rFonts w:ascii="helvetica" w:hAnsi="helvetica"/>
          <w:sz w:val="20"/>
        </w:rPr>
        <w:t>Computer equipment is stated at cost less accumulated depreciation.  Depreciation is calculated using the straight-line method over the estimated useful life of three years.  </w:t>
      </w:r>
    </w:p>
    <w:p>
      <w:pPr>
        <w:pStyle w:val="TextBody"/>
        <w:spacing w:before="0" w:after="0"/>
        <w:ind w:left="0" w:right="0" w:hanging="0"/>
        <w:jc w:val="both"/>
        <w:rPr/>
      </w:pPr>
      <w:r>
        <w:rPr/>
        <w:t> </w:t>
      </w:r>
    </w:p>
    <w:p>
      <w:pPr>
        <w:pStyle w:val="TextBody"/>
        <w:spacing w:before="0" w:after="0"/>
        <w:ind w:left="0" w:right="0" w:hanging="0"/>
        <w:jc w:val="both"/>
        <w:rPr>
          <w:rFonts w:ascii="helvetica" w:hAnsi="helvetica"/>
          <w:sz w:val="20"/>
        </w:rPr>
      </w:pPr>
      <w:r>
        <w:rPr>
          <w:rFonts w:ascii="helvetica" w:hAnsi="helvetica"/>
          <w:sz w:val="20"/>
        </w:rPr>
        <w:t>During the years ended December 31, 2011 and 2010, the Company recorded $338 and $1,056, respectively, in depreciation expense.</w:t>
      </w:r>
    </w:p>
    <w:p>
      <w:pPr>
        <w:pStyle w:val="TextBody"/>
        <w:spacing w:before="0" w:after="0"/>
        <w:ind w:left="0" w:right="0" w:hanging="0"/>
        <w:jc w:val="both"/>
        <w:rPr/>
      </w:pPr>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r>
      <w:bookmarkStart w:id="1139" w:name="PGBRK98"/>
      <w:bookmarkStart w:id="1140" w:name="PGBRK98"/>
      <w:bookmarkEnd w:id="114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141" w:name="FTR98"/>
      <w:bookmarkStart w:id="1142" w:name="FTR98"/>
      <w:bookmarkEnd w:id="114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1143" w:name="GLFTR97"/>
      <w:bookmarkEnd w:id="1143"/>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helvetica" w:hAnsi="helvetica"/>
          <w:sz w:val="20"/>
        </w:rPr>
      </w:pPr>
      <w:bookmarkStart w:id="1144" w:name="PN97"/>
      <w:bookmarkEnd w:id="1144"/>
      <w:r>
        <w:rPr>
          <w:rFonts w:ascii="helvetica" w:hAnsi="helvetica"/>
          <w:sz w:val="20"/>
        </w:rPr>
        <w:t>F-27</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145" w:name="HDR97"/>
      <w:bookmarkStart w:id="1146" w:name="HDR97"/>
      <w:bookmarkEnd w:id="114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1147" w:name="GLHDR97"/>
      <w:bookmarkEnd w:id="1147"/>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pPr>
      <w:r>
        <w:rPr/>
        <w:t> </w:t>
      </w:r>
    </w:p>
    <w:p>
      <w:pPr>
        <w:pStyle w:val="TextBody"/>
        <w:spacing w:before="0" w:after="0"/>
        <w:ind w:left="0" w:right="0" w:hanging="0"/>
        <w:jc w:val="both"/>
        <w:rPr>
          <w:rFonts w:ascii="helvetica" w:hAnsi="helvetica"/>
          <w:b/>
          <w:sz w:val="20"/>
        </w:rPr>
      </w:pPr>
      <w:r>
        <w:rPr>
          <w:rFonts w:ascii="helvetica" w:hAnsi="helvetica"/>
          <w:b/>
          <w:sz w:val="20"/>
        </w:rPr>
        <w:t>Fair Value Measurements</w:t>
      </w:r>
    </w:p>
    <w:p>
      <w:pPr>
        <w:pStyle w:val="TextBody"/>
        <w:spacing w:before="0" w:after="0"/>
        <w:ind w:left="0" w:right="0" w:hanging="0"/>
        <w:jc w:val="both"/>
        <w:rPr/>
      </w:pPr>
      <w:r>
        <w:rPr/>
        <w:t> </w:t>
      </w:r>
    </w:p>
    <w:p>
      <w:pPr>
        <w:pStyle w:val="TextBody"/>
        <w:spacing w:before="0" w:after="0"/>
        <w:ind w:left="0" w:right="0" w:hanging="0"/>
        <w:jc w:val="both"/>
        <w:rPr>
          <w:rFonts w:ascii="helvetica" w:hAnsi="helvetica"/>
          <w:sz w:val="20"/>
        </w:rPr>
      </w:pPr>
      <w:r>
        <w:rPr>
          <w:rFonts w:ascii="helvetica" w:hAnsi="helvetica"/>
          <w:sz w:val="20"/>
        </w:rPr>
        <w:t>Fair value measurements are determined based on the assumptions that market participants would use in pricing an asset or liability.  US GAAP establishes a hierarchy for inputs used in measuring fair value that maximizes the use of observable inputs and minimizes the use of unobservable inputs by requiring that the most observable inputs be used when available. The established fair value hierarchy prioritizes the use of inputs used in valuation methodologies into the following three levels:</w:t>
      </w:r>
    </w:p>
    <w:p>
      <w:pPr>
        <w:pStyle w:val="TextBody"/>
        <w:spacing w:before="0" w:after="0"/>
        <w:ind w:left="0" w:right="0" w:hanging="0"/>
        <w:jc w:val="both"/>
        <w:rPr/>
      </w:pPr>
      <w:r>
        <w:rPr/>
        <w:t> </w:t>
      </w:r>
    </w:p>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tcPr>
          <w:p>
            <w:pPr>
              <w:pStyle w:val="TableContents"/>
              <w:spacing w:before="0" w:after="0"/>
              <w:ind w:left="0" w:right="0" w:hanging="0"/>
              <w:jc w:val="both"/>
              <w:rPr/>
            </w:pPr>
            <w:r>
              <w:rPr/>
              <w:t>●</w:t>
            </w:r>
          </w:p>
        </w:tc>
        <w:tc>
          <w:tcPr>
            <w:tcW w:w="9799" w:type="dxa"/>
            <w:tcBorders/>
            <w:shd w:fill="auto" w:val="clear"/>
          </w:tcPr>
          <w:p>
            <w:pPr>
              <w:pStyle w:val="TableContents"/>
              <w:spacing w:before="0" w:after="0"/>
              <w:ind w:left="0" w:right="0" w:hanging="0"/>
              <w:jc w:val="both"/>
              <w:rPr>
                <w:rFonts w:ascii="helvetica" w:hAnsi="helvetica"/>
                <w:sz w:val="20"/>
              </w:rPr>
            </w:pPr>
            <w:r>
              <w:rPr>
                <w:rFonts w:ascii="helvetica" w:hAnsi="helvetica"/>
                <w:sz w:val="20"/>
              </w:rPr>
              <w:t>Level 1: Quoted prices (unadjusted) for identical assets or liabilities in active markets. A quoted price in an active market provides the most reliable evidence of fair value and must be used to measure fair value whenever available.</w:t>
            </w:r>
          </w:p>
        </w:tc>
      </w:tr>
      <w:tr>
        <w:trPr/>
        <w:tc>
          <w:tcPr>
            <w:tcW w:w="406" w:type="dxa"/>
            <w:tcBorders/>
            <w:shd w:fill="auto" w:val="clear"/>
          </w:tcPr>
          <w:p>
            <w:pPr>
              <w:pStyle w:val="TableContents"/>
              <w:spacing w:before="0" w:after="0"/>
              <w:ind w:left="0" w:right="0" w:hanging="0"/>
              <w:jc w:val="both"/>
              <w:rPr/>
            </w:pPr>
            <w:r>
              <w:rPr/>
              <w:t>●</w:t>
            </w:r>
          </w:p>
        </w:tc>
        <w:tc>
          <w:tcPr>
            <w:tcW w:w="9799" w:type="dxa"/>
            <w:tcBorders/>
            <w:shd w:fill="auto" w:val="clear"/>
          </w:tcPr>
          <w:p>
            <w:pPr>
              <w:pStyle w:val="TableContents"/>
              <w:spacing w:before="0" w:after="0"/>
              <w:ind w:left="0" w:right="0" w:hanging="0"/>
              <w:jc w:val="both"/>
              <w:rPr>
                <w:rFonts w:ascii="helvetica" w:hAnsi="helvetica"/>
                <w:sz w:val="20"/>
              </w:rPr>
            </w:pPr>
            <w:r>
              <w:rPr>
                <w:rFonts w:ascii="helvetica" w:hAnsi="helvetica"/>
                <w:sz w:val="20"/>
              </w:rPr>
              <w:t>Level 2: Significant other observable inputs other than Level 1 prices such as quoted prices for similar assets or liabilities; quoted prices in markets that are not active; or other inputs that are observable or can be corroborated by observable market data.</w:t>
            </w:r>
          </w:p>
        </w:tc>
      </w:tr>
      <w:tr>
        <w:trPr/>
        <w:tc>
          <w:tcPr>
            <w:tcW w:w="406" w:type="dxa"/>
            <w:tcBorders/>
            <w:shd w:fill="auto" w:val="clear"/>
          </w:tcPr>
          <w:p>
            <w:pPr>
              <w:pStyle w:val="TableContents"/>
              <w:spacing w:before="0" w:after="0"/>
              <w:ind w:left="0" w:right="0" w:hanging="0"/>
              <w:jc w:val="both"/>
              <w:rPr/>
            </w:pPr>
            <w:r>
              <w:rPr/>
              <w:t>●</w:t>
            </w:r>
          </w:p>
        </w:tc>
        <w:tc>
          <w:tcPr>
            <w:tcW w:w="9799" w:type="dxa"/>
            <w:tcBorders/>
            <w:shd w:fill="auto" w:val="clear"/>
          </w:tcPr>
          <w:p>
            <w:pPr>
              <w:pStyle w:val="TableContents"/>
              <w:spacing w:before="0" w:after="0"/>
              <w:ind w:left="0" w:right="0" w:hanging="0"/>
              <w:jc w:val="both"/>
              <w:rPr>
                <w:rFonts w:ascii="helvetica" w:hAnsi="helvetica"/>
                <w:sz w:val="20"/>
              </w:rPr>
            </w:pPr>
            <w:r>
              <w:rPr>
                <w:rFonts w:ascii="helvetica" w:hAnsi="helvetica"/>
                <w:sz w:val="20"/>
              </w:rPr>
              <w:t>Level 3: Significant unobservable inputs that reflect a reporting entity’s own assumptions about the assumptions that market participants would use in pricing an asset or liability. For example, level 3 inputs would relate to forecasts of future earnings and cash flows used in a discounted future cash flows method.</w:t>
            </w:r>
          </w:p>
        </w:tc>
      </w:tr>
    </w:tbl>
    <w:p>
      <w:pPr>
        <w:pStyle w:val="TextBody"/>
        <w:spacing w:before="0" w:after="0"/>
        <w:ind w:left="0" w:right="0" w:hanging="0"/>
        <w:jc w:val="both"/>
        <w:rPr/>
      </w:pPr>
      <w:r>
        <w:rPr/>
        <w:t> </w:t>
      </w:r>
    </w:p>
    <w:p>
      <w:pPr>
        <w:pStyle w:val="TextBody"/>
        <w:spacing w:before="0" w:after="0"/>
        <w:ind w:left="0" w:right="0" w:hanging="0"/>
        <w:jc w:val="both"/>
        <w:rPr>
          <w:rFonts w:ascii="helvetica" w:hAnsi="helvetica"/>
          <w:sz w:val="20"/>
        </w:rPr>
      </w:pPr>
      <w:r>
        <w:rPr>
          <w:rFonts w:ascii="helvetica" w:hAnsi="helvetica"/>
          <w:sz w:val="20"/>
        </w:rPr>
        <w:t>The fair values of the Company’s cash and cash equivalents, accounts payable, accounts payable due to related parties, accrued expenses and notes payable approximate carrying values due to their short term maturities.</w:t>
      </w:r>
    </w:p>
    <w:p>
      <w:pPr>
        <w:pStyle w:val="TextBody"/>
        <w:spacing w:before="0" w:after="0"/>
        <w:ind w:left="0" w:right="0" w:hanging="0"/>
        <w:jc w:val="both"/>
        <w:rPr/>
      </w:pPr>
      <w:r>
        <w:rPr/>
        <w:t> </w:t>
      </w:r>
    </w:p>
    <w:p>
      <w:pPr>
        <w:pStyle w:val="TextBody"/>
        <w:spacing w:before="0" w:after="0"/>
        <w:ind w:left="0" w:right="0" w:hanging="0"/>
        <w:jc w:val="both"/>
        <w:rPr>
          <w:rFonts w:ascii="helvetica" w:hAnsi="helvetica"/>
          <w:b/>
          <w:sz w:val="20"/>
        </w:rPr>
      </w:pPr>
      <w:r>
        <w:rPr>
          <w:rFonts w:ascii="helvetica" w:hAnsi="helvetica"/>
          <w:b/>
          <w:sz w:val="20"/>
        </w:rPr>
        <w:t>Stock-Based Compensation</w:t>
      </w:r>
    </w:p>
    <w:p>
      <w:pPr>
        <w:pStyle w:val="TextBody"/>
        <w:spacing w:before="0" w:after="0"/>
        <w:ind w:left="0" w:right="0" w:hanging="0"/>
        <w:jc w:val="both"/>
        <w:rPr/>
      </w:pPr>
      <w:r>
        <w:rPr/>
        <w:t> </w:t>
      </w:r>
    </w:p>
    <w:p>
      <w:pPr>
        <w:pStyle w:val="TextBody"/>
        <w:spacing w:before="0" w:after="0"/>
        <w:ind w:left="0" w:right="0" w:hanging="0"/>
        <w:jc w:val="both"/>
        <w:rPr>
          <w:rFonts w:ascii="helvetica" w:hAnsi="helvetica"/>
          <w:sz w:val="20"/>
        </w:rPr>
      </w:pPr>
      <w:r>
        <w:rPr>
          <w:rFonts w:ascii="helvetica" w:hAnsi="helvetica"/>
          <w:sz w:val="20"/>
        </w:rPr>
        <w:t>All share-based payments to employees, including grants of stock options to employees, directors and consultants and restricted stock grants, are recognized in the consolidated financial statements based upon their fair values.</w:t>
      </w:r>
    </w:p>
    <w:p>
      <w:pPr>
        <w:pStyle w:val="TextBody"/>
        <w:spacing w:before="0" w:after="0"/>
        <w:ind w:left="0" w:right="0" w:hanging="0"/>
        <w:jc w:val="both"/>
        <w:rPr/>
      </w:pPr>
      <w:r>
        <w:rPr/>
        <w:t> </w:t>
      </w:r>
    </w:p>
    <w:p>
      <w:pPr>
        <w:pStyle w:val="TextBody"/>
        <w:spacing w:before="0" w:after="0"/>
        <w:ind w:left="0" w:right="0" w:hanging="0"/>
        <w:jc w:val="both"/>
        <w:rPr>
          <w:rFonts w:ascii="helvetica" w:hAnsi="helvetica"/>
          <w:sz w:val="20"/>
        </w:rPr>
      </w:pPr>
      <w:r>
        <w:rPr>
          <w:rFonts w:ascii="helvetica" w:hAnsi="helvetica"/>
          <w:sz w:val="20"/>
        </w:rPr>
        <w:t>The Company's accounting policy for equity instruments issued to consultants and vendors in exchange for goods and services follows FASB guidance.  As such, the value of the applicable stock-based compensation is periodically remeasured and income or expense is recognized during their vesting terms. The measurement date for the fair value of the equity instruments issued is determined at the earlier of (i) the date at which a commitment for performance by the consultant or vendor is reached or (ii) the date at which the consultant or vendor's performance is complete. In the case of equity instruments issued to consultants, the fair value of the equity instrument is primarily recognized over the term of the consulting agreement. In accordance with FASB guidance, an asset acquired in exchange for the issuance of fully vested, nonforfeitable equity instruments should not be presented or classified as an offset to equity on the grantor's balance sheet once the equity instrument is granted for accounting purposes. Accordingly, the Company records the fair value of nonforfeitable equity instruments issued for future consulting services as prepaid consulting fees in its consolidated balance sheets.</w:t>
      </w:r>
    </w:p>
    <w:p>
      <w:pPr>
        <w:pStyle w:val="TextBody"/>
        <w:spacing w:before="0" w:after="0"/>
        <w:ind w:left="0" w:right="0" w:hanging="0"/>
        <w:jc w:val="both"/>
        <w:rPr/>
      </w:pPr>
      <w:r>
        <w:rPr/>
        <w:t> </w:t>
      </w:r>
    </w:p>
    <w:p>
      <w:pPr>
        <w:pStyle w:val="TextBody"/>
        <w:spacing w:before="0" w:after="0"/>
        <w:ind w:left="0" w:right="0" w:hanging="0"/>
        <w:jc w:val="both"/>
        <w:rPr>
          <w:rFonts w:ascii="helvetica" w:hAnsi="helvetica"/>
          <w:b/>
          <w:sz w:val="20"/>
        </w:rPr>
      </w:pPr>
      <w:r>
        <w:rPr>
          <w:rFonts w:ascii="helvetica" w:hAnsi="helvetica"/>
          <w:b/>
          <w:sz w:val="20"/>
        </w:rPr>
        <w:t>Income Taxes</w:t>
      </w:r>
    </w:p>
    <w:p>
      <w:pPr>
        <w:pStyle w:val="TextBody"/>
        <w:spacing w:before="0" w:after="0"/>
        <w:ind w:left="0" w:right="0" w:hanging="0"/>
        <w:jc w:val="both"/>
        <w:rPr/>
      </w:pPr>
      <w:r>
        <w:rPr/>
        <w:t> </w:t>
      </w:r>
    </w:p>
    <w:p>
      <w:pPr>
        <w:pStyle w:val="TextBody"/>
        <w:spacing w:before="0" w:after="0"/>
        <w:ind w:left="0" w:right="0" w:hanging="0"/>
        <w:jc w:val="both"/>
        <w:rPr>
          <w:rFonts w:ascii="helvetica" w:hAnsi="helvetica"/>
          <w:sz w:val="20"/>
        </w:rPr>
      </w:pPr>
      <w:r>
        <w:rPr>
          <w:rFonts w:ascii="helvetica" w:hAnsi="helvetica"/>
          <w:sz w:val="20"/>
        </w:rPr>
        <w:t>We account for income taxes under the provision of Accounting Standards Codification 740, “Income Taxes”, or ASC 740. As of December 31, 2011 and 2010, there was no unrecognized tax benefits included in the consolidated balance sheets that would, if recognized, affect the effective tax rate. Our practice is to recognize interest and/or penalties related to income tax matters in income tax expense. We had no accrual for interest or penalties on our consolidated balance sheets at December 31, 2011 and 2010, respectively and have not recognized interest and/or penalties in the consolidated statement of operations for the years ended December 31, 2011 and 2010. We are subject to taxation in the United States and California.</w:t>
      </w:r>
    </w:p>
    <w:p>
      <w:pPr>
        <w:pStyle w:val="TextBody"/>
        <w:spacing w:before="0" w:after="0"/>
        <w:ind w:left="0" w:right="0" w:hanging="0"/>
        <w:jc w:val="both"/>
        <w:rPr/>
      </w:pPr>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r>
      <w:bookmarkStart w:id="1148" w:name="PGBRK99"/>
      <w:bookmarkStart w:id="1149" w:name="PGBRK99"/>
      <w:bookmarkEnd w:id="114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150" w:name="FTR99"/>
      <w:bookmarkStart w:id="1151" w:name="FTR99"/>
      <w:bookmarkEnd w:id="115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1152" w:name="GLFTR98"/>
      <w:bookmarkEnd w:id="1152"/>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helvetica" w:hAnsi="helvetica"/>
          <w:sz w:val="20"/>
        </w:rPr>
      </w:pPr>
      <w:bookmarkStart w:id="1153" w:name="PN98"/>
      <w:bookmarkEnd w:id="1153"/>
      <w:r>
        <w:rPr>
          <w:rFonts w:ascii="helvetica" w:hAnsi="helvetica"/>
          <w:sz w:val="20"/>
        </w:rPr>
        <w:t>F-28</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154" w:name="HDR98"/>
      <w:bookmarkStart w:id="1155" w:name="HDR98"/>
      <w:bookmarkEnd w:id="115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1156" w:name="GLHDR98"/>
      <w:bookmarkEnd w:id="1156"/>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t> </w:t>
      </w:r>
    </w:p>
    <w:p>
      <w:pPr>
        <w:pStyle w:val="TextBody"/>
        <w:spacing w:before="0" w:after="0"/>
        <w:ind w:left="0" w:right="0" w:hanging="0"/>
        <w:jc w:val="both"/>
        <w:rPr>
          <w:rFonts w:ascii="helvetica" w:hAnsi="helvetica"/>
          <w:b/>
          <w:sz w:val="20"/>
        </w:rPr>
      </w:pPr>
      <w:r>
        <w:rPr>
          <w:rFonts w:ascii="helvetica" w:hAnsi="helvetica"/>
          <w:b/>
          <w:sz w:val="20"/>
        </w:rPr>
        <w:t>Basic and Diluted Loss per Common Share</w:t>
      </w:r>
    </w:p>
    <w:p>
      <w:pPr>
        <w:pStyle w:val="TextBody"/>
        <w:spacing w:before="0" w:after="0"/>
        <w:ind w:left="0" w:right="0" w:hanging="0"/>
        <w:jc w:val="both"/>
        <w:rPr/>
      </w:pPr>
      <w:r>
        <w:rPr/>
        <w:t> </w:t>
      </w:r>
    </w:p>
    <w:p>
      <w:pPr>
        <w:pStyle w:val="TextBody"/>
        <w:spacing w:before="0" w:after="0"/>
        <w:ind w:left="0" w:right="0" w:hanging="0"/>
        <w:jc w:val="both"/>
        <w:rPr>
          <w:rFonts w:ascii="helvetica" w:hAnsi="helvetica"/>
          <w:sz w:val="20"/>
        </w:rPr>
      </w:pPr>
      <w:r>
        <w:rPr>
          <w:rFonts w:ascii="helvetica" w:hAnsi="helvetica"/>
          <w:sz w:val="20"/>
        </w:rPr>
        <w:t>Basic net loss per common share is computed by dividing net loss attributable to common stockholders for the period by the weighted average number of common shares outstanding during the period.  Diluted net loss per share is computed by dividing the net loss attributable to common stockholders for the period by the weighted average number of common and common equivalent shares, such as stock options and warrants outstanding during the period.</w:t>
      </w:r>
    </w:p>
    <w:p>
      <w:pPr>
        <w:pStyle w:val="TextBody"/>
        <w:spacing w:before="0" w:after="0"/>
        <w:ind w:left="0" w:right="0" w:hanging="0"/>
        <w:jc w:val="both"/>
        <w:rPr/>
      </w:pPr>
      <w:r>
        <w:rPr/>
        <w:t> </w:t>
      </w:r>
    </w:p>
    <w:p>
      <w:pPr>
        <w:pStyle w:val="TextBody"/>
        <w:spacing w:before="0" w:after="0"/>
        <w:ind w:left="0" w:right="0" w:hanging="0"/>
        <w:jc w:val="both"/>
        <w:rPr>
          <w:rFonts w:ascii="helvetica" w:hAnsi="helvetica"/>
          <w:sz w:val="20"/>
        </w:rPr>
      </w:pPr>
      <w:r>
        <w:rPr>
          <w:rFonts w:ascii="helvetica" w:hAnsi="helvetica"/>
          <w:sz w:val="20"/>
        </w:rPr>
        <w:t>Basic and diluted net loss applicable to common stock per share is computed using the weighted average number of common shares outstanding during the period. Common stock equivalents (prior to application of the treasury stock, if converted method) from convertible notes, preferred stock, stock options and warrants were 4,136,10 and 541,335 for the years ended December 31, 2011 and 2010, respectively, are excluded from the calculation of diluted net loss per share for all periods presented because the effect is anti-dilutive.</w:t>
      </w:r>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7327"/>
        <w:gridCol w:w="108"/>
        <w:gridCol w:w="126"/>
        <w:gridCol w:w="1086"/>
        <w:gridCol w:w="114"/>
        <w:gridCol w:w="108"/>
        <w:gridCol w:w="126"/>
        <w:gridCol w:w="1086"/>
        <w:gridCol w:w="124"/>
      </w:tblGrid>
      <w:tr>
        <w:trPr/>
        <w:tc>
          <w:tcPr>
            <w:tcW w:w="7327" w:type="dxa"/>
            <w:tcBorders/>
            <w:shd w:fill="auto" w:val="clear"/>
            <w:vAlign w:val="bottom"/>
          </w:tcPr>
          <w:p>
            <w:pPr>
              <w:pStyle w:val="TableContents"/>
              <w:spacing w:before="0" w:after="283"/>
              <w:rPr/>
            </w:pPr>
            <w:r>
              <w:rPr/>
              <w:t xml:space="preserve">  </w:t>
            </w:r>
          </w:p>
        </w:tc>
        <w:tc>
          <w:tcPr>
            <w:tcW w:w="108" w:type="dxa"/>
            <w:tcBorders/>
            <w:shd w:fill="auto" w:val="clear"/>
            <w:vAlign w:val="bottom"/>
          </w:tcPr>
          <w:p>
            <w:pPr>
              <w:pStyle w:val="TableContents"/>
              <w:spacing w:before="0" w:after="283"/>
              <w:rPr/>
            </w:pPr>
            <w:r>
              <w:rPr/>
              <w:t> </w:t>
            </w:r>
          </w:p>
        </w:tc>
        <w:tc>
          <w:tcPr>
            <w:tcW w:w="1212" w:type="dxa"/>
            <w:gridSpan w:val="2"/>
            <w:tcBorders/>
            <w:shd w:fill="auto" w:val="clear"/>
            <w:vAlign w:val="bottom"/>
          </w:tcPr>
          <w:p>
            <w:pPr>
              <w:pStyle w:val="TableContents"/>
              <w:spacing w:before="0" w:after="0"/>
              <w:ind w:left="0" w:right="0" w:hanging="0"/>
              <w:jc w:val="center"/>
              <w:rPr>
                <w:rFonts w:ascii="helvetica" w:hAnsi="helvetica"/>
                <w:b/>
                <w:sz w:val="16"/>
              </w:rPr>
            </w:pPr>
            <w:r>
              <w:rPr>
                <w:rFonts w:ascii="helvetica" w:hAnsi="helvetica"/>
                <w:b/>
                <w:sz w:val="16"/>
              </w:rPr>
              <w:t>For the year ended</w:t>
            </w:r>
          </w:p>
        </w:tc>
        <w:tc>
          <w:tcPr>
            <w:tcW w:w="114" w:type="dxa"/>
            <w:tcBorders/>
            <w:shd w:fill="auto" w:val="clear"/>
            <w:vAlign w:val="bottom"/>
          </w:tcPr>
          <w:p>
            <w:pPr>
              <w:pStyle w:val="TableContents"/>
              <w:spacing w:before="0" w:after="283"/>
              <w:jc w:val="left"/>
              <w:rPr/>
            </w:pPr>
            <w:r>
              <w:rPr/>
              <w:t> </w:t>
            </w:r>
          </w:p>
        </w:tc>
        <w:tc>
          <w:tcPr>
            <w:tcW w:w="108" w:type="dxa"/>
            <w:tcBorders/>
            <w:shd w:fill="auto" w:val="clear"/>
            <w:vAlign w:val="bottom"/>
          </w:tcPr>
          <w:p>
            <w:pPr>
              <w:pStyle w:val="TableContents"/>
              <w:spacing w:before="0" w:after="283"/>
              <w:rPr/>
            </w:pPr>
            <w:r>
              <w:rPr/>
              <w:t> </w:t>
            </w:r>
          </w:p>
        </w:tc>
        <w:tc>
          <w:tcPr>
            <w:tcW w:w="1212" w:type="dxa"/>
            <w:gridSpan w:val="2"/>
            <w:tcBorders/>
            <w:shd w:fill="auto" w:val="clear"/>
            <w:vAlign w:val="bottom"/>
          </w:tcPr>
          <w:p>
            <w:pPr>
              <w:pStyle w:val="TableContents"/>
              <w:spacing w:before="0" w:after="0"/>
              <w:ind w:left="0" w:right="0" w:hanging="0"/>
              <w:jc w:val="center"/>
              <w:rPr>
                <w:rFonts w:ascii="helvetica" w:hAnsi="helvetica"/>
                <w:b/>
                <w:sz w:val="16"/>
              </w:rPr>
            </w:pPr>
            <w:r>
              <w:rPr>
                <w:rFonts w:ascii="helvetica" w:hAnsi="helvetica"/>
                <w:b/>
                <w:sz w:val="16"/>
              </w:rPr>
              <w:t>For the year ended</w:t>
            </w:r>
          </w:p>
        </w:tc>
        <w:tc>
          <w:tcPr>
            <w:tcW w:w="124" w:type="dxa"/>
            <w:tcBorders/>
            <w:shd w:fill="auto" w:val="clear"/>
            <w:vAlign w:val="bottom"/>
          </w:tcPr>
          <w:p>
            <w:pPr>
              <w:pStyle w:val="TableContents"/>
              <w:spacing w:before="0" w:after="283"/>
              <w:jc w:val="left"/>
              <w:rPr/>
            </w:pPr>
            <w:r>
              <w:rPr/>
              <w:t> </w:t>
            </w:r>
          </w:p>
        </w:tc>
      </w:tr>
      <w:tr>
        <w:trPr/>
        <w:tc>
          <w:tcPr>
            <w:tcW w:w="7327" w:type="dxa"/>
            <w:tcBorders/>
            <w:shd w:fill="auto" w:val="clear"/>
            <w:vAlign w:val="bottom"/>
          </w:tcPr>
          <w:p>
            <w:pPr>
              <w:pStyle w:val="TableContents"/>
              <w:spacing w:before="0" w:after="283"/>
              <w:rPr/>
            </w:pPr>
            <w:r>
              <w:rPr/>
              <w:t xml:space="preserve">  </w:t>
            </w:r>
          </w:p>
        </w:tc>
        <w:tc>
          <w:tcPr>
            <w:tcW w:w="108" w:type="dxa"/>
            <w:tcBorders/>
            <w:shd w:fill="auto" w:val="clear"/>
            <w:vAlign w:val="bottom"/>
          </w:tcPr>
          <w:p>
            <w:pPr>
              <w:pStyle w:val="TableContents"/>
              <w:spacing w:before="0" w:after="283"/>
              <w:rPr/>
            </w:pPr>
            <w:r>
              <w:rPr/>
              <w:t> </w:t>
            </w:r>
          </w:p>
        </w:tc>
        <w:tc>
          <w:tcPr>
            <w:tcW w:w="1212"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helvetica" w:hAnsi="helvetica"/>
                <w:b/>
                <w:sz w:val="16"/>
              </w:rPr>
            </w:pPr>
            <w:r>
              <w:rPr>
                <w:rFonts w:ascii="helvetica" w:hAnsi="helvetica"/>
                <w:b/>
                <w:sz w:val="16"/>
              </w:rPr>
              <w:t>December 31, 2011</w:t>
            </w:r>
          </w:p>
        </w:tc>
        <w:tc>
          <w:tcPr>
            <w:tcW w:w="114" w:type="dxa"/>
            <w:tcBorders/>
            <w:shd w:fill="auto" w:val="clear"/>
            <w:vAlign w:val="bottom"/>
          </w:tcPr>
          <w:p>
            <w:pPr>
              <w:pStyle w:val="TableContents"/>
              <w:spacing w:before="0" w:after="283"/>
              <w:jc w:val="left"/>
              <w:rPr/>
            </w:pPr>
            <w:r>
              <w:rPr/>
              <w:t> </w:t>
            </w:r>
          </w:p>
        </w:tc>
        <w:tc>
          <w:tcPr>
            <w:tcW w:w="108" w:type="dxa"/>
            <w:tcBorders/>
            <w:shd w:fill="auto" w:val="clear"/>
            <w:vAlign w:val="bottom"/>
          </w:tcPr>
          <w:p>
            <w:pPr>
              <w:pStyle w:val="TableContents"/>
              <w:spacing w:before="0" w:after="283"/>
              <w:rPr/>
            </w:pPr>
            <w:r>
              <w:rPr/>
              <w:t> </w:t>
            </w:r>
          </w:p>
        </w:tc>
        <w:tc>
          <w:tcPr>
            <w:tcW w:w="1212"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helvetica" w:hAnsi="helvetica"/>
                <w:b/>
                <w:sz w:val="16"/>
              </w:rPr>
            </w:pPr>
            <w:r>
              <w:rPr>
                <w:rFonts w:ascii="helvetica" w:hAnsi="helvetica"/>
                <w:b/>
                <w:sz w:val="16"/>
              </w:rPr>
              <w:t>December 31, 2010</w:t>
            </w:r>
          </w:p>
        </w:tc>
        <w:tc>
          <w:tcPr>
            <w:tcW w:w="124" w:type="dxa"/>
            <w:tcBorders/>
            <w:shd w:fill="auto" w:val="clear"/>
            <w:vAlign w:val="bottom"/>
          </w:tcPr>
          <w:p>
            <w:pPr>
              <w:pStyle w:val="TableContents"/>
              <w:spacing w:before="0" w:after="283"/>
              <w:jc w:val="left"/>
              <w:rPr/>
            </w:pPr>
            <w:r>
              <w:rPr/>
              <w:t> </w:t>
            </w:r>
          </w:p>
        </w:tc>
      </w:tr>
      <w:tr>
        <w:trPr/>
        <w:tc>
          <w:tcPr>
            <w:tcW w:w="7327" w:type="dxa"/>
            <w:tcBorders/>
            <w:shd w:fill="auto" w:val="clear"/>
            <w:vAlign w:val="bottom"/>
          </w:tcPr>
          <w:p>
            <w:pPr>
              <w:pStyle w:val="TableContents"/>
              <w:spacing w:before="0" w:after="283"/>
              <w:rPr/>
            </w:pPr>
            <w:r>
              <w:rPr/>
              <w:t xml:space="preserve">  </w:t>
            </w:r>
          </w:p>
        </w:tc>
        <w:tc>
          <w:tcPr>
            <w:tcW w:w="108" w:type="dxa"/>
            <w:tcBorders/>
            <w:shd w:fill="auto" w:val="clear"/>
            <w:vAlign w:val="bottom"/>
          </w:tcPr>
          <w:p>
            <w:pPr>
              <w:pStyle w:val="TableContents"/>
              <w:spacing w:before="0" w:after="283"/>
              <w:rPr/>
            </w:pPr>
            <w:r>
              <w:rPr/>
              <w:t> </w:t>
            </w:r>
          </w:p>
        </w:tc>
        <w:tc>
          <w:tcPr>
            <w:tcW w:w="1212" w:type="dxa"/>
            <w:gridSpan w:val="2"/>
            <w:tcBorders/>
            <w:shd w:fill="auto" w:val="clear"/>
            <w:vAlign w:val="bottom"/>
          </w:tcPr>
          <w:p>
            <w:pPr>
              <w:pStyle w:val="TableContents"/>
              <w:spacing w:before="0" w:after="283"/>
              <w:rPr/>
            </w:pPr>
            <w:r>
              <w:rPr/>
              <w:t> </w:t>
            </w:r>
          </w:p>
        </w:tc>
        <w:tc>
          <w:tcPr>
            <w:tcW w:w="114" w:type="dxa"/>
            <w:tcBorders/>
            <w:shd w:fill="auto" w:val="clear"/>
            <w:vAlign w:val="bottom"/>
          </w:tcPr>
          <w:p>
            <w:pPr>
              <w:pStyle w:val="TableContents"/>
              <w:spacing w:before="0" w:after="283"/>
              <w:jc w:val="left"/>
              <w:rPr/>
            </w:pPr>
            <w:r>
              <w:rPr/>
              <w:t> </w:t>
            </w:r>
          </w:p>
        </w:tc>
        <w:tc>
          <w:tcPr>
            <w:tcW w:w="108" w:type="dxa"/>
            <w:tcBorders/>
            <w:shd w:fill="auto" w:val="clear"/>
            <w:vAlign w:val="bottom"/>
          </w:tcPr>
          <w:p>
            <w:pPr>
              <w:pStyle w:val="TableContents"/>
              <w:spacing w:before="0" w:after="283"/>
              <w:rPr/>
            </w:pPr>
            <w:r>
              <w:rPr/>
              <w:t> </w:t>
            </w:r>
          </w:p>
        </w:tc>
        <w:tc>
          <w:tcPr>
            <w:tcW w:w="1212" w:type="dxa"/>
            <w:gridSpan w:val="2"/>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jc w:val="left"/>
              <w:rPr/>
            </w:pPr>
            <w:r>
              <w:rPr/>
              <w:t> </w:t>
            </w:r>
          </w:p>
        </w:tc>
      </w:tr>
      <w:tr>
        <w:trPr/>
        <w:tc>
          <w:tcPr>
            <w:tcW w:w="7327" w:type="dxa"/>
            <w:tcBorders/>
            <w:shd w:fill="CCEEFF" w:val="clear"/>
            <w:vAlign w:val="bottom"/>
          </w:tcPr>
          <w:p>
            <w:pPr>
              <w:pStyle w:val="TableContents"/>
              <w:spacing w:before="0" w:after="0"/>
              <w:ind w:left="0" w:right="0" w:hanging="0"/>
              <w:jc w:val="both"/>
              <w:rPr>
                <w:rFonts w:ascii="helvetica" w:hAnsi="helvetica"/>
                <w:sz w:val="20"/>
              </w:rPr>
            </w:pPr>
            <w:r>
              <w:rPr>
                <w:rFonts w:ascii="helvetica" w:hAnsi="helvetica"/>
                <w:sz w:val="20"/>
              </w:rPr>
              <w:t>Net loss</w:t>
            </w:r>
          </w:p>
        </w:tc>
        <w:tc>
          <w:tcPr>
            <w:tcW w:w="108"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jc w:val="left"/>
              <w:rPr>
                <w:rFonts w:ascii="helvetica" w:hAnsi="helvetica"/>
                <w:sz w:val="20"/>
              </w:rPr>
            </w:pPr>
            <w:r>
              <w:rPr>
                <w:rFonts w:ascii="helvetica" w:hAnsi="helvetica"/>
                <w:sz w:val="20"/>
              </w:rPr>
              <w:t>$</w:t>
            </w:r>
          </w:p>
        </w:tc>
        <w:tc>
          <w:tcPr>
            <w:tcW w:w="1086"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(953,936</w:t>
            </w:r>
          </w:p>
        </w:tc>
        <w:tc>
          <w:tcPr>
            <w:tcW w:w="114" w:type="dxa"/>
            <w:tcBorders/>
            <w:shd w:fill="CCEEFF" w:val="clear"/>
            <w:vAlign w:val="bottom"/>
          </w:tcPr>
          <w:p>
            <w:pPr>
              <w:pStyle w:val="TableContents"/>
              <w:spacing w:before="0" w:after="283"/>
              <w:jc w:val="left"/>
              <w:rPr>
                <w:rFonts w:ascii="helvetica" w:hAnsi="helvetica"/>
                <w:sz w:val="20"/>
              </w:rPr>
            </w:pPr>
            <w:r>
              <w:rPr>
                <w:rFonts w:ascii="helvetica" w:hAnsi="helvetica"/>
                <w:sz w:val="20"/>
              </w:rPr>
              <w:t>)</w:t>
            </w:r>
          </w:p>
        </w:tc>
        <w:tc>
          <w:tcPr>
            <w:tcW w:w="108"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jc w:val="left"/>
              <w:rPr>
                <w:rFonts w:ascii="helvetica" w:hAnsi="helvetica"/>
                <w:sz w:val="20"/>
              </w:rPr>
            </w:pPr>
            <w:r>
              <w:rPr>
                <w:rFonts w:ascii="helvetica" w:hAnsi="helvetica"/>
                <w:sz w:val="20"/>
              </w:rPr>
              <w:t>$</w:t>
            </w:r>
          </w:p>
        </w:tc>
        <w:tc>
          <w:tcPr>
            <w:tcW w:w="1086"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(2,531,228</w:t>
            </w:r>
          </w:p>
        </w:tc>
        <w:tc>
          <w:tcPr>
            <w:tcW w:w="124" w:type="dxa"/>
            <w:tcBorders/>
            <w:shd w:fill="CCEEFF" w:val="clear"/>
            <w:vAlign w:val="bottom"/>
          </w:tcPr>
          <w:p>
            <w:pPr>
              <w:pStyle w:val="TableContents"/>
              <w:spacing w:before="0" w:after="283"/>
              <w:jc w:val="left"/>
              <w:rPr>
                <w:rFonts w:ascii="helvetica" w:hAnsi="helvetica"/>
                <w:sz w:val="20"/>
              </w:rPr>
            </w:pPr>
            <w:r>
              <w:rPr>
                <w:rFonts w:ascii="helvetica" w:hAnsi="helvetica"/>
                <w:sz w:val="20"/>
              </w:rPr>
              <w:t>)</w:t>
            </w:r>
          </w:p>
        </w:tc>
      </w:tr>
      <w:tr>
        <w:trPr/>
        <w:tc>
          <w:tcPr>
            <w:tcW w:w="7327" w:type="dxa"/>
            <w:tcBorders/>
            <w:shd w:fill="FFFFFF" w:val="clear"/>
            <w:vAlign w:val="bottom"/>
          </w:tcPr>
          <w:p>
            <w:pPr>
              <w:pStyle w:val="TableContents"/>
              <w:spacing w:before="0" w:after="0"/>
              <w:ind w:left="0" w:right="0" w:hanging="0"/>
              <w:jc w:val="both"/>
              <w:rPr>
                <w:rFonts w:ascii="helvetica" w:hAnsi="helvetica"/>
                <w:sz w:val="20"/>
              </w:rPr>
            </w:pPr>
            <w:r>
              <w:rPr>
                <w:rFonts w:ascii="helvetica" w:hAnsi="helvetica"/>
                <w:sz w:val="20"/>
              </w:rPr>
              <w:t>Deemed dividend to preferred stockholders</w:t>
            </w:r>
          </w:p>
        </w:tc>
        <w:tc>
          <w:tcPr>
            <w:tcW w:w="108" w:type="dxa"/>
            <w:tcBorders/>
            <w:shd w:fill="FFFFFF" w:val="clear"/>
            <w:vAlign w:val="bottom"/>
          </w:tcPr>
          <w:p>
            <w:pPr>
              <w:pStyle w:val="TableContents"/>
              <w:spacing w:before="0" w:after="283"/>
              <w:rPr/>
            </w:pPr>
            <w:r>
              <w:rPr/>
              <w:t> </w:t>
            </w:r>
          </w:p>
        </w:tc>
        <w:tc>
          <w:tcPr>
            <w:tcW w:w="126"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86" w:type="dxa"/>
            <w:tcBorders>
              <w:bottom w:val="single" w:sz="12" w:space="0" w:color="000000"/>
            </w:tcBorders>
            <w:shd w:fill="FFFF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(100,000</w:t>
            </w:r>
          </w:p>
        </w:tc>
        <w:tc>
          <w:tcPr>
            <w:tcW w:w="114" w:type="dxa"/>
            <w:tcBorders/>
            <w:shd w:fill="FFFFFF" w:val="clear"/>
            <w:vAlign w:val="bottom"/>
          </w:tcPr>
          <w:p>
            <w:pPr>
              <w:pStyle w:val="TableContents"/>
              <w:spacing w:before="0" w:after="283"/>
              <w:jc w:val="left"/>
              <w:rPr>
                <w:rFonts w:ascii="helvetica" w:hAnsi="helvetica"/>
                <w:sz w:val="20"/>
              </w:rPr>
            </w:pPr>
            <w:r>
              <w:rPr>
                <w:rFonts w:ascii="helvetica" w:hAnsi="helvetica"/>
                <w:sz w:val="20"/>
              </w:rPr>
              <w:t>)</w:t>
            </w:r>
          </w:p>
        </w:tc>
        <w:tc>
          <w:tcPr>
            <w:tcW w:w="108" w:type="dxa"/>
            <w:tcBorders/>
            <w:shd w:fill="FFFFFF" w:val="clear"/>
            <w:vAlign w:val="bottom"/>
          </w:tcPr>
          <w:p>
            <w:pPr>
              <w:pStyle w:val="TableContents"/>
              <w:spacing w:before="0" w:after="283"/>
              <w:rPr/>
            </w:pPr>
            <w:r>
              <w:rPr/>
              <w:t> </w:t>
            </w:r>
          </w:p>
        </w:tc>
        <w:tc>
          <w:tcPr>
            <w:tcW w:w="126"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86" w:type="dxa"/>
            <w:tcBorders>
              <w:bottom w:val="single" w:sz="12" w:space="0" w:color="000000"/>
            </w:tcBorders>
            <w:shd w:fill="FFFF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w:t>
            </w:r>
          </w:p>
        </w:tc>
        <w:tc>
          <w:tcPr>
            <w:tcW w:w="124" w:type="dxa"/>
            <w:tcBorders/>
            <w:shd w:fill="FFFFFF" w:val="clear"/>
            <w:vAlign w:val="bottom"/>
          </w:tcPr>
          <w:p>
            <w:pPr>
              <w:pStyle w:val="TableContents"/>
              <w:spacing w:before="0" w:after="283"/>
              <w:jc w:val="left"/>
              <w:rPr/>
            </w:pPr>
            <w:r>
              <w:rPr/>
              <w:t> </w:t>
            </w:r>
          </w:p>
        </w:tc>
      </w:tr>
      <w:tr>
        <w:trPr/>
        <w:tc>
          <w:tcPr>
            <w:tcW w:w="7327" w:type="dxa"/>
            <w:tcBorders/>
            <w:shd w:fill="CCEEFF" w:val="clear"/>
            <w:vAlign w:val="bottom"/>
          </w:tcPr>
          <w:p>
            <w:pPr>
              <w:pStyle w:val="TableContents"/>
              <w:spacing w:before="0" w:after="0"/>
              <w:ind w:left="0" w:right="0" w:hanging="0"/>
              <w:jc w:val="both"/>
              <w:rPr>
                <w:rFonts w:ascii="helvetica" w:hAnsi="helvetica"/>
                <w:sz w:val="20"/>
              </w:rPr>
            </w:pPr>
            <w:r>
              <w:rPr>
                <w:rFonts w:ascii="helvetica" w:hAnsi="helvetica"/>
                <w:sz w:val="20"/>
              </w:rPr>
              <w:t>Numerator – loss attributable to common stockholders</w:t>
            </w:r>
          </w:p>
        </w:tc>
        <w:tc>
          <w:tcPr>
            <w:tcW w:w="108" w:type="dxa"/>
            <w:tcBorders/>
            <w:shd w:fill="CCEEFF" w:val="clear"/>
            <w:vAlign w:val="bottom"/>
          </w:tcPr>
          <w:p>
            <w:pPr>
              <w:pStyle w:val="TableContents"/>
              <w:spacing w:before="0" w:after="283"/>
              <w:rPr/>
            </w:pPr>
            <w:r>
              <w:rPr/>
              <w:t> </w:t>
            </w:r>
          </w:p>
        </w:tc>
        <w:tc>
          <w:tcPr>
            <w:tcW w:w="126" w:type="dxa"/>
            <w:tcBorders>
              <w:bottom w:val="double" w:sz="8" w:space="0" w:color="000000"/>
            </w:tcBorders>
            <w:shd w:fill="CCEEFF" w:val="clear"/>
            <w:tcMar>
              <w:bottom w:w="28" w:type="dxa"/>
            </w:tcMar>
            <w:vAlign w:val="bottom"/>
          </w:tcPr>
          <w:p>
            <w:pPr>
              <w:pStyle w:val="TableContents"/>
              <w:spacing w:before="0" w:after="283"/>
              <w:jc w:val="left"/>
              <w:rPr/>
            </w:pPr>
            <w:r>
              <w:rPr/>
              <w:t> </w:t>
            </w:r>
          </w:p>
        </w:tc>
        <w:tc>
          <w:tcPr>
            <w:tcW w:w="1086" w:type="dxa"/>
            <w:tcBorders>
              <w:bottom w:val="double" w:sz="8" w:space="0" w:color="000000"/>
            </w:tcBorders>
            <w:shd w:fill="CCEE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(1,053,936</w:t>
            </w:r>
          </w:p>
        </w:tc>
        <w:tc>
          <w:tcPr>
            <w:tcW w:w="114" w:type="dxa"/>
            <w:tcBorders/>
            <w:shd w:fill="CCEEFF" w:val="clear"/>
            <w:vAlign w:val="bottom"/>
          </w:tcPr>
          <w:p>
            <w:pPr>
              <w:pStyle w:val="TableContents"/>
              <w:spacing w:before="0" w:after="283"/>
              <w:jc w:val="left"/>
              <w:rPr>
                <w:rFonts w:ascii="helvetica" w:hAnsi="helvetica"/>
                <w:sz w:val="20"/>
              </w:rPr>
            </w:pPr>
            <w:r>
              <w:rPr>
                <w:rFonts w:ascii="helvetica" w:hAnsi="helvetica"/>
                <w:sz w:val="20"/>
              </w:rPr>
              <w:t>)</w:t>
            </w:r>
          </w:p>
        </w:tc>
        <w:tc>
          <w:tcPr>
            <w:tcW w:w="108" w:type="dxa"/>
            <w:tcBorders/>
            <w:shd w:fill="CCEEFF" w:val="clear"/>
            <w:vAlign w:val="bottom"/>
          </w:tcPr>
          <w:p>
            <w:pPr>
              <w:pStyle w:val="TableContents"/>
              <w:spacing w:before="0" w:after="283"/>
              <w:rPr/>
            </w:pPr>
            <w:r>
              <w:rPr/>
              <w:t> </w:t>
            </w:r>
          </w:p>
        </w:tc>
        <w:tc>
          <w:tcPr>
            <w:tcW w:w="126" w:type="dxa"/>
            <w:tcBorders>
              <w:bottom w:val="double" w:sz="8" w:space="0" w:color="000000"/>
            </w:tcBorders>
            <w:shd w:fill="CCEEFF" w:val="clear"/>
            <w:tcMar>
              <w:bottom w:w="28" w:type="dxa"/>
            </w:tcMar>
            <w:vAlign w:val="bottom"/>
          </w:tcPr>
          <w:p>
            <w:pPr>
              <w:pStyle w:val="TableContents"/>
              <w:spacing w:before="0" w:after="283"/>
              <w:jc w:val="left"/>
              <w:rPr/>
            </w:pPr>
            <w:r>
              <w:rPr/>
              <w:t> </w:t>
            </w:r>
          </w:p>
        </w:tc>
        <w:tc>
          <w:tcPr>
            <w:tcW w:w="1086" w:type="dxa"/>
            <w:tcBorders>
              <w:bottom w:val="double" w:sz="8" w:space="0" w:color="000000"/>
            </w:tcBorders>
            <w:shd w:fill="CCEE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(2,531,228</w:t>
            </w:r>
          </w:p>
        </w:tc>
        <w:tc>
          <w:tcPr>
            <w:tcW w:w="124" w:type="dxa"/>
            <w:tcBorders/>
            <w:shd w:fill="CCEEFF" w:val="clear"/>
            <w:vAlign w:val="bottom"/>
          </w:tcPr>
          <w:p>
            <w:pPr>
              <w:pStyle w:val="TableContents"/>
              <w:spacing w:before="0" w:after="283"/>
              <w:jc w:val="left"/>
              <w:rPr>
                <w:rFonts w:ascii="helvetica" w:hAnsi="helvetica"/>
                <w:sz w:val="20"/>
              </w:rPr>
            </w:pPr>
            <w:r>
              <w:rPr>
                <w:rFonts w:ascii="helvetica" w:hAnsi="helvetica"/>
                <w:sz w:val="20"/>
              </w:rPr>
              <w:t>)</w:t>
            </w:r>
          </w:p>
        </w:tc>
      </w:tr>
      <w:tr>
        <w:trPr/>
        <w:tc>
          <w:tcPr>
            <w:tcW w:w="7327" w:type="dxa"/>
            <w:tcBorders/>
            <w:shd w:fill="FFFFFF" w:val="clear"/>
            <w:vAlign w:val="bottom"/>
          </w:tcPr>
          <w:p>
            <w:pPr>
              <w:pStyle w:val="TableContents"/>
              <w:spacing w:before="0" w:after="0"/>
              <w:ind w:left="0" w:right="0" w:hanging="0"/>
              <w:jc w:val="both"/>
              <w:rPr>
                <w:rFonts w:ascii="helvetica" w:hAnsi="helvetica"/>
                <w:sz w:val="20"/>
              </w:rPr>
            </w:pPr>
            <w:r>
              <w:rPr>
                <w:rFonts w:ascii="helvetica" w:hAnsi="helvetica"/>
                <w:sz w:val="20"/>
              </w:rPr>
              <w:t>Denominator – weighted average</w:t>
            </w:r>
          </w:p>
        </w:tc>
        <w:tc>
          <w:tcPr>
            <w:tcW w:w="108" w:type="dxa"/>
            <w:tcBorders/>
            <w:shd w:fill="FFFFFF" w:val="clear"/>
            <w:vAlign w:val="bottom"/>
          </w:tcPr>
          <w:p>
            <w:pPr>
              <w:pStyle w:val="TableContents"/>
              <w:spacing w:before="0" w:after="283"/>
              <w:rPr/>
            </w:pPr>
            <w:r>
              <w:rPr/>
              <w:t> </w:t>
            </w:r>
          </w:p>
        </w:tc>
        <w:tc>
          <w:tcPr>
            <w:tcW w:w="126" w:type="dxa"/>
            <w:tcBorders/>
            <w:shd w:fill="FFFFFF" w:val="clear"/>
            <w:vAlign w:val="bottom"/>
          </w:tcPr>
          <w:p>
            <w:pPr>
              <w:pStyle w:val="TableContents"/>
              <w:spacing w:before="0" w:after="283"/>
              <w:jc w:val="left"/>
              <w:rPr/>
            </w:pPr>
            <w:r>
              <w:rPr/>
              <w:t> </w:t>
            </w:r>
          </w:p>
        </w:tc>
        <w:tc>
          <w:tcPr>
            <w:tcW w:w="1086" w:type="dxa"/>
            <w:tcBorders/>
            <w:shd w:fill="FFFFFF" w:val="clear"/>
            <w:vAlign w:val="bottom"/>
          </w:tcPr>
          <w:p>
            <w:pPr>
              <w:pStyle w:val="TableContents"/>
              <w:spacing w:before="0" w:after="283"/>
              <w:jc w:val="right"/>
              <w:rPr/>
            </w:pPr>
            <w:r>
              <w:rPr/>
              <w:t> </w:t>
            </w:r>
          </w:p>
        </w:tc>
        <w:tc>
          <w:tcPr>
            <w:tcW w:w="114" w:type="dxa"/>
            <w:tcBorders/>
            <w:shd w:fill="FFFFFF" w:val="clear"/>
            <w:vAlign w:val="bottom"/>
          </w:tcPr>
          <w:p>
            <w:pPr>
              <w:pStyle w:val="TableContents"/>
              <w:spacing w:before="0" w:after="283"/>
              <w:jc w:val="left"/>
              <w:rPr/>
            </w:pPr>
            <w:r>
              <w:rPr/>
              <w:t> </w:t>
            </w:r>
          </w:p>
        </w:tc>
        <w:tc>
          <w:tcPr>
            <w:tcW w:w="108" w:type="dxa"/>
            <w:tcBorders/>
            <w:shd w:fill="FFFFFF" w:val="clear"/>
            <w:vAlign w:val="bottom"/>
          </w:tcPr>
          <w:p>
            <w:pPr>
              <w:pStyle w:val="TableContents"/>
              <w:spacing w:before="0" w:after="283"/>
              <w:rPr/>
            </w:pPr>
            <w:r>
              <w:rPr/>
              <w:t> </w:t>
            </w:r>
          </w:p>
        </w:tc>
        <w:tc>
          <w:tcPr>
            <w:tcW w:w="126" w:type="dxa"/>
            <w:tcBorders/>
            <w:shd w:fill="FFFFFF" w:val="clear"/>
            <w:vAlign w:val="bottom"/>
          </w:tcPr>
          <w:p>
            <w:pPr>
              <w:pStyle w:val="TableContents"/>
              <w:spacing w:before="0" w:after="283"/>
              <w:jc w:val="left"/>
              <w:rPr/>
            </w:pPr>
            <w:r>
              <w:rPr/>
              <w:t> </w:t>
            </w:r>
          </w:p>
        </w:tc>
        <w:tc>
          <w:tcPr>
            <w:tcW w:w="1086" w:type="dxa"/>
            <w:tcBorders/>
            <w:shd w:fill="FFFFFF" w:val="clear"/>
            <w:vAlign w:val="bottom"/>
          </w:tcPr>
          <w:p>
            <w:pPr>
              <w:pStyle w:val="TableContents"/>
              <w:spacing w:before="0" w:after="283"/>
              <w:jc w:val="right"/>
              <w:rPr/>
            </w:pPr>
            <w:r>
              <w:rPr/>
              <w:t> </w:t>
            </w:r>
          </w:p>
        </w:tc>
        <w:tc>
          <w:tcPr>
            <w:tcW w:w="124" w:type="dxa"/>
            <w:tcBorders/>
            <w:shd w:fill="FFFFFF" w:val="clear"/>
            <w:vAlign w:val="bottom"/>
          </w:tcPr>
          <w:p>
            <w:pPr>
              <w:pStyle w:val="TableContents"/>
              <w:spacing w:before="0" w:after="283"/>
              <w:jc w:val="left"/>
              <w:rPr/>
            </w:pPr>
            <w:r>
              <w:rPr/>
              <w:t> </w:t>
            </w:r>
          </w:p>
        </w:tc>
      </w:tr>
      <w:tr>
        <w:trPr/>
        <w:tc>
          <w:tcPr>
            <w:tcW w:w="7327" w:type="dxa"/>
            <w:tcBorders/>
            <w:shd w:fill="CCEEFF" w:val="clear"/>
            <w:vAlign w:val="bottom"/>
          </w:tcPr>
          <w:p>
            <w:pPr>
              <w:pStyle w:val="TableContents"/>
              <w:spacing w:before="0" w:after="0"/>
              <w:ind w:left="0" w:right="0" w:hanging="0"/>
              <w:jc w:val="both"/>
              <w:rPr/>
            </w:pPr>
            <w:r>
              <w:rPr/>
              <w:t>   </w:t>
            </w:r>
            <w:r>
              <w:rPr>
                <w:rFonts w:ascii="helvetica" w:hAnsi="helvetica"/>
                <w:sz w:val="20"/>
              </w:rPr>
              <w:t>number of shares outstanding, basic and diluted</w:t>
            </w:r>
          </w:p>
        </w:tc>
        <w:tc>
          <w:tcPr>
            <w:tcW w:w="108" w:type="dxa"/>
            <w:tcBorders/>
            <w:shd w:fill="CCEEFF" w:val="clear"/>
            <w:vAlign w:val="bottom"/>
          </w:tcPr>
          <w:p>
            <w:pPr>
              <w:pStyle w:val="TableContents"/>
              <w:spacing w:before="0" w:after="283"/>
              <w:rPr/>
            </w:pPr>
            <w:r>
              <w:rPr/>
              <w:t> </w:t>
            </w:r>
          </w:p>
        </w:tc>
        <w:tc>
          <w:tcPr>
            <w:tcW w:w="126"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86" w:type="dxa"/>
            <w:tcBorders>
              <w:bottom w:val="single" w:sz="12" w:space="0" w:color="000000"/>
            </w:tcBorders>
            <w:shd w:fill="CCEE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1,989,014</w:t>
            </w:r>
          </w:p>
        </w:tc>
        <w:tc>
          <w:tcPr>
            <w:tcW w:w="114" w:type="dxa"/>
            <w:tcBorders/>
            <w:shd w:fill="CCEEFF" w:val="clear"/>
            <w:vAlign w:val="bottom"/>
          </w:tcPr>
          <w:p>
            <w:pPr>
              <w:pStyle w:val="TableContents"/>
              <w:spacing w:before="0" w:after="283"/>
              <w:jc w:val="left"/>
              <w:rPr/>
            </w:pPr>
            <w:r>
              <w:rPr/>
              <w:t> </w:t>
            </w:r>
          </w:p>
        </w:tc>
        <w:tc>
          <w:tcPr>
            <w:tcW w:w="108" w:type="dxa"/>
            <w:tcBorders/>
            <w:shd w:fill="CCEEFF" w:val="clear"/>
            <w:vAlign w:val="bottom"/>
          </w:tcPr>
          <w:p>
            <w:pPr>
              <w:pStyle w:val="TableContents"/>
              <w:spacing w:before="0" w:after="283"/>
              <w:rPr/>
            </w:pPr>
            <w:r>
              <w:rPr/>
              <w:t> </w:t>
            </w:r>
          </w:p>
        </w:tc>
        <w:tc>
          <w:tcPr>
            <w:tcW w:w="126"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86" w:type="dxa"/>
            <w:tcBorders>
              <w:bottom w:val="single" w:sz="12" w:space="0" w:color="000000"/>
            </w:tcBorders>
            <w:shd w:fill="CCEE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1,973,155</w:t>
            </w:r>
          </w:p>
        </w:tc>
        <w:tc>
          <w:tcPr>
            <w:tcW w:w="124" w:type="dxa"/>
            <w:tcBorders/>
            <w:shd w:fill="CCEEFF" w:val="clear"/>
            <w:vAlign w:val="bottom"/>
          </w:tcPr>
          <w:p>
            <w:pPr>
              <w:pStyle w:val="TableContents"/>
              <w:spacing w:before="0" w:after="283"/>
              <w:jc w:val="left"/>
              <w:rPr/>
            </w:pPr>
            <w:r>
              <w:rPr/>
              <w:t> </w:t>
            </w:r>
          </w:p>
        </w:tc>
      </w:tr>
      <w:tr>
        <w:trPr/>
        <w:tc>
          <w:tcPr>
            <w:tcW w:w="7327" w:type="dxa"/>
            <w:tcBorders/>
            <w:shd w:fill="FFFFFF" w:val="clear"/>
            <w:vAlign w:val="bottom"/>
          </w:tcPr>
          <w:p>
            <w:pPr>
              <w:pStyle w:val="TableContents"/>
              <w:spacing w:before="0" w:after="0"/>
              <w:ind w:left="0" w:right="0" w:hanging="0"/>
              <w:jc w:val="both"/>
              <w:rPr>
                <w:rFonts w:ascii="helvetica" w:hAnsi="helvetica"/>
                <w:b/>
                <w:sz w:val="20"/>
              </w:rPr>
            </w:pPr>
            <w:r>
              <w:rPr>
                <w:rFonts w:ascii="helvetica" w:hAnsi="helvetica"/>
                <w:b/>
                <w:sz w:val="20"/>
              </w:rPr>
              <w:t>Loss per share, basic and diluted</w:t>
            </w:r>
          </w:p>
        </w:tc>
        <w:tc>
          <w:tcPr>
            <w:tcW w:w="108" w:type="dxa"/>
            <w:tcBorders/>
            <w:shd w:fill="FFFFFF" w:val="clear"/>
            <w:vAlign w:val="bottom"/>
          </w:tcPr>
          <w:p>
            <w:pPr>
              <w:pStyle w:val="TableContents"/>
              <w:spacing w:before="0" w:after="283"/>
              <w:rPr/>
            </w:pPr>
            <w:r>
              <w:rPr/>
              <w:t> </w:t>
            </w:r>
          </w:p>
        </w:tc>
        <w:tc>
          <w:tcPr>
            <w:tcW w:w="126" w:type="dxa"/>
            <w:tcBorders>
              <w:bottom w:val="double" w:sz="8" w:space="0" w:color="000000"/>
            </w:tcBorders>
            <w:shd w:fill="FFFFFF" w:val="clear"/>
            <w:tcMar>
              <w:bottom w:w="28" w:type="dxa"/>
            </w:tcMar>
            <w:vAlign w:val="bottom"/>
          </w:tcPr>
          <w:p>
            <w:pPr>
              <w:pStyle w:val="TableContents"/>
              <w:spacing w:before="0" w:after="283"/>
              <w:jc w:val="left"/>
              <w:rPr>
                <w:rFonts w:ascii="helvetica" w:hAnsi="helvetica"/>
                <w:sz w:val="20"/>
              </w:rPr>
            </w:pPr>
            <w:r>
              <w:rPr>
                <w:rFonts w:ascii="helvetica" w:hAnsi="helvetica"/>
                <w:sz w:val="20"/>
              </w:rPr>
              <w:t>$</w:t>
            </w:r>
          </w:p>
        </w:tc>
        <w:tc>
          <w:tcPr>
            <w:tcW w:w="1086" w:type="dxa"/>
            <w:tcBorders>
              <w:bottom w:val="double" w:sz="8" w:space="0" w:color="000000"/>
            </w:tcBorders>
            <w:shd w:fill="FFFF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(0.53</w:t>
            </w:r>
          </w:p>
        </w:tc>
        <w:tc>
          <w:tcPr>
            <w:tcW w:w="114" w:type="dxa"/>
            <w:tcBorders/>
            <w:shd w:fill="FFFFFF" w:val="clear"/>
            <w:vAlign w:val="bottom"/>
          </w:tcPr>
          <w:p>
            <w:pPr>
              <w:pStyle w:val="TableContents"/>
              <w:spacing w:before="0" w:after="283"/>
              <w:jc w:val="left"/>
              <w:rPr>
                <w:rFonts w:ascii="helvetica" w:hAnsi="helvetica"/>
                <w:sz w:val="20"/>
              </w:rPr>
            </w:pPr>
            <w:r>
              <w:rPr>
                <w:rFonts w:ascii="helvetica" w:hAnsi="helvetica"/>
                <w:sz w:val="20"/>
              </w:rPr>
              <w:t>)</w:t>
            </w:r>
          </w:p>
        </w:tc>
        <w:tc>
          <w:tcPr>
            <w:tcW w:w="108" w:type="dxa"/>
            <w:tcBorders/>
            <w:shd w:fill="FFFFFF" w:val="clear"/>
            <w:vAlign w:val="bottom"/>
          </w:tcPr>
          <w:p>
            <w:pPr>
              <w:pStyle w:val="TableContents"/>
              <w:spacing w:before="0" w:after="283"/>
              <w:rPr/>
            </w:pPr>
            <w:r>
              <w:rPr/>
              <w:t> </w:t>
            </w:r>
          </w:p>
        </w:tc>
        <w:tc>
          <w:tcPr>
            <w:tcW w:w="126" w:type="dxa"/>
            <w:tcBorders>
              <w:bottom w:val="double" w:sz="8" w:space="0" w:color="000000"/>
            </w:tcBorders>
            <w:shd w:fill="FFFFFF" w:val="clear"/>
            <w:tcMar>
              <w:bottom w:w="28" w:type="dxa"/>
            </w:tcMar>
            <w:vAlign w:val="bottom"/>
          </w:tcPr>
          <w:p>
            <w:pPr>
              <w:pStyle w:val="TableContents"/>
              <w:spacing w:before="0" w:after="283"/>
              <w:jc w:val="left"/>
              <w:rPr>
                <w:rFonts w:ascii="helvetica" w:hAnsi="helvetica"/>
                <w:sz w:val="20"/>
              </w:rPr>
            </w:pPr>
            <w:r>
              <w:rPr>
                <w:rFonts w:ascii="helvetica" w:hAnsi="helvetica"/>
                <w:sz w:val="20"/>
              </w:rPr>
              <w:t>$</w:t>
            </w:r>
          </w:p>
        </w:tc>
        <w:tc>
          <w:tcPr>
            <w:tcW w:w="1086" w:type="dxa"/>
            <w:tcBorders>
              <w:bottom w:val="double" w:sz="8" w:space="0" w:color="000000"/>
            </w:tcBorders>
            <w:shd w:fill="FFFF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(1.28</w:t>
            </w:r>
          </w:p>
        </w:tc>
        <w:tc>
          <w:tcPr>
            <w:tcW w:w="124" w:type="dxa"/>
            <w:tcBorders/>
            <w:shd w:fill="FFFFFF" w:val="clear"/>
            <w:vAlign w:val="bottom"/>
          </w:tcPr>
          <w:p>
            <w:pPr>
              <w:pStyle w:val="TableContents"/>
              <w:spacing w:before="0" w:after="283"/>
              <w:jc w:val="left"/>
              <w:rPr>
                <w:rFonts w:ascii="helvetica" w:hAnsi="helvetica"/>
                <w:sz w:val="20"/>
              </w:rPr>
            </w:pPr>
            <w:r>
              <w:rPr>
                <w:rFonts w:ascii="helvetica" w:hAnsi="helvetica"/>
                <w:sz w:val="20"/>
              </w:rPr>
              <w:t>)</w:t>
            </w:r>
          </w:p>
        </w:tc>
      </w:tr>
    </w:tbl>
    <w:p>
      <w:pPr>
        <w:pStyle w:val="TextBody"/>
        <w:spacing w:before="0" w:after="0"/>
        <w:ind w:left="0" w:right="0" w:hanging="0"/>
        <w:rPr/>
      </w:pPr>
      <w:r>
        <w:rPr/>
        <w:t> </w:t>
      </w:r>
    </w:p>
    <w:p>
      <w:pPr>
        <w:pStyle w:val="TextBody"/>
        <w:spacing w:before="0" w:after="0"/>
        <w:ind w:left="0" w:right="0" w:hanging="0"/>
        <w:rPr>
          <w:rFonts w:ascii="helvetica" w:hAnsi="helvetica"/>
          <w:b/>
          <w:sz w:val="20"/>
        </w:rPr>
      </w:pPr>
      <w:r>
        <w:rPr>
          <w:rFonts w:ascii="helvetica" w:hAnsi="helvetica"/>
          <w:b/>
          <w:sz w:val="20"/>
        </w:rPr>
        <w:t>Use of Estimates</w:t>
      </w:r>
    </w:p>
    <w:p>
      <w:pPr>
        <w:pStyle w:val="TextBody"/>
        <w:spacing w:before="0" w:after="0"/>
        <w:ind w:left="0" w:right="0" w:hanging="0"/>
        <w:rPr/>
      </w:pPr>
      <w:r>
        <w:rPr/>
        <w:t> </w:t>
      </w:r>
    </w:p>
    <w:p>
      <w:pPr>
        <w:pStyle w:val="TextBody"/>
        <w:spacing w:before="0" w:after="0"/>
        <w:ind w:left="0" w:right="0" w:hanging="0"/>
        <w:jc w:val="both"/>
        <w:rPr>
          <w:rFonts w:ascii="helvetica" w:hAnsi="helvetica"/>
          <w:sz w:val="20"/>
        </w:rPr>
      </w:pPr>
      <w:r>
        <w:rPr>
          <w:rFonts w:ascii="helvetica" w:hAnsi="helvetica"/>
          <w:sz w:val="20"/>
        </w:rPr>
        <w:t>The preparation of financial statements in conformity with GAAP requires management to make estimates and judgments that affect the reported amounts of assets, liabilities and disclosure of contingent assets and liabilities at the date of the financial statements and reported amounts of revenues and expenses during the reporting periods. Significant estimates made by management are, among others, the valuation of contributed services, stock options, deferred taxes and stock-based compensation issued to employees and non-employees. Actual results could differ from those estimates.</w:t>
      </w:r>
    </w:p>
    <w:p>
      <w:pPr>
        <w:pStyle w:val="TextBody"/>
        <w:spacing w:before="0" w:after="0"/>
        <w:ind w:left="0" w:right="0" w:hanging="0"/>
        <w:jc w:val="both"/>
        <w:rPr/>
      </w:pPr>
      <w:r>
        <w:rPr/>
        <w:t> </w:t>
      </w:r>
    </w:p>
    <w:p>
      <w:pPr>
        <w:pStyle w:val="TextBody"/>
        <w:spacing w:before="0" w:after="0"/>
        <w:ind w:left="0" w:right="0" w:hanging="0"/>
        <w:jc w:val="both"/>
        <w:rPr>
          <w:rFonts w:ascii="helvetica" w:hAnsi="helvetica"/>
          <w:b/>
          <w:sz w:val="20"/>
        </w:rPr>
      </w:pPr>
      <w:r>
        <w:rPr>
          <w:rFonts w:ascii="helvetica" w:hAnsi="helvetica"/>
          <w:b/>
          <w:sz w:val="20"/>
        </w:rPr>
        <w:t>Recent Accounting Pronouncements</w:t>
      </w:r>
    </w:p>
    <w:p>
      <w:pPr>
        <w:pStyle w:val="TextBody"/>
        <w:spacing w:before="0" w:after="0"/>
        <w:ind w:left="0" w:right="0" w:hanging="0"/>
        <w:jc w:val="both"/>
        <w:rPr/>
      </w:pPr>
      <w:r>
        <w:rPr/>
        <w:t> </w:t>
      </w:r>
    </w:p>
    <w:p>
      <w:pPr>
        <w:pStyle w:val="TextBody"/>
        <w:spacing w:before="0" w:after="0"/>
        <w:ind w:left="0" w:right="0" w:hanging="0"/>
        <w:jc w:val="both"/>
        <w:rPr>
          <w:rFonts w:ascii="helvetica" w:hAnsi="helvetica"/>
          <w:sz w:val="20"/>
        </w:rPr>
      </w:pPr>
      <w:r>
        <w:rPr>
          <w:rFonts w:ascii="helvetica" w:hAnsi="helvetica"/>
          <w:sz w:val="20"/>
        </w:rPr>
        <w:t xml:space="preserve">In May 2011, the FASB issued ASU 2011-04, </w:t>
      </w:r>
      <w:r>
        <w:rPr>
          <w:rFonts w:ascii="helvetica" w:hAnsi="helvetica"/>
          <w:i/>
          <w:sz w:val="20"/>
        </w:rPr>
        <w:t>Fair Value Measurement (Topic 820): Amendments to Achieve Common  Fair Value Measurement and Disclosure Requirements</w:t>
      </w:r>
      <w:r>
        <w:rPr>
          <w:rFonts w:ascii="helvetica" w:hAnsi="helvetica"/>
          <w:sz w:val="20"/>
        </w:rPr>
        <w:t xml:space="preserve"> in U.S. GAAP and  IFRSs.  The update contains the results of the work of the FASB and the International Accounting Standards Board to develop common requirements for measuring fair value and for disclosing fair value measurements in accordance with U.S. GAAP and IFRSs. The amendments in this update are effective for periods beginning after December 15, 2011 and as a result are not yet applicable to the Company. The Company is evaluating the impact of the update on its consolidated financial statements.</w:t>
      </w:r>
    </w:p>
    <w:p>
      <w:pPr>
        <w:pStyle w:val="TextBody"/>
        <w:spacing w:before="0" w:after="0"/>
        <w:ind w:left="0" w:right="0" w:hanging="0"/>
        <w:jc w:val="both"/>
        <w:rPr/>
      </w:pPr>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r>
      <w:bookmarkStart w:id="1157" w:name="PGBRK100"/>
      <w:bookmarkStart w:id="1158" w:name="PGBRK100"/>
      <w:bookmarkEnd w:id="115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159" w:name="FTR100"/>
      <w:bookmarkStart w:id="1160" w:name="FTR100"/>
      <w:bookmarkEnd w:id="116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1161" w:name="GLFTR99"/>
      <w:bookmarkEnd w:id="1161"/>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helvetica" w:hAnsi="helvetica"/>
          <w:sz w:val="20"/>
        </w:rPr>
      </w:pPr>
      <w:bookmarkStart w:id="1162" w:name="PN99"/>
      <w:bookmarkEnd w:id="1162"/>
      <w:r>
        <w:rPr>
          <w:rFonts w:ascii="helvetica" w:hAnsi="helvetica"/>
          <w:sz w:val="20"/>
        </w:rPr>
        <w:t>F-29</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163" w:name="HDR99"/>
      <w:bookmarkStart w:id="1164" w:name="HDR99"/>
      <w:bookmarkEnd w:id="116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1165" w:name="GLHDR99"/>
      <w:bookmarkEnd w:id="1165"/>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pPr>
      <w:r>
        <w:rPr/>
        <w:t> </w:t>
      </w:r>
    </w:p>
    <w:p>
      <w:pPr>
        <w:pStyle w:val="TextBody"/>
        <w:spacing w:before="0" w:after="0"/>
        <w:ind w:left="0" w:right="0" w:hanging="0"/>
        <w:jc w:val="both"/>
        <w:rPr>
          <w:rFonts w:ascii="helvetica" w:hAnsi="helvetica"/>
          <w:b/>
          <w:sz w:val="20"/>
        </w:rPr>
      </w:pPr>
      <w:r>
        <w:rPr>
          <w:rFonts w:ascii="helvetica" w:hAnsi="helvetica"/>
          <w:b/>
          <w:sz w:val="20"/>
        </w:rPr>
        <w:t>Reverse Stock Split</w:t>
      </w:r>
    </w:p>
    <w:p>
      <w:pPr>
        <w:pStyle w:val="TextBody"/>
        <w:spacing w:before="0" w:after="0"/>
        <w:ind w:left="0" w:right="0" w:hanging="0"/>
        <w:jc w:val="both"/>
        <w:rPr/>
      </w:pPr>
      <w:r>
        <w:rPr/>
        <w:t> </w:t>
      </w:r>
    </w:p>
    <w:p>
      <w:pPr>
        <w:pStyle w:val="TextBody"/>
        <w:spacing w:before="0" w:after="0"/>
        <w:ind w:left="0" w:right="0" w:hanging="0"/>
        <w:jc w:val="both"/>
        <w:rPr>
          <w:rFonts w:ascii="helvetica" w:hAnsi="helvetica"/>
          <w:sz w:val="20"/>
        </w:rPr>
      </w:pPr>
      <w:r>
        <w:rPr>
          <w:rFonts w:ascii="helvetica" w:hAnsi="helvetica"/>
          <w:sz w:val="20"/>
        </w:rPr>
        <w:t>On February 28, 2012, the Company effected a one-for-8 reverse stock split of its common stock. The reverse stock split did not affect the Company’s Series A convertible preferred stock. The accompanying consolidated financial statements and footnotes have been retroactively adjusted to reflect the effects of the reverse stock split. The reverse stock split did not affect the amount of the Company’s equity or its market capitalization.</w:t>
      </w:r>
    </w:p>
    <w:p>
      <w:pPr>
        <w:pStyle w:val="TextBody"/>
        <w:spacing w:before="0" w:after="0"/>
        <w:ind w:left="0" w:right="0" w:hanging="0"/>
        <w:rPr/>
      </w:pPr>
      <w:r>
        <w:rPr/>
        <w:t> </w:t>
      </w:r>
    </w:p>
    <w:p>
      <w:pPr>
        <w:pStyle w:val="TextBody"/>
        <w:spacing w:before="0" w:after="0"/>
        <w:ind w:left="0" w:right="0" w:hanging="0"/>
        <w:jc w:val="both"/>
        <w:rPr>
          <w:rFonts w:ascii="helvetica" w:hAnsi="helvetica"/>
          <w:b/>
          <w:sz w:val="20"/>
        </w:rPr>
      </w:pPr>
      <w:r>
        <w:rPr>
          <w:rFonts w:ascii="helvetica" w:hAnsi="helvetica"/>
          <w:b/>
          <w:sz w:val="20"/>
        </w:rPr>
        <w:t>NOTE 4.   BANKRUPTCY PETITION AND ASSET PURCHASE AGREEMENT</w:t>
      </w:r>
    </w:p>
    <w:p>
      <w:pPr>
        <w:pStyle w:val="TextBody"/>
        <w:spacing w:before="0" w:after="0"/>
        <w:ind w:left="0" w:right="0" w:hanging="0"/>
        <w:rPr/>
      </w:pPr>
      <w:r>
        <w:rPr/>
        <w:t> </w:t>
      </w:r>
    </w:p>
    <w:p>
      <w:pPr>
        <w:pStyle w:val="TextBody"/>
        <w:spacing w:before="0" w:after="0"/>
        <w:ind w:left="0" w:right="0" w:hanging="0"/>
        <w:jc w:val="both"/>
        <w:rPr>
          <w:rFonts w:ascii="helvetica" w:hAnsi="helvetica"/>
          <w:sz w:val="20"/>
        </w:rPr>
      </w:pPr>
      <w:r>
        <w:rPr>
          <w:rFonts w:ascii="helvetica" w:hAnsi="helvetica"/>
          <w:sz w:val="20"/>
        </w:rPr>
        <w:t>On June 26, 2011 we filed a voluntary petition for reorganization relief under Chapter 11 of the United States Bankruptcy Code in the United States Bankruptcy Court for the Southern District of California (the “Bankruptcy Court”), Case No. 11-10497-11 (the “Chapter 11 Case”).  In connection with the Chapter 11 Case, we, as seller, and Cardium Healthcare, Inc., a wholly-owned subsidiary of Cardium Therapeutics, Inc., as purchaser (“Cardium”), entered into an Asset Purchase Agreement dated June 26, 2011 (the “Asset Purchase Agreement”) pursuant to which we agreed to sell substantially all of our assets  pursuant to Sections 105, 363 and 365 of the Bankruptcy Code, subject to court approval and the satisfaction of certain conditions set forth in the Asset Purchase Agreement.</w:t>
      </w:r>
    </w:p>
    <w:p>
      <w:pPr>
        <w:pStyle w:val="TextBody"/>
        <w:spacing w:before="0" w:after="0"/>
        <w:ind w:left="0" w:right="0" w:hanging="0"/>
        <w:jc w:val="both"/>
        <w:rPr/>
      </w:pPr>
      <w:r>
        <w:rPr/>
        <w:t> </w:t>
      </w:r>
    </w:p>
    <w:p>
      <w:pPr>
        <w:pStyle w:val="TextBody"/>
        <w:spacing w:before="0" w:after="0"/>
        <w:ind w:left="0" w:right="0" w:hanging="0"/>
        <w:jc w:val="both"/>
        <w:rPr>
          <w:rFonts w:ascii="helvetica" w:hAnsi="helvetica"/>
          <w:sz w:val="20"/>
        </w:rPr>
      </w:pPr>
      <w:r>
        <w:rPr>
          <w:rFonts w:ascii="helvetica" w:hAnsi="helvetica"/>
          <w:sz w:val="20"/>
        </w:rPr>
        <w:t>Consummation of the sale to Cardium was subject to a number of conditions, including, among others, the approval by the Bankruptcy Court of the transactions contemplated by the Asset Purchase Agreement and compliance with certain specified deadlines for actions in connection with the Bankruptcy Case. The Asset Purchase Agreement was terminable by the parties under a number of circumstances, including failure to obtain certain Bankruptcy Court orders by agreed dates.</w:t>
      </w:r>
    </w:p>
    <w:p>
      <w:pPr>
        <w:pStyle w:val="TextBody"/>
        <w:spacing w:before="0" w:after="0"/>
        <w:ind w:left="0" w:right="0" w:hanging="0"/>
        <w:jc w:val="both"/>
        <w:rPr/>
      </w:pPr>
      <w:r>
        <w:rPr/>
        <w:t> </w:t>
      </w:r>
    </w:p>
    <w:p>
      <w:pPr>
        <w:pStyle w:val="TextBody"/>
        <w:spacing w:before="0" w:after="0"/>
        <w:ind w:left="0" w:right="0" w:hanging="0"/>
        <w:jc w:val="both"/>
        <w:rPr>
          <w:rFonts w:ascii="helvetica" w:hAnsi="helvetica"/>
          <w:sz w:val="20"/>
        </w:rPr>
      </w:pPr>
      <w:r>
        <w:rPr>
          <w:rFonts w:ascii="helvetica" w:hAnsi="helvetica"/>
          <w:sz w:val="20"/>
        </w:rPr>
        <w:t>On July 26, 2011, the Bankruptcy Court denied our motion to sell our assets pursuant to the Asset Purchase Agreement. On October 7, 2011, we terminated the Asset Purchase Agreement pursuant to its terms.   On November 21, 2011, in connection with the transactions described below, we requested that the Bankruptcy Court dismiss the Chapter 11 Case and retain jurisdiction to decide matters related to claims brought in the Bankruptcy Case by Cardium.  On December 8, 2011, the Bankruptcy Court entered an order dismissing the Chapter 11 Case.  In connection with the dismissal of the Chapter 11 Case, the Bankruptcy Court, among other things, declined to retain jurisdiction over claim objection proceedings and found moot our objection to certain claims to receive a break-up fee pursuant to the Asset Purchase Agreement of Cardium Therapeutics, Inc. and Cardium Healthcare, Inc., a wholly owned subsidiary of Cardium.  The dismissal of the Chapter 11 Case was based upon the provisions of both 11 U.S.C. Sections 305(a) and 1112(b).</w:t>
      </w:r>
    </w:p>
    <w:p>
      <w:pPr>
        <w:pStyle w:val="TextBody"/>
        <w:spacing w:before="0" w:after="0"/>
        <w:ind w:left="0" w:right="0" w:hanging="0"/>
        <w:jc w:val="both"/>
        <w:rPr/>
      </w:pPr>
      <w:r>
        <w:rPr/>
        <w:t> </w:t>
      </w:r>
    </w:p>
    <w:p>
      <w:pPr>
        <w:pStyle w:val="TextBody"/>
        <w:spacing w:before="0" w:after="0"/>
        <w:ind w:left="0" w:right="0" w:hanging="0"/>
        <w:jc w:val="both"/>
        <w:rPr>
          <w:rFonts w:ascii="helvetica" w:hAnsi="helvetica"/>
          <w:b/>
          <w:sz w:val="20"/>
        </w:rPr>
      </w:pPr>
      <w:r>
        <w:rPr>
          <w:rFonts w:ascii="helvetica" w:hAnsi="helvetica"/>
          <w:b/>
          <w:sz w:val="20"/>
        </w:rPr>
        <w:t>NOTE 5.   NOTES PAYABLE</w:t>
      </w:r>
    </w:p>
    <w:p>
      <w:pPr>
        <w:pStyle w:val="TextBody"/>
        <w:spacing w:before="0" w:after="0"/>
        <w:ind w:left="0" w:right="0" w:hanging="0"/>
        <w:jc w:val="both"/>
        <w:rPr/>
      </w:pPr>
      <w:r>
        <w:rPr/>
        <w:t> </w:t>
      </w:r>
    </w:p>
    <w:p>
      <w:pPr>
        <w:pStyle w:val="TextBody"/>
        <w:spacing w:before="0" w:after="0"/>
        <w:ind w:left="0" w:right="0" w:hanging="0"/>
        <w:jc w:val="both"/>
        <w:rPr>
          <w:rFonts w:ascii="helvetica" w:hAnsi="helvetica"/>
          <w:b/>
          <w:sz w:val="20"/>
        </w:rPr>
      </w:pPr>
      <w:r>
        <w:rPr>
          <w:rFonts w:ascii="helvetica" w:hAnsi="helvetica"/>
          <w:b/>
          <w:sz w:val="20"/>
        </w:rPr>
        <w:t>Convertible Notes – August 2005</w:t>
      </w:r>
    </w:p>
    <w:p>
      <w:pPr>
        <w:pStyle w:val="TextBody"/>
        <w:spacing w:before="0" w:after="0"/>
        <w:ind w:left="0" w:right="0" w:hanging="0"/>
        <w:jc w:val="both"/>
        <w:rPr/>
      </w:pPr>
      <w:r>
        <w:rPr/>
        <w:t> </w:t>
      </w:r>
    </w:p>
    <w:p>
      <w:pPr>
        <w:pStyle w:val="TextBody"/>
        <w:spacing w:before="0" w:after="0"/>
        <w:ind w:left="0" w:right="0" w:hanging="0"/>
        <w:jc w:val="both"/>
        <w:rPr>
          <w:rFonts w:ascii="helvetica" w:hAnsi="helvetica"/>
          <w:sz w:val="20"/>
        </w:rPr>
      </w:pPr>
      <w:r>
        <w:rPr>
          <w:rFonts w:ascii="helvetica" w:hAnsi="helvetica"/>
          <w:sz w:val="20"/>
        </w:rPr>
        <w:t>In August 2005, the Company issued seven convertible promissory notes in the aggregate amount of $226,300 to various stockholders (collectively, the “Stockholders’ Notes”). The Stockholders’ Notes bore interest at 4% per annum and were to mature on August 25, 2010. In connection with the issuance of the Stockholders’ Notes, the Company granted warrants that were exercisable into an aggregate of 4,443 shares of the Company’s common stock. The warrants were determined to have an insignificant fair value at the time of the grant.</w:t>
      </w:r>
    </w:p>
    <w:p>
      <w:pPr>
        <w:pStyle w:val="TextBody"/>
        <w:spacing w:before="0" w:after="0"/>
        <w:ind w:left="0" w:right="0" w:hanging="0"/>
        <w:jc w:val="both"/>
        <w:rPr/>
      </w:pPr>
      <w:r>
        <w:rPr/>
        <w:t> </w:t>
      </w:r>
    </w:p>
    <w:p>
      <w:pPr>
        <w:pStyle w:val="TextBody"/>
        <w:spacing w:before="0" w:after="0"/>
        <w:ind w:left="0" w:right="0" w:hanging="0"/>
        <w:jc w:val="both"/>
        <w:rPr>
          <w:rFonts w:ascii="helvetica" w:hAnsi="helvetica"/>
          <w:sz w:val="20"/>
        </w:rPr>
      </w:pPr>
      <w:r>
        <w:rPr>
          <w:rFonts w:ascii="helvetica" w:hAnsi="helvetica"/>
          <w:sz w:val="20"/>
        </w:rPr>
        <w:t>In May 2007, the holders of the Stockholders’ Notes and related warrants forgave the amounts due and forfeited the related warrants. In connection with the forgiveness, the Company recorded additional paid-in capital of $241,701 equal to the value of the Stockholders’ Notes and related accrued interest. Interest expense on the Stockholders’ Notes was $15,401 for the period from Inception through December 31, 2007.</w:t>
      </w:r>
    </w:p>
    <w:p>
      <w:pPr>
        <w:pStyle w:val="TextBody"/>
        <w:spacing w:before="0" w:after="0"/>
        <w:ind w:left="0" w:right="0" w:hanging="0"/>
        <w:jc w:val="both"/>
        <w:rPr/>
      </w:pPr>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r>
      <w:bookmarkStart w:id="1166" w:name="PGBRK101"/>
      <w:bookmarkStart w:id="1167" w:name="PGBRK101"/>
      <w:bookmarkEnd w:id="116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168" w:name="FTR101"/>
      <w:bookmarkStart w:id="1169" w:name="FTR101"/>
      <w:bookmarkEnd w:id="116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1170" w:name="GLFTR100"/>
      <w:bookmarkEnd w:id="1170"/>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helvetica" w:hAnsi="helvetica"/>
          <w:sz w:val="20"/>
        </w:rPr>
      </w:pPr>
      <w:bookmarkStart w:id="1171" w:name="PN100"/>
      <w:bookmarkEnd w:id="1171"/>
      <w:r>
        <w:rPr>
          <w:rFonts w:ascii="helvetica" w:hAnsi="helvetica"/>
          <w:sz w:val="20"/>
        </w:rPr>
        <w:t>F-30</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172" w:name="HDR100"/>
      <w:bookmarkStart w:id="1173" w:name="HDR100"/>
      <w:bookmarkEnd w:id="117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1174" w:name="GLHDR100"/>
      <w:bookmarkEnd w:id="1174"/>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t> </w:t>
      </w:r>
    </w:p>
    <w:p>
      <w:pPr>
        <w:pStyle w:val="TextBody"/>
        <w:spacing w:before="0" w:after="0"/>
        <w:ind w:left="0" w:right="0" w:hanging="0"/>
        <w:jc w:val="both"/>
        <w:rPr>
          <w:rFonts w:ascii="helvetica" w:hAnsi="helvetica"/>
          <w:b/>
          <w:sz w:val="20"/>
        </w:rPr>
      </w:pPr>
      <w:r>
        <w:rPr>
          <w:rFonts w:ascii="helvetica" w:hAnsi="helvetica"/>
          <w:b/>
          <w:sz w:val="20"/>
        </w:rPr>
        <w:t>Convertible Notes – May and June 2007</w:t>
      </w:r>
    </w:p>
    <w:p>
      <w:pPr>
        <w:pStyle w:val="TextBody"/>
        <w:spacing w:before="0" w:after="0"/>
        <w:ind w:left="0" w:right="0" w:hanging="0"/>
        <w:rPr/>
      </w:pPr>
      <w:r>
        <w:rPr/>
        <w:t> </w:t>
      </w:r>
    </w:p>
    <w:p>
      <w:pPr>
        <w:pStyle w:val="TextBody"/>
        <w:spacing w:before="0" w:after="0"/>
        <w:ind w:left="0" w:right="0" w:hanging="0"/>
        <w:jc w:val="both"/>
        <w:rPr>
          <w:rFonts w:ascii="Helvetica" w:hAnsi="Helvetica"/>
          <w:sz w:val="20"/>
        </w:rPr>
      </w:pPr>
      <w:r>
        <w:rPr>
          <w:rFonts w:ascii="Helvetica" w:hAnsi="Helvetica"/>
          <w:sz w:val="20"/>
        </w:rPr>
        <w:t>In May and June 2007, the Company issued convertible notes payable to various lenders for an aggregate amount of $1,500,000 (collectively, the “2007 Notes”).</w:t>
      </w:r>
      <w:bookmarkStart w:id="1175" w:name="eolPage36"/>
      <w:bookmarkEnd w:id="1175"/>
      <w:r>
        <w:rPr>
          <w:rFonts w:ascii="Helvetica" w:hAnsi="Helvetica"/>
          <w:sz w:val="20"/>
        </w:rPr>
        <w:t>  Each of the 2007 Notes included interest at 7% per annum and was to mature on December 16, 2007 (“Maturity Date”). However, as a result of the Merger and Private Placement (see Note 6), the entire outstanding principal amount and accrued interest was converted into the Company’s common stock at a conversion price equal to $8.00 per share, which resulted in the issuance of 191,272 shares.  Also, the Company recorded a debt discount of $1,530,177, which was amortized immediately to interest expense upon the conversion of the 2007 Notes.  Excluding the debt discount, interest expense on the 2007 Notes was $30,177 for the period from Inception through December 31, 2008.</w:t>
      </w:r>
    </w:p>
    <w:p>
      <w:pPr>
        <w:pStyle w:val="TextBody"/>
        <w:spacing w:before="0" w:after="0"/>
        <w:ind w:left="0" w:right="0" w:hanging="0"/>
        <w:jc w:val="both"/>
        <w:rPr/>
      </w:pPr>
      <w:r>
        <w:rPr/>
        <w:t> </w:t>
      </w:r>
    </w:p>
    <w:p>
      <w:pPr>
        <w:pStyle w:val="TextBody"/>
        <w:spacing w:before="0" w:after="0"/>
        <w:ind w:left="0" w:right="0" w:hanging="0"/>
        <w:jc w:val="both"/>
        <w:rPr>
          <w:rFonts w:ascii="helvetica" w:hAnsi="helvetica"/>
          <w:b/>
          <w:sz w:val="20"/>
        </w:rPr>
      </w:pPr>
      <w:r>
        <w:rPr>
          <w:rFonts w:ascii="helvetica" w:hAnsi="helvetica"/>
          <w:b/>
          <w:sz w:val="20"/>
        </w:rPr>
        <w:t>Convertible Note – April 2010</w:t>
      </w:r>
    </w:p>
    <w:p>
      <w:pPr>
        <w:pStyle w:val="TextBody"/>
        <w:spacing w:before="0" w:after="0"/>
        <w:ind w:left="0" w:right="0" w:hanging="0"/>
        <w:jc w:val="both"/>
        <w:rPr/>
      </w:pPr>
      <w:r>
        <w:rPr/>
        <w:t> </w:t>
      </w:r>
    </w:p>
    <w:p>
      <w:pPr>
        <w:pStyle w:val="TextBody"/>
        <w:spacing w:before="0" w:after="0"/>
        <w:ind w:left="0" w:right="0" w:hanging="0"/>
        <w:jc w:val="both"/>
        <w:rPr>
          <w:rFonts w:ascii="helvetica" w:hAnsi="helvetica"/>
          <w:sz w:val="20"/>
        </w:rPr>
      </w:pPr>
      <w:r>
        <w:rPr>
          <w:rFonts w:ascii="helvetica" w:hAnsi="helvetica"/>
          <w:sz w:val="20"/>
        </w:rPr>
        <w:t>On April 5, 2010, the Company issued a Senior Convertible Promissory Note (the “Note”) to an existing investor through a private placement. The Note includes an annual interest rate of 7.5 percent and (unless converted or prepaid, as noted below) all principal and interest are due and payable on its maturity date April 5, 2012 (“Maturity Date”). At any time prior to the Maturity Date, the investor may convert all or a portion of the outstanding principal and accrued interest at a conversion ratio of one share of Imprimis’ common stock for each $1 (the fair market value of the Company’s common stock on April 5, 2010) owed. Also, at any time prior to the Maturity Date, the Company has the option to prepay the outstanding principal and accrued interest. The Company received gross proceeds from the issuance of the Note in the aggregate amount of $1,000,000. There were no discounts or commissions paid in connection with this private placement. Accrued interest on the Note was $130,479 and $55,479 at December 31, 2011 and 2010, respectively, and interest expense on the Note was $75,000 and $55,479 for the years ended December 31, 2011 and 2010, respectively.  Following the Company’s bankruptcy petition filed on June 26, 2011, and the change in ownership control following the issuance of preferred stock, the entire unpaid principal sum of this Note, together with its accrued and unpaid interest became immediately due and payable.  Subsequent to the year ended December 31, 2011, the Company, the noteholder and its assignee entered into a waiver and settlement agreement described in Note 14.</w:t>
      </w:r>
    </w:p>
    <w:p>
      <w:pPr>
        <w:pStyle w:val="TextBody"/>
        <w:spacing w:before="0" w:after="0"/>
        <w:ind w:left="0" w:right="0" w:hanging="0"/>
        <w:jc w:val="both"/>
        <w:rPr/>
      </w:pPr>
      <w:r>
        <w:rPr/>
        <w:t> </w:t>
      </w:r>
    </w:p>
    <w:p>
      <w:pPr>
        <w:pStyle w:val="TextBody"/>
        <w:spacing w:before="0" w:after="0"/>
        <w:ind w:left="0" w:right="0" w:hanging="0"/>
        <w:jc w:val="both"/>
        <w:rPr>
          <w:rFonts w:ascii="helvetica" w:hAnsi="helvetica"/>
          <w:b/>
          <w:sz w:val="20"/>
        </w:rPr>
      </w:pPr>
      <w:r>
        <w:rPr>
          <w:rFonts w:ascii="helvetica" w:hAnsi="helvetica"/>
          <w:b/>
          <w:sz w:val="20"/>
        </w:rPr>
        <w:t>Secured Line of Credit – Related Party</w:t>
      </w:r>
    </w:p>
    <w:p>
      <w:pPr>
        <w:pStyle w:val="TextBody"/>
        <w:spacing w:before="0" w:after="0"/>
        <w:ind w:left="0" w:right="0" w:hanging="0"/>
        <w:jc w:val="both"/>
        <w:rPr/>
      </w:pPr>
      <w:r>
        <w:rPr/>
        <w:t> </w:t>
      </w:r>
    </w:p>
    <w:p>
      <w:pPr>
        <w:pStyle w:val="TextBody"/>
        <w:spacing w:before="0" w:after="0"/>
        <w:ind w:left="0" w:right="0" w:hanging="0"/>
        <w:jc w:val="both"/>
        <w:rPr>
          <w:rFonts w:ascii="helvetica" w:hAnsi="helvetica"/>
          <w:sz w:val="20"/>
        </w:rPr>
      </w:pPr>
      <w:r>
        <w:rPr>
          <w:rFonts w:ascii="helvetica" w:hAnsi="helvetica"/>
          <w:sz w:val="20"/>
        </w:rPr>
        <w:t>On November 21, 2011, the Company entered into a Secured Line of Credit Letter Agreement (the “Line of Credit Agreement”) with DermaStar International, LLC (“DermaStar”).   The Line of Credit Agreement became effective on December 9, 2011, in connection with the dismissal of the Chapter 11 Case by the Bankruptcy Court.  On December 9, 2011, as required by the Line of Credit Agreement, the Company entered into a Security Agreement and an Intellectual Property Security Agreement with DermaStar, pursuant to which the Company granted to DermaStar a blanket security interest in all of its assets, including its intellectual property.  The Line of Credit Agreement provides for advances to the Company of up to an aggregate of $750,000 (each an “Advance” and collectively the “Loan”), subject to the satisfaction by the Company of certain conditions in connection with the initial Advance and each subsequent Advance.  Each Advance will be made pursuant to a Promissory Note in favor of DermaStar.  The Company has received advances totaling $300,000 at December 31, 2011.  The Promissory Notes accrue interest at 10% annually and mature one year after the effective dates of the respective advance.</w:t>
      </w:r>
    </w:p>
    <w:p>
      <w:pPr>
        <w:pStyle w:val="TextBody"/>
        <w:spacing w:before="0" w:after="0"/>
        <w:ind w:left="0" w:right="0" w:hanging="0"/>
        <w:jc w:val="both"/>
        <w:rPr/>
      </w:pPr>
      <w:r>
        <w:rPr/>
        <w:t> </w:t>
      </w:r>
    </w:p>
    <w:p>
      <w:pPr>
        <w:pStyle w:val="TextBody"/>
        <w:spacing w:before="0" w:after="0"/>
        <w:ind w:left="0" w:right="0" w:hanging="0"/>
        <w:jc w:val="both"/>
        <w:rPr>
          <w:rFonts w:ascii="helvetica" w:hAnsi="helvetica"/>
          <w:sz w:val="20"/>
        </w:rPr>
      </w:pPr>
      <w:r>
        <w:rPr>
          <w:rFonts w:ascii="helvetica" w:hAnsi="helvetica"/>
          <w:sz w:val="20"/>
        </w:rPr>
        <w:t>DermaStar, and its members individually, are control persons of the Company, as they have the ability to direct or cause direction of management and policies of the Company through their ownership.  Also Dr. Robert J. Kammer, a director of the Company, and Mark L. Baum, Esq., Executive Chairman of the Company, are managing members and partial owners of DermaStar.</w:t>
      </w:r>
    </w:p>
    <w:p>
      <w:pPr>
        <w:pStyle w:val="TextBody"/>
        <w:spacing w:before="0" w:after="0"/>
        <w:ind w:left="0" w:right="0" w:hanging="0"/>
        <w:jc w:val="both"/>
        <w:rPr/>
      </w:pPr>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r>
      <w:bookmarkStart w:id="1176" w:name="PGBRK102"/>
      <w:bookmarkStart w:id="1177" w:name="PGBRK102"/>
      <w:bookmarkEnd w:id="117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178" w:name="FTR102"/>
      <w:bookmarkStart w:id="1179" w:name="FTR102"/>
      <w:bookmarkEnd w:id="117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1180" w:name="GLFTR101"/>
      <w:bookmarkEnd w:id="1180"/>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helvetica" w:hAnsi="helvetica"/>
          <w:sz w:val="20"/>
        </w:rPr>
      </w:pPr>
      <w:bookmarkStart w:id="1181" w:name="PN101"/>
      <w:bookmarkEnd w:id="1181"/>
      <w:r>
        <w:rPr>
          <w:rFonts w:ascii="helvetica" w:hAnsi="helvetica"/>
          <w:sz w:val="20"/>
        </w:rPr>
        <w:t>F-31</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182" w:name="HDR101"/>
      <w:bookmarkStart w:id="1183" w:name="HDR101"/>
      <w:bookmarkEnd w:id="118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1184" w:name="GLHDR101"/>
      <w:bookmarkEnd w:id="1184"/>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t> </w:t>
      </w:r>
    </w:p>
    <w:p>
      <w:pPr>
        <w:pStyle w:val="TextBody"/>
        <w:spacing w:before="0" w:after="0"/>
        <w:ind w:left="0" w:right="0" w:hanging="0"/>
        <w:jc w:val="both"/>
        <w:rPr>
          <w:rFonts w:ascii="helvetica" w:hAnsi="helvetica"/>
          <w:sz w:val="20"/>
        </w:rPr>
      </w:pPr>
      <w:r>
        <w:rPr>
          <w:rFonts w:ascii="helvetica" w:hAnsi="helvetica"/>
          <w:sz w:val="20"/>
        </w:rPr>
        <w:t>Notes Payable consists of the following</w:t>
      </w:r>
    </w:p>
    <w:p>
      <w:pPr>
        <w:pStyle w:val="TextBody"/>
        <w:spacing w:before="0" w:after="0"/>
        <w:ind w:left="0" w:right="0" w:hanging="0"/>
        <w:rPr/>
      </w:pPr>
      <w:r>
        <w:rPr/>
        <w:t> </w:t>
      </w:r>
    </w:p>
    <w:tbl>
      <w:tblPr>
        <w:tblW w:w="4250" w:type="pct"/>
        <w:jc w:val="left"/>
        <w:tblInd w:w="0" w:type="dxa"/>
        <w:tblCellMar>
          <w:top w:w="0" w:type="dxa"/>
          <w:left w:w="0" w:type="dxa"/>
          <w:bottom w:w="0" w:type="dxa"/>
          <w:right w:w="0" w:type="dxa"/>
        </w:tblCellMar>
      </w:tblPr>
      <w:tblGrid>
        <w:gridCol w:w="5942"/>
        <w:gridCol w:w="97"/>
        <w:gridCol w:w="125"/>
        <w:gridCol w:w="1049"/>
        <w:gridCol w:w="106"/>
        <w:gridCol w:w="97"/>
        <w:gridCol w:w="125"/>
        <w:gridCol w:w="1023"/>
        <w:gridCol w:w="110"/>
      </w:tblGrid>
      <w:tr>
        <w:trPr/>
        <w:tc>
          <w:tcPr>
            <w:tcW w:w="5942" w:type="dxa"/>
            <w:tcBorders/>
            <w:shd w:fill="auto" w:val="clear"/>
            <w:vAlign w:val="bottom"/>
          </w:tcPr>
          <w:p>
            <w:pPr>
              <w:pStyle w:val="TableContents"/>
              <w:spacing w:before="0" w:after="283"/>
              <w:rPr/>
            </w:pPr>
            <w:r>
              <w:rPr/>
              <w:t xml:space="preserve">  </w:t>
            </w:r>
          </w:p>
        </w:tc>
        <w:tc>
          <w:tcPr>
            <w:tcW w:w="97" w:type="dxa"/>
            <w:tcBorders/>
            <w:shd w:fill="auto" w:val="clear"/>
            <w:vAlign w:val="bottom"/>
          </w:tcPr>
          <w:p>
            <w:pPr>
              <w:pStyle w:val="TableContents"/>
              <w:spacing w:before="0" w:after="283"/>
              <w:jc w:val="center"/>
              <w:rPr/>
            </w:pPr>
            <w:r>
              <w:rPr/>
              <w:t> </w:t>
            </w:r>
          </w:p>
        </w:tc>
        <w:tc>
          <w:tcPr>
            <w:tcW w:w="1174" w:type="dxa"/>
            <w:gridSpan w:val="2"/>
            <w:tcBorders/>
            <w:shd w:fill="auto" w:val="clear"/>
            <w:vAlign w:val="bottom"/>
          </w:tcPr>
          <w:p>
            <w:pPr>
              <w:pStyle w:val="TableContents"/>
              <w:spacing w:before="0" w:after="0"/>
              <w:ind w:left="0" w:right="0" w:hanging="0"/>
              <w:jc w:val="center"/>
              <w:rPr>
                <w:rFonts w:ascii="helvetica" w:hAnsi="helvetica"/>
                <w:b/>
                <w:sz w:val="16"/>
              </w:rPr>
            </w:pPr>
            <w:r>
              <w:rPr>
                <w:rFonts w:ascii="helvetica" w:hAnsi="helvetica"/>
                <w:b/>
                <w:sz w:val="16"/>
              </w:rPr>
              <w:t>December 31,</w:t>
            </w:r>
          </w:p>
        </w:tc>
        <w:tc>
          <w:tcPr>
            <w:tcW w:w="106" w:type="dxa"/>
            <w:tcBorders/>
            <w:shd w:fill="auto" w:val="clear"/>
            <w:vAlign w:val="bottom"/>
          </w:tcPr>
          <w:p>
            <w:pPr>
              <w:pStyle w:val="TableContents"/>
              <w:spacing w:before="0" w:after="283"/>
              <w:jc w:val="center"/>
              <w:rPr/>
            </w:pPr>
            <w:r>
              <w:rPr/>
              <w:t> </w:t>
            </w:r>
          </w:p>
        </w:tc>
        <w:tc>
          <w:tcPr>
            <w:tcW w:w="97" w:type="dxa"/>
            <w:tcBorders/>
            <w:shd w:fill="auto" w:val="clear"/>
            <w:vAlign w:val="bottom"/>
          </w:tcPr>
          <w:p>
            <w:pPr>
              <w:pStyle w:val="TableContents"/>
              <w:spacing w:before="0" w:after="283"/>
              <w:jc w:val="center"/>
              <w:rPr/>
            </w:pPr>
            <w:r>
              <w:rPr/>
              <w:t> </w:t>
            </w:r>
          </w:p>
        </w:tc>
        <w:tc>
          <w:tcPr>
            <w:tcW w:w="1148" w:type="dxa"/>
            <w:gridSpan w:val="2"/>
            <w:tcBorders/>
            <w:shd w:fill="auto" w:val="clear"/>
            <w:vAlign w:val="bottom"/>
          </w:tcPr>
          <w:p>
            <w:pPr>
              <w:pStyle w:val="TableContents"/>
              <w:spacing w:before="0" w:after="0"/>
              <w:ind w:left="0" w:right="0" w:hanging="0"/>
              <w:jc w:val="center"/>
              <w:rPr>
                <w:rFonts w:ascii="helvetica" w:hAnsi="helvetica"/>
                <w:b/>
                <w:sz w:val="16"/>
              </w:rPr>
            </w:pPr>
            <w:r>
              <w:rPr>
                <w:rFonts w:ascii="helvetica" w:hAnsi="helvetica"/>
                <w:b/>
                <w:sz w:val="16"/>
              </w:rPr>
              <w:t>December 31,</w:t>
            </w:r>
          </w:p>
        </w:tc>
        <w:tc>
          <w:tcPr>
            <w:tcW w:w="110" w:type="dxa"/>
            <w:tcBorders/>
            <w:shd w:fill="auto" w:val="clear"/>
            <w:vAlign w:val="bottom"/>
          </w:tcPr>
          <w:p>
            <w:pPr>
              <w:pStyle w:val="TableContents"/>
              <w:spacing w:before="0" w:after="283"/>
              <w:jc w:val="center"/>
              <w:rPr/>
            </w:pPr>
            <w:r>
              <w:rPr/>
              <w:t> </w:t>
            </w:r>
          </w:p>
        </w:tc>
      </w:tr>
      <w:tr>
        <w:trPr/>
        <w:tc>
          <w:tcPr>
            <w:tcW w:w="5942" w:type="dxa"/>
            <w:tcBorders/>
            <w:shd w:fill="auto" w:val="clear"/>
            <w:vAlign w:val="bottom"/>
          </w:tcPr>
          <w:p>
            <w:pPr>
              <w:pStyle w:val="TableContents"/>
              <w:spacing w:before="0" w:after="283"/>
              <w:jc w:val="center"/>
              <w:rPr/>
            </w:pPr>
            <w:r>
              <w:rPr/>
              <w:t xml:space="preserve">  </w:t>
            </w:r>
          </w:p>
        </w:tc>
        <w:tc>
          <w:tcPr>
            <w:tcW w:w="97" w:type="dxa"/>
            <w:tcBorders/>
            <w:shd w:fill="auto" w:val="clear"/>
            <w:vAlign w:val="bottom"/>
          </w:tcPr>
          <w:p>
            <w:pPr>
              <w:pStyle w:val="TableContents"/>
              <w:spacing w:before="0" w:after="283"/>
              <w:jc w:val="center"/>
              <w:rPr/>
            </w:pPr>
            <w:r>
              <w:rPr/>
              <w:t> </w:t>
            </w:r>
          </w:p>
        </w:tc>
        <w:tc>
          <w:tcPr>
            <w:tcW w:w="1174"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helvetica" w:hAnsi="helvetica"/>
                <w:b/>
                <w:sz w:val="16"/>
              </w:rPr>
            </w:pPr>
            <w:r>
              <w:rPr>
                <w:rFonts w:ascii="helvetica" w:hAnsi="helvetica"/>
                <w:b/>
                <w:sz w:val="16"/>
              </w:rPr>
              <w:t>2011</w:t>
            </w:r>
          </w:p>
        </w:tc>
        <w:tc>
          <w:tcPr>
            <w:tcW w:w="106" w:type="dxa"/>
            <w:tcBorders/>
            <w:shd w:fill="auto" w:val="clear"/>
            <w:vAlign w:val="bottom"/>
          </w:tcPr>
          <w:p>
            <w:pPr>
              <w:pStyle w:val="TableContents"/>
              <w:spacing w:before="0" w:after="283"/>
              <w:jc w:val="center"/>
              <w:rPr/>
            </w:pPr>
            <w:r>
              <w:rPr/>
              <w:t> </w:t>
            </w:r>
          </w:p>
        </w:tc>
        <w:tc>
          <w:tcPr>
            <w:tcW w:w="97" w:type="dxa"/>
            <w:tcBorders/>
            <w:shd w:fill="auto" w:val="clear"/>
            <w:vAlign w:val="bottom"/>
          </w:tcPr>
          <w:p>
            <w:pPr>
              <w:pStyle w:val="TableContents"/>
              <w:spacing w:before="0" w:after="283"/>
              <w:jc w:val="center"/>
              <w:rPr/>
            </w:pPr>
            <w:r>
              <w:rPr/>
              <w:t> </w:t>
            </w:r>
          </w:p>
        </w:tc>
        <w:tc>
          <w:tcPr>
            <w:tcW w:w="1148"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helvetica" w:hAnsi="helvetica"/>
                <w:b/>
                <w:sz w:val="16"/>
              </w:rPr>
            </w:pPr>
            <w:r>
              <w:rPr>
                <w:rFonts w:ascii="helvetica" w:hAnsi="helvetica"/>
                <w:b/>
                <w:sz w:val="16"/>
              </w:rPr>
              <w:t>2010</w:t>
            </w:r>
          </w:p>
        </w:tc>
        <w:tc>
          <w:tcPr>
            <w:tcW w:w="110" w:type="dxa"/>
            <w:tcBorders/>
            <w:shd w:fill="auto" w:val="clear"/>
            <w:vAlign w:val="bottom"/>
          </w:tcPr>
          <w:p>
            <w:pPr>
              <w:pStyle w:val="TableContents"/>
              <w:spacing w:before="0" w:after="283"/>
              <w:jc w:val="left"/>
              <w:rPr/>
            </w:pPr>
            <w:r>
              <w:rPr/>
              <w:t> </w:t>
            </w:r>
          </w:p>
        </w:tc>
      </w:tr>
      <w:tr>
        <w:trPr/>
        <w:tc>
          <w:tcPr>
            <w:tcW w:w="5942" w:type="dxa"/>
            <w:tcBorders/>
            <w:shd w:fill="CCEEFF" w:val="clear"/>
            <w:vAlign w:val="bottom"/>
          </w:tcPr>
          <w:p>
            <w:pPr>
              <w:pStyle w:val="TableContents"/>
              <w:spacing w:before="0" w:after="0"/>
              <w:ind w:left="0" w:right="0" w:hanging="0"/>
              <w:jc w:val="both"/>
              <w:rPr>
                <w:rFonts w:ascii="helvetica" w:hAnsi="helvetica"/>
                <w:sz w:val="20"/>
              </w:rPr>
            </w:pPr>
            <w:r>
              <w:rPr>
                <w:rFonts w:ascii="helvetica" w:hAnsi="helvetica"/>
                <w:sz w:val="20"/>
              </w:rPr>
              <w:t>10%  note payable due December 2012</w:t>
            </w:r>
          </w:p>
        </w:tc>
        <w:tc>
          <w:tcPr>
            <w:tcW w:w="97"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rFonts w:ascii="helvetica" w:hAnsi="helvetica"/>
                <w:sz w:val="20"/>
              </w:rPr>
            </w:pPr>
            <w:r>
              <w:rPr>
                <w:rFonts w:ascii="helvetica" w:hAnsi="helvetica"/>
                <w:sz w:val="20"/>
              </w:rPr>
              <w:t>$</w:t>
            </w:r>
          </w:p>
        </w:tc>
        <w:tc>
          <w:tcPr>
            <w:tcW w:w="1049"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300,000</w:t>
            </w:r>
          </w:p>
        </w:tc>
        <w:tc>
          <w:tcPr>
            <w:tcW w:w="106" w:type="dxa"/>
            <w:tcBorders/>
            <w:shd w:fill="CCEEFF" w:val="clear"/>
            <w:vAlign w:val="bottom"/>
          </w:tcPr>
          <w:p>
            <w:pPr>
              <w:pStyle w:val="TableContents"/>
              <w:spacing w:before="0" w:after="283"/>
              <w:jc w:val="left"/>
              <w:rPr/>
            </w:pPr>
            <w:r>
              <w:rPr/>
              <w:t> </w:t>
            </w:r>
          </w:p>
        </w:tc>
        <w:tc>
          <w:tcPr>
            <w:tcW w:w="97"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rFonts w:ascii="helvetica" w:hAnsi="helvetica"/>
                <w:sz w:val="20"/>
              </w:rPr>
            </w:pPr>
            <w:r>
              <w:rPr>
                <w:rFonts w:ascii="helvetica" w:hAnsi="helvetica"/>
                <w:sz w:val="20"/>
              </w:rPr>
              <w:t>$</w:t>
            </w:r>
          </w:p>
        </w:tc>
        <w:tc>
          <w:tcPr>
            <w:tcW w:w="1023"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w:t>
            </w:r>
          </w:p>
        </w:tc>
        <w:tc>
          <w:tcPr>
            <w:tcW w:w="110" w:type="dxa"/>
            <w:tcBorders/>
            <w:shd w:fill="CCEEFF" w:val="clear"/>
            <w:vAlign w:val="bottom"/>
          </w:tcPr>
          <w:p>
            <w:pPr>
              <w:pStyle w:val="TableContents"/>
              <w:spacing w:before="0" w:after="283"/>
              <w:jc w:val="left"/>
              <w:rPr/>
            </w:pPr>
            <w:r>
              <w:rPr/>
              <w:t> </w:t>
            </w:r>
          </w:p>
        </w:tc>
      </w:tr>
      <w:tr>
        <w:trPr/>
        <w:tc>
          <w:tcPr>
            <w:tcW w:w="5942" w:type="dxa"/>
            <w:tcBorders/>
            <w:shd w:fill="FFFFFF" w:val="clear"/>
            <w:vAlign w:val="bottom"/>
          </w:tcPr>
          <w:p>
            <w:pPr>
              <w:pStyle w:val="TableContents"/>
              <w:spacing w:before="0" w:after="0"/>
              <w:ind w:left="0" w:right="0" w:hanging="0"/>
              <w:jc w:val="both"/>
              <w:rPr>
                <w:rFonts w:ascii="helvetica" w:hAnsi="helvetica"/>
                <w:sz w:val="20"/>
              </w:rPr>
            </w:pPr>
            <w:r>
              <w:rPr>
                <w:rFonts w:ascii="helvetica" w:hAnsi="helvetica"/>
                <w:sz w:val="20"/>
              </w:rPr>
              <w:t>7.5% convertible note</w:t>
            </w:r>
          </w:p>
        </w:tc>
        <w:tc>
          <w:tcPr>
            <w:tcW w:w="97" w:type="dxa"/>
            <w:tcBorders/>
            <w:shd w:fill="FFFFFF" w:val="clear"/>
            <w:vAlign w:val="bottom"/>
          </w:tcPr>
          <w:p>
            <w:pPr>
              <w:pStyle w:val="TableContents"/>
              <w:spacing w:before="0" w:after="283"/>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49" w:type="dxa"/>
            <w:tcBorders>
              <w:bottom w:val="single" w:sz="12" w:space="0" w:color="000000"/>
            </w:tcBorders>
            <w:shd w:fill="FFFF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1,000,000</w:t>
            </w:r>
          </w:p>
        </w:tc>
        <w:tc>
          <w:tcPr>
            <w:tcW w:w="106" w:type="dxa"/>
            <w:tcBorders/>
            <w:shd w:fill="FFFFFF" w:val="clear"/>
            <w:vAlign w:val="bottom"/>
          </w:tcPr>
          <w:p>
            <w:pPr>
              <w:pStyle w:val="TableContents"/>
              <w:spacing w:before="0" w:after="283"/>
              <w:jc w:val="left"/>
              <w:rPr/>
            </w:pPr>
            <w:r>
              <w:rPr/>
              <w:t> </w:t>
            </w:r>
          </w:p>
        </w:tc>
        <w:tc>
          <w:tcPr>
            <w:tcW w:w="97" w:type="dxa"/>
            <w:tcBorders/>
            <w:shd w:fill="FFFFFF" w:val="clear"/>
            <w:vAlign w:val="bottom"/>
          </w:tcPr>
          <w:p>
            <w:pPr>
              <w:pStyle w:val="TableContents"/>
              <w:spacing w:before="0" w:after="283"/>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23" w:type="dxa"/>
            <w:tcBorders>
              <w:bottom w:val="single" w:sz="12" w:space="0" w:color="000000"/>
            </w:tcBorders>
            <w:shd w:fill="FFFF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1,000,000</w:t>
            </w:r>
          </w:p>
        </w:tc>
        <w:tc>
          <w:tcPr>
            <w:tcW w:w="110" w:type="dxa"/>
            <w:tcBorders/>
            <w:shd w:fill="FFFFFF" w:val="clear"/>
            <w:vAlign w:val="bottom"/>
          </w:tcPr>
          <w:p>
            <w:pPr>
              <w:pStyle w:val="TableContents"/>
              <w:spacing w:before="0" w:after="283"/>
              <w:jc w:val="left"/>
              <w:rPr/>
            </w:pPr>
            <w:r>
              <w:rPr/>
              <w:t> </w:t>
            </w:r>
          </w:p>
        </w:tc>
      </w:tr>
      <w:tr>
        <w:trPr/>
        <w:tc>
          <w:tcPr>
            <w:tcW w:w="5942" w:type="dxa"/>
            <w:tcBorders/>
            <w:shd w:fill="CCEEFF" w:val="clear"/>
            <w:vAlign w:val="bottom"/>
          </w:tcPr>
          <w:p>
            <w:pPr>
              <w:pStyle w:val="TableContents"/>
              <w:spacing w:before="0" w:after="0"/>
              <w:ind w:left="0" w:right="0" w:hanging="0"/>
              <w:jc w:val="both"/>
              <w:rPr>
                <w:rFonts w:ascii="helvetica" w:hAnsi="helvetica"/>
                <w:b/>
                <w:sz w:val="20"/>
              </w:rPr>
            </w:pPr>
            <w:r>
              <w:rPr>
                <w:rFonts w:ascii="helvetica" w:hAnsi="helvetica"/>
                <w:b/>
                <w:sz w:val="20"/>
              </w:rPr>
              <w:t>Total convertible notes payable</w:t>
            </w:r>
          </w:p>
        </w:tc>
        <w:tc>
          <w:tcPr>
            <w:tcW w:w="97"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rFonts w:ascii="helvetica" w:hAnsi="helvetica"/>
                <w:b/>
                <w:sz w:val="20"/>
              </w:rPr>
            </w:pPr>
            <w:r>
              <w:rPr>
                <w:rFonts w:ascii="helvetica" w:hAnsi="helvetica"/>
                <w:b/>
                <w:sz w:val="20"/>
              </w:rPr>
              <w:t>$</w:t>
            </w:r>
          </w:p>
        </w:tc>
        <w:tc>
          <w:tcPr>
            <w:tcW w:w="1049" w:type="dxa"/>
            <w:tcBorders/>
            <w:shd w:fill="CCEEFF" w:val="clear"/>
            <w:vAlign w:val="bottom"/>
          </w:tcPr>
          <w:p>
            <w:pPr>
              <w:pStyle w:val="TableContents"/>
              <w:spacing w:before="0" w:after="283"/>
              <w:jc w:val="right"/>
              <w:rPr>
                <w:rFonts w:ascii="helvetica" w:hAnsi="helvetica"/>
                <w:b/>
                <w:sz w:val="20"/>
              </w:rPr>
            </w:pPr>
            <w:r>
              <w:rPr>
                <w:rFonts w:ascii="helvetica" w:hAnsi="helvetica"/>
                <w:b/>
                <w:sz w:val="20"/>
              </w:rPr>
              <w:t>1,300,000</w:t>
            </w:r>
          </w:p>
        </w:tc>
        <w:tc>
          <w:tcPr>
            <w:tcW w:w="106" w:type="dxa"/>
            <w:tcBorders/>
            <w:shd w:fill="CCEEFF" w:val="clear"/>
            <w:vAlign w:val="bottom"/>
          </w:tcPr>
          <w:p>
            <w:pPr>
              <w:pStyle w:val="TableContents"/>
              <w:spacing w:before="0" w:after="283"/>
              <w:jc w:val="left"/>
              <w:rPr/>
            </w:pPr>
            <w:r>
              <w:rPr/>
              <w:t> </w:t>
            </w:r>
          </w:p>
        </w:tc>
        <w:tc>
          <w:tcPr>
            <w:tcW w:w="97"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rFonts w:ascii="helvetica" w:hAnsi="helvetica"/>
                <w:b/>
                <w:sz w:val="20"/>
              </w:rPr>
            </w:pPr>
            <w:r>
              <w:rPr>
                <w:rFonts w:ascii="helvetica" w:hAnsi="helvetica"/>
                <w:b/>
                <w:sz w:val="20"/>
              </w:rPr>
              <w:t>$</w:t>
            </w:r>
          </w:p>
        </w:tc>
        <w:tc>
          <w:tcPr>
            <w:tcW w:w="1023" w:type="dxa"/>
            <w:tcBorders/>
            <w:shd w:fill="CCEEFF" w:val="clear"/>
            <w:vAlign w:val="bottom"/>
          </w:tcPr>
          <w:p>
            <w:pPr>
              <w:pStyle w:val="TableContents"/>
              <w:spacing w:before="0" w:after="283"/>
              <w:jc w:val="right"/>
              <w:rPr>
                <w:rFonts w:ascii="helvetica" w:hAnsi="helvetica"/>
                <w:b/>
                <w:sz w:val="20"/>
              </w:rPr>
            </w:pPr>
            <w:r>
              <w:rPr>
                <w:rFonts w:ascii="helvetica" w:hAnsi="helvetica"/>
                <w:b/>
                <w:sz w:val="20"/>
              </w:rPr>
              <w:t>1,000,000</w:t>
            </w:r>
          </w:p>
        </w:tc>
        <w:tc>
          <w:tcPr>
            <w:tcW w:w="110" w:type="dxa"/>
            <w:tcBorders/>
            <w:shd w:fill="CCEEFF" w:val="clear"/>
            <w:vAlign w:val="bottom"/>
          </w:tcPr>
          <w:p>
            <w:pPr>
              <w:pStyle w:val="TableContents"/>
              <w:spacing w:before="0" w:after="283"/>
              <w:jc w:val="left"/>
              <w:rPr/>
            </w:pPr>
            <w:r>
              <w:rPr/>
              <w:t> </w:t>
            </w:r>
          </w:p>
        </w:tc>
      </w:tr>
      <w:tr>
        <w:trPr/>
        <w:tc>
          <w:tcPr>
            <w:tcW w:w="5942" w:type="dxa"/>
            <w:tcBorders/>
            <w:shd w:fill="FFFFFF" w:val="clear"/>
            <w:vAlign w:val="bottom"/>
          </w:tcPr>
          <w:p>
            <w:pPr>
              <w:pStyle w:val="TableContents"/>
              <w:spacing w:before="0" w:after="0"/>
              <w:ind w:left="0" w:right="0" w:hanging="0"/>
              <w:jc w:val="both"/>
              <w:rPr>
                <w:rFonts w:ascii="helvetica" w:hAnsi="helvetica"/>
                <w:sz w:val="20"/>
              </w:rPr>
            </w:pPr>
            <w:r>
              <w:rPr>
                <w:rFonts w:ascii="helvetica" w:hAnsi="helvetica"/>
                <w:sz w:val="20"/>
              </w:rPr>
              <w:t>Less: Current portion</w:t>
            </w:r>
          </w:p>
        </w:tc>
        <w:tc>
          <w:tcPr>
            <w:tcW w:w="97" w:type="dxa"/>
            <w:tcBorders/>
            <w:shd w:fill="FFFFFF" w:val="clear"/>
            <w:vAlign w:val="bottom"/>
          </w:tcPr>
          <w:p>
            <w:pPr>
              <w:pStyle w:val="TableContents"/>
              <w:spacing w:before="0" w:after="283"/>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49" w:type="dxa"/>
            <w:tcBorders>
              <w:bottom w:val="single" w:sz="12" w:space="0" w:color="000000"/>
            </w:tcBorders>
            <w:shd w:fill="FFFF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(1,300,000</w:t>
            </w:r>
          </w:p>
        </w:tc>
        <w:tc>
          <w:tcPr>
            <w:tcW w:w="106" w:type="dxa"/>
            <w:tcBorders/>
            <w:shd w:fill="FFFFFF" w:val="clear"/>
            <w:vAlign w:val="bottom"/>
          </w:tcPr>
          <w:p>
            <w:pPr>
              <w:pStyle w:val="TableContents"/>
              <w:spacing w:before="0" w:after="283"/>
              <w:jc w:val="left"/>
              <w:rPr>
                <w:rFonts w:ascii="helvetica" w:hAnsi="helvetica"/>
                <w:sz w:val="20"/>
              </w:rPr>
            </w:pPr>
            <w:r>
              <w:rPr>
                <w:rFonts w:ascii="helvetica" w:hAnsi="helvetica"/>
                <w:sz w:val="20"/>
              </w:rPr>
              <w:t>)</w:t>
            </w:r>
          </w:p>
        </w:tc>
        <w:tc>
          <w:tcPr>
            <w:tcW w:w="97" w:type="dxa"/>
            <w:tcBorders/>
            <w:shd w:fill="FFFFFF" w:val="clear"/>
            <w:vAlign w:val="bottom"/>
          </w:tcPr>
          <w:p>
            <w:pPr>
              <w:pStyle w:val="TableContents"/>
              <w:spacing w:before="0" w:after="283"/>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23" w:type="dxa"/>
            <w:tcBorders>
              <w:bottom w:val="single" w:sz="12" w:space="0" w:color="000000"/>
            </w:tcBorders>
            <w:shd w:fill="FFFF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w:t>
            </w:r>
          </w:p>
        </w:tc>
        <w:tc>
          <w:tcPr>
            <w:tcW w:w="110" w:type="dxa"/>
            <w:tcBorders/>
            <w:shd w:fill="FFFFFF" w:val="clear"/>
            <w:vAlign w:val="bottom"/>
          </w:tcPr>
          <w:p>
            <w:pPr>
              <w:pStyle w:val="TableContents"/>
              <w:spacing w:before="0" w:after="283"/>
              <w:jc w:val="left"/>
              <w:rPr/>
            </w:pPr>
            <w:r>
              <w:rPr/>
              <w:t> </w:t>
            </w:r>
          </w:p>
        </w:tc>
      </w:tr>
      <w:tr>
        <w:trPr/>
        <w:tc>
          <w:tcPr>
            <w:tcW w:w="5942" w:type="dxa"/>
            <w:tcBorders/>
            <w:shd w:fill="CCEEFF" w:val="clear"/>
            <w:vAlign w:val="bottom"/>
          </w:tcPr>
          <w:p>
            <w:pPr>
              <w:pStyle w:val="TableContents"/>
              <w:spacing w:before="0" w:after="0"/>
              <w:ind w:left="0" w:right="0" w:hanging="0"/>
              <w:jc w:val="both"/>
              <w:rPr>
                <w:rFonts w:ascii="helvetica" w:hAnsi="helvetica"/>
                <w:b/>
                <w:sz w:val="20"/>
              </w:rPr>
            </w:pPr>
            <w:r>
              <w:rPr>
                <w:rFonts w:ascii="helvetica" w:hAnsi="helvetica"/>
                <w:b/>
                <w:sz w:val="20"/>
              </w:rPr>
              <w:t>Long-term portion</w:t>
            </w:r>
          </w:p>
        </w:tc>
        <w:tc>
          <w:tcPr>
            <w:tcW w:w="97" w:type="dxa"/>
            <w:tcBorders/>
            <w:shd w:fill="CCEEFF" w:val="clear"/>
            <w:vAlign w:val="bottom"/>
          </w:tcPr>
          <w:p>
            <w:pPr>
              <w:pStyle w:val="TableContents"/>
              <w:spacing w:before="0" w:after="283"/>
              <w:rPr/>
            </w:pPr>
            <w:r>
              <w:rPr/>
              <w:t> </w:t>
            </w:r>
          </w:p>
        </w:tc>
        <w:tc>
          <w:tcPr>
            <w:tcW w:w="125" w:type="dxa"/>
            <w:tcBorders>
              <w:bottom w:val="double" w:sz="8" w:space="0" w:color="000000"/>
            </w:tcBorders>
            <w:shd w:fill="CCEEFF" w:val="clear"/>
            <w:tcMar>
              <w:bottom w:w="28" w:type="dxa"/>
            </w:tcMar>
            <w:vAlign w:val="bottom"/>
          </w:tcPr>
          <w:p>
            <w:pPr>
              <w:pStyle w:val="TableContents"/>
              <w:spacing w:before="0" w:after="283"/>
              <w:jc w:val="left"/>
              <w:rPr>
                <w:rFonts w:ascii="helvetica" w:hAnsi="helvetica"/>
                <w:b/>
                <w:sz w:val="20"/>
              </w:rPr>
            </w:pPr>
            <w:r>
              <w:rPr>
                <w:rFonts w:ascii="helvetica" w:hAnsi="helvetica"/>
                <w:b/>
                <w:sz w:val="20"/>
              </w:rPr>
              <w:t>$</w:t>
            </w:r>
          </w:p>
        </w:tc>
        <w:tc>
          <w:tcPr>
            <w:tcW w:w="1049" w:type="dxa"/>
            <w:tcBorders>
              <w:bottom w:val="double" w:sz="8" w:space="0" w:color="000000"/>
            </w:tcBorders>
            <w:shd w:fill="CCEEFF" w:val="clear"/>
            <w:tcMar>
              <w:bottom w:w="28" w:type="dxa"/>
            </w:tcMar>
            <w:vAlign w:val="bottom"/>
          </w:tcPr>
          <w:p>
            <w:pPr>
              <w:pStyle w:val="TableContents"/>
              <w:spacing w:before="0" w:after="283"/>
              <w:jc w:val="right"/>
              <w:rPr>
                <w:rFonts w:ascii="helvetica" w:hAnsi="helvetica"/>
                <w:b/>
                <w:sz w:val="20"/>
              </w:rPr>
            </w:pPr>
            <w:r>
              <w:rPr>
                <w:rFonts w:ascii="helvetica" w:hAnsi="helvetica"/>
                <w:b/>
                <w:sz w:val="20"/>
              </w:rPr>
              <w:t>-</w:t>
            </w:r>
          </w:p>
        </w:tc>
        <w:tc>
          <w:tcPr>
            <w:tcW w:w="106" w:type="dxa"/>
            <w:tcBorders/>
            <w:shd w:fill="CCEEFF" w:val="clear"/>
            <w:vAlign w:val="bottom"/>
          </w:tcPr>
          <w:p>
            <w:pPr>
              <w:pStyle w:val="TableContents"/>
              <w:spacing w:before="0" w:after="283"/>
              <w:jc w:val="left"/>
              <w:rPr/>
            </w:pPr>
            <w:r>
              <w:rPr/>
              <w:t> </w:t>
            </w:r>
          </w:p>
        </w:tc>
        <w:tc>
          <w:tcPr>
            <w:tcW w:w="97" w:type="dxa"/>
            <w:tcBorders/>
            <w:shd w:fill="CCEEFF" w:val="clear"/>
            <w:vAlign w:val="bottom"/>
          </w:tcPr>
          <w:p>
            <w:pPr>
              <w:pStyle w:val="TableContents"/>
              <w:spacing w:before="0" w:after="283"/>
              <w:rPr/>
            </w:pPr>
            <w:r>
              <w:rPr/>
              <w:t> </w:t>
            </w:r>
          </w:p>
        </w:tc>
        <w:tc>
          <w:tcPr>
            <w:tcW w:w="125" w:type="dxa"/>
            <w:tcBorders>
              <w:bottom w:val="double" w:sz="8" w:space="0" w:color="000000"/>
            </w:tcBorders>
            <w:shd w:fill="CCEEFF" w:val="clear"/>
            <w:tcMar>
              <w:bottom w:w="28" w:type="dxa"/>
            </w:tcMar>
            <w:vAlign w:val="bottom"/>
          </w:tcPr>
          <w:p>
            <w:pPr>
              <w:pStyle w:val="TableContents"/>
              <w:spacing w:before="0" w:after="283"/>
              <w:jc w:val="left"/>
              <w:rPr>
                <w:rFonts w:ascii="helvetica" w:hAnsi="helvetica"/>
                <w:b/>
                <w:sz w:val="20"/>
              </w:rPr>
            </w:pPr>
            <w:r>
              <w:rPr>
                <w:rFonts w:ascii="helvetica" w:hAnsi="helvetica"/>
                <w:b/>
                <w:sz w:val="20"/>
              </w:rPr>
              <w:t>$</w:t>
            </w:r>
          </w:p>
        </w:tc>
        <w:tc>
          <w:tcPr>
            <w:tcW w:w="1023" w:type="dxa"/>
            <w:tcBorders>
              <w:bottom w:val="double" w:sz="8" w:space="0" w:color="000000"/>
            </w:tcBorders>
            <w:shd w:fill="CCEEFF" w:val="clear"/>
            <w:tcMar>
              <w:bottom w:w="28" w:type="dxa"/>
            </w:tcMar>
            <w:vAlign w:val="bottom"/>
          </w:tcPr>
          <w:p>
            <w:pPr>
              <w:pStyle w:val="TableContents"/>
              <w:spacing w:before="0" w:after="283"/>
              <w:jc w:val="right"/>
              <w:rPr>
                <w:rFonts w:ascii="helvetica" w:hAnsi="helvetica"/>
                <w:b/>
                <w:sz w:val="20"/>
              </w:rPr>
            </w:pPr>
            <w:r>
              <w:rPr>
                <w:rFonts w:ascii="helvetica" w:hAnsi="helvetica"/>
                <w:b/>
                <w:sz w:val="20"/>
              </w:rPr>
              <w:t>1,000,000</w:t>
            </w:r>
          </w:p>
        </w:tc>
        <w:tc>
          <w:tcPr>
            <w:tcW w:w="110" w:type="dxa"/>
            <w:tcBorders/>
            <w:shd w:fill="CCEEFF" w:val="clear"/>
            <w:vAlign w:val="bottom"/>
          </w:tcPr>
          <w:p>
            <w:pPr>
              <w:pStyle w:val="TableContents"/>
              <w:spacing w:before="0" w:after="283"/>
              <w:jc w:val="left"/>
              <w:rPr/>
            </w:pPr>
            <w:r>
              <w:rPr/>
              <w:t> </w:t>
            </w:r>
          </w:p>
        </w:tc>
      </w:tr>
    </w:tbl>
    <w:p>
      <w:pPr>
        <w:pStyle w:val="TextBody"/>
        <w:spacing w:before="0" w:after="0"/>
        <w:ind w:left="0" w:right="0" w:hanging="0"/>
        <w:rPr/>
      </w:pPr>
      <w:r>
        <w:rPr/>
        <w:t> </w:t>
      </w:r>
    </w:p>
    <w:p>
      <w:pPr>
        <w:pStyle w:val="TextBody"/>
        <w:spacing w:before="0" w:after="0"/>
        <w:ind w:left="0" w:right="0" w:hanging="0"/>
        <w:jc w:val="left"/>
        <w:rPr>
          <w:rFonts w:ascii="helvetica" w:hAnsi="helvetica"/>
          <w:b/>
          <w:sz w:val="20"/>
        </w:rPr>
      </w:pPr>
      <w:r>
        <w:rPr>
          <w:rFonts w:ascii="helvetica" w:hAnsi="helvetica"/>
          <w:b/>
          <w:sz w:val="20"/>
        </w:rPr>
        <w:t>NOTE 6.   STOCKHOLDERS’ EQUITY</w:t>
      </w:r>
    </w:p>
    <w:p>
      <w:pPr>
        <w:pStyle w:val="TextBody"/>
        <w:spacing w:before="0" w:after="0"/>
        <w:ind w:left="0" w:right="0" w:hanging="0"/>
        <w:rPr/>
      </w:pPr>
      <w:r>
        <w:rPr/>
        <w:t> </w:t>
      </w:r>
    </w:p>
    <w:p>
      <w:pPr>
        <w:pStyle w:val="TextBody"/>
        <w:spacing w:before="0" w:after="0"/>
        <w:ind w:left="0" w:right="0" w:hanging="0"/>
        <w:jc w:val="both"/>
        <w:rPr>
          <w:rFonts w:ascii="helvetica" w:hAnsi="helvetica"/>
          <w:b/>
          <w:sz w:val="20"/>
        </w:rPr>
      </w:pPr>
      <w:r>
        <w:rPr>
          <w:rFonts w:ascii="helvetica" w:hAnsi="helvetica"/>
          <w:b/>
          <w:sz w:val="20"/>
        </w:rPr>
        <w:t>Preferred Stock</w:t>
      </w:r>
    </w:p>
    <w:p>
      <w:pPr>
        <w:pStyle w:val="TextBody"/>
        <w:spacing w:before="0" w:after="0"/>
        <w:ind w:left="0" w:right="0" w:hanging="0"/>
        <w:rPr/>
      </w:pPr>
      <w:r>
        <w:rPr/>
        <w:t> </w:t>
      </w:r>
    </w:p>
    <w:p>
      <w:pPr>
        <w:pStyle w:val="TextBody"/>
        <w:spacing w:before="0" w:after="0"/>
        <w:ind w:left="0" w:right="0" w:hanging="0"/>
        <w:jc w:val="both"/>
        <w:rPr>
          <w:rFonts w:ascii="helvetica" w:hAnsi="helvetica"/>
          <w:sz w:val="20"/>
        </w:rPr>
      </w:pPr>
      <w:r>
        <w:rPr>
          <w:rFonts w:ascii="helvetica" w:hAnsi="helvetica"/>
          <w:sz w:val="20"/>
        </w:rPr>
        <w:t>At December 31, 2011, the Company had 5,000,000 shares of preferred stock, $0.001 par value, authorized and 10 shares issued and outstanding.</w:t>
      </w:r>
    </w:p>
    <w:p>
      <w:pPr>
        <w:pStyle w:val="TextBody"/>
        <w:spacing w:before="0" w:after="0"/>
        <w:ind w:left="0" w:right="0" w:hanging="0"/>
        <w:jc w:val="both"/>
        <w:rPr/>
      </w:pPr>
      <w:r>
        <w:rPr/>
        <w:t> </w:t>
      </w:r>
    </w:p>
    <w:p>
      <w:pPr>
        <w:pStyle w:val="TextBody"/>
        <w:spacing w:before="0" w:after="0"/>
        <w:ind w:left="0" w:right="0" w:hanging="0"/>
        <w:jc w:val="both"/>
        <w:rPr>
          <w:rFonts w:ascii="helvetica" w:hAnsi="helvetica"/>
          <w:sz w:val="20"/>
        </w:rPr>
      </w:pPr>
      <w:r>
        <w:rPr>
          <w:rFonts w:ascii="helvetica" w:hAnsi="helvetica"/>
          <w:sz w:val="20"/>
        </w:rPr>
        <w:t>On December 9, 2011, the Company filed a Certificate of Designation to its Amended and Restated Certificate of Incorporation with the Secretary of State of the State of Delaware (the “Certificate of Designation”), setting forth the rights and preferences of the Series A Preferred Stock.  Among other things, the Certificate of Designation (i) authorizes 10 shares of the Company’s preferred stock to be designated as “Series A Convertible Preferred Stock” (“Series A Preferred Stock”); (ii) grants the holders of the Series A Preferred Stock the right to convert into the Company’s Common Stock at a conversion price of approximately $0.013336, as adjusted; (iii) grants a liquidation preference of $10,000 per share of Series A Preferred Stock; (iv) provides that the holders of Series A Preferred Stock shall vote with the holders of the Company’s common stock on an “as converted basis”; and (v) provides that the affirmative vote of a majority of the outstanding shares of the Series A Preferred Stock is required to approve certain other corporate matters including, among other things, changes to the rights of the holders of the Series A Preferred Stock, amendments to the Company’s Certificate of Incorporation or Bylaws, issuance of priority or parity securities, issuance of debt securities, entry into certain fundamental transactions and increase or decrease the size of the Board of Directors of the Company.</w:t>
      </w:r>
    </w:p>
    <w:p>
      <w:pPr>
        <w:pStyle w:val="TextBody"/>
        <w:spacing w:before="0" w:after="0"/>
        <w:ind w:left="0" w:right="0" w:hanging="0"/>
        <w:jc w:val="both"/>
        <w:rPr/>
      </w:pPr>
      <w:r>
        <w:rPr/>
        <w:t> </w:t>
      </w:r>
    </w:p>
    <w:p>
      <w:pPr>
        <w:pStyle w:val="TextBody"/>
        <w:spacing w:before="0" w:after="0"/>
        <w:ind w:left="0" w:right="0" w:hanging="0"/>
        <w:jc w:val="both"/>
        <w:rPr>
          <w:rFonts w:ascii="helvetica" w:hAnsi="helvetica"/>
          <w:sz w:val="20"/>
        </w:rPr>
      </w:pPr>
      <w:r>
        <w:rPr>
          <w:rFonts w:ascii="helvetica" w:hAnsi="helvetica"/>
          <w:sz w:val="20"/>
        </w:rPr>
        <w:t>In partial consideration for and in connection with the Line of Credit Agreement described in Note 5, on November 21, 2011, the Company entered into a Securities Purchase Agreement (the “Purchase Agreement”) with DermaStar, pursuant to which the Company agreed to issue 10 shares of newly-designated Series A Preferred Stock to DermaStar for an aggregate purchase price of $100,000.   The Purchase Agreement, as amended, became effective on December 9, 2011, in connection with the dismissal of the Chapter 11 Case by the Bankruptcy Court.  On December 12, 2011, the Company and DermaStar consummated the transactions contemplated by the Purchase Agreement.  On December 31, 2011 and made effective November 21, 2011, the Company entered into a First Amendment to Securities Purchase Agreement (the “</w:t>
      </w:r>
      <w:r>
        <w:rPr>
          <w:rFonts w:ascii="helvetica" w:hAnsi="helvetica"/>
          <w:sz w:val="20"/>
          <w:u w:val="single"/>
        </w:rPr>
        <w:t>Amendment</w:t>
      </w:r>
      <w:r>
        <w:rPr>
          <w:rFonts w:ascii="helvetica" w:hAnsi="helvetica"/>
          <w:sz w:val="20"/>
        </w:rPr>
        <w:t>”). Pursuant to the terms of the Amendment, DermaStar agreed not to convert more than 5 shares of Series A Preferred Stock into common stock until such time as the Company has a sufficient number of authorized shares of common stock to enable the conversion of all ten shares of Series A Preferred Stock held by DermaStar. The five shares of preferred stock can be converted into 7,498,500 shares of common stock, which represents approximately 65% of the capital stock of the Company on an as-converted basis.</w:t>
      </w:r>
    </w:p>
    <w:p>
      <w:pPr>
        <w:pStyle w:val="TextBody"/>
        <w:spacing w:before="0" w:after="0"/>
        <w:ind w:left="0" w:right="0" w:hanging="0"/>
        <w:jc w:val="both"/>
        <w:rPr/>
      </w:pPr>
      <w:r>
        <w:rPr/>
        <w:t> </w:t>
      </w:r>
    </w:p>
    <w:p>
      <w:pPr>
        <w:pStyle w:val="TextBody"/>
        <w:spacing w:before="0" w:after="0"/>
        <w:ind w:left="0" w:right="0" w:hanging="0"/>
        <w:jc w:val="both"/>
        <w:rPr>
          <w:rFonts w:ascii="helvetica" w:hAnsi="helvetica"/>
          <w:sz w:val="20"/>
        </w:rPr>
      </w:pPr>
      <w:r>
        <w:rPr>
          <w:rFonts w:ascii="helvetica" w:hAnsi="helvetica"/>
          <w:sz w:val="20"/>
        </w:rPr>
        <w:t>The Company recorded a beneficial conversion feature of $100,000 to the preferred share purchase and recorded a preferred stock discount.  As the preferred shares do not have a stated redemption date, the associated discount was amortized from the date of issuance to the earliest possible conversion date, which is the date of issuance and recognized as a deemed dividend to the preferred stockholders using the effective yield method.  Accordingly, the Company recorded non-cash accretion of preferred stock deemed dividend totaling $100,000 in 2011, which represents an increase to reported net loss in arriving at net loss attributable to common stockholders and additional paid-in capital by a corresponding $100,000. The non-cash accretion of the preferred stock deemed dividend does have an effect on net loss or cash flows for the year ended December 31, 2011.</w:t>
      </w:r>
    </w:p>
    <w:p>
      <w:pPr>
        <w:pStyle w:val="TextBody"/>
        <w:spacing w:before="0" w:after="0"/>
        <w:ind w:left="0" w:right="0" w:hanging="0"/>
        <w:jc w:val="both"/>
        <w:rPr/>
      </w:pPr>
      <w:r>
        <w:rPr/>
        <w:t> </w:t>
      </w:r>
    </w:p>
    <w:p>
      <w:pPr>
        <w:pStyle w:val="TextBody"/>
        <w:spacing w:before="0" w:after="0"/>
        <w:ind w:left="0" w:right="0" w:hanging="0"/>
        <w:jc w:val="both"/>
        <w:rPr>
          <w:rFonts w:ascii="helvetica" w:hAnsi="helvetica"/>
          <w:sz w:val="20"/>
        </w:rPr>
      </w:pPr>
      <w:r>
        <w:rPr>
          <w:rFonts w:ascii="helvetica" w:hAnsi="helvetica"/>
          <w:sz w:val="20"/>
        </w:rPr>
        <w:t>Upon issuance of the Series A Preferred Stock, DermaStar, and its members individually, became control persons of the Company. Also Dr. Robert J. Kammer, a director of the Company, and Mark L. Baum, Esq., Executive Chairman of the Company, are managing members and partial owners of DermaStar.</w:t>
      </w:r>
    </w:p>
    <w:p>
      <w:pPr>
        <w:pStyle w:val="TextBody"/>
        <w:spacing w:before="0" w:after="0"/>
        <w:ind w:left="0" w:right="0" w:hanging="0"/>
        <w:jc w:val="both"/>
        <w:rPr/>
      </w:pPr>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r>
      <w:bookmarkStart w:id="1185" w:name="PGBRK103"/>
      <w:bookmarkStart w:id="1186" w:name="PGBRK103"/>
      <w:bookmarkEnd w:id="118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187" w:name="FTR103"/>
      <w:bookmarkStart w:id="1188" w:name="FTR103"/>
      <w:bookmarkEnd w:id="118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1189" w:name="GLFTR102"/>
      <w:bookmarkEnd w:id="1189"/>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helvetica" w:hAnsi="helvetica"/>
          <w:sz w:val="20"/>
        </w:rPr>
      </w:pPr>
      <w:bookmarkStart w:id="1190" w:name="PN102"/>
      <w:bookmarkEnd w:id="1190"/>
      <w:r>
        <w:rPr>
          <w:rFonts w:ascii="helvetica" w:hAnsi="helvetica"/>
          <w:sz w:val="20"/>
        </w:rPr>
        <w:t>F-32</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191" w:name="HDR102"/>
      <w:bookmarkStart w:id="1192" w:name="HDR102"/>
      <w:bookmarkEnd w:id="119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1193" w:name="GLHDR102"/>
      <w:bookmarkEnd w:id="1193"/>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t> </w:t>
      </w:r>
    </w:p>
    <w:p>
      <w:pPr>
        <w:pStyle w:val="TextBody"/>
        <w:spacing w:before="0" w:after="0"/>
        <w:ind w:left="0" w:right="0" w:hanging="0"/>
        <w:jc w:val="both"/>
        <w:rPr>
          <w:rFonts w:ascii="helvetica" w:hAnsi="helvetica"/>
          <w:b/>
          <w:sz w:val="20"/>
        </w:rPr>
      </w:pPr>
      <w:r>
        <w:rPr>
          <w:rFonts w:ascii="helvetica" w:hAnsi="helvetica"/>
          <w:b/>
          <w:sz w:val="20"/>
        </w:rPr>
        <w:t>Common Stock</w:t>
      </w:r>
    </w:p>
    <w:p>
      <w:pPr>
        <w:pStyle w:val="TextBody"/>
        <w:spacing w:before="0" w:after="0"/>
        <w:ind w:left="0" w:right="0" w:hanging="0"/>
        <w:rPr/>
      </w:pPr>
      <w:r>
        <w:rPr/>
        <w:t> </w:t>
      </w:r>
    </w:p>
    <w:p>
      <w:pPr>
        <w:pStyle w:val="TextBody"/>
        <w:spacing w:before="0" w:after="0"/>
        <w:ind w:left="0" w:right="0" w:hanging="0"/>
        <w:jc w:val="both"/>
        <w:rPr>
          <w:rFonts w:ascii="helvetica" w:hAnsi="helvetica"/>
          <w:sz w:val="20"/>
        </w:rPr>
      </w:pPr>
      <w:r>
        <w:rPr>
          <w:rFonts w:ascii="helvetica" w:hAnsi="helvetica"/>
          <w:sz w:val="20"/>
        </w:rPr>
        <w:t>The following is a summary of common stock and capital contribution transactions from inception through December 31, 2011:</w:t>
      </w:r>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917"/>
        <w:gridCol w:w="9288"/>
      </w:tblGrid>
      <w:tr>
        <w:trPr/>
        <w:tc>
          <w:tcPr>
            <w:tcW w:w="917" w:type="dxa"/>
            <w:tcBorders/>
            <w:shd w:fill="auto" w:val="clear"/>
          </w:tcPr>
          <w:p>
            <w:pPr>
              <w:pStyle w:val="TableContents"/>
              <w:spacing w:before="0" w:after="0"/>
              <w:ind w:left="720" w:right="0" w:firstLine="360"/>
              <w:rPr/>
            </w:pPr>
            <w:r>
              <w:rPr>
                <w:rFonts w:ascii="helvetica" w:hAnsi="helvetica"/>
                <w:sz w:val="20"/>
              </w:rPr>
              <w:t>-</w:t>
            </w:r>
            <w:bookmarkStart w:id="1194" w:name="TAB215"/>
            <w:bookmarkEnd w:id="1194"/>
            <w:r>
              <w:rPr>
                <w:color w:val="000000"/>
                <w:spacing w:val="180"/>
              </w:rPr>
              <w:t> </w:t>
            </w:r>
          </w:p>
        </w:tc>
        <w:tc>
          <w:tcPr>
            <w:tcW w:w="9288" w:type="dxa"/>
            <w:tcBorders/>
            <w:shd w:fill="auto" w:val="clear"/>
          </w:tcPr>
          <w:p>
            <w:pPr>
              <w:pStyle w:val="TableContents"/>
              <w:spacing w:before="0" w:after="0"/>
              <w:ind w:left="0" w:right="16" w:hanging="0"/>
              <w:jc w:val="both"/>
              <w:rPr>
                <w:rFonts w:ascii="helvetica" w:hAnsi="helvetica"/>
                <w:sz w:val="20"/>
              </w:rPr>
            </w:pPr>
            <w:r>
              <w:rPr>
                <w:rFonts w:ascii="helvetica" w:hAnsi="helvetica"/>
                <w:sz w:val="20"/>
              </w:rPr>
              <w:t>In fiscal year 1998, the Company recorded capital contributions of $100,000 (the estimated fair value of the services contributed) in connection with services contributed by stockholders, which is recorded respectively in selling, general and administrative and research and development expenses in the accompanying consolidated statements of operations.</w:t>
            </w:r>
          </w:p>
        </w:tc>
      </w:tr>
      <w:tr>
        <w:trPr/>
        <w:tc>
          <w:tcPr>
            <w:tcW w:w="917" w:type="dxa"/>
            <w:tcBorders/>
            <w:shd w:fill="auto" w:val="clear"/>
          </w:tcPr>
          <w:p>
            <w:pPr>
              <w:pStyle w:val="TableContents"/>
              <w:spacing w:before="0" w:after="283"/>
              <w:rPr/>
            </w:pPr>
            <w:r>
              <w:rPr/>
              <w:t xml:space="preserve">  </w:t>
            </w:r>
          </w:p>
        </w:tc>
        <w:tc>
          <w:tcPr>
            <w:tcW w:w="9288" w:type="dxa"/>
            <w:tcBorders/>
            <w:shd w:fill="auto" w:val="clear"/>
          </w:tcPr>
          <w:p>
            <w:pPr>
              <w:pStyle w:val="TableContents"/>
              <w:spacing w:before="0" w:after="283"/>
              <w:rPr/>
            </w:pPr>
            <w:r>
              <w:rPr/>
              <w:t xml:space="preserve">  </w:t>
            </w:r>
          </w:p>
        </w:tc>
      </w:tr>
      <w:tr>
        <w:trPr/>
        <w:tc>
          <w:tcPr>
            <w:tcW w:w="917" w:type="dxa"/>
            <w:tcBorders/>
            <w:shd w:fill="auto" w:val="clear"/>
          </w:tcPr>
          <w:p>
            <w:pPr>
              <w:pStyle w:val="TableContents"/>
              <w:spacing w:before="0" w:after="0"/>
              <w:ind w:left="720" w:right="0" w:firstLine="360"/>
              <w:rPr/>
            </w:pPr>
            <w:r>
              <w:rPr>
                <w:rFonts w:ascii="helvetica" w:hAnsi="helvetica"/>
                <w:sz w:val="20"/>
              </w:rPr>
              <w:t>-</w:t>
            </w:r>
            <w:bookmarkStart w:id="1195" w:name="TAB216"/>
            <w:bookmarkEnd w:id="1195"/>
            <w:r>
              <w:rPr>
                <w:color w:val="000000"/>
                <w:spacing w:val="180"/>
              </w:rPr>
              <w:t> </w:t>
            </w:r>
          </w:p>
        </w:tc>
        <w:tc>
          <w:tcPr>
            <w:tcW w:w="9288" w:type="dxa"/>
            <w:tcBorders/>
            <w:shd w:fill="auto" w:val="clear"/>
          </w:tcPr>
          <w:p>
            <w:pPr>
              <w:pStyle w:val="TableContents"/>
              <w:spacing w:before="0" w:after="0"/>
              <w:ind w:left="0" w:right="0" w:hanging="0"/>
              <w:jc w:val="both"/>
              <w:rPr>
                <w:rFonts w:ascii="helvetica" w:hAnsi="helvetica"/>
                <w:sz w:val="20"/>
              </w:rPr>
            </w:pPr>
            <w:r>
              <w:rPr>
                <w:rFonts w:ascii="helvetica" w:hAnsi="helvetica"/>
                <w:sz w:val="20"/>
              </w:rPr>
              <w:t>In fiscal year 1999, the Company recorded capital contributions of $200,000 (the estimated fair value of the services contributed) in connection with services contributed by stockholders, which is recorded respectively in selling, general and administrative and research and development expenses in the accompanying consolidated statements of operations.</w:t>
            </w:r>
          </w:p>
        </w:tc>
      </w:tr>
      <w:tr>
        <w:trPr/>
        <w:tc>
          <w:tcPr>
            <w:tcW w:w="917" w:type="dxa"/>
            <w:tcBorders/>
            <w:shd w:fill="auto" w:val="clear"/>
          </w:tcPr>
          <w:p>
            <w:pPr>
              <w:pStyle w:val="TableContents"/>
              <w:spacing w:before="0" w:after="283"/>
              <w:rPr/>
            </w:pPr>
            <w:r>
              <w:rPr/>
              <w:t xml:space="preserve">  </w:t>
            </w:r>
          </w:p>
        </w:tc>
        <w:tc>
          <w:tcPr>
            <w:tcW w:w="9288" w:type="dxa"/>
            <w:tcBorders/>
            <w:shd w:fill="auto" w:val="clear"/>
          </w:tcPr>
          <w:p>
            <w:pPr>
              <w:pStyle w:val="TableContents"/>
              <w:spacing w:before="0" w:after="283"/>
              <w:rPr/>
            </w:pPr>
            <w:r>
              <w:rPr/>
              <w:t xml:space="preserve">  </w:t>
            </w:r>
          </w:p>
        </w:tc>
      </w:tr>
      <w:tr>
        <w:trPr/>
        <w:tc>
          <w:tcPr>
            <w:tcW w:w="917" w:type="dxa"/>
            <w:tcBorders/>
            <w:shd w:fill="auto" w:val="clear"/>
          </w:tcPr>
          <w:p>
            <w:pPr>
              <w:pStyle w:val="TableContents"/>
              <w:spacing w:before="0" w:after="0"/>
              <w:ind w:left="720" w:right="0" w:firstLine="360"/>
              <w:rPr/>
            </w:pPr>
            <w:r>
              <w:rPr>
                <w:rFonts w:ascii="helvetica" w:hAnsi="helvetica"/>
                <w:sz w:val="20"/>
              </w:rPr>
              <w:t>-</w:t>
            </w:r>
            <w:bookmarkStart w:id="1196" w:name="TAB217"/>
            <w:bookmarkEnd w:id="1196"/>
            <w:r>
              <w:rPr>
                <w:color w:val="000000"/>
                <w:spacing w:val="180"/>
              </w:rPr>
              <w:t> </w:t>
            </w:r>
          </w:p>
        </w:tc>
        <w:tc>
          <w:tcPr>
            <w:tcW w:w="9288" w:type="dxa"/>
            <w:tcBorders/>
            <w:shd w:fill="auto" w:val="clear"/>
          </w:tcPr>
          <w:p>
            <w:pPr>
              <w:pStyle w:val="TableContents"/>
              <w:spacing w:before="0" w:after="0"/>
              <w:ind w:left="0" w:right="16" w:hanging="0"/>
              <w:jc w:val="both"/>
              <w:rPr>
                <w:rFonts w:ascii="helvetica" w:hAnsi="helvetica"/>
                <w:sz w:val="20"/>
              </w:rPr>
            </w:pPr>
            <w:r>
              <w:rPr>
                <w:rFonts w:ascii="helvetica" w:hAnsi="helvetica"/>
                <w:sz w:val="20"/>
              </w:rPr>
              <w:t>In fiscal year 2000, the Company issued 117,188 shares of common stock at a price of $0.0512 per share for proceeds of $6,000. Also, recorded capital contributions of $200,000 (the estimated fair value of the services contributed) in connection with services contributed by stockholders, which is recorded respectively in selling, general and administrative and research and development expenses in the accompanying consolidated statements of operations.</w:t>
            </w:r>
          </w:p>
        </w:tc>
      </w:tr>
      <w:tr>
        <w:trPr/>
        <w:tc>
          <w:tcPr>
            <w:tcW w:w="917" w:type="dxa"/>
            <w:tcBorders/>
            <w:shd w:fill="auto" w:val="clear"/>
          </w:tcPr>
          <w:p>
            <w:pPr>
              <w:pStyle w:val="TableContents"/>
              <w:spacing w:before="0" w:after="283"/>
              <w:rPr/>
            </w:pPr>
            <w:r>
              <w:rPr/>
              <w:t xml:space="preserve">  </w:t>
            </w:r>
          </w:p>
        </w:tc>
        <w:tc>
          <w:tcPr>
            <w:tcW w:w="9288" w:type="dxa"/>
            <w:tcBorders/>
            <w:shd w:fill="auto" w:val="clear"/>
          </w:tcPr>
          <w:p>
            <w:pPr>
              <w:pStyle w:val="TableContents"/>
              <w:spacing w:before="0" w:after="283"/>
              <w:rPr/>
            </w:pPr>
            <w:r>
              <w:rPr/>
              <w:t xml:space="preserve">  </w:t>
            </w:r>
          </w:p>
        </w:tc>
      </w:tr>
      <w:tr>
        <w:trPr/>
        <w:tc>
          <w:tcPr>
            <w:tcW w:w="917" w:type="dxa"/>
            <w:tcBorders/>
            <w:shd w:fill="auto" w:val="clear"/>
          </w:tcPr>
          <w:p>
            <w:pPr>
              <w:pStyle w:val="TableContents"/>
              <w:spacing w:before="0" w:after="0"/>
              <w:ind w:left="720" w:right="0" w:firstLine="360"/>
              <w:rPr/>
            </w:pPr>
            <w:r>
              <w:rPr>
                <w:rFonts w:ascii="helvetica" w:hAnsi="helvetica"/>
                <w:sz w:val="20"/>
              </w:rPr>
              <w:t>-</w:t>
            </w:r>
            <w:bookmarkStart w:id="1197" w:name="TAB218"/>
            <w:bookmarkEnd w:id="1197"/>
            <w:r>
              <w:rPr>
                <w:color w:val="000000"/>
                <w:spacing w:val="180"/>
              </w:rPr>
              <w:t> </w:t>
            </w:r>
          </w:p>
        </w:tc>
        <w:tc>
          <w:tcPr>
            <w:tcW w:w="9288" w:type="dxa"/>
            <w:tcBorders/>
            <w:shd w:fill="auto" w:val="clear"/>
          </w:tcPr>
          <w:p>
            <w:pPr>
              <w:pStyle w:val="TableContents"/>
              <w:spacing w:before="0" w:after="0"/>
              <w:ind w:left="0" w:right="16" w:hanging="0"/>
              <w:jc w:val="both"/>
              <w:rPr>
                <w:rFonts w:ascii="helvetica" w:hAnsi="helvetica"/>
                <w:sz w:val="20"/>
              </w:rPr>
            </w:pPr>
            <w:r>
              <w:rPr>
                <w:rFonts w:ascii="helvetica" w:hAnsi="helvetica"/>
                <w:sz w:val="20"/>
              </w:rPr>
              <w:t>In fiscal year 2001, the Company recorded capital contributions of $200,000 (the estimated fair value of the services contributed) in connection with services contributed by stockholders, which is recorded respectively in selling, general and administrative and research and development expenses in the accompanying consolidated statements of operations.</w:t>
            </w:r>
          </w:p>
        </w:tc>
      </w:tr>
      <w:tr>
        <w:trPr/>
        <w:tc>
          <w:tcPr>
            <w:tcW w:w="917" w:type="dxa"/>
            <w:tcBorders/>
            <w:shd w:fill="auto" w:val="clear"/>
          </w:tcPr>
          <w:p>
            <w:pPr>
              <w:pStyle w:val="TableContents"/>
              <w:spacing w:before="0" w:after="283"/>
              <w:rPr/>
            </w:pPr>
            <w:r>
              <w:rPr/>
              <w:t xml:space="preserve">  </w:t>
            </w:r>
          </w:p>
        </w:tc>
        <w:tc>
          <w:tcPr>
            <w:tcW w:w="9288" w:type="dxa"/>
            <w:tcBorders/>
            <w:shd w:fill="auto" w:val="clear"/>
          </w:tcPr>
          <w:p>
            <w:pPr>
              <w:pStyle w:val="TableContents"/>
              <w:spacing w:before="0" w:after="283"/>
              <w:rPr/>
            </w:pPr>
            <w:r>
              <w:rPr/>
              <w:t xml:space="preserve">  </w:t>
            </w:r>
          </w:p>
        </w:tc>
      </w:tr>
      <w:tr>
        <w:trPr/>
        <w:tc>
          <w:tcPr>
            <w:tcW w:w="917" w:type="dxa"/>
            <w:tcBorders/>
            <w:shd w:fill="auto" w:val="clear"/>
          </w:tcPr>
          <w:p>
            <w:pPr>
              <w:pStyle w:val="TableContents"/>
              <w:spacing w:before="0" w:after="0"/>
              <w:ind w:left="720" w:right="0" w:firstLine="360"/>
              <w:rPr/>
            </w:pPr>
            <w:r>
              <w:rPr>
                <w:rFonts w:ascii="helvetica" w:hAnsi="helvetica"/>
                <w:sz w:val="20"/>
              </w:rPr>
              <w:t>-</w:t>
            </w:r>
            <w:bookmarkStart w:id="1198" w:name="TAB219"/>
            <w:bookmarkEnd w:id="1198"/>
            <w:r>
              <w:rPr>
                <w:color w:val="000000"/>
                <w:spacing w:val="180"/>
              </w:rPr>
              <w:t> </w:t>
            </w:r>
          </w:p>
        </w:tc>
        <w:tc>
          <w:tcPr>
            <w:tcW w:w="9288" w:type="dxa"/>
            <w:tcBorders/>
            <w:shd w:fill="auto" w:val="clear"/>
          </w:tcPr>
          <w:p>
            <w:pPr>
              <w:pStyle w:val="TableContents"/>
              <w:spacing w:before="0" w:after="0"/>
              <w:ind w:left="0" w:right="16" w:hanging="0"/>
              <w:jc w:val="both"/>
              <w:rPr>
                <w:rFonts w:ascii="helvetica" w:hAnsi="helvetica"/>
                <w:sz w:val="20"/>
              </w:rPr>
            </w:pPr>
            <w:r>
              <w:rPr>
                <w:rFonts w:ascii="helvetica" w:hAnsi="helvetica"/>
                <w:sz w:val="20"/>
              </w:rPr>
              <w:t>In fiscal year 2002, the Company recorded capital contributions of $200,000 (the estimated fair value of the services contributed) in connection with services contributed by stockholders, which is recorded respectively in selling, general and administrative and research and development expenses in the accompanying consolidated statements of operations.</w:t>
            </w:r>
          </w:p>
        </w:tc>
      </w:tr>
      <w:tr>
        <w:trPr/>
        <w:tc>
          <w:tcPr>
            <w:tcW w:w="917" w:type="dxa"/>
            <w:tcBorders/>
            <w:shd w:fill="auto" w:val="clear"/>
          </w:tcPr>
          <w:p>
            <w:pPr>
              <w:pStyle w:val="TableContents"/>
              <w:spacing w:before="0" w:after="283"/>
              <w:rPr/>
            </w:pPr>
            <w:r>
              <w:rPr/>
              <w:t xml:space="preserve">  </w:t>
            </w:r>
          </w:p>
        </w:tc>
        <w:tc>
          <w:tcPr>
            <w:tcW w:w="9288" w:type="dxa"/>
            <w:tcBorders/>
            <w:shd w:fill="auto" w:val="clear"/>
          </w:tcPr>
          <w:p>
            <w:pPr>
              <w:pStyle w:val="TableContents"/>
              <w:spacing w:before="0" w:after="283"/>
              <w:rPr/>
            </w:pPr>
            <w:r>
              <w:rPr/>
              <w:t xml:space="preserve">  </w:t>
            </w:r>
          </w:p>
        </w:tc>
      </w:tr>
      <w:tr>
        <w:trPr/>
        <w:tc>
          <w:tcPr>
            <w:tcW w:w="917" w:type="dxa"/>
            <w:tcBorders/>
            <w:shd w:fill="auto" w:val="clear"/>
          </w:tcPr>
          <w:p>
            <w:pPr>
              <w:pStyle w:val="TableContents"/>
              <w:spacing w:before="0" w:after="0"/>
              <w:ind w:left="720" w:right="0" w:firstLine="360"/>
              <w:rPr/>
            </w:pPr>
            <w:r>
              <w:rPr>
                <w:rFonts w:ascii="helvetica" w:hAnsi="helvetica"/>
                <w:sz w:val="20"/>
              </w:rPr>
              <w:t>-</w:t>
            </w:r>
            <w:bookmarkStart w:id="1199" w:name="TAB220"/>
            <w:bookmarkEnd w:id="1199"/>
            <w:r>
              <w:rPr>
                <w:color w:val="000000"/>
                <w:spacing w:val="180"/>
              </w:rPr>
              <w:t> </w:t>
            </w:r>
          </w:p>
        </w:tc>
        <w:tc>
          <w:tcPr>
            <w:tcW w:w="9288" w:type="dxa"/>
            <w:tcBorders/>
            <w:shd w:fill="auto" w:val="clear"/>
          </w:tcPr>
          <w:p>
            <w:pPr>
              <w:pStyle w:val="TableContents"/>
              <w:spacing w:before="0" w:after="0"/>
              <w:ind w:left="0" w:right="16" w:hanging="0"/>
              <w:jc w:val="both"/>
              <w:rPr>
                <w:rFonts w:ascii="helvetica" w:hAnsi="helvetica"/>
                <w:sz w:val="20"/>
              </w:rPr>
            </w:pPr>
            <w:r>
              <w:rPr>
                <w:rFonts w:ascii="helvetica" w:hAnsi="helvetica"/>
                <w:sz w:val="20"/>
              </w:rPr>
              <w:t>In fiscal year 2003, the Company recorded capital contributions of $200,000 (the estimated fair value of the services contributed) in connection with services contributed by stockholders, which is recorded respectively in selling, general and administrative and research and development expenses in the accompanying consolidated statements of operations.</w:t>
            </w:r>
          </w:p>
        </w:tc>
      </w:tr>
      <w:tr>
        <w:trPr/>
        <w:tc>
          <w:tcPr>
            <w:tcW w:w="917" w:type="dxa"/>
            <w:tcBorders/>
            <w:shd w:fill="auto" w:val="clear"/>
          </w:tcPr>
          <w:p>
            <w:pPr>
              <w:pStyle w:val="TableContents"/>
              <w:spacing w:before="0" w:after="283"/>
              <w:rPr/>
            </w:pPr>
            <w:r>
              <w:rPr/>
              <w:t> </w:t>
            </w:r>
          </w:p>
        </w:tc>
        <w:tc>
          <w:tcPr>
            <w:tcW w:w="9288" w:type="dxa"/>
            <w:tcBorders/>
            <w:shd w:fill="auto" w:val="clear"/>
          </w:tcPr>
          <w:p>
            <w:pPr>
              <w:pStyle w:val="TableContents"/>
              <w:spacing w:before="0" w:after="283"/>
              <w:rPr/>
            </w:pPr>
            <w:r>
              <w:rPr/>
              <w:t> </w:t>
            </w:r>
          </w:p>
        </w:tc>
      </w:tr>
      <w:tr>
        <w:trPr/>
        <w:tc>
          <w:tcPr>
            <w:tcW w:w="917" w:type="dxa"/>
            <w:tcBorders/>
            <w:shd w:fill="auto" w:val="clear"/>
          </w:tcPr>
          <w:p>
            <w:pPr>
              <w:pStyle w:val="TableContents"/>
              <w:spacing w:before="0" w:after="0"/>
              <w:ind w:left="720" w:right="0" w:firstLine="360"/>
              <w:rPr/>
            </w:pPr>
            <w:r>
              <w:rPr>
                <w:rFonts w:ascii="helvetica" w:hAnsi="helvetica"/>
                <w:sz w:val="20"/>
              </w:rPr>
              <w:t>-</w:t>
            </w:r>
            <w:bookmarkStart w:id="1200" w:name="TAB221"/>
            <w:bookmarkEnd w:id="1200"/>
            <w:r>
              <w:rPr>
                <w:color w:val="000000"/>
                <w:spacing w:val="180"/>
              </w:rPr>
              <w:t> </w:t>
            </w:r>
          </w:p>
        </w:tc>
        <w:tc>
          <w:tcPr>
            <w:tcW w:w="9288" w:type="dxa"/>
            <w:tcBorders/>
            <w:shd w:fill="auto" w:val="clear"/>
          </w:tcPr>
          <w:p>
            <w:pPr>
              <w:pStyle w:val="TableContents"/>
              <w:spacing w:before="0" w:after="0"/>
              <w:ind w:left="0" w:right="16" w:hanging="0"/>
              <w:jc w:val="both"/>
              <w:rPr>
                <w:rFonts w:ascii="helvetica" w:hAnsi="helvetica"/>
                <w:sz w:val="20"/>
              </w:rPr>
            </w:pPr>
            <w:r>
              <w:rPr>
                <w:rFonts w:ascii="helvetica" w:hAnsi="helvetica"/>
                <w:sz w:val="20"/>
              </w:rPr>
              <w:t>In fiscal year 2004, the Company recorded capital contributions of $400,000 (the estimated fair value of the services contributed) in connection with services contributed by stockholders, which is recorded respectively in selling, general and administrative and research and development expenses in the accompanying consolidated statements of operations.</w:t>
            </w:r>
          </w:p>
        </w:tc>
      </w:tr>
      <w:tr>
        <w:trPr/>
        <w:tc>
          <w:tcPr>
            <w:tcW w:w="917" w:type="dxa"/>
            <w:tcBorders/>
            <w:shd w:fill="auto" w:val="clear"/>
          </w:tcPr>
          <w:p>
            <w:pPr>
              <w:pStyle w:val="TableContents"/>
              <w:spacing w:before="0" w:after="283"/>
              <w:rPr/>
            </w:pPr>
            <w:r>
              <w:rPr/>
              <w:t> </w:t>
            </w:r>
          </w:p>
        </w:tc>
        <w:tc>
          <w:tcPr>
            <w:tcW w:w="9288" w:type="dxa"/>
            <w:tcBorders/>
            <w:shd w:fill="auto" w:val="clear"/>
          </w:tcPr>
          <w:p>
            <w:pPr>
              <w:pStyle w:val="TableContents"/>
              <w:spacing w:before="0" w:after="283"/>
              <w:rPr/>
            </w:pPr>
            <w:r>
              <w:rPr/>
              <w:t> </w:t>
            </w:r>
          </w:p>
        </w:tc>
      </w:tr>
      <w:tr>
        <w:trPr/>
        <w:tc>
          <w:tcPr>
            <w:tcW w:w="917" w:type="dxa"/>
            <w:tcBorders/>
            <w:shd w:fill="auto" w:val="clear"/>
          </w:tcPr>
          <w:p>
            <w:pPr>
              <w:pStyle w:val="TableContents"/>
              <w:spacing w:before="0" w:after="0"/>
              <w:ind w:left="720" w:right="0" w:firstLine="360"/>
              <w:rPr/>
            </w:pPr>
            <w:r>
              <w:rPr>
                <w:rFonts w:ascii="helvetica" w:hAnsi="helvetica"/>
                <w:sz w:val="20"/>
              </w:rPr>
              <w:t>-</w:t>
            </w:r>
            <w:bookmarkStart w:id="1201" w:name="TAB222"/>
            <w:bookmarkEnd w:id="1201"/>
            <w:r>
              <w:rPr>
                <w:color w:val="000000"/>
                <w:spacing w:val="180"/>
              </w:rPr>
              <w:t> </w:t>
            </w:r>
          </w:p>
        </w:tc>
        <w:tc>
          <w:tcPr>
            <w:tcW w:w="9288" w:type="dxa"/>
            <w:tcBorders/>
            <w:shd w:fill="auto" w:val="clear"/>
          </w:tcPr>
          <w:p>
            <w:pPr>
              <w:pStyle w:val="TableContents"/>
              <w:spacing w:before="0" w:after="0"/>
              <w:ind w:left="0" w:right="16" w:hanging="0"/>
              <w:jc w:val="both"/>
              <w:rPr>
                <w:rFonts w:ascii="helvetica" w:hAnsi="helvetica"/>
                <w:sz w:val="20"/>
              </w:rPr>
            </w:pPr>
            <w:r>
              <w:rPr>
                <w:rFonts w:ascii="helvetica" w:hAnsi="helvetica"/>
                <w:sz w:val="20"/>
              </w:rPr>
              <w:t>In fiscal year 2005, the Company issued 308,594 shares of common stock at a price of $0.0512 per share for gross proceeds of $15,800 for common stock purchases and stock option exercises. The Company received additional capital contributions in cash of $14,200 from the Company’s stockholders and recorded capital contributions of $400,000 (the estimated fair value of the services contributed) in connection with services contributed by stockholders, which is recorded respectively in selling, general and administrative and research and development expenses in the accompanying consolidated statements of operations.</w:t>
            </w:r>
          </w:p>
        </w:tc>
      </w:tr>
      <w:tr>
        <w:trPr/>
        <w:tc>
          <w:tcPr>
            <w:tcW w:w="917" w:type="dxa"/>
            <w:tcBorders/>
            <w:shd w:fill="auto" w:val="clear"/>
          </w:tcPr>
          <w:p>
            <w:pPr>
              <w:pStyle w:val="TableContents"/>
              <w:spacing w:before="0" w:after="283"/>
              <w:rPr/>
            </w:pPr>
            <w:r>
              <w:rPr/>
              <w:t> </w:t>
            </w:r>
          </w:p>
        </w:tc>
        <w:tc>
          <w:tcPr>
            <w:tcW w:w="9288" w:type="dxa"/>
            <w:tcBorders/>
            <w:shd w:fill="auto" w:val="clear"/>
          </w:tcPr>
          <w:p>
            <w:pPr>
              <w:pStyle w:val="TableContents"/>
              <w:spacing w:before="0" w:after="283"/>
              <w:rPr/>
            </w:pPr>
            <w:r>
              <w:rPr/>
              <w:t> </w:t>
            </w:r>
          </w:p>
        </w:tc>
      </w:tr>
      <w:tr>
        <w:trPr/>
        <w:tc>
          <w:tcPr>
            <w:tcW w:w="917" w:type="dxa"/>
            <w:tcBorders/>
            <w:shd w:fill="auto" w:val="clear"/>
          </w:tcPr>
          <w:p>
            <w:pPr>
              <w:pStyle w:val="TableContents"/>
              <w:spacing w:before="0" w:after="0"/>
              <w:ind w:left="720" w:right="0" w:firstLine="360"/>
              <w:rPr/>
            </w:pPr>
            <w:r>
              <w:rPr>
                <w:rFonts w:ascii="helvetica" w:hAnsi="helvetica"/>
                <w:sz w:val="20"/>
              </w:rPr>
              <w:t>-</w:t>
            </w:r>
            <w:bookmarkStart w:id="1202" w:name="TAB223"/>
            <w:bookmarkEnd w:id="1202"/>
            <w:r>
              <w:rPr>
                <w:color w:val="000000"/>
                <w:spacing w:val="180"/>
              </w:rPr>
              <w:t> </w:t>
            </w:r>
            <w:r>
              <w:rPr/>
              <w:t> </w:t>
            </w:r>
          </w:p>
        </w:tc>
        <w:tc>
          <w:tcPr>
            <w:tcW w:w="9288" w:type="dxa"/>
            <w:tcBorders/>
            <w:shd w:fill="auto" w:val="clear"/>
          </w:tcPr>
          <w:p>
            <w:pPr>
              <w:pStyle w:val="TableContents"/>
              <w:spacing w:before="0" w:after="0"/>
              <w:ind w:left="0" w:right="16" w:hanging="0"/>
              <w:jc w:val="both"/>
              <w:rPr>
                <w:rFonts w:ascii="helvetica" w:hAnsi="helvetica"/>
                <w:sz w:val="20"/>
              </w:rPr>
            </w:pPr>
            <w:r>
              <w:rPr>
                <w:rFonts w:ascii="helvetica" w:hAnsi="helvetica"/>
                <w:sz w:val="20"/>
              </w:rPr>
              <w:t>In fiscal year 2006, the Company issued 46,875 shares of common stock at a price of $0.0512 per share for gross proceeds of $2,400. The Company received additional capital contributions in cash of $48,600 from the Company’s stockholders and recorded capital contributions of $400,000 (the estimated fair value of the services contributed) in connection with services contributed by stockholders, which is recorded respectively in selling, general and administrative and research and development expenses in the accompanying consolidated statements of operations.</w:t>
            </w:r>
          </w:p>
        </w:tc>
      </w:tr>
      <w:tr>
        <w:trPr/>
        <w:tc>
          <w:tcPr>
            <w:tcW w:w="917" w:type="dxa"/>
            <w:tcBorders/>
            <w:shd w:fill="auto" w:val="clear"/>
          </w:tcPr>
          <w:p>
            <w:pPr>
              <w:pStyle w:val="TableContents"/>
              <w:spacing w:before="0" w:after="283"/>
              <w:rPr/>
            </w:pPr>
            <w:r>
              <w:rPr/>
              <w:t> </w:t>
            </w:r>
          </w:p>
        </w:tc>
        <w:tc>
          <w:tcPr>
            <w:tcW w:w="9288" w:type="dxa"/>
            <w:tcBorders/>
            <w:shd w:fill="auto" w:val="clear"/>
          </w:tcPr>
          <w:p>
            <w:pPr>
              <w:pStyle w:val="TableContents"/>
              <w:spacing w:before="0" w:after="283"/>
              <w:rPr/>
            </w:pPr>
            <w:r>
              <w:rPr/>
              <w:t> </w:t>
            </w:r>
          </w:p>
        </w:tc>
      </w:tr>
    </w:tbl>
    <w:p>
      <w:pPr>
        <w:pStyle w:val="Normal"/>
        <w:spacing w:before="0" w:after="0"/>
        <w:rPr>
          <w:sz w:val="4"/>
          <w:szCs w:val="4"/>
        </w:rPr>
      </w:pPr>
      <w:r>
        <w:rPr>
          <w:sz w:val="4"/>
          <w:szCs w:val="4"/>
        </w:rPr>
      </w:r>
      <w:bookmarkStart w:id="1203" w:name="list112"/>
      <w:bookmarkStart w:id="1204" w:name="list112"/>
      <w:bookmarkEnd w:id="1204"/>
    </w:p>
    <w:tbl>
      <w:tblPr>
        <w:tblW w:w="5000" w:type="pct"/>
        <w:jc w:val="left"/>
        <w:tblInd w:w="0" w:type="dxa"/>
        <w:tblCellMar>
          <w:top w:w="0" w:type="dxa"/>
          <w:left w:w="0" w:type="dxa"/>
          <w:bottom w:w="0" w:type="dxa"/>
          <w:right w:w="0" w:type="dxa"/>
        </w:tblCellMar>
      </w:tblPr>
      <w:tblGrid>
        <w:gridCol w:w="754"/>
        <w:gridCol w:w="9451"/>
      </w:tblGrid>
      <w:tr>
        <w:trPr/>
        <w:tc>
          <w:tcPr>
            <w:tcW w:w="754" w:type="dxa"/>
            <w:tcBorders/>
            <w:shd w:fill="auto" w:val="clear"/>
          </w:tcPr>
          <w:p>
            <w:pPr>
              <w:pStyle w:val="TableContents"/>
              <w:spacing w:before="0" w:after="0"/>
              <w:ind w:left="0" w:right="0" w:firstLine="540"/>
              <w:jc w:val="center"/>
              <w:rPr>
                <w:rFonts w:ascii="helvetica" w:hAnsi="helvetica"/>
                <w:sz w:val="20"/>
              </w:rPr>
            </w:pPr>
            <w:r>
              <w:rPr>
                <w:rFonts w:ascii="helvetica" w:hAnsi="helvetica"/>
                <w:sz w:val="20"/>
              </w:rPr>
              <w:t>-  </w:t>
            </w:r>
          </w:p>
        </w:tc>
        <w:tc>
          <w:tcPr>
            <w:tcW w:w="9451" w:type="dxa"/>
            <w:tcBorders/>
            <w:shd w:fill="auto" w:val="clear"/>
          </w:tcPr>
          <w:p>
            <w:pPr>
              <w:pStyle w:val="TableContents"/>
              <w:spacing w:before="0" w:after="0"/>
              <w:ind w:left="0" w:right="0" w:hanging="0"/>
              <w:jc w:val="both"/>
              <w:rPr>
                <w:rFonts w:ascii="helvetica" w:hAnsi="helvetica"/>
                <w:sz w:val="20"/>
              </w:rPr>
            </w:pPr>
            <w:r>
              <w:rPr>
                <w:rFonts w:ascii="helvetica" w:hAnsi="helvetica"/>
                <w:sz w:val="20"/>
              </w:rPr>
              <w:t>Prior to the Merger during fiscal year 2007, the Company issued 498,047 shares of its common stock at a price of $0.0512 per share for proceeds of $25,750, which includes the issuance of 31,250 shares upon the exercise of a warrant and 7,813 shares upon exercise of stock options. Also, prior to the Merger, the Company received capital contributions of $105,907 from the Company’s stockholders and recorded capital contributions of $175,000 (the estimated fair value of the services contributed) in connection with services contributed by stockholders, which is recorded respectively in selling, general and administrative and research and development expenses in the accompanying consolidated statements of operations.</w:t>
            </w:r>
          </w:p>
        </w:tc>
      </w:tr>
    </w:tbl>
    <w:p>
      <w:pPr>
        <w:pStyle w:val="TextBody"/>
        <w:spacing w:before="0" w:after="0"/>
        <w:ind w:left="0" w:right="0" w:hanging="0"/>
        <w:rPr/>
      </w:pPr>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r>
      <w:bookmarkStart w:id="1205" w:name="PGBRK104"/>
      <w:bookmarkStart w:id="1206" w:name="PGBRK104"/>
      <w:bookmarkEnd w:id="120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207" w:name="FTR104"/>
      <w:bookmarkStart w:id="1208" w:name="FTR104"/>
      <w:bookmarkEnd w:id="120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1209" w:name="GLFTR103"/>
      <w:bookmarkEnd w:id="1209"/>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helvetica" w:hAnsi="helvetica"/>
          <w:sz w:val="20"/>
        </w:rPr>
      </w:pPr>
      <w:bookmarkStart w:id="1210" w:name="PN103"/>
      <w:bookmarkEnd w:id="1210"/>
      <w:r>
        <w:rPr>
          <w:rFonts w:ascii="helvetica" w:hAnsi="helvetica"/>
          <w:sz w:val="20"/>
        </w:rPr>
        <w:t>F-33</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211" w:name="HDR103"/>
      <w:bookmarkStart w:id="1212" w:name="HDR103"/>
      <w:bookmarkEnd w:id="121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1213" w:name="GLHDR103"/>
      <w:bookmarkEnd w:id="1213"/>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t> </w:t>
      </w:r>
    </w:p>
    <w:p>
      <w:pPr>
        <w:pStyle w:val="Normal"/>
        <w:spacing w:before="0" w:after="0"/>
        <w:rPr>
          <w:sz w:val="4"/>
          <w:szCs w:val="4"/>
        </w:rPr>
      </w:pPr>
      <w:r>
        <w:rPr>
          <w:sz w:val="4"/>
          <w:szCs w:val="4"/>
        </w:rPr>
      </w:r>
      <w:bookmarkStart w:id="1214" w:name="list113"/>
      <w:bookmarkStart w:id="1215" w:name="list113"/>
      <w:bookmarkEnd w:id="1215"/>
    </w:p>
    <w:tbl>
      <w:tblPr>
        <w:tblW w:w="5000" w:type="pct"/>
        <w:jc w:val="left"/>
        <w:tblInd w:w="0" w:type="dxa"/>
        <w:tblCellMar>
          <w:top w:w="0" w:type="dxa"/>
          <w:left w:w="0" w:type="dxa"/>
          <w:bottom w:w="0" w:type="dxa"/>
          <w:right w:w="0" w:type="dxa"/>
        </w:tblCellMar>
      </w:tblPr>
      <w:tblGrid>
        <w:gridCol w:w="754"/>
        <w:gridCol w:w="9451"/>
      </w:tblGrid>
      <w:tr>
        <w:trPr/>
        <w:tc>
          <w:tcPr>
            <w:tcW w:w="754" w:type="dxa"/>
            <w:tcBorders/>
            <w:shd w:fill="auto" w:val="clear"/>
          </w:tcPr>
          <w:p>
            <w:pPr>
              <w:pStyle w:val="TableContents"/>
              <w:spacing w:before="0" w:after="0"/>
              <w:ind w:left="0" w:right="0" w:firstLine="540"/>
              <w:jc w:val="center"/>
              <w:rPr>
                <w:rFonts w:ascii="helvetica" w:hAnsi="helvetica"/>
                <w:sz w:val="20"/>
              </w:rPr>
            </w:pPr>
            <w:r>
              <w:rPr>
                <w:rFonts w:ascii="helvetica" w:hAnsi="helvetica"/>
                <w:sz w:val="20"/>
              </w:rPr>
              <w:t>-  </w:t>
            </w:r>
          </w:p>
        </w:tc>
        <w:tc>
          <w:tcPr>
            <w:tcW w:w="9451" w:type="dxa"/>
            <w:tcBorders/>
            <w:shd w:fill="auto" w:val="clear"/>
          </w:tcPr>
          <w:p>
            <w:pPr>
              <w:pStyle w:val="TableContents"/>
              <w:spacing w:before="0" w:after="0"/>
              <w:ind w:left="0" w:right="0" w:hanging="0"/>
              <w:jc w:val="both"/>
              <w:rPr>
                <w:rFonts w:ascii="helvetica" w:hAnsi="helvetica"/>
                <w:sz w:val="20"/>
              </w:rPr>
            </w:pPr>
            <w:r>
              <w:rPr>
                <w:rFonts w:ascii="helvetica" w:hAnsi="helvetica"/>
                <w:sz w:val="20"/>
              </w:rPr>
              <w:t>Prior to the Merger during fiscal year 2007, the Company recorded additional paid-in capital of $241,701 related to the forgiveness of Stockholders’ Notes (see Note 5).</w:t>
            </w:r>
          </w:p>
        </w:tc>
      </w:tr>
    </w:tbl>
    <w:p>
      <w:pPr>
        <w:pStyle w:val="TextBody"/>
        <w:spacing w:before="0" w:after="0"/>
        <w:ind w:left="0" w:right="0" w:hanging="0"/>
        <w:rPr/>
      </w:pPr>
      <w:r>
        <w:rPr/>
        <w:t> </w:t>
      </w:r>
    </w:p>
    <w:p>
      <w:pPr>
        <w:pStyle w:val="Normal"/>
        <w:spacing w:before="0" w:after="0"/>
        <w:rPr>
          <w:sz w:val="4"/>
          <w:szCs w:val="4"/>
        </w:rPr>
      </w:pPr>
      <w:r>
        <w:rPr>
          <w:sz w:val="4"/>
          <w:szCs w:val="4"/>
        </w:rPr>
      </w:r>
      <w:bookmarkStart w:id="1216" w:name="list114"/>
      <w:bookmarkStart w:id="1217" w:name="list114"/>
      <w:bookmarkEnd w:id="1217"/>
    </w:p>
    <w:tbl>
      <w:tblPr>
        <w:tblW w:w="5000" w:type="pct"/>
        <w:jc w:val="left"/>
        <w:tblInd w:w="0" w:type="dxa"/>
        <w:tblCellMar>
          <w:top w:w="0" w:type="dxa"/>
          <w:left w:w="0" w:type="dxa"/>
          <w:bottom w:w="0" w:type="dxa"/>
          <w:right w:w="0" w:type="dxa"/>
        </w:tblCellMar>
      </w:tblPr>
      <w:tblGrid>
        <w:gridCol w:w="754"/>
        <w:gridCol w:w="9451"/>
      </w:tblGrid>
      <w:tr>
        <w:trPr/>
        <w:tc>
          <w:tcPr>
            <w:tcW w:w="754" w:type="dxa"/>
            <w:tcBorders/>
            <w:shd w:fill="auto" w:val="clear"/>
          </w:tcPr>
          <w:p>
            <w:pPr>
              <w:pStyle w:val="TableContents"/>
              <w:spacing w:before="0" w:after="0"/>
              <w:ind w:left="0" w:right="0" w:firstLine="540"/>
              <w:jc w:val="center"/>
              <w:rPr>
                <w:rFonts w:ascii="helvetica" w:hAnsi="helvetica"/>
                <w:sz w:val="20"/>
              </w:rPr>
            </w:pPr>
            <w:r>
              <w:rPr>
                <w:rFonts w:ascii="helvetica" w:hAnsi="helvetica"/>
                <w:sz w:val="20"/>
              </w:rPr>
              <w:t>-  </w:t>
            </w:r>
          </w:p>
        </w:tc>
        <w:tc>
          <w:tcPr>
            <w:tcW w:w="9451" w:type="dxa"/>
            <w:tcBorders/>
            <w:shd w:fill="auto" w:val="clear"/>
          </w:tcPr>
          <w:p>
            <w:pPr>
              <w:pStyle w:val="TableContents"/>
              <w:spacing w:before="0" w:after="0"/>
              <w:ind w:left="0" w:right="0" w:hanging="0"/>
              <w:jc w:val="both"/>
              <w:rPr>
                <w:rFonts w:ascii="helvetica" w:hAnsi="helvetica"/>
                <w:sz w:val="20"/>
              </w:rPr>
            </w:pPr>
            <w:r>
              <w:rPr>
                <w:rFonts w:ascii="helvetica" w:hAnsi="helvetica"/>
                <w:sz w:val="20"/>
              </w:rPr>
              <w:t>In August 2007, the Company issued a restricted stock grant to an executive of the Company for 195,313 shares of the Company’s common stock.</w:t>
            </w:r>
          </w:p>
        </w:tc>
      </w:tr>
    </w:tbl>
    <w:p>
      <w:pPr>
        <w:pStyle w:val="TextBody"/>
        <w:spacing w:before="0" w:after="0"/>
        <w:ind w:left="0" w:right="0" w:hanging="0"/>
        <w:rPr/>
      </w:pPr>
      <w:r>
        <w:rPr/>
        <w:t> </w:t>
      </w:r>
    </w:p>
    <w:p>
      <w:pPr>
        <w:pStyle w:val="Normal"/>
        <w:spacing w:before="0" w:after="0"/>
        <w:rPr>
          <w:sz w:val="4"/>
          <w:szCs w:val="4"/>
        </w:rPr>
      </w:pPr>
      <w:r>
        <w:rPr>
          <w:sz w:val="4"/>
          <w:szCs w:val="4"/>
        </w:rPr>
      </w:r>
      <w:bookmarkStart w:id="1218" w:name="list115"/>
      <w:bookmarkStart w:id="1219" w:name="list115"/>
      <w:bookmarkEnd w:id="1219"/>
    </w:p>
    <w:tbl>
      <w:tblPr>
        <w:tblW w:w="5000" w:type="pct"/>
        <w:jc w:val="left"/>
        <w:tblInd w:w="0" w:type="dxa"/>
        <w:tblCellMar>
          <w:top w:w="0" w:type="dxa"/>
          <w:left w:w="0" w:type="dxa"/>
          <w:bottom w:w="0" w:type="dxa"/>
          <w:right w:w="0" w:type="dxa"/>
        </w:tblCellMar>
      </w:tblPr>
      <w:tblGrid>
        <w:gridCol w:w="754"/>
        <w:gridCol w:w="9451"/>
      </w:tblGrid>
      <w:tr>
        <w:trPr/>
        <w:tc>
          <w:tcPr>
            <w:tcW w:w="754" w:type="dxa"/>
            <w:tcBorders/>
            <w:shd w:fill="auto" w:val="clear"/>
          </w:tcPr>
          <w:p>
            <w:pPr>
              <w:pStyle w:val="TableContents"/>
              <w:spacing w:before="0" w:after="0"/>
              <w:ind w:left="0" w:right="0" w:firstLine="540"/>
              <w:jc w:val="center"/>
              <w:rPr>
                <w:rFonts w:ascii="helvetica" w:hAnsi="helvetica"/>
                <w:sz w:val="20"/>
              </w:rPr>
            </w:pPr>
            <w:r>
              <w:rPr>
                <w:rFonts w:ascii="helvetica" w:hAnsi="helvetica"/>
                <w:sz w:val="20"/>
              </w:rPr>
              <w:t>-  </w:t>
            </w:r>
          </w:p>
        </w:tc>
        <w:tc>
          <w:tcPr>
            <w:tcW w:w="9451" w:type="dxa"/>
            <w:tcBorders/>
            <w:shd w:fill="auto" w:val="clear"/>
          </w:tcPr>
          <w:p>
            <w:pPr>
              <w:pStyle w:val="TableContents"/>
              <w:spacing w:before="0" w:after="0"/>
              <w:ind w:left="0" w:right="0" w:hanging="0"/>
              <w:jc w:val="both"/>
              <w:rPr>
                <w:rFonts w:ascii="helvetica" w:hAnsi="helvetica"/>
                <w:sz w:val="20"/>
              </w:rPr>
            </w:pPr>
            <w:r>
              <w:rPr>
                <w:rFonts w:ascii="helvetica" w:hAnsi="helvetica"/>
                <w:sz w:val="20"/>
              </w:rPr>
              <w:t>In connection with the Merger in 2007, 231,249 of Imprimis common shares remained outstanding (see Note 3).</w:t>
            </w:r>
          </w:p>
        </w:tc>
      </w:tr>
    </w:tbl>
    <w:p>
      <w:pPr>
        <w:pStyle w:val="TextBody"/>
        <w:spacing w:before="0" w:after="0"/>
        <w:ind w:left="0" w:right="0" w:hanging="0"/>
        <w:rPr/>
      </w:pPr>
      <w:r>
        <w:rPr/>
        <w:t> </w:t>
      </w:r>
    </w:p>
    <w:p>
      <w:pPr>
        <w:pStyle w:val="Normal"/>
        <w:spacing w:before="0" w:after="0"/>
        <w:rPr>
          <w:sz w:val="4"/>
          <w:szCs w:val="4"/>
        </w:rPr>
      </w:pPr>
      <w:r>
        <w:rPr>
          <w:sz w:val="4"/>
          <w:szCs w:val="4"/>
        </w:rPr>
      </w:r>
      <w:bookmarkStart w:id="1220" w:name="list116"/>
      <w:bookmarkStart w:id="1221" w:name="list116"/>
      <w:bookmarkEnd w:id="1221"/>
    </w:p>
    <w:tbl>
      <w:tblPr>
        <w:tblW w:w="5000" w:type="pct"/>
        <w:jc w:val="left"/>
        <w:tblInd w:w="0" w:type="dxa"/>
        <w:tblCellMar>
          <w:top w:w="0" w:type="dxa"/>
          <w:left w:w="0" w:type="dxa"/>
          <w:bottom w:w="0" w:type="dxa"/>
          <w:right w:w="0" w:type="dxa"/>
        </w:tblCellMar>
      </w:tblPr>
      <w:tblGrid>
        <w:gridCol w:w="754"/>
        <w:gridCol w:w="9451"/>
      </w:tblGrid>
      <w:tr>
        <w:trPr/>
        <w:tc>
          <w:tcPr>
            <w:tcW w:w="754" w:type="dxa"/>
            <w:tcBorders/>
            <w:shd w:fill="auto" w:val="clear"/>
          </w:tcPr>
          <w:p>
            <w:pPr>
              <w:pStyle w:val="TableContents"/>
              <w:spacing w:before="0" w:after="0"/>
              <w:ind w:left="0" w:right="0" w:firstLine="540"/>
              <w:jc w:val="center"/>
              <w:rPr>
                <w:rFonts w:ascii="helvetica" w:hAnsi="helvetica"/>
                <w:sz w:val="20"/>
              </w:rPr>
            </w:pPr>
            <w:r>
              <w:rPr>
                <w:rFonts w:ascii="helvetica" w:hAnsi="helvetica"/>
                <w:sz w:val="20"/>
              </w:rPr>
              <w:t>-  </w:t>
            </w:r>
          </w:p>
        </w:tc>
        <w:tc>
          <w:tcPr>
            <w:tcW w:w="9451" w:type="dxa"/>
            <w:tcBorders/>
            <w:shd w:fill="auto" w:val="clear"/>
          </w:tcPr>
          <w:p>
            <w:pPr>
              <w:pStyle w:val="TableContents"/>
              <w:spacing w:before="0" w:after="0"/>
              <w:ind w:left="0" w:right="0" w:hanging="0"/>
              <w:jc w:val="both"/>
              <w:rPr>
                <w:rFonts w:ascii="helvetica" w:hAnsi="helvetica"/>
                <w:sz w:val="20"/>
              </w:rPr>
            </w:pPr>
            <w:r>
              <w:rPr>
                <w:rFonts w:ascii="helvetica" w:hAnsi="helvetica"/>
                <w:sz w:val="20"/>
              </w:rPr>
              <w:t>Concurrent with the Merger in 2007, the Company sold 258,979 shares of common stock for net proceeds of $3,837,791 ($4,143,667 gross) through a private placement (the “Private Placement”). In addition, the investors received warrants to purchase 64,745 shares of common stock for a period of five years at a cash and cashless exercise price of $32.00 and $40.00 per share, respectively. In connection with the Private Placement, the Company incurred placement agent fees and other related expenses totaling $342,105 (of which $36,229 was paid in fiscal year 2008 and netted with the 2008 private placement discussed below) and issued warrants to purchase up to 33,750 shares of common stock for a period of three years at cash and cashless exercise price of $32.00 and $40.00 per share, respectively.</w:t>
            </w:r>
          </w:p>
        </w:tc>
      </w:tr>
    </w:tbl>
    <w:p>
      <w:pPr>
        <w:pStyle w:val="TextBody"/>
        <w:spacing w:before="0" w:after="0"/>
        <w:ind w:left="0" w:right="0" w:hanging="0"/>
        <w:rPr/>
      </w:pPr>
      <w:r>
        <w:rPr/>
        <w:t> </w:t>
      </w:r>
    </w:p>
    <w:p>
      <w:pPr>
        <w:pStyle w:val="Normal"/>
        <w:spacing w:before="0" w:after="0"/>
        <w:rPr>
          <w:sz w:val="4"/>
          <w:szCs w:val="4"/>
        </w:rPr>
      </w:pPr>
      <w:r>
        <w:rPr>
          <w:sz w:val="4"/>
          <w:szCs w:val="4"/>
        </w:rPr>
      </w:r>
      <w:bookmarkStart w:id="1222" w:name="list117"/>
      <w:bookmarkStart w:id="1223" w:name="list117"/>
      <w:bookmarkEnd w:id="1223"/>
    </w:p>
    <w:tbl>
      <w:tblPr>
        <w:tblW w:w="5000" w:type="pct"/>
        <w:jc w:val="left"/>
        <w:tblInd w:w="0" w:type="dxa"/>
        <w:tblCellMar>
          <w:top w:w="0" w:type="dxa"/>
          <w:left w:w="0" w:type="dxa"/>
          <w:bottom w:w="0" w:type="dxa"/>
          <w:right w:w="0" w:type="dxa"/>
        </w:tblCellMar>
      </w:tblPr>
      <w:tblGrid>
        <w:gridCol w:w="754"/>
        <w:gridCol w:w="9451"/>
      </w:tblGrid>
      <w:tr>
        <w:trPr/>
        <w:tc>
          <w:tcPr>
            <w:tcW w:w="754" w:type="dxa"/>
            <w:tcBorders/>
            <w:shd w:fill="auto" w:val="clear"/>
          </w:tcPr>
          <w:p>
            <w:pPr>
              <w:pStyle w:val="TableContents"/>
              <w:spacing w:before="0" w:after="0"/>
              <w:ind w:left="0" w:right="0" w:firstLine="540"/>
              <w:jc w:val="center"/>
              <w:rPr>
                <w:rFonts w:ascii="helvetica" w:hAnsi="helvetica"/>
                <w:sz w:val="20"/>
              </w:rPr>
            </w:pPr>
            <w:r>
              <w:rPr>
                <w:rFonts w:ascii="helvetica" w:hAnsi="helvetica"/>
                <w:sz w:val="20"/>
              </w:rPr>
              <w:t>-  </w:t>
            </w:r>
          </w:p>
        </w:tc>
        <w:tc>
          <w:tcPr>
            <w:tcW w:w="9451" w:type="dxa"/>
            <w:tcBorders/>
            <w:shd w:fill="auto" w:val="clear"/>
          </w:tcPr>
          <w:p>
            <w:pPr>
              <w:pStyle w:val="TableContents"/>
              <w:spacing w:before="0" w:after="0"/>
              <w:ind w:left="0" w:right="0" w:hanging="0"/>
              <w:jc w:val="both"/>
              <w:rPr>
                <w:rFonts w:ascii="helvetica" w:hAnsi="helvetica"/>
                <w:sz w:val="20"/>
              </w:rPr>
            </w:pPr>
            <w:r>
              <w:rPr>
                <w:rFonts w:ascii="helvetica" w:hAnsi="helvetica"/>
                <w:sz w:val="20"/>
              </w:rPr>
              <w:t>Concurrent with the Merger in 2007, the Company issued 191,272 shares of common stock related to the conversion of the 2007 Notes and accrued interest of $1,530,177 (see Note 5). Also, the Company recorded a debt discount of $1,530,177 related to the 2007 Notes (see Note 5).</w:t>
            </w:r>
          </w:p>
        </w:tc>
      </w:tr>
    </w:tbl>
    <w:p>
      <w:pPr>
        <w:pStyle w:val="TextBody"/>
        <w:spacing w:before="0" w:after="0"/>
        <w:ind w:left="0" w:right="0" w:hanging="0"/>
        <w:rPr/>
      </w:pPr>
      <w:r>
        <w:rPr/>
        <w:t> </w:t>
      </w:r>
    </w:p>
    <w:p>
      <w:pPr>
        <w:pStyle w:val="Normal"/>
        <w:spacing w:before="0" w:after="0"/>
        <w:rPr>
          <w:sz w:val="4"/>
          <w:szCs w:val="4"/>
        </w:rPr>
      </w:pPr>
      <w:r>
        <w:rPr>
          <w:sz w:val="4"/>
          <w:szCs w:val="4"/>
        </w:rPr>
      </w:r>
      <w:bookmarkStart w:id="1224" w:name="list118"/>
      <w:bookmarkStart w:id="1225" w:name="list118"/>
      <w:bookmarkEnd w:id="1225"/>
    </w:p>
    <w:tbl>
      <w:tblPr>
        <w:tblW w:w="5000" w:type="pct"/>
        <w:jc w:val="left"/>
        <w:tblInd w:w="0" w:type="dxa"/>
        <w:tblCellMar>
          <w:top w:w="0" w:type="dxa"/>
          <w:left w:w="0" w:type="dxa"/>
          <w:bottom w:w="0" w:type="dxa"/>
          <w:right w:w="0" w:type="dxa"/>
        </w:tblCellMar>
      </w:tblPr>
      <w:tblGrid>
        <w:gridCol w:w="754"/>
        <w:gridCol w:w="9451"/>
      </w:tblGrid>
      <w:tr>
        <w:trPr/>
        <w:tc>
          <w:tcPr>
            <w:tcW w:w="754" w:type="dxa"/>
            <w:tcBorders/>
            <w:shd w:fill="auto" w:val="clear"/>
          </w:tcPr>
          <w:p>
            <w:pPr>
              <w:pStyle w:val="TableContents"/>
              <w:spacing w:before="0" w:after="0"/>
              <w:ind w:left="0" w:right="0" w:firstLine="540"/>
              <w:jc w:val="center"/>
              <w:rPr>
                <w:rFonts w:ascii="helvetica" w:hAnsi="helvetica"/>
                <w:sz w:val="20"/>
              </w:rPr>
            </w:pPr>
            <w:r>
              <w:rPr>
                <w:rFonts w:ascii="helvetica" w:hAnsi="helvetica"/>
                <w:sz w:val="20"/>
              </w:rPr>
              <w:t>-  </w:t>
            </w:r>
          </w:p>
        </w:tc>
        <w:tc>
          <w:tcPr>
            <w:tcW w:w="9451" w:type="dxa"/>
            <w:tcBorders/>
            <w:shd w:fill="auto" w:val="clear"/>
          </w:tcPr>
          <w:p>
            <w:pPr>
              <w:pStyle w:val="TableContents"/>
              <w:spacing w:before="0" w:after="0"/>
              <w:ind w:left="0" w:right="0" w:hanging="0"/>
              <w:jc w:val="both"/>
              <w:rPr>
                <w:rFonts w:ascii="helvetica" w:hAnsi="helvetica"/>
                <w:sz w:val="20"/>
              </w:rPr>
            </w:pPr>
            <w:r>
              <w:rPr>
                <w:rFonts w:ascii="helvetica" w:hAnsi="helvetica"/>
                <w:sz w:val="20"/>
              </w:rPr>
              <w:t>In September 2007, the Company entered into three, one-year consulting agreements with three separate firms to provide services related to investor communications. In the aggregate, 34,375 shares of common stock were issued in accordance with the terms of the agreements along with a warrant to purchase 2,344 shares of common stock for a period of five years at a cash and cashless exercise price of $32.00 and $40.00, respectively. The fair value of the stock and warrants were valued at $550,000. The estimated costs of the consulting agreements, including the stock, warrants and non-refundable fee were amortized over the one-year terms.</w:t>
            </w:r>
          </w:p>
        </w:tc>
      </w:tr>
    </w:tbl>
    <w:p>
      <w:pPr>
        <w:pStyle w:val="TextBody"/>
        <w:spacing w:before="0" w:after="0"/>
        <w:ind w:left="0" w:right="0" w:hanging="0"/>
        <w:rPr/>
      </w:pPr>
      <w:r>
        <w:rPr/>
        <w:t> </w:t>
      </w:r>
    </w:p>
    <w:p>
      <w:pPr>
        <w:pStyle w:val="Normal"/>
        <w:spacing w:before="0" w:after="0"/>
        <w:rPr>
          <w:sz w:val="4"/>
          <w:szCs w:val="4"/>
        </w:rPr>
      </w:pPr>
      <w:r>
        <w:rPr>
          <w:sz w:val="4"/>
          <w:szCs w:val="4"/>
        </w:rPr>
      </w:r>
      <w:bookmarkStart w:id="1226" w:name="list119"/>
      <w:bookmarkStart w:id="1227" w:name="list119"/>
      <w:bookmarkEnd w:id="1227"/>
    </w:p>
    <w:tbl>
      <w:tblPr>
        <w:tblW w:w="5000" w:type="pct"/>
        <w:jc w:val="left"/>
        <w:tblInd w:w="0" w:type="dxa"/>
        <w:tblCellMar>
          <w:top w:w="0" w:type="dxa"/>
          <w:left w:w="0" w:type="dxa"/>
          <w:bottom w:w="0" w:type="dxa"/>
          <w:right w:w="0" w:type="dxa"/>
        </w:tblCellMar>
      </w:tblPr>
      <w:tblGrid>
        <w:gridCol w:w="754"/>
        <w:gridCol w:w="9451"/>
      </w:tblGrid>
      <w:tr>
        <w:trPr/>
        <w:tc>
          <w:tcPr>
            <w:tcW w:w="754" w:type="dxa"/>
            <w:tcBorders/>
            <w:shd w:fill="auto" w:val="clear"/>
          </w:tcPr>
          <w:p>
            <w:pPr>
              <w:pStyle w:val="TableContents"/>
              <w:spacing w:before="0" w:after="0"/>
              <w:ind w:left="0" w:right="0" w:firstLine="540"/>
              <w:jc w:val="center"/>
              <w:rPr>
                <w:rFonts w:ascii="helvetica" w:hAnsi="helvetica"/>
                <w:sz w:val="20"/>
              </w:rPr>
            </w:pPr>
            <w:r>
              <w:rPr>
                <w:rFonts w:ascii="helvetica" w:hAnsi="helvetica"/>
                <w:sz w:val="20"/>
              </w:rPr>
              <w:t>-  </w:t>
            </w:r>
          </w:p>
        </w:tc>
        <w:tc>
          <w:tcPr>
            <w:tcW w:w="9451" w:type="dxa"/>
            <w:tcBorders/>
            <w:shd w:fill="auto" w:val="clear"/>
          </w:tcPr>
          <w:p>
            <w:pPr>
              <w:pStyle w:val="TableContents"/>
              <w:spacing w:before="0" w:after="0"/>
              <w:ind w:left="0" w:right="0" w:hanging="0"/>
              <w:jc w:val="both"/>
              <w:rPr>
                <w:rFonts w:ascii="helvetica" w:hAnsi="helvetica"/>
                <w:sz w:val="20"/>
              </w:rPr>
            </w:pPr>
            <w:r>
              <w:rPr>
                <w:rFonts w:ascii="helvetica" w:hAnsi="helvetica"/>
                <w:sz w:val="20"/>
              </w:rPr>
              <w:t>On May 12, 2008, the Company sold 227,273 shares of common stock for net proceeds of $3,941,301 ($4,000,000 gross) through a follow-on private placement (the “Follow-on Private Placement”) to accredited investors. In addition, the investors received warrants to purchase 28,409 shares of common stock for a period of five years at a cash and cashless exercise price of $35.20 and $44.00 per share, respectively. In connection with the Follow-On Private Placement, the Company incurred expenses of $22,470, which was recorded as a reduction of additional paid-in capital, and the gross proceeds were also netted with $36,229 related to the 2007 private placement that was paid in 2008.</w:t>
            </w:r>
          </w:p>
        </w:tc>
      </w:tr>
    </w:tbl>
    <w:p>
      <w:pPr>
        <w:pStyle w:val="TextBody"/>
        <w:spacing w:before="0" w:after="0"/>
        <w:ind w:left="0" w:right="0" w:hanging="0"/>
        <w:rPr/>
      </w:pPr>
      <w:r>
        <w:rPr/>
        <w:t> </w:t>
      </w:r>
    </w:p>
    <w:p>
      <w:pPr>
        <w:pStyle w:val="Normal"/>
        <w:spacing w:before="0" w:after="0"/>
        <w:rPr>
          <w:sz w:val="4"/>
          <w:szCs w:val="4"/>
        </w:rPr>
      </w:pPr>
      <w:r>
        <w:rPr>
          <w:sz w:val="4"/>
          <w:szCs w:val="4"/>
        </w:rPr>
      </w:r>
      <w:bookmarkStart w:id="1228" w:name="list120"/>
      <w:bookmarkStart w:id="1229" w:name="list120"/>
      <w:bookmarkEnd w:id="1229"/>
    </w:p>
    <w:tbl>
      <w:tblPr>
        <w:tblW w:w="5000" w:type="pct"/>
        <w:jc w:val="left"/>
        <w:tblInd w:w="0" w:type="dxa"/>
        <w:tblCellMar>
          <w:top w:w="0" w:type="dxa"/>
          <w:left w:w="0" w:type="dxa"/>
          <w:bottom w:w="0" w:type="dxa"/>
          <w:right w:w="0" w:type="dxa"/>
        </w:tblCellMar>
      </w:tblPr>
      <w:tblGrid>
        <w:gridCol w:w="754"/>
        <w:gridCol w:w="9451"/>
      </w:tblGrid>
      <w:tr>
        <w:trPr/>
        <w:tc>
          <w:tcPr>
            <w:tcW w:w="754" w:type="dxa"/>
            <w:tcBorders/>
            <w:shd w:fill="auto" w:val="clear"/>
          </w:tcPr>
          <w:p>
            <w:pPr>
              <w:pStyle w:val="TableContents"/>
              <w:spacing w:before="0" w:after="0"/>
              <w:ind w:left="0" w:right="0" w:firstLine="540"/>
              <w:jc w:val="center"/>
              <w:rPr>
                <w:rFonts w:ascii="helvetica" w:hAnsi="helvetica"/>
                <w:sz w:val="20"/>
              </w:rPr>
            </w:pPr>
            <w:r>
              <w:rPr>
                <w:rFonts w:ascii="helvetica" w:hAnsi="helvetica"/>
                <w:sz w:val="20"/>
              </w:rPr>
              <w:t>-  </w:t>
            </w:r>
          </w:p>
        </w:tc>
        <w:tc>
          <w:tcPr>
            <w:tcW w:w="9451" w:type="dxa"/>
            <w:tcBorders/>
            <w:shd w:fill="auto" w:val="clear"/>
          </w:tcPr>
          <w:p>
            <w:pPr>
              <w:pStyle w:val="TableContents"/>
              <w:spacing w:before="0" w:after="0"/>
              <w:ind w:left="0" w:right="0" w:hanging="0"/>
              <w:jc w:val="both"/>
              <w:rPr>
                <w:rFonts w:ascii="helvetica" w:hAnsi="helvetica"/>
                <w:sz w:val="20"/>
              </w:rPr>
            </w:pPr>
            <w:r>
              <w:rPr>
                <w:rFonts w:ascii="helvetica" w:hAnsi="helvetica"/>
                <w:sz w:val="20"/>
              </w:rPr>
              <w:t>In 2008, in connection with the termination of certain consulting agreements entered into in 2007 and 2008, 10,321 shares of common stock were forfeited at a value that was reversed of $135,136. The Company also decreased additional paid-in capital and consulting expense by $70,000 because of the remeasurement of certain consulting agreements. Additionally, during 2008, the Company entered into an agreement with an investor relations firm (“IR Firm”).  Pursuant to the agreement with the IR Firm, the Company issued 8,583 shares of common stock during 2008 at a value of $85,833. In a separate agreement, the Company entered into a consulting agreement in which the Company issued a three-year warrant to purchase 625 shares of the Company’s common stock at a cash and cashless price of $16.00 per share. The fair value of the warrant, determined based on the Black-Scholes pricing model, was valued at $1,310.  The net amount of shares forfeited during 2008 from consulting agreements and the IR Firm was (13,901) and the net expense reversed and charged to additional paid-in capital was ($117,993).</w:t>
            </w:r>
          </w:p>
        </w:tc>
      </w:tr>
    </w:tbl>
    <w:p>
      <w:pPr>
        <w:pStyle w:val="TextBody"/>
        <w:spacing w:before="0" w:after="0"/>
        <w:ind w:left="0" w:right="0" w:hanging="0"/>
        <w:rPr/>
      </w:pPr>
      <w:r>
        <w:rPr/>
        <w:t> </w:t>
      </w:r>
    </w:p>
    <w:p>
      <w:pPr>
        <w:pStyle w:val="Normal"/>
        <w:spacing w:before="0" w:after="0"/>
        <w:rPr>
          <w:sz w:val="4"/>
          <w:szCs w:val="4"/>
        </w:rPr>
      </w:pPr>
      <w:r>
        <w:rPr>
          <w:sz w:val="4"/>
          <w:szCs w:val="4"/>
        </w:rPr>
      </w:r>
      <w:bookmarkStart w:id="1230" w:name="list121"/>
      <w:bookmarkStart w:id="1231" w:name="list121"/>
      <w:bookmarkEnd w:id="1231"/>
    </w:p>
    <w:tbl>
      <w:tblPr>
        <w:tblW w:w="5000" w:type="pct"/>
        <w:jc w:val="left"/>
        <w:tblInd w:w="0" w:type="dxa"/>
        <w:tblCellMar>
          <w:top w:w="0" w:type="dxa"/>
          <w:left w:w="0" w:type="dxa"/>
          <w:bottom w:w="0" w:type="dxa"/>
          <w:right w:w="0" w:type="dxa"/>
        </w:tblCellMar>
      </w:tblPr>
      <w:tblGrid>
        <w:gridCol w:w="754"/>
        <w:gridCol w:w="9451"/>
      </w:tblGrid>
      <w:tr>
        <w:trPr/>
        <w:tc>
          <w:tcPr>
            <w:tcW w:w="754" w:type="dxa"/>
            <w:tcBorders/>
            <w:shd w:fill="auto" w:val="clear"/>
          </w:tcPr>
          <w:p>
            <w:pPr>
              <w:pStyle w:val="TableContents"/>
              <w:spacing w:before="0" w:after="0"/>
              <w:ind w:left="0" w:right="0" w:firstLine="540"/>
              <w:jc w:val="center"/>
              <w:rPr>
                <w:rFonts w:ascii="helvetica" w:hAnsi="helvetica"/>
                <w:sz w:val="20"/>
              </w:rPr>
            </w:pPr>
            <w:r>
              <w:rPr>
                <w:rFonts w:ascii="helvetica" w:hAnsi="helvetica"/>
                <w:sz w:val="20"/>
              </w:rPr>
              <w:t>-  </w:t>
            </w:r>
          </w:p>
        </w:tc>
        <w:tc>
          <w:tcPr>
            <w:tcW w:w="9451" w:type="dxa"/>
            <w:tcBorders/>
            <w:shd w:fill="auto" w:val="clear"/>
          </w:tcPr>
          <w:p>
            <w:pPr>
              <w:pStyle w:val="TableContents"/>
              <w:spacing w:before="0" w:after="0"/>
              <w:ind w:left="0" w:right="0" w:hanging="0"/>
              <w:jc w:val="both"/>
              <w:rPr>
                <w:rFonts w:ascii="helvetica" w:hAnsi="helvetica"/>
                <w:sz w:val="20"/>
              </w:rPr>
            </w:pPr>
            <w:r>
              <w:rPr>
                <w:rFonts w:ascii="helvetica" w:hAnsi="helvetica"/>
                <w:sz w:val="20"/>
              </w:rPr>
              <w:t>On November 21, 2008, the Company issued a restricted stock grant to a director of the Company for 3,125 shares of the Company’s common stock. The restricted stock grant vested over a one-year period.</w:t>
            </w:r>
          </w:p>
        </w:tc>
      </w:tr>
    </w:tbl>
    <w:p>
      <w:pPr>
        <w:pStyle w:val="TextBody"/>
        <w:spacing w:before="0" w:after="0"/>
        <w:ind w:left="0" w:right="0" w:hanging="0"/>
        <w:rPr/>
      </w:pPr>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r>
      <w:bookmarkStart w:id="1232" w:name="PGBRK105"/>
      <w:bookmarkStart w:id="1233" w:name="PGBRK105"/>
      <w:bookmarkEnd w:id="123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234" w:name="FTR105"/>
      <w:bookmarkStart w:id="1235" w:name="FTR105"/>
      <w:bookmarkEnd w:id="123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1236" w:name="GLFTR104"/>
      <w:bookmarkEnd w:id="1236"/>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helvetica" w:hAnsi="helvetica"/>
          <w:sz w:val="20"/>
        </w:rPr>
      </w:pPr>
      <w:bookmarkStart w:id="1237" w:name="PN104"/>
      <w:bookmarkEnd w:id="1237"/>
      <w:r>
        <w:rPr>
          <w:rFonts w:ascii="helvetica" w:hAnsi="helvetica"/>
          <w:sz w:val="20"/>
        </w:rPr>
        <w:t>F-34</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238" w:name="HDR104"/>
      <w:bookmarkStart w:id="1239" w:name="HDR104"/>
      <w:bookmarkEnd w:id="123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1240" w:name="GLHDR104"/>
      <w:bookmarkEnd w:id="1240"/>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t> </w:t>
      </w:r>
    </w:p>
    <w:p>
      <w:pPr>
        <w:pStyle w:val="Normal"/>
        <w:spacing w:before="0" w:after="0"/>
        <w:rPr>
          <w:sz w:val="4"/>
          <w:szCs w:val="4"/>
        </w:rPr>
      </w:pPr>
      <w:r>
        <w:rPr>
          <w:sz w:val="4"/>
          <w:szCs w:val="4"/>
        </w:rPr>
      </w:r>
      <w:bookmarkStart w:id="1241" w:name="list122"/>
      <w:bookmarkStart w:id="1242" w:name="list122"/>
      <w:bookmarkEnd w:id="1242"/>
    </w:p>
    <w:tbl>
      <w:tblPr>
        <w:tblW w:w="5000" w:type="pct"/>
        <w:jc w:val="left"/>
        <w:tblInd w:w="0" w:type="dxa"/>
        <w:tblCellMar>
          <w:top w:w="0" w:type="dxa"/>
          <w:left w:w="0" w:type="dxa"/>
          <w:bottom w:w="0" w:type="dxa"/>
          <w:right w:w="0" w:type="dxa"/>
        </w:tblCellMar>
      </w:tblPr>
      <w:tblGrid>
        <w:gridCol w:w="754"/>
        <w:gridCol w:w="9451"/>
      </w:tblGrid>
      <w:tr>
        <w:trPr/>
        <w:tc>
          <w:tcPr>
            <w:tcW w:w="754" w:type="dxa"/>
            <w:tcBorders/>
            <w:shd w:fill="auto" w:val="clear"/>
          </w:tcPr>
          <w:p>
            <w:pPr>
              <w:pStyle w:val="TableContents"/>
              <w:spacing w:before="0" w:after="0"/>
              <w:ind w:left="0" w:right="0" w:firstLine="540"/>
              <w:jc w:val="center"/>
              <w:rPr>
                <w:rFonts w:ascii="helvetica" w:hAnsi="helvetica"/>
                <w:sz w:val="20"/>
              </w:rPr>
            </w:pPr>
            <w:r>
              <w:rPr>
                <w:rFonts w:ascii="helvetica" w:hAnsi="helvetica"/>
                <w:sz w:val="20"/>
              </w:rPr>
              <w:t>-  </w:t>
            </w:r>
          </w:p>
        </w:tc>
        <w:tc>
          <w:tcPr>
            <w:tcW w:w="9451" w:type="dxa"/>
            <w:tcBorders/>
            <w:shd w:fill="auto" w:val="clear"/>
          </w:tcPr>
          <w:p>
            <w:pPr>
              <w:pStyle w:val="TableContents"/>
              <w:spacing w:before="0" w:after="0"/>
              <w:ind w:left="0" w:right="0" w:hanging="0"/>
              <w:jc w:val="both"/>
              <w:rPr>
                <w:rFonts w:ascii="helvetica" w:hAnsi="helvetica"/>
                <w:sz w:val="20"/>
              </w:rPr>
            </w:pPr>
            <w:r>
              <w:rPr>
                <w:rFonts w:ascii="helvetica" w:hAnsi="helvetica"/>
                <w:sz w:val="20"/>
              </w:rPr>
              <w:t>During 2009, in connection with the agreement with the IR Firm, the Company issued 5,722 shares of common stock valued at $50,356. In a separate agreement, the Company entered into a consulting agreement in which the Company issued a stock option to purchase 6,250 shares of the Company’s common stock at an exercise price of $7.92 per share. The fair value of the option, determined based on the Black-Scholes pricing model, was recorded as $14,434.  In another agreement, the Company entered into a consulting agreement in which the Company issued stock options to purchase 5,938 shares of the Company’s common stock at an exercise price of $12.80 per share. The fair value of the options, determined based on the Black-Scholes pricing model, was recorded at $56,665. The total value of common stock, warrants and options recorded during 2009 was $121,455.</w:t>
            </w:r>
          </w:p>
        </w:tc>
      </w:tr>
    </w:tbl>
    <w:p>
      <w:pPr>
        <w:pStyle w:val="TextBody"/>
        <w:spacing w:before="0" w:after="0"/>
        <w:ind w:left="0" w:right="0" w:hanging="0"/>
        <w:rPr/>
      </w:pPr>
      <w:r>
        <w:rPr/>
        <w:t> </w:t>
      </w:r>
    </w:p>
    <w:p>
      <w:pPr>
        <w:pStyle w:val="Normal"/>
        <w:spacing w:before="0" w:after="0"/>
        <w:rPr>
          <w:sz w:val="4"/>
          <w:szCs w:val="4"/>
        </w:rPr>
      </w:pPr>
      <w:r>
        <w:rPr>
          <w:sz w:val="4"/>
          <w:szCs w:val="4"/>
        </w:rPr>
      </w:r>
      <w:bookmarkStart w:id="1243" w:name="list123"/>
      <w:bookmarkStart w:id="1244" w:name="list123"/>
      <w:bookmarkEnd w:id="1244"/>
    </w:p>
    <w:tbl>
      <w:tblPr>
        <w:tblW w:w="5000" w:type="pct"/>
        <w:jc w:val="left"/>
        <w:tblInd w:w="0" w:type="dxa"/>
        <w:tblCellMar>
          <w:top w:w="0" w:type="dxa"/>
          <w:left w:w="0" w:type="dxa"/>
          <w:bottom w:w="0" w:type="dxa"/>
          <w:right w:w="0" w:type="dxa"/>
        </w:tblCellMar>
      </w:tblPr>
      <w:tblGrid>
        <w:gridCol w:w="754"/>
        <w:gridCol w:w="9451"/>
      </w:tblGrid>
      <w:tr>
        <w:trPr/>
        <w:tc>
          <w:tcPr>
            <w:tcW w:w="754" w:type="dxa"/>
            <w:tcBorders/>
            <w:shd w:fill="auto" w:val="clear"/>
          </w:tcPr>
          <w:p>
            <w:pPr>
              <w:pStyle w:val="TableContents"/>
              <w:spacing w:before="0" w:after="0"/>
              <w:ind w:left="0" w:right="0" w:firstLine="540"/>
              <w:jc w:val="center"/>
              <w:rPr>
                <w:rFonts w:ascii="helvetica" w:hAnsi="helvetica"/>
                <w:sz w:val="20"/>
              </w:rPr>
            </w:pPr>
            <w:r>
              <w:rPr>
                <w:rFonts w:ascii="helvetica" w:hAnsi="helvetica"/>
                <w:sz w:val="20"/>
              </w:rPr>
              <w:t>-  </w:t>
            </w:r>
          </w:p>
        </w:tc>
        <w:tc>
          <w:tcPr>
            <w:tcW w:w="9451" w:type="dxa"/>
            <w:tcBorders/>
            <w:shd w:fill="auto" w:val="clear"/>
          </w:tcPr>
          <w:p>
            <w:pPr>
              <w:pStyle w:val="TableContents"/>
              <w:spacing w:before="0" w:after="0"/>
              <w:ind w:left="0" w:right="0" w:hanging="0"/>
              <w:jc w:val="both"/>
              <w:rPr>
                <w:rFonts w:ascii="helvetica" w:hAnsi="helvetica"/>
                <w:sz w:val="20"/>
              </w:rPr>
            </w:pPr>
            <w:r>
              <w:rPr>
                <w:rFonts w:ascii="helvetica" w:hAnsi="helvetica"/>
                <w:sz w:val="20"/>
              </w:rPr>
              <w:t>In August 2009, the Company issued 6,250 shares of common stock at a price of $7.92 per share for gross proceeds of $49,500 for stock option exercises.</w:t>
            </w:r>
          </w:p>
        </w:tc>
      </w:tr>
    </w:tbl>
    <w:p>
      <w:pPr>
        <w:pStyle w:val="TextBody"/>
        <w:spacing w:before="0" w:after="0"/>
        <w:ind w:left="0" w:right="0" w:hanging="0"/>
        <w:rPr/>
      </w:pPr>
      <w:r>
        <w:rPr/>
        <w:t> </w:t>
      </w:r>
    </w:p>
    <w:p>
      <w:pPr>
        <w:pStyle w:val="Normal"/>
        <w:spacing w:before="0" w:after="0"/>
        <w:rPr>
          <w:sz w:val="4"/>
          <w:szCs w:val="4"/>
        </w:rPr>
      </w:pPr>
      <w:r>
        <w:rPr>
          <w:sz w:val="4"/>
          <w:szCs w:val="4"/>
        </w:rPr>
      </w:r>
      <w:bookmarkStart w:id="1245" w:name="list124"/>
      <w:bookmarkStart w:id="1246" w:name="list124"/>
      <w:bookmarkEnd w:id="1246"/>
    </w:p>
    <w:tbl>
      <w:tblPr>
        <w:tblW w:w="5000" w:type="pct"/>
        <w:jc w:val="left"/>
        <w:tblInd w:w="0" w:type="dxa"/>
        <w:tblCellMar>
          <w:top w:w="0" w:type="dxa"/>
          <w:left w:w="0" w:type="dxa"/>
          <w:bottom w:w="0" w:type="dxa"/>
          <w:right w:w="0" w:type="dxa"/>
        </w:tblCellMar>
      </w:tblPr>
      <w:tblGrid>
        <w:gridCol w:w="754"/>
        <w:gridCol w:w="9451"/>
      </w:tblGrid>
      <w:tr>
        <w:trPr/>
        <w:tc>
          <w:tcPr>
            <w:tcW w:w="754" w:type="dxa"/>
            <w:tcBorders/>
            <w:shd w:fill="auto" w:val="clear"/>
          </w:tcPr>
          <w:p>
            <w:pPr>
              <w:pStyle w:val="TableContents"/>
              <w:spacing w:before="0" w:after="0"/>
              <w:ind w:left="0" w:right="0" w:firstLine="540"/>
              <w:jc w:val="center"/>
              <w:rPr>
                <w:rFonts w:ascii="helvetica" w:hAnsi="helvetica"/>
                <w:sz w:val="20"/>
              </w:rPr>
            </w:pPr>
            <w:r>
              <w:rPr>
                <w:rFonts w:ascii="helvetica" w:hAnsi="helvetica"/>
                <w:sz w:val="20"/>
              </w:rPr>
              <w:t>-  </w:t>
            </w:r>
          </w:p>
        </w:tc>
        <w:tc>
          <w:tcPr>
            <w:tcW w:w="9451" w:type="dxa"/>
            <w:tcBorders/>
            <w:shd w:fill="auto" w:val="clear"/>
          </w:tcPr>
          <w:p>
            <w:pPr>
              <w:pStyle w:val="TableContents"/>
              <w:spacing w:before="0" w:after="0"/>
              <w:ind w:left="0" w:right="0" w:hanging="0"/>
              <w:jc w:val="both"/>
              <w:rPr>
                <w:rFonts w:ascii="helvetica" w:hAnsi="helvetica"/>
                <w:sz w:val="20"/>
              </w:rPr>
            </w:pPr>
            <w:r>
              <w:rPr>
                <w:rFonts w:ascii="helvetica" w:hAnsi="helvetica"/>
                <w:sz w:val="20"/>
              </w:rPr>
              <w:t>In June 2010, the Company entered into two separate agreements with an investor relations firm and a financial advisory services firm (collectively “the firms”) in order to provide certain investor relations and advisory services to the Company for a period of one year. In exchange for such services, the Company issued 25,000 shares, in the aggregate, of its unregistered common stock, of which all shares were nonforfeitable (valued at $208,000 and recorded as prepaid consulting fees upon issuance) to the firms as a prepayment of services to be received over a three-month period. The Company agreed to suspend the services related to these agreements, therefore, at this time no additional shares of common stock will be issued to the firms. For the year ended December 31, 2010, the Company recorded stock-based compensation related to the stock of $208,000. On August 13, 2010, the Company entered into a consulting agreement in which the Company issued stock options to purchase 201,217 shares of the Company’s common stock at an exercise price of $8.56 per share (see Note 7). The fair value of the options, determined based on the Black-Scholes pricing model, was recorded at $132,300. In September 2010, the Company entered an agreement with an investor relations firm in order to provide certain investor relations services to the Company for a period of six months. In exchange for such services, the Company issued 3,750 shares, in the aggregate, of its unregistered common stock, of which all shares were nonforfeitable (valued at $27,600 and recorded as prepaid consulting fees upon issuance) to the investor relations firm as a prepayment of services to be received for the initial three-month period of the agreement. The agreement was terminated by the Company during November 2010.  For the year ended December 31, 2010, the Company recorded stock-based compensation related to the restricted stock of $27,600. The total number of shares issued to consultants during 2010 was 230,000 and the total value of common stock and options issued to consultants during 2010 was $367,900.</w:t>
            </w:r>
          </w:p>
        </w:tc>
      </w:tr>
    </w:tbl>
    <w:p>
      <w:pPr>
        <w:pStyle w:val="TextBody"/>
        <w:spacing w:before="0" w:after="0"/>
        <w:ind w:left="0" w:right="0" w:hanging="0"/>
        <w:rPr/>
      </w:pPr>
      <w:r>
        <w:rPr/>
        <w:t> </w:t>
      </w:r>
    </w:p>
    <w:p>
      <w:pPr>
        <w:pStyle w:val="Normal"/>
        <w:spacing w:before="0" w:after="0"/>
        <w:rPr>
          <w:sz w:val="4"/>
          <w:szCs w:val="4"/>
        </w:rPr>
      </w:pPr>
      <w:r>
        <w:rPr>
          <w:sz w:val="4"/>
          <w:szCs w:val="4"/>
        </w:rPr>
      </w:r>
      <w:bookmarkStart w:id="1247" w:name="list125"/>
      <w:bookmarkStart w:id="1248" w:name="list125"/>
      <w:bookmarkEnd w:id="1248"/>
    </w:p>
    <w:tbl>
      <w:tblPr>
        <w:tblW w:w="5000" w:type="pct"/>
        <w:jc w:val="left"/>
        <w:tblInd w:w="0" w:type="dxa"/>
        <w:tblCellMar>
          <w:top w:w="0" w:type="dxa"/>
          <w:left w:w="0" w:type="dxa"/>
          <w:bottom w:w="0" w:type="dxa"/>
          <w:right w:w="0" w:type="dxa"/>
        </w:tblCellMar>
      </w:tblPr>
      <w:tblGrid>
        <w:gridCol w:w="754"/>
        <w:gridCol w:w="9451"/>
      </w:tblGrid>
      <w:tr>
        <w:trPr/>
        <w:tc>
          <w:tcPr>
            <w:tcW w:w="754" w:type="dxa"/>
            <w:tcBorders/>
            <w:shd w:fill="auto" w:val="clear"/>
          </w:tcPr>
          <w:p>
            <w:pPr>
              <w:pStyle w:val="TableContents"/>
              <w:spacing w:before="0" w:after="0"/>
              <w:ind w:left="0" w:right="0" w:firstLine="540"/>
              <w:jc w:val="center"/>
              <w:rPr>
                <w:rFonts w:ascii="helvetica" w:hAnsi="helvetica"/>
                <w:sz w:val="20"/>
              </w:rPr>
            </w:pPr>
            <w:r>
              <w:rPr>
                <w:rFonts w:ascii="helvetica" w:hAnsi="helvetica"/>
                <w:sz w:val="20"/>
              </w:rPr>
              <w:t>-  </w:t>
            </w:r>
          </w:p>
        </w:tc>
        <w:tc>
          <w:tcPr>
            <w:tcW w:w="9451" w:type="dxa"/>
            <w:tcBorders/>
            <w:shd w:fill="auto" w:val="clear"/>
          </w:tcPr>
          <w:p>
            <w:pPr>
              <w:pStyle w:val="TableContents"/>
              <w:spacing w:before="0" w:after="0"/>
              <w:ind w:left="0" w:right="0" w:hanging="0"/>
              <w:jc w:val="both"/>
              <w:rPr>
                <w:rFonts w:ascii="helvetica" w:hAnsi="helvetica"/>
                <w:sz w:val="20"/>
              </w:rPr>
            </w:pPr>
            <w:r>
              <w:rPr>
                <w:rFonts w:ascii="helvetica" w:hAnsi="helvetica"/>
                <w:sz w:val="20"/>
              </w:rPr>
              <w:t>On October 20, 2010, the Company appointed John N. Bonfiglio, Ph.D. as Chief Executive Officer and President of the Company. Dr. Bonfiglio was also appointed as a director on the Company’s Board. The Board granted Dr. Bonfiglio a stock option for 50,000 shares of common stock and issued 6,250 shares of restricted common stock in accordance with the Company’s 2007 Incentive Stock and Awards Plan. The stock option and the restricted common stock vested as follows: 25% of the option shares and the restricted stock vested immediately upon grant, with the balance of the option shares and the restricted stock vesting in equal monthly installments over the next 36 months beginning 30 days after the grant date.  The restricted stock was valued at $6.40 per share, the reported closing price of the Company’s common stock on October 20, 2010. For the year ended December 31, 2010, the Company recorded stock-based compensation expense related to the issuance and partial vesting of the restricted stock award of $12,083.</w:t>
            </w:r>
          </w:p>
        </w:tc>
      </w:tr>
    </w:tbl>
    <w:p>
      <w:pPr>
        <w:pStyle w:val="TextBody"/>
        <w:spacing w:before="0" w:after="0"/>
        <w:ind w:left="0" w:right="0" w:hanging="0"/>
        <w:rPr/>
      </w:pPr>
      <w:r>
        <w:rPr/>
        <w:t> </w:t>
      </w:r>
    </w:p>
    <w:p>
      <w:pPr>
        <w:pStyle w:val="Normal"/>
        <w:spacing w:before="0" w:after="0"/>
        <w:rPr>
          <w:sz w:val="4"/>
          <w:szCs w:val="4"/>
        </w:rPr>
      </w:pPr>
      <w:r>
        <w:rPr>
          <w:sz w:val="4"/>
          <w:szCs w:val="4"/>
        </w:rPr>
      </w:r>
      <w:bookmarkStart w:id="1249" w:name="list126"/>
      <w:bookmarkStart w:id="1250" w:name="list126"/>
      <w:bookmarkEnd w:id="1250"/>
    </w:p>
    <w:tbl>
      <w:tblPr>
        <w:tblW w:w="5000" w:type="pct"/>
        <w:jc w:val="left"/>
        <w:tblInd w:w="0" w:type="dxa"/>
        <w:tblCellMar>
          <w:top w:w="0" w:type="dxa"/>
          <w:left w:w="0" w:type="dxa"/>
          <w:bottom w:w="0" w:type="dxa"/>
          <w:right w:w="0" w:type="dxa"/>
        </w:tblCellMar>
      </w:tblPr>
      <w:tblGrid>
        <w:gridCol w:w="754"/>
        <w:gridCol w:w="9451"/>
      </w:tblGrid>
      <w:tr>
        <w:trPr/>
        <w:tc>
          <w:tcPr>
            <w:tcW w:w="754" w:type="dxa"/>
            <w:tcBorders/>
            <w:shd w:fill="auto" w:val="clear"/>
          </w:tcPr>
          <w:p>
            <w:pPr>
              <w:pStyle w:val="TableContents"/>
              <w:spacing w:before="0" w:after="0"/>
              <w:ind w:left="0" w:right="0" w:firstLine="540"/>
              <w:jc w:val="center"/>
              <w:rPr>
                <w:rFonts w:ascii="helvetica" w:hAnsi="helvetica"/>
                <w:sz w:val="20"/>
              </w:rPr>
            </w:pPr>
            <w:r>
              <w:rPr>
                <w:rFonts w:ascii="helvetica" w:hAnsi="helvetica"/>
                <w:sz w:val="20"/>
              </w:rPr>
              <w:t>-  </w:t>
            </w:r>
          </w:p>
        </w:tc>
        <w:tc>
          <w:tcPr>
            <w:tcW w:w="9451" w:type="dxa"/>
            <w:tcBorders/>
            <w:shd w:fill="auto" w:val="clear"/>
          </w:tcPr>
          <w:p>
            <w:pPr>
              <w:pStyle w:val="TableContents"/>
              <w:spacing w:before="0" w:after="0"/>
              <w:ind w:left="0" w:right="0" w:hanging="0"/>
              <w:jc w:val="both"/>
              <w:rPr>
                <w:rFonts w:ascii="helvetica" w:hAnsi="helvetica"/>
                <w:sz w:val="20"/>
              </w:rPr>
            </w:pPr>
            <w:r>
              <w:rPr>
                <w:rFonts w:ascii="helvetica" w:hAnsi="helvetica"/>
                <w:sz w:val="20"/>
              </w:rPr>
              <w:t>On May 13, 2011, the Board accepted the resignation of Dr. Bonfiglio, Ph.D. as Chief Executive Officer and President of the Company and as a director on the Board.  As a result of Dr. Bonfiglio’s resignation, of the 6,250 shares of restricted stock awarded to him, 2,344 shares had vested and 3,906 shares were returned to treasury and cancelled effective his date of resignation.   For the year ended December 31, 2011, the Company recorded stock-based compensation expense related to the issuance and partial vesting of the restricted stock award of $3,332.</w:t>
            </w:r>
          </w:p>
        </w:tc>
      </w:tr>
    </w:tbl>
    <w:p>
      <w:pPr>
        <w:pStyle w:val="TextBody"/>
        <w:spacing w:before="0" w:after="0"/>
        <w:ind w:left="0" w:right="0" w:hanging="0"/>
        <w:rPr/>
      </w:pPr>
      <w:r>
        <w:rPr/>
        <w:t> </w:t>
      </w:r>
    </w:p>
    <w:p>
      <w:pPr>
        <w:pStyle w:val="Normal"/>
        <w:spacing w:before="0" w:after="0"/>
        <w:rPr>
          <w:sz w:val="4"/>
          <w:szCs w:val="4"/>
        </w:rPr>
      </w:pPr>
      <w:r>
        <w:rPr>
          <w:sz w:val="4"/>
          <w:szCs w:val="4"/>
        </w:rPr>
      </w:r>
      <w:bookmarkStart w:id="1251" w:name="list127"/>
      <w:bookmarkStart w:id="1252" w:name="list127"/>
      <w:bookmarkEnd w:id="1252"/>
    </w:p>
    <w:tbl>
      <w:tblPr>
        <w:tblW w:w="5000" w:type="pct"/>
        <w:jc w:val="left"/>
        <w:tblInd w:w="0" w:type="dxa"/>
        <w:tblCellMar>
          <w:top w:w="0" w:type="dxa"/>
          <w:left w:w="0" w:type="dxa"/>
          <w:bottom w:w="0" w:type="dxa"/>
          <w:right w:w="0" w:type="dxa"/>
        </w:tblCellMar>
      </w:tblPr>
      <w:tblGrid>
        <w:gridCol w:w="754"/>
        <w:gridCol w:w="9451"/>
      </w:tblGrid>
      <w:tr>
        <w:trPr/>
        <w:tc>
          <w:tcPr>
            <w:tcW w:w="754" w:type="dxa"/>
            <w:tcBorders/>
            <w:shd w:fill="auto" w:val="clear"/>
          </w:tcPr>
          <w:p>
            <w:pPr>
              <w:pStyle w:val="TableContents"/>
              <w:spacing w:before="0" w:after="0"/>
              <w:ind w:left="0" w:right="0" w:firstLine="540"/>
              <w:jc w:val="center"/>
              <w:rPr>
                <w:rFonts w:ascii="helvetica" w:hAnsi="helvetica"/>
                <w:sz w:val="20"/>
              </w:rPr>
            </w:pPr>
            <w:r>
              <w:rPr>
                <w:rFonts w:ascii="helvetica" w:hAnsi="helvetica"/>
                <w:sz w:val="20"/>
              </w:rPr>
              <w:t>-  </w:t>
            </w:r>
          </w:p>
        </w:tc>
        <w:tc>
          <w:tcPr>
            <w:tcW w:w="9451" w:type="dxa"/>
            <w:tcBorders/>
            <w:shd w:fill="auto" w:val="clear"/>
          </w:tcPr>
          <w:p>
            <w:pPr>
              <w:pStyle w:val="TableContents"/>
              <w:spacing w:before="0" w:after="0"/>
              <w:ind w:left="0" w:right="0" w:hanging="0"/>
              <w:jc w:val="both"/>
              <w:rPr>
                <w:rFonts w:ascii="helvetica" w:hAnsi="helvetica"/>
                <w:sz w:val="20"/>
              </w:rPr>
            </w:pPr>
            <w:r>
              <w:rPr>
                <w:rFonts w:ascii="helvetica" w:hAnsi="helvetica"/>
                <w:sz w:val="20"/>
              </w:rPr>
              <w:t>On October 5, 2011, the Company issued 37,500 stock options to former employees, valued at $11,400 (see Note 7).</w:t>
            </w:r>
          </w:p>
        </w:tc>
      </w:tr>
    </w:tbl>
    <w:p>
      <w:pPr>
        <w:pStyle w:val="TextBody"/>
        <w:spacing w:before="0" w:after="0"/>
        <w:ind w:left="0" w:right="0" w:hanging="0"/>
        <w:rPr/>
      </w:pPr>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r>
      <w:bookmarkStart w:id="1253" w:name="PGBRK106"/>
      <w:bookmarkStart w:id="1254" w:name="PGBRK106"/>
      <w:bookmarkEnd w:id="125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255" w:name="FTR106"/>
      <w:bookmarkStart w:id="1256" w:name="FTR106"/>
      <w:bookmarkEnd w:id="125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1257" w:name="GLFTR105"/>
      <w:bookmarkEnd w:id="1257"/>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helvetica" w:hAnsi="helvetica"/>
          <w:sz w:val="20"/>
        </w:rPr>
      </w:pPr>
      <w:bookmarkStart w:id="1258" w:name="PN105"/>
      <w:bookmarkEnd w:id="1258"/>
      <w:r>
        <w:rPr>
          <w:rFonts w:ascii="helvetica" w:hAnsi="helvetica"/>
          <w:sz w:val="20"/>
        </w:rPr>
        <w:t>F-35</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259" w:name="HDR105"/>
      <w:bookmarkStart w:id="1260" w:name="HDR105"/>
      <w:bookmarkEnd w:id="126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1261" w:name="GLHDR105"/>
      <w:bookmarkEnd w:id="1261"/>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t> </w:t>
      </w:r>
    </w:p>
    <w:p>
      <w:pPr>
        <w:pStyle w:val="TextBody"/>
        <w:spacing w:before="0" w:after="0"/>
        <w:ind w:left="0" w:right="0" w:hanging="0"/>
        <w:jc w:val="both"/>
        <w:rPr>
          <w:rFonts w:ascii="helvetica" w:hAnsi="helvetica"/>
          <w:sz w:val="20"/>
        </w:rPr>
      </w:pPr>
      <w:r>
        <w:rPr>
          <w:rFonts w:ascii="helvetica" w:hAnsi="helvetica"/>
          <w:sz w:val="20"/>
        </w:rPr>
        <w:t>For the year ended December 31, 2011, the Company recorded $177,421 of stock-based compensation expense for employee options, $11,400 of compensation expense to employees paid in stock options in lieu of cash and $3,332 of stock-based compensation expense related to the vesting of restricted stock (total expense of $192,153).  For the year ended December 31, 2010, the Company recorded $535,812 of stock-based compensation expense for employee options, $12,083 of stock-based compensation expense related to the vesting of restricted stock, $132,300 of expense for stock options issued for consulting services (total expense of $680,195 related to stock options and restricted stock for employees and consultants) and $235,600 of expense for stock issued for consulting services. For the period from Inception through December 31, 2011, the Company recorded stock-based compensation expense for employees, directors and consultants of $2,128,816, respectively, for options and restricted stock granted and vested. The expense for options and restricted stock issued to employees and consultants included in selling, general and administrative expenses and research and development expenses for the years ended December 31, 2011 and 2010 and the period from inception through December 31, 2011 is $154,399 and $37,754, $579,592 and $100,603, and $1,514,145, and $614,671, respectively.  For the years ended December 31, 2011 and 2010 and for the period from Inception through December 31, 2011, the Company amortized $0, $235,600 and $807,608, respectively, of prepaid consulting fees which is included as part of selling, general and administrative expenses.</w:t>
      </w:r>
    </w:p>
    <w:p>
      <w:pPr>
        <w:pStyle w:val="TextBody"/>
        <w:spacing w:before="0" w:after="0"/>
        <w:ind w:left="0" w:right="0" w:hanging="0"/>
        <w:rPr/>
      </w:pPr>
      <w:r>
        <w:rPr/>
        <w:t> </w:t>
      </w:r>
    </w:p>
    <w:p>
      <w:pPr>
        <w:pStyle w:val="TextBody"/>
        <w:spacing w:before="0" w:after="0"/>
        <w:ind w:left="0" w:right="0" w:hanging="0"/>
        <w:jc w:val="left"/>
        <w:rPr>
          <w:rFonts w:ascii="helvetica" w:hAnsi="helvetica"/>
          <w:b/>
          <w:sz w:val="20"/>
        </w:rPr>
      </w:pPr>
      <w:r>
        <w:rPr>
          <w:rFonts w:ascii="helvetica" w:hAnsi="helvetica"/>
          <w:b/>
          <w:sz w:val="20"/>
        </w:rPr>
        <w:t>NOTE 7.   STOCK OPTION PLAN</w:t>
      </w:r>
    </w:p>
    <w:p>
      <w:pPr>
        <w:pStyle w:val="TextBody"/>
        <w:spacing w:before="0" w:after="0"/>
        <w:ind w:left="0" w:right="0" w:hanging="0"/>
        <w:jc w:val="both"/>
        <w:rPr/>
      </w:pPr>
      <w:r>
        <w:rPr/>
        <w:t> </w:t>
      </w:r>
    </w:p>
    <w:p>
      <w:pPr>
        <w:pStyle w:val="TextBody"/>
        <w:spacing w:before="0" w:after="0"/>
        <w:ind w:left="0" w:right="0" w:hanging="0"/>
        <w:jc w:val="both"/>
        <w:rPr>
          <w:rFonts w:ascii="helvetica" w:hAnsi="helvetica"/>
          <w:sz w:val="20"/>
        </w:rPr>
      </w:pPr>
      <w:r>
        <w:rPr>
          <w:rFonts w:ascii="helvetica" w:hAnsi="helvetica"/>
          <w:sz w:val="20"/>
        </w:rPr>
        <w:t>On September 17, 2007, the Company’s Board of Directors and stockholders adopted the 2007 Incentive Stock and Awards Plan (the “Plan”), which provides for the issuance of a maximum of an aggregate of 3,000,000 (as amended on November 5, 2008) shares of Common Stock.  The purpose of the Plan is to provide an incentive to attract and retain directors, officers, consultants, advisors and employees whose services are considered valuable, to encourage a sense of proprietorship and to stimulate an active interest of such persons into the Company’s development and financial success. Under the Plan, the Company is authorized to issue incentive stock options intended to qualify under Section 422 of the Code, non-qualified stock options and restricted stock. The Plan will be administered by the Company’s Board of Directors until such time as such authority has been delegated to a committee of the board of directors.</w:t>
      </w:r>
    </w:p>
    <w:p>
      <w:pPr>
        <w:pStyle w:val="TextBody"/>
        <w:spacing w:before="0" w:after="0"/>
        <w:ind w:left="0" w:right="0" w:hanging="0"/>
        <w:rPr/>
      </w:pPr>
      <w:r>
        <w:rPr/>
        <w:t> </w:t>
      </w:r>
    </w:p>
    <w:p>
      <w:pPr>
        <w:pStyle w:val="TextBody"/>
        <w:spacing w:before="0" w:after="0"/>
        <w:ind w:left="0" w:right="0" w:hanging="0"/>
        <w:jc w:val="both"/>
        <w:rPr>
          <w:rFonts w:ascii="helvetica" w:hAnsi="helvetica"/>
          <w:sz w:val="20"/>
        </w:rPr>
      </w:pPr>
      <w:r>
        <w:rPr>
          <w:rFonts w:ascii="helvetica" w:hAnsi="helvetica"/>
          <w:sz w:val="20"/>
        </w:rPr>
        <w:t>A summary of the Plan for the year ended December 31, 2011 is as follows:</w:t>
      </w:r>
    </w:p>
    <w:p>
      <w:pPr>
        <w:pStyle w:val="TextBody"/>
        <w:spacing w:before="0" w:after="0"/>
        <w:ind w:left="0" w:right="0" w:hanging="0"/>
        <w:jc w:val="both"/>
        <w:rPr/>
      </w:pPr>
      <w:r>
        <w:rPr/>
        <w:t> </w:t>
      </w:r>
    </w:p>
    <w:tbl>
      <w:tblPr>
        <w:tblW w:w="5000" w:type="pct"/>
        <w:jc w:val="left"/>
        <w:tblInd w:w="0" w:type="dxa"/>
        <w:tblCellMar>
          <w:top w:w="0" w:type="dxa"/>
          <w:left w:w="0" w:type="dxa"/>
          <w:bottom w:w="0" w:type="dxa"/>
          <w:right w:w="0" w:type="dxa"/>
        </w:tblCellMar>
      </w:tblPr>
      <w:tblGrid>
        <w:gridCol w:w="4438"/>
        <w:gridCol w:w="107"/>
        <w:gridCol w:w="107"/>
        <w:gridCol w:w="1102"/>
        <w:gridCol w:w="119"/>
        <w:gridCol w:w="107"/>
        <w:gridCol w:w="161"/>
        <w:gridCol w:w="1014"/>
        <w:gridCol w:w="107"/>
        <w:gridCol w:w="107"/>
        <w:gridCol w:w="145"/>
        <w:gridCol w:w="1133"/>
        <w:gridCol w:w="107"/>
        <w:gridCol w:w="107"/>
        <w:gridCol w:w="170"/>
        <w:gridCol w:w="1048"/>
        <w:gridCol w:w="126"/>
      </w:tblGrid>
      <w:tr>
        <w:trPr/>
        <w:tc>
          <w:tcPr>
            <w:tcW w:w="4438" w:type="dxa"/>
            <w:tcBorders/>
            <w:shd w:fill="auto" w:val="clear"/>
            <w:vAlign w:val="bottom"/>
          </w:tcPr>
          <w:p>
            <w:pPr>
              <w:pStyle w:val="TableContents"/>
              <w:spacing w:before="0" w:after="283"/>
              <w:rPr/>
            </w:pPr>
            <w:r>
              <w:rPr/>
              <w:t xml:space="preserve">  </w:t>
            </w:r>
          </w:p>
        </w:tc>
        <w:tc>
          <w:tcPr>
            <w:tcW w:w="107" w:type="dxa"/>
            <w:tcBorders/>
            <w:shd w:fill="auto" w:val="clear"/>
            <w:vAlign w:val="bottom"/>
          </w:tcPr>
          <w:p>
            <w:pPr>
              <w:pStyle w:val="TableContents"/>
              <w:spacing w:before="0" w:after="283"/>
              <w:rPr/>
            </w:pPr>
            <w:r>
              <w:rPr/>
              <w:t> </w:t>
            </w:r>
          </w:p>
        </w:tc>
        <w:tc>
          <w:tcPr>
            <w:tcW w:w="1209"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helvetica" w:hAnsi="helvetica"/>
                <w:b/>
                <w:sz w:val="16"/>
              </w:rPr>
            </w:pPr>
            <w:r>
              <w:rPr>
                <w:rFonts w:ascii="helvetica" w:hAnsi="helvetica"/>
                <w:b/>
                <w:sz w:val="16"/>
              </w:rPr>
              <w:t>Number of shares</w:t>
            </w:r>
          </w:p>
        </w:tc>
        <w:tc>
          <w:tcPr>
            <w:tcW w:w="119" w:type="dxa"/>
            <w:tcBorders/>
            <w:shd w:fill="auto" w:val="clear"/>
            <w:vAlign w:val="bottom"/>
          </w:tcPr>
          <w:p>
            <w:pPr>
              <w:pStyle w:val="TableContents"/>
              <w:spacing w:before="0" w:after="283"/>
              <w:jc w:val="left"/>
              <w:rPr/>
            </w:pPr>
            <w:r>
              <w:rPr/>
              <w:t> </w:t>
            </w:r>
          </w:p>
        </w:tc>
        <w:tc>
          <w:tcPr>
            <w:tcW w:w="107" w:type="dxa"/>
            <w:tcBorders/>
            <w:shd w:fill="auto" w:val="clear"/>
            <w:vAlign w:val="bottom"/>
          </w:tcPr>
          <w:p>
            <w:pPr>
              <w:pStyle w:val="TableContents"/>
              <w:spacing w:before="0" w:after="283"/>
              <w:rPr/>
            </w:pPr>
            <w:r>
              <w:rPr/>
              <w:t> </w:t>
            </w:r>
          </w:p>
        </w:tc>
        <w:tc>
          <w:tcPr>
            <w:tcW w:w="1175"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helvetica" w:hAnsi="helvetica"/>
                <w:b/>
                <w:sz w:val="16"/>
              </w:rPr>
            </w:pPr>
            <w:r>
              <w:rPr>
                <w:rFonts w:ascii="helvetica" w:hAnsi="helvetica"/>
                <w:b/>
                <w:sz w:val="16"/>
              </w:rPr>
              <w:t>Weighted Avg. Exercise Price</w:t>
            </w:r>
          </w:p>
        </w:tc>
        <w:tc>
          <w:tcPr>
            <w:tcW w:w="107" w:type="dxa"/>
            <w:tcBorders/>
            <w:shd w:fill="auto" w:val="clear"/>
            <w:vAlign w:val="bottom"/>
          </w:tcPr>
          <w:p>
            <w:pPr>
              <w:pStyle w:val="TableContents"/>
              <w:spacing w:before="0" w:after="283"/>
              <w:jc w:val="left"/>
              <w:rPr/>
            </w:pPr>
            <w:r>
              <w:rPr/>
              <w:t> </w:t>
            </w:r>
          </w:p>
        </w:tc>
        <w:tc>
          <w:tcPr>
            <w:tcW w:w="107" w:type="dxa"/>
            <w:tcBorders/>
            <w:shd w:fill="auto" w:val="clear"/>
            <w:vAlign w:val="bottom"/>
          </w:tcPr>
          <w:p>
            <w:pPr>
              <w:pStyle w:val="TableContents"/>
              <w:spacing w:before="0" w:after="283"/>
              <w:rPr/>
            </w:pPr>
            <w:r>
              <w:rPr/>
              <w:t> </w:t>
            </w:r>
          </w:p>
        </w:tc>
        <w:tc>
          <w:tcPr>
            <w:tcW w:w="1278"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helvetica" w:hAnsi="helvetica"/>
                <w:b/>
                <w:sz w:val="16"/>
              </w:rPr>
            </w:pPr>
            <w:r>
              <w:rPr>
                <w:rFonts w:ascii="helvetica" w:hAnsi="helvetica"/>
                <w:b/>
                <w:sz w:val="16"/>
              </w:rPr>
              <w:t>Weighted Avg. Remaining Contractual Life</w:t>
            </w:r>
          </w:p>
        </w:tc>
        <w:tc>
          <w:tcPr>
            <w:tcW w:w="107" w:type="dxa"/>
            <w:tcBorders/>
            <w:shd w:fill="auto" w:val="clear"/>
            <w:vAlign w:val="bottom"/>
          </w:tcPr>
          <w:p>
            <w:pPr>
              <w:pStyle w:val="TableContents"/>
              <w:spacing w:before="0" w:after="283"/>
              <w:jc w:val="left"/>
              <w:rPr/>
            </w:pPr>
            <w:r>
              <w:rPr/>
              <w:t> </w:t>
            </w:r>
          </w:p>
        </w:tc>
        <w:tc>
          <w:tcPr>
            <w:tcW w:w="107" w:type="dxa"/>
            <w:tcBorders/>
            <w:shd w:fill="auto" w:val="clear"/>
            <w:vAlign w:val="bottom"/>
          </w:tcPr>
          <w:p>
            <w:pPr>
              <w:pStyle w:val="TableContents"/>
              <w:spacing w:before="0" w:after="283"/>
              <w:rPr/>
            </w:pPr>
            <w:r>
              <w:rPr/>
              <w:t> </w:t>
            </w:r>
          </w:p>
        </w:tc>
        <w:tc>
          <w:tcPr>
            <w:tcW w:w="1218"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helvetica" w:hAnsi="helvetica"/>
                <w:b/>
                <w:sz w:val="16"/>
              </w:rPr>
            </w:pPr>
            <w:r>
              <w:rPr>
                <w:rFonts w:ascii="helvetica" w:hAnsi="helvetica"/>
                <w:b/>
                <w:sz w:val="16"/>
              </w:rPr>
              <w:t>Aggregate Intrinsic Value</w:t>
            </w:r>
          </w:p>
        </w:tc>
        <w:tc>
          <w:tcPr>
            <w:tcW w:w="126" w:type="dxa"/>
            <w:tcBorders/>
            <w:shd w:fill="auto" w:val="clear"/>
            <w:vAlign w:val="bottom"/>
          </w:tcPr>
          <w:p>
            <w:pPr>
              <w:pStyle w:val="TableContents"/>
              <w:spacing w:before="0" w:after="283"/>
              <w:jc w:val="left"/>
              <w:rPr/>
            </w:pPr>
            <w:r>
              <w:rPr/>
              <w:t> </w:t>
            </w:r>
          </w:p>
        </w:tc>
      </w:tr>
      <w:tr>
        <w:trPr/>
        <w:tc>
          <w:tcPr>
            <w:tcW w:w="4438" w:type="dxa"/>
            <w:tcBorders/>
            <w:shd w:fill="CCEEFF" w:val="clear"/>
            <w:vAlign w:val="bottom"/>
          </w:tcPr>
          <w:p>
            <w:pPr>
              <w:pStyle w:val="TableContents"/>
              <w:spacing w:before="0" w:after="0"/>
              <w:ind w:left="0" w:right="0" w:hanging="0"/>
              <w:jc w:val="both"/>
              <w:rPr>
                <w:rFonts w:ascii="helvetica" w:hAnsi="helvetica"/>
                <w:sz w:val="20"/>
              </w:rPr>
            </w:pPr>
            <w:r>
              <w:rPr>
                <w:rFonts w:ascii="helvetica" w:hAnsi="helvetica"/>
                <w:sz w:val="20"/>
              </w:rPr>
              <w:t>Outstanding - January 1, 2011</w:t>
            </w:r>
          </w:p>
        </w:tc>
        <w:tc>
          <w:tcPr>
            <w:tcW w:w="107" w:type="dxa"/>
            <w:tcBorders/>
            <w:shd w:fill="CCEEFF" w:val="clear"/>
            <w:vAlign w:val="bottom"/>
          </w:tcPr>
          <w:p>
            <w:pPr>
              <w:pStyle w:val="TableContents"/>
              <w:spacing w:before="0" w:after="283"/>
              <w:rPr/>
            </w:pPr>
            <w:r>
              <w:rPr/>
              <w:t> </w:t>
            </w:r>
          </w:p>
        </w:tc>
        <w:tc>
          <w:tcPr>
            <w:tcW w:w="107" w:type="dxa"/>
            <w:tcBorders/>
            <w:shd w:fill="CCEEFF" w:val="clear"/>
            <w:vAlign w:val="bottom"/>
          </w:tcPr>
          <w:p>
            <w:pPr>
              <w:pStyle w:val="TableContents"/>
              <w:spacing w:before="0" w:after="283"/>
              <w:jc w:val="left"/>
              <w:rPr/>
            </w:pPr>
            <w:r>
              <w:rPr/>
              <w:t> </w:t>
            </w:r>
          </w:p>
        </w:tc>
        <w:tc>
          <w:tcPr>
            <w:tcW w:w="1102"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313,277</w:t>
            </w:r>
          </w:p>
        </w:tc>
        <w:tc>
          <w:tcPr>
            <w:tcW w:w="119" w:type="dxa"/>
            <w:tcBorders/>
            <w:shd w:fill="CCEEFF" w:val="clear"/>
            <w:vAlign w:val="bottom"/>
          </w:tcPr>
          <w:p>
            <w:pPr>
              <w:pStyle w:val="TableContents"/>
              <w:spacing w:before="0" w:after="283"/>
              <w:jc w:val="left"/>
              <w:rPr/>
            </w:pPr>
            <w:r>
              <w:rPr/>
              <w:t> </w:t>
            </w:r>
          </w:p>
        </w:tc>
        <w:tc>
          <w:tcPr>
            <w:tcW w:w="107" w:type="dxa"/>
            <w:tcBorders/>
            <w:shd w:fill="CCEEFF" w:val="clear"/>
            <w:vAlign w:val="bottom"/>
          </w:tcPr>
          <w:p>
            <w:pPr>
              <w:pStyle w:val="TableContents"/>
              <w:spacing w:before="0" w:after="283"/>
              <w:rPr/>
            </w:pPr>
            <w:r>
              <w:rPr/>
              <w:t> </w:t>
            </w:r>
          </w:p>
        </w:tc>
        <w:tc>
          <w:tcPr>
            <w:tcW w:w="161" w:type="dxa"/>
            <w:tcBorders/>
            <w:shd w:fill="CCEEFF" w:val="clear"/>
            <w:vAlign w:val="bottom"/>
          </w:tcPr>
          <w:p>
            <w:pPr>
              <w:pStyle w:val="TableContents"/>
              <w:spacing w:before="0" w:after="283"/>
              <w:jc w:val="left"/>
              <w:rPr>
                <w:rFonts w:ascii="helvetica" w:hAnsi="helvetica"/>
                <w:sz w:val="20"/>
              </w:rPr>
            </w:pPr>
            <w:r>
              <w:rPr>
                <w:rFonts w:ascii="helvetica" w:hAnsi="helvetica"/>
                <w:sz w:val="20"/>
              </w:rPr>
              <w:t>$</w:t>
            </w:r>
          </w:p>
        </w:tc>
        <w:tc>
          <w:tcPr>
            <w:tcW w:w="1014"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10.96</w:t>
            </w:r>
          </w:p>
        </w:tc>
        <w:tc>
          <w:tcPr>
            <w:tcW w:w="107" w:type="dxa"/>
            <w:tcBorders/>
            <w:shd w:fill="CCEEFF" w:val="clear"/>
            <w:vAlign w:val="bottom"/>
          </w:tcPr>
          <w:p>
            <w:pPr>
              <w:pStyle w:val="TableContents"/>
              <w:spacing w:before="0" w:after="283"/>
              <w:jc w:val="left"/>
              <w:rPr/>
            </w:pPr>
            <w:r>
              <w:rPr/>
              <w:t> </w:t>
            </w:r>
          </w:p>
        </w:tc>
        <w:tc>
          <w:tcPr>
            <w:tcW w:w="107" w:type="dxa"/>
            <w:tcBorders/>
            <w:shd w:fill="CCEEFF" w:val="clear"/>
            <w:vAlign w:val="bottom"/>
          </w:tcPr>
          <w:p>
            <w:pPr>
              <w:pStyle w:val="TableContents"/>
              <w:spacing w:before="0" w:after="283"/>
              <w:rPr/>
            </w:pPr>
            <w:r>
              <w:rPr/>
              <w:t> </w:t>
            </w:r>
          </w:p>
        </w:tc>
        <w:tc>
          <w:tcPr>
            <w:tcW w:w="1278" w:type="dxa"/>
            <w:gridSpan w:val="2"/>
            <w:tcBorders/>
            <w:shd w:fill="CCEEFF" w:val="clear"/>
            <w:vAlign w:val="bottom"/>
          </w:tcPr>
          <w:p>
            <w:pPr>
              <w:pStyle w:val="TableContents"/>
              <w:spacing w:before="0" w:after="283"/>
              <w:rPr/>
            </w:pPr>
            <w:r>
              <w:rPr/>
              <w:t> </w:t>
            </w:r>
          </w:p>
        </w:tc>
        <w:tc>
          <w:tcPr>
            <w:tcW w:w="107" w:type="dxa"/>
            <w:tcBorders/>
            <w:shd w:fill="CCEEFF" w:val="clear"/>
            <w:vAlign w:val="bottom"/>
          </w:tcPr>
          <w:p>
            <w:pPr>
              <w:pStyle w:val="TableContents"/>
              <w:spacing w:before="0" w:after="283"/>
              <w:jc w:val="left"/>
              <w:rPr/>
            </w:pPr>
            <w:r>
              <w:rPr/>
              <w:t> </w:t>
            </w:r>
          </w:p>
        </w:tc>
        <w:tc>
          <w:tcPr>
            <w:tcW w:w="107" w:type="dxa"/>
            <w:tcBorders/>
            <w:shd w:fill="CCEEFF" w:val="clear"/>
            <w:vAlign w:val="bottom"/>
          </w:tcPr>
          <w:p>
            <w:pPr>
              <w:pStyle w:val="TableContents"/>
              <w:spacing w:before="0" w:after="283"/>
              <w:rPr/>
            </w:pPr>
            <w:r>
              <w:rPr/>
              <w:t> </w:t>
            </w:r>
          </w:p>
        </w:tc>
        <w:tc>
          <w:tcPr>
            <w:tcW w:w="1218" w:type="dxa"/>
            <w:gridSpan w:val="2"/>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jc w:val="left"/>
              <w:rPr/>
            </w:pPr>
            <w:r>
              <w:rPr/>
              <w:t> </w:t>
            </w:r>
          </w:p>
        </w:tc>
      </w:tr>
      <w:tr>
        <w:trPr/>
        <w:tc>
          <w:tcPr>
            <w:tcW w:w="4438" w:type="dxa"/>
            <w:tcBorders/>
            <w:shd w:fill="FFFFFF" w:val="clear"/>
            <w:vAlign w:val="bottom"/>
          </w:tcPr>
          <w:p>
            <w:pPr>
              <w:pStyle w:val="TableContents"/>
              <w:spacing w:before="0" w:after="0"/>
              <w:ind w:left="0" w:right="0" w:hanging="0"/>
              <w:jc w:val="both"/>
              <w:rPr>
                <w:rFonts w:ascii="helvetica" w:hAnsi="helvetica"/>
                <w:sz w:val="20"/>
              </w:rPr>
            </w:pPr>
            <w:r>
              <w:rPr>
                <w:rFonts w:ascii="helvetica" w:hAnsi="helvetica"/>
                <w:sz w:val="20"/>
              </w:rPr>
              <w:t>Granted</w:t>
            </w:r>
          </w:p>
        </w:tc>
        <w:tc>
          <w:tcPr>
            <w:tcW w:w="107" w:type="dxa"/>
            <w:tcBorders/>
            <w:shd w:fill="FFFFFF" w:val="clear"/>
            <w:vAlign w:val="bottom"/>
          </w:tcPr>
          <w:p>
            <w:pPr>
              <w:pStyle w:val="TableContents"/>
              <w:spacing w:before="0" w:after="283"/>
              <w:rPr/>
            </w:pPr>
            <w:r>
              <w:rPr/>
              <w:t> </w:t>
            </w:r>
          </w:p>
        </w:tc>
        <w:tc>
          <w:tcPr>
            <w:tcW w:w="107" w:type="dxa"/>
            <w:tcBorders/>
            <w:shd w:fill="FFFFFF" w:val="clear"/>
            <w:vAlign w:val="bottom"/>
          </w:tcPr>
          <w:p>
            <w:pPr>
              <w:pStyle w:val="TableContents"/>
              <w:spacing w:before="0" w:after="283"/>
              <w:jc w:val="left"/>
              <w:rPr/>
            </w:pPr>
            <w:r>
              <w:rPr/>
              <w:t> </w:t>
            </w:r>
          </w:p>
        </w:tc>
        <w:tc>
          <w:tcPr>
            <w:tcW w:w="1102"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37,500</w:t>
            </w:r>
          </w:p>
        </w:tc>
        <w:tc>
          <w:tcPr>
            <w:tcW w:w="119" w:type="dxa"/>
            <w:tcBorders/>
            <w:shd w:fill="FFFFFF" w:val="clear"/>
            <w:vAlign w:val="bottom"/>
          </w:tcPr>
          <w:p>
            <w:pPr>
              <w:pStyle w:val="TableContents"/>
              <w:spacing w:before="0" w:after="283"/>
              <w:jc w:val="left"/>
              <w:rPr/>
            </w:pPr>
            <w:r>
              <w:rPr/>
              <w:t> </w:t>
            </w:r>
          </w:p>
        </w:tc>
        <w:tc>
          <w:tcPr>
            <w:tcW w:w="107" w:type="dxa"/>
            <w:tcBorders/>
            <w:shd w:fill="FFFFFF" w:val="clear"/>
            <w:vAlign w:val="bottom"/>
          </w:tcPr>
          <w:p>
            <w:pPr>
              <w:pStyle w:val="TableContents"/>
              <w:spacing w:before="0" w:after="283"/>
              <w:rPr/>
            </w:pPr>
            <w:r>
              <w:rPr/>
              <w:t> </w:t>
            </w:r>
          </w:p>
        </w:tc>
        <w:tc>
          <w:tcPr>
            <w:tcW w:w="161" w:type="dxa"/>
            <w:tcBorders/>
            <w:shd w:fill="FFFFFF" w:val="clear"/>
            <w:vAlign w:val="bottom"/>
          </w:tcPr>
          <w:p>
            <w:pPr>
              <w:pStyle w:val="TableContents"/>
              <w:spacing w:before="0" w:after="283"/>
              <w:jc w:val="left"/>
              <w:rPr/>
            </w:pPr>
            <w:r>
              <w:rPr/>
              <w:t> </w:t>
            </w:r>
          </w:p>
        </w:tc>
        <w:tc>
          <w:tcPr>
            <w:tcW w:w="1014"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0.80</w:t>
            </w:r>
          </w:p>
        </w:tc>
        <w:tc>
          <w:tcPr>
            <w:tcW w:w="107" w:type="dxa"/>
            <w:tcBorders/>
            <w:shd w:fill="FFFFFF" w:val="clear"/>
            <w:vAlign w:val="bottom"/>
          </w:tcPr>
          <w:p>
            <w:pPr>
              <w:pStyle w:val="TableContents"/>
              <w:spacing w:before="0" w:after="283"/>
              <w:jc w:val="left"/>
              <w:rPr/>
            </w:pPr>
            <w:r>
              <w:rPr/>
              <w:t> </w:t>
            </w:r>
          </w:p>
        </w:tc>
        <w:tc>
          <w:tcPr>
            <w:tcW w:w="107" w:type="dxa"/>
            <w:tcBorders/>
            <w:shd w:fill="FFFFFF" w:val="clear"/>
            <w:vAlign w:val="bottom"/>
          </w:tcPr>
          <w:p>
            <w:pPr>
              <w:pStyle w:val="TableContents"/>
              <w:spacing w:before="0" w:after="283"/>
              <w:rPr/>
            </w:pPr>
            <w:r>
              <w:rPr/>
              <w:t> </w:t>
            </w:r>
          </w:p>
        </w:tc>
        <w:tc>
          <w:tcPr>
            <w:tcW w:w="1278" w:type="dxa"/>
            <w:gridSpan w:val="2"/>
            <w:tcBorders/>
            <w:shd w:fill="FFFFFF" w:val="clear"/>
            <w:vAlign w:val="bottom"/>
          </w:tcPr>
          <w:p>
            <w:pPr>
              <w:pStyle w:val="TableContents"/>
              <w:spacing w:before="0" w:after="283"/>
              <w:rPr/>
            </w:pPr>
            <w:r>
              <w:rPr/>
              <w:t> </w:t>
            </w:r>
          </w:p>
        </w:tc>
        <w:tc>
          <w:tcPr>
            <w:tcW w:w="107" w:type="dxa"/>
            <w:tcBorders/>
            <w:shd w:fill="FFFFFF" w:val="clear"/>
            <w:vAlign w:val="bottom"/>
          </w:tcPr>
          <w:p>
            <w:pPr>
              <w:pStyle w:val="TableContents"/>
              <w:spacing w:before="0" w:after="283"/>
              <w:jc w:val="left"/>
              <w:rPr/>
            </w:pPr>
            <w:r>
              <w:rPr/>
              <w:t> </w:t>
            </w:r>
          </w:p>
        </w:tc>
        <w:tc>
          <w:tcPr>
            <w:tcW w:w="107" w:type="dxa"/>
            <w:tcBorders/>
            <w:shd w:fill="FFFFFF" w:val="clear"/>
            <w:vAlign w:val="bottom"/>
          </w:tcPr>
          <w:p>
            <w:pPr>
              <w:pStyle w:val="TableContents"/>
              <w:spacing w:before="0" w:after="283"/>
              <w:rPr/>
            </w:pPr>
            <w:r>
              <w:rPr/>
              <w:t> </w:t>
            </w:r>
          </w:p>
        </w:tc>
        <w:tc>
          <w:tcPr>
            <w:tcW w:w="1218" w:type="dxa"/>
            <w:gridSpan w:val="2"/>
            <w:tcBorders/>
            <w:shd w:fill="FFFFFF" w:val="clear"/>
            <w:vAlign w:val="bottom"/>
          </w:tcPr>
          <w:p>
            <w:pPr>
              <w:pStyle w:val="TableContents"/>
              <w:spacing w:before="0" w:after="283"/>
              <w:rPr/>
            </w:pPr>
            <w:r>
              <w:rPr/>
              <w:t> </w:t>
            </w:r>
          </w:p>
        </w:tc>
        <w:tc>
          <w:tcPr>
            <w:tcW w:w="126" w:type="dxa"/>
            <w:tcBorders/>
            <w:shd w:fill="FFFFFF" w:val="clear"/>
            <w:vAlign w:val="bottom"/>
          </w:tcPr>
          <w:p>
            <w:pPr>
              <w:pStyle w:val="TableContents"/>
              <w:spacing w:before="0" w:after="283"/>
              <w:jc w:val="left"/>
              <w:rPr/>
            </w:pPr>
            <w:r>
              <w:rPr/>
              <w:t> </w:t>
            </w:r>
          </w:p>
        </w:tc>
      </w:tr>
      <w:tr>
        <w:trPr/>
        <w:tc>
          <w:tcPr>
            <w:tcW w:w="4438" w:type="dxa"/>
            <w:tcBorders/>
            <w:shd w:fill="CCEEFF" w:val="clear"/>
            <w:vAlign w:val="bottom"/>
          </w:tcPr>
          <w:p>
            <w:pPr>
              <w:pStyle w:val="TableContents"/>
              <w:spacing w:before="0" w:after="0"/>
              <w:ind w:left="0" w:right="0" w:hanging="0"/>
              <w:jc w:val="both"/>
              <w:rPr>
                <w:rFonts w:ascii="helvetica" w:hAnsi="helvetica"/>
                <w:sz w:val="20"/>
              </w:rPr>
            </w:pPr>
            <w:r>
              <w:rPr>
                <w:rFonts w:ascii="helvetica" w:hAnsi="helvetica"/>
                <w:sz w:val="20"/>
              </w:rPr>
              <w:t>Exercised</w:t>
            </w:r>
          </w:p>
        </w:tc>
        <w:tc>
          <w:tcPr>
            <w:tcW w:w="107" w:type="dxa"/>
            <w:tcBorders/>
            <w:shd w:fill="CCEEFF" w:val="clear"/>
            <w:vAlign w:val="bottom"/>
          </w:tcPr>
          <w:p>
            <w:pPr>
              <w:pStyle w:val="TableContents"/>
              <w:spacing w:before="0" w:after="283"/>
              <w:rPr/>
            </w:pPr>
            <w:r>
              <w:rPr/>
              <w:t> </w:t>
            </w:r>
          </w:p>
        </w:tc>
        <w:tc>
          <w:tcPr>
            <w:tcW w:w="107" w:type="dxa"/>
            <w:tcBorders/>
            <w:shd w:fill="CCEEFF" w:val="clear"/>
            <w:vAlign w:val="bottom"/>
          </w:tcPr>
          <w:p>
            <w:pPr>
              <w:pStyle w:val="TableContents"/>
              <w:spacing w:before="0" w:after="283"/>
              <w:jc w:val="left"/>
              <w:rPr/>
            </w:pPr>
            <w:r>
              <w:rPr/>
              <w:t> </w:t>
            </w:r>
          </w:p>
        </w:tc>
        <w:tc>
          <w:tcPr>
            <w:tcW w:w="1102"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w:t>
            </w:r>
          </w:p>
        </w:tc>
        <w:tc>
          <w:tcPr>
            <w:tcW w:w="119" w:type="dxa"/>
            <w:tcBorders/>
            <w:shd w:fill="CCEEFF" w:val="clear"/>
            <w:vAlign w:val="bottom"/>
          </w:tcPr>
          <w:p>
            <w:pPr>
              <w:pStyle w:val="TableContents"/>
              <w:spacing w:before="0" w:after="283"/>
              <w:jc w:val="left"/>
              <w:rPr/>
            </w:pPr>
            <w:r>
              <w:rPr/>
              <w:t> </w:t>
            </w:r>
          </w:p>
        </w:tc>
        <w:tc>
          <w:tcPr>
            <w:tcW w:w="107" w:type="dxa"/>
            <w:tcBorders/>
            <w:shd w:fill="CCEEFF" w:val="clear"/>
            <w:vAlign w:val="bottom"/>
          </w:tcPr>
          <w:p>
            <w:pPr>
              <w:pStyle w:val="TableContents"/>
              <w:spacing w:before="0" w:after="283"/>
              <w:rPr/>
            </w:pPr>
            <w:r>
              <w:rPr/>
              <w:t> </w:t>
            </w:r>
          </w:p>
        </w:tc>
        <w:tc>
          <w:tcPr>
            <w:tcW w:w="161" w:type="dxa"/>
            <w:tcBorders/>
            <w:shd w:fill="CCEEFF" w:val="clear"/>
            <w:vAlign w:val="bottom"/>
          </w:tcPr>
          <w:p>
            <w:pPr>
              <w:pStyle w:val="TableContents"/>
              <w:spacing w:before="0" w:after="283"/>
              <w:jc w:val="left"/>
              <w:rPr/>
            </w:pPr>
            <w:r>
              <w:rPr/>
              <w:t> </w:t>
            </w:r>
          </w:p>
        </w:tc>
        <w:tc>
          <w:tcPr>
            <w:tcW w:w="1014"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w:t>
            </w:r>
          </w:p>
        </w:tc>
        <w:tc>
          <w:tcPr>
            <w:tcW w:w="107" w:type="dxa"/>
            <w:tcBorders/>
            <w:shd w:fill="CCEEFF" w:val="clear"/>
            <w:vAlign w:val="bottom"/>
          </w:tcPr>
          <w:p>
            <w:pPr>
              <w:pStyle w:val="TableContents"/>
              <w:spacing w:before="0" w:after="283"/>
              <w:jc w:val="left"/>
              <w:rPr/>
            </w:pPr>
            <w:r>
              <w:rPr/>
              <w:t> </w:t>
            </w:r>
          </w:p>
        </w:tc>
        <w:tc>
          <w:tcPr>
            <w:tcW w:w="107" w:type="dxa"/>
            <w:tcBorders/>
            <w:shd w:fill="CCEEFF" w:val="clear"/>
            <w:vAlign w:val="bottom"/>
          </w:tcPr>
          <w:p>
            <w:pPr>
              <w:pStyle w:val="TableContents"/>
              <w:spacing w:before="0" w:after="283"/>
              <w:rPr/>
            </w:pPr>
            <w:r>
              <w:rPr/>
              <w:t> </w:t>
            </w:r>
          </w:p>
        </w:tc>
        <w:tc>
          <w:tcPr>
            <w:tcW w:w="1278" w:type="dxa"/>
            <w:gridSpan w:val="2"/>
            <w:tcBorders/>
            <w:shd w:fill="CCEEFF" w:val="clear"/>
            <w:vAlign w:val="bottom"/>
          </w:tcPr>
          <w:p>
            <w:pPr>
              <w:pStyle w:val="TableContents"/>
              <w:spacing w:before="0" w:after="283"/>
              <w:rPr/>
            </w:pPr>
            <w:r>
              <w:rPr/>
              <w:t> </w:t>
            </w:r>
          </w:p>
        </w:tc>
        <w:tc>
          <w:tcPr>
            <w:tcW w:w="107" w:type="dxa"/>
            <w:tcBorders/>
            <w:shd w:fill="CCEEFF" w:val="clear"/>
            <w:vAlign w:val="bottom"/>
          </w:tcPr>
          <w:p>
            <w:pPr>
              <w:pStyle w:val="TableContents"/>
              <w:spacing w:before="0" w:after="283"/>
              <w:jc w:val="left"/>
              <w:rPr/>
            </w:pPr>
            <w:r>
              <w:rPr/>
              <w:t> </w:t>
            </w:r>
          </w:p>
        </w:tc>
        <w:tc>
          <w:tcPr>
            <w:tcW w:w="107" w:type="dxa"/>
            <w:tcBorders/>
            <w:shd w:fill="CCEEFF" w:val="clear"/>
            <w:vAlign w:val="bottom"/>
          </w:tcPr>
          <w:p>
            <w:pPr>
              <w:pStyle w:val="TableContents"/>
              <w:spacing w:before="0" w:after="283"/>
              <w:rPr/>
            </w:pPr>
            <w:r>
              <w:rPr/>
              <w:t> </w:t>
            </w:r>
          </w:p>
        </w:tc>
        <w:tc>
          <w:tcPr>
            <w:tcW w:w="1218" w:type="dxa"/>
            <w:gridSpan w:val="2"/>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jc w:val="left"/>
              <w:rPr/>
            </w:pPr>
            <w:r>
              <w:rPr/>
              <w:t> </w:t>
            </w:r>
          </w:p>
        </w:tc>
      </w:tr>
      <w:tr>
        <w:trPr/>
        <w:tc>
          <w:tcPr>
            <w:tcW w:w="4438" w:type="dxa"/>
            <w:tcBorders/>
            <w:shd w:fill="FFFFFF" w:val="clear"/>
            <w:vAlign w:val="bottom"/>
          </w:tcPr>
          <w:p>
            <w:pPr>
              <w:pStyle w:val="TableContents"/>
              <w:spacing w:before="0" w:after="0"/>
              <w:ind w:left="0" w:right="0" w:hanging="0"/>
              <w:jc w:val="both"/>
              <w:rPr>
                <w:rFonts w:ascii="helvetica" w:hAnsi="helvetica"/>
                <w:sz w:val="20"/>
              </w:rPr>
            </w:pPr>
            <w:r>
              <w:rPr>
                <w:rFonts w:ascii="helvetica" w:hAnsi="helvetica"/>
                <w:sz w:val="20"/>
              </w:rPr>
              <w:t>Cancelled/Forfeited</w:t>
            </w:r>
          </w:p>
        </w:tc>
        <w:tc>
          <w:tcPr>
            <w:tcW w:w="107" w:type="dxa"/>
            <w:tcBorders/>
            <w:shd w:fill="FFFFFF" w:val="clear"/>
            <w:vAlign w:val="bottom"/>
          </w:tcPr>
          <w:p>
            <w:pPr>
              <w:pStyle w:val="TableContents"/>
              <w:spacing w:before="0" w:after="283"/>
              <w:rPr/>
            </w:pPr>
            <w:r>
              <w:rPr/>
              <w:t> </w:t>
            </w:r>
          </w:p>
        </w:tc>
        <w:tc>
          <w:tcPr>
            <w:tcW w:w="107"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102" w:type="dxa"/>
            <w:tcBorders>
              <w:bottom w:val="single" w:sz="12" w:space="0" w:color="000000"/>
            </w:tcBorders>
            <w:shd w:fill="FFFF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(200,625</w:t>
            </w:r>
          </w:p>
        </w:tc>
        <w:tc>
          <w:tcPr>
            <w:tcW w:w="119" w:type="dxa"/>
            <w:tcBorders/>
            <w:shd w:fill="FFFFFF" w:val="clear"/>
            <w:vAlign w:val="bottom"/>
          </w:tcPr>
          <w:p>
            <w:pPr>
              <w:pStyle w:val="TableContents"/>
              <w:spacing w:before="0" w:after="283"/>
              <w:jc w:val="left"/>
              <w:rPr>
                <w:rFonts w:ascii="helvetica" w:hAnsi="helvetica"/>
                <w:sz w:val="20"/>
              </w:rPr>
            </w:pPr>
            <w:r>
              <w:rPr>
                <w:rFonts w:ascii="helvetica" w:hAnsi="helvetica"/>
                <w:sz w:val="20"/>
              </w:rPr>
              <w:t>)</w:t>
            </w:r>
          </w:p>
        </w:tc>
        <w:tc>
          <w:tcPr>
            <w:tcW w:w="107" w:type="dxa"/>
            <w:tcBorders/>
            <w:shd w:fill="FFFFFF" w:val="clear"/>
            <w:vAlign w:val="bottom"/>
          </w:tcPr>
          <w:p>
            <w:pPr>
              <w:pStyle w:val="TableContents"/>
              <w:spacing w:before="0" w:after="283"/>
              <w:rPr/>
            </w:pPr>
            <w:r>
              <w:rPr/>
              <w:t> </w:t>
            </w:r>
          </w:p>
        </w:tc>
        <w:tc>
          <w:tcPr>
            <w:tcW w:w="161"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14" w:type="dxa"/>
            <w:tcBorders>
              <w:bottom w:val="single" w:sz="12" w:space="0" w:color="000000"/>
            </w:tcBorders>
            <w:shd w:fill="FFFF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10.08</w:t>
            </w:r>
          </w:p>
        </w:tc>
        <w:tc>
          <w:tcPr>
            <w:tcW w:w="107" w:type="dxa"/>
            <w:tcBorders/>
            <w:shd w:fill="FFFFFF" w:val="clear"/>
            <w:vAlign w:val="bottom"/>
          </w:tcPr>
          <w:p>
            <w:pPr>
              <w:pStyle w:val="TableContents"/>
              <w:spacing w:before="0" w:after="283"/>
              <w:jc w:val="left"/>
              <w:rPr/>
            </w:pPr>
            <w:r>
              <w:rPr/>
              <w:t> </w:t>
            </w:r>
          </w:p>
        </w:tc>
        <w:tc>
          <w:tcPr>
            <w:tcW w:w="107" w:type="dxa"/>
            <w:tcBorders/>
            <w:shd w:fill="FFFFFF" w:val="clear"/>
            <w:vAlign w:val="bottom"/>
          </w:tcPr>
          <w:p>
            <w:pPr>
              <w:pStyle w:val="TableContents"/>
              <w:spacing w:before="0" w:after="283"/>
              <w:rPr/>
            </w:pPr>
            <w:r>
              <w:rPr/>
              <w:t> </w:t>
            </w:r>
          </w:p>
        </w:tc>
        <w:tc>
          <w:tcPr>
            <w:tcW w:w="1278" w:type="dxa"/>
            <w:gridSpan w:val="2"/>
            <w:tcBorders>
              <w:bottom w:val="single" w:sz="12" w:space="0" w:color="000000"/>
            </w:tcBorders>
            <w:shd w:fill="FFFFFF" w:val="clear"/>
            <w:tcMar>
              <w:bottom w:w="28" w:type="dxa"/>
            </w:tcMar>
            <w:vAlign w:val="bottom"/>
          </w:tcPr>
          <w:p>
            <w:pPr>
              <w:pStyle w:val="TableContents"/>
              <w:spacing w:before="0" w:after="283"/>
              <w:rPr/>
            </w:pPr>
            <w:r>
              <w:rPr/>
              <w:t> </w:t>
            </w:r>
          </w:p>
        </w:tc>
        <w:tc>
          <w:tcPr>
            <w:tcW w:w="107" w:type="dxa"/>
            <w:tcBorders/>
            <w:shd w:fill="FFFFFF" w:val="clear"/>
            <w:vAlign w:val="bottom"/>
          </w:tcPr>
          <w:p>
            <w:pPr>
              <w:pStyle w:val="TableContents"/>
              <w:spacing w:before="0" w:after="283"/>
              <w:jc w:val="left"/>
              <w:rPr/>
            </w:pPr>
            <w:r>
              <w:rPr/>
              <w:t> </w:t>
            </w:r>
          </w:p>
        </w:tc>
        <w:tc>
          <w:tcPr>
            <w:tcW w:w="107" w:type="dxa"/>
            <w:tcBorders/>
            <w:shd w:fill="FFFFFF" w:val="clear"/>
            <w:vAlign w:val="bottom"/>
          </w:tcPr>
          <w:p>
            <w:pPr>
              <w:pStyle w:val="TableContents"/>
              <w:spacing w:before="0" w:after="283"/>
              <w:rPr/>
            </w:pPr>
            <w:r>
              <w:rPr/>
              <w:t> </w:t>
            </w:r>
          </w:p>
        </w:tc>
        <w:tc>
          <w:tcPr>
            <w:tcW w:w="1218" w:type="dxa"/>
            <w:gridSpan w:val="2"/>
            <w:tcBorders>
              <w:bottom w:val="single" w:sz="12" w:space="0" w:color="000000"/>
            </w:tcBorders>
            <w:shd w:fill="FFFFFF" w:val="clear"/>
            <w:tcMar>
              <w:bottom w:w="28" w:type="dxa"/>
            </w:tcMar>
            <w:vAlign w:val="bottom"/>
          </w:tcPr>
          <w:p>
            <w:pPr>
              <w:pStyle w:val="TableContents"/>
              <w:spacing w:before="0" w:after="283"/>
              <w:rPr/>
            </w:pPr>
            <w:r>
              <w:rPr/>
              <w:t> </w:t>
            </w:r>
          </w:p>
        </w:tc>
        <w:tc>
          <w:tcPr>
            <w:tcW w:w="126" w:type="dxa"/>
            <w:tcBorders/>
            <w:shd w:fill="FFFFFF" w:val="clear"/>
            <w:vAlign w:val="bottom"/>
          </w:tcPr>
          <w:p>
            <w:pPr>
              <w:pStyle w:val="TableContents"/>
              <w:spacing w:before="0" w:after="283"/>
              <w:jc w:val="left"/>
              <w:rPr/>
            </w:pPr>
            <w:r>
              <w:rPr/>
              <w:t> </w:t>
            </w:r>
          </w:p>
        </w:tc>
      </w:tr>
      <w:tr>
        <w:trPr/>
        <w:tc>
          <w:tcPr>
            <w:tcW w:w="4438" w:type="dxa"/>
            <w:tcBorders/>
            <w:shd w:fill="CCEEFF" w:val="clear"/>
            <w:vAlign w:val="bottom"/>
          </w:tcPr>
          <w:p>
            <w:pPr>
              <w:pStyle w:val="TableContents"/>
              <w:spacing w:before="0" w:after="0"/>
              <w:ind w:left="0" w:right="0" w:hanging="0"/>
              <w:jc w:val="both"/>
              <w:rPr>
                <w:rFonts w:ascii="helvetica" w:hAnsi="helvetica"/>
                <w:sz w:val="20"/>
              </w:rPr>
            </w:pPr>
            <w:r>
              <w:rPr>
                <w:rFonts w:ascii="helvetica" w:hAnsi="helvetica"/>
                <w:sz w:val="20"/>
              </w:rPr>
              <w:t>Outstanding - December 31, 2011</w:t>
            </w:r>
          </w:p>
        </w:tc>
        <w:tc>
          <w:tcPr>
            <w:tcW w:w="107" w:type="dxa"/>
            <w:tcBorders/>
            <w:shd w:fill="CCEEFF" w:val="clear"/>
            <w:vAlign w:val="bottom"/>
          </w:tcPr>
          <w:p>
            <w:pPr>
              <w:pStyle w:val="TableContents"/>
              <w:spacing w:before="0" w:after="283"/>
              <w:rPr/>
            </w:pPr>
            <w:r>
              <w:rPr/>
              <w:t> </w:t>
            </w:r>
          </w:p>
        </w:tc>
        <w:tc>
          <w:tcPr>
            <w:tcW w:w="107" w:type="dxa"/>
            <w:tcBorders>
              <w:bottom w:val="double" w:sz="8" w:space="0" w:color="000000"/>
            </w:tcBorders>
            <w:shd w:fill="CCEEFF" w:val="clear"/>
            <w:tcMar>
              <w:bottom w:w="28" w:type="dxa"/>
            </w:tcMar>
            <w:vAlign w:val="bottom"/>
          </w:tcPr>
          <w:p>
            <w:pPr>
              <w:pStyle w:val="TableContents"/>
              <w:spacing w:before="0" w:after="283"/>
              <w:jc w:val="left"/>
              <w:rPr/>
            </w:pPr>
            <w:r>
              <w:rPr/>
              <w:t> </w:t>
            </w:r>
          </w:p>
        </w:tc>
        <w:tc>
          <w:tcPr>
            <w:tcW w:w="1102" w:type="dxa"/>
            <w:tcBorders>
              <w:bottom w:val="double" w:sz="8" w:space="0" w:color="000000"/>
            </w:tcBorders>
            <w:shd w:fill="CCEE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150,152</w:t>
            </w:r>
          </w:p>
        </w:tc>
        <w:tc>
          <w:tcPr>
            <w:tcW w:w="119" w:type="dxa"/>
            <w:tcBorders/>
            <w:shd w:fill="CCEEFF" w:val="clear"/>
            <w:vAlign w:val="bottom"/>
          </w:tcPr>
          <w:p>
            <w:pPr>
              <w:pStyle w:val="TableContents"/>
              <w:spacing w:before="0" w:after="283"/>
              <w:jc w:val="left"/>
              <w:rPr/>
            </w:pPr>
            <w:r>
              <w:rPr/>
              <w:t> </w:t>
            </w:r>
          </w:p>
        </w:tc>
        <w:tc>
          <w:tcPr>
            <w:tcW w:w="107" w:type="dxa"/>
            <w:tcBorders/>
            <w:shd w:fill="CCEEFF" w:val="clear"/>
            <w:vAlign w:val="bottom"/>
          </w:tcPr>
          <w:p>
            <w:pPr>
              <w:pStyle w:val="TableContents"/>
              <w:spacing w:before="0" w:after="283"/>
              <w:rPr/>
            </w:pPr>
            <w:r>
              <w:rPr/>
              <w:t> </w:t>
            </w:r>
          </w:p>
        </w:tc>
        <w:tc>
          <w:tcPr>
            <w:tcW w:w="161" w:type="dxa"/>
            <w:tcBorders>
              <w:bottom w:val="double" w:sz="8" w:space="0" w:color="000000"/>
            </w:tcBorders>
            <w:shd w:fill="CCEEFF" w:val="clear"/>
            <w:tcMar>
              <w:bottom w:w="28" w:type="dxa"/>
            </w:tcMar>
            <w:vAlign w:val="bottom"/>
          </w:tcPr>
          <w:p>
            <w:pPr>
              <w:pStyle w:val="TableContents"/>
              <w:spacing w:before="0" w:after="283"/>
              <w:jc w:val="left"/>
              <w:rPr>
                <w:rFonts w:ascii="helvetica" w:hAnsi="helvetica"/>
                <w:sz w:val="20"/>
              </w:rPr>
            </w:pPr>
            <w:r>
              <w:rPr>
                <w:rFonts w:ascii="helvetica" w:hAnsi="helvetica"/>
                <w:sz w:val="20"/>
              </w:rPr>
              <w:t>$</w:t>
            </w:r>
          </w:p>
        </w:tc>
        <w:tc>
          <w:tcPr>
            <w:tcW w:w="1014" w:type="dxa"/>
            <w:tcBorders>
              <w:bottom w:val="double" w:sz="8" w:space="0" w:color="000000"/>
            </w:tcBorders>
            <w:shd w:fill="CCEE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9.68</w:t>
            </w:r>
          </w:p>
        </w:tc>
        <w:tc>
          <w:tcPr>
            <w:tcW w:w="107" w:type="dxa"/>
            <w:tcBorders/>
            <w:shd w:fill="CCEEFF" w:val="clear"/>
            <w:vAlign w:val="bottom"/>
          </w:tcPr>
          <w:p>
            <w:pPr>
              <w:pStyle w:val="TableContents"/>
              <w:spacing w:before="0" w:after="283"/>
              <w:jc w:val="left"/>
              <w:rPr/>
            </w:pPr>
            <w:r>
              <w:rPr/>
              <w:t> </w:t>
            </w:r>
          </w:p>
        </w:tc>
        <w:tc>
          <w:tcPr>
            <w:tcW w:w="107" w:type="dxa"/>
            <w:tcBorders/>
            <w:shd w:fill="CCEEFF" w:val="clear"/>
            <w:vAlign w:val="bottom"/>
          </w:tcPr>
          <w:p>
            <w:pPr>
              <w:pStyle w:val="TableContents"/>
              <w:spacing w:before="0" w:after="283"/>
              <w:rPr/>
            </w:pPr>
            <w:r>
              <w:rPr/>
              <w:t> </w:t>
            </w:r>
          </w:p>
        </w:tc>
        <w:tc>
          <w:tcPr>
            <w:tcW w:w="145" w:type="dxa"/>
            <w:tcBorders>
              <w:bottom w:val="double" w:sz="8" w:space="0" w:color="000000"/>
            </w:tcBorders>
            <w:shd w:fill="CCEEFF" w:val="clear"/>
            <w:tcMar>
              <w:bottom w:w="28" w:type="dxa"/>
            </w:tcMar>
            <w:vAlign w:val="bottom"/>
          </w:tcPr>
          <w:p>
            <w:pPr>
              <w:pStyle w:val="TableContents"/>
              <w:spacing w:before="0" w:after="283"/>
              <w:jc w:val="left"/>
              <w:rPr/>
            </w:pPr>
            <w:r>
              <w:rPr/>
              <w:t> </w:t>
            </w:r>
          </w:p>
        </w:tc>
        <w:tc>
          <w:tcPr>
            <w:tcW w:w="1133" w:type="dxa"/>
            <w:tcBorders>
              <w:bottom w:val="double" w:sz="8" w:space="0" w:color="000000"/>
            </w:tcBorders>
            <w:shd w:fill="CCEE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3.28</w:t>
            </w:r>
          </w:p>
        </w:tc>
        <w:tc>
          <w:tcPr>
            <w:tcW w:w="107" w:type="dxa"/>
            <w:tcBorders/>
            <w:shd w:fill="CCEEFF" w:val="clear"/>
            <w:vAlign w:val="bottom"/>
          </w:tcPr>
          <w:p>
            <w:pPr>
              <w:pStyle w:val="TableContents"/>
              <w:spacing w:before="0" w:after="283"/>
              <w:jc w:val="left"/>
              <w:rPr/>
            </w:pPr>
            <w:r>
              <w:rPr/>
              <w:t> </w:t>
            </w:r>
          </w:p>
        </w:tc>
        <w:tc>
          <w:tcPr>
            <w:tcW w:w="107" w:type="dxa"/>
            <w:tcBorders/>
            <w:shd w:fill="CCEEFF" w:val="clear"/>
            <w:vAlign w:val="bottom"/>
          </w:tcPr>
          <w:p>
            <w:pPr>
              <w:pStyle w:val="TableContents"/>
              <w:spacing w:before="0" w:after="283"/>
              <w:rPr/>
            </w:pPr>
            <w:r>
              <w:rPr/>
              <w:t> </w:t>
            </w:r>
          </w:p>
        </w:tc>
        <w:tc>
          <w:tcPr>
            <w:tcW w:w="170" w:type="dxa"/>
            <w:tcBorders>
              <w:bottom w:val="double" w:sz="8" w:space="0" w:color="000000"/>
            </w:tcBorders>
            <w:shd w:fill="CCEEFF" w:val="clear"/>
            <w:tcMar>
              <w:bottom w:w="28" w:type="dxa"/>
            </w:tcMar>
            <w:vAlign w:val="bottom"/>
          </w:tcPr>
          <w:p>
            <w:pPr>
              <w:pStyle w:val="TableContents"/>
              <w:spacing w:before="0" w:after="283"/>
              <w:jc w:val="left"/>
              <w:rPr>
                <w:rFonts w:ascii="helvetica" w:hAnsi="helvetica"/>
                <w:sz w:val="20"/>
              </w:rPr>
            </w:pPr>
            <w:r>
              <w:rPr>
                <w:rFonts w:ascii="helvetica" w:hAnsi="helvetica"/>
                <w:sz w:val="20"/>
              </w:rPr>
              <w:t>$</w:t>
            </w:r>
          </w:p>
        </w:tc>
        <w:tc>
          <w:tcPr>
            <w:tcW w:w="1048" w:type="dxa"/>
            <w:tcBorders>
              <w:bottom w:val="double" w:sz="8" w:space="0" w:color="000000"/>
            </w:tcBorders>
            <w:shd w:fill="CCEE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6,000</w:t>
            </w:r>
          </w:p>
        </w:tc>
        <w:tc>
          <w:tcPr>
            <w:tcW w:w="126" w:type="dxa"/>
            <w:tcBorders/>
            <w:shd w:fill="CCEEFF" w:val="clear"/>
            <w:vAlign w:val="bottom"/>
          </w:tcPr>
          <w:p>
            <w:pPr>
              <w:pStyle w:val="TableContents"/>
              <w:spacing w:before="0" w:after="283"/>
              <w:jc w:val="left"/>
              <w:rPr/>
            </w:pPr>
            <w:r>
              <w:rPr/>
              <w:t> </w:t>
            </w:r>
          </w:p>
        </w:tc>
      </w:tr>
      <w:tr>
        <w:trPr/>
        <w:tc>
          <w:tcPr>
            <w:tcW w:w="4438" w:type="dxa"/>
            <w:tcBorders/>
            <w:shd w:fill="FFFFFF" w:val="clear"/>
            <w:vAlign w:val="bottom"/>
          </w:tcPr>
          <w:p>
            <w:pPr>
              <w:pStyle w:val="TableContents"/>
              <w:spacing w:before="0" w:after="0"/>
              <w:ind w:left="0" w:right="0" w:hanging="0"/>
              <w:jc w:val="both"/>
              <w:rPr>
                <w:rFonts w:ascii="helvetica" w:hAnsi="helvetica"/>
                <w:sz w:val="20"/>
              </w:rPr>
            </w:pPr>
            <w:r>
              <w:rPr>
                <w:rFonts w:ascii="helvetica" w:hAnsi="helvetica"/>
                <w:sz w:val="20"/>
              </w:rPr>
              <w:t>Exercisable - December 31, 2011</w:t>
            </w:r>
          </w:p>
        </w:tc>
        <w:tc>
          <w:tcPr>
            <w:tcW w:w="107" w:type="dxa"/>
            <w:tcBorders/>
            <w:shd w:fill="FFFFFF" w:val="clear"/>
            <w:vAlign w:val="bottom"/>
          </w:tcPr>
          <w:p>
            <w:pPr>
              <w:pStyle w:val="TableContents"/>
              <w:spacing w:before="0" w:after="283"/>
              <w:rPr/>
            </w:pPr>
            <w:r>
              <w:rPr/>
              <w:t> </w:t>
            </w:r>
          </w:p>
        </w:tc>
        <w:tc>
          <w:tcPr>
            <w:tcW w:w="107" w:type="dxa"/>
            <w:tcBorders>
              <w:bottom w:val="double" w:sz="8" w:space="0" w:color="000000"/>
            </w:tcBorders>
            <w:shd w:fill="FFFFFF" w:val="clear"/>
            <w:tcMar>
              <w:bottom w:w="28" w:type="dxa"/>
            </w:tcMar>
            <w:vAlign w:val="bottom"/>
          </w:tcPr>
          <w:p>
            <w:pPr>
              <w:pStyle w:val="TableContents"/>
              <w:spacing w:before="0" w:after="283"/>
              <w:jc w:val="left"/>
              <w:rPr/>
            </w:pPr>
            <w:r>
              <w:rPr/>
              <w:t> </w:t>
            </w:r>
          </w:p>
        </w:tc>
        <w:tc>
          <w:tcPr>
            <w:tcW w:w="1102" w:type="dxa"/>
            <w:tcBorders>
              <w:bottom w:val="double" w:sz="8" w:space="0" w:color="000000"/>
            </w:tcBorders>
            <w:shd w:fill="FFFF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146,152</w:t>
            </w:r>
          </w:p>
        </w:tc>
        <w:tc>
          <w:tcPr>
            <w:tcW w:w="119" w:type="dxa"/>
            <w:tcBorders/>
            <w:shd w:fill="FFFFFF" w:val="clear"/>
            <w:vAlign w:val="bottom"/>
          </w:tcPr>
          <w:p>
            <w:pPr>
              <w:pStyle w:val="TableContents"/>
              <w:spacing w:before="0" w:after="283"/>
              <w:jc w:val="left"/>
              <w:rPr/>
            </w:pPr>
            <w:r>
              <w:rPr/>
              <w:t> </w:t>
            </w:r>
          </w:p>
        </w:tc>
        <w:tc>
          <w:tcPr>
            <w:tcW w:w="107" w:type="dxa"/>
            <w:tcBorders/>
            <w:shd w:fill="FFFFFF" w:val="clear"/>
            <w:vAlign w:val="bottom"/>
          </w:tcPr>
          <w:p>
            <w:pPr>
              <w:pStyle w:val="TableContents"/>
              <w:spacing w:before="0" w:after="283"/>
              <w:rPr/>
            </w:pPr>
            <w:r>
              <w:rPr/>
              <w:t> </w:t>
            </w:r>
          </w:p>
        </w:tc>
        <w:tc>
          <w:tcPr>
            <w:tcW w:w="161" w:type="dxa"/>
            <w:tcBorders>
              <w:bottom w:val="double" w:sz="8" w:space="0" w:color="000000"/>
            </w:tcBorders>
            <w:shd w:fill="FFFFFF" w:val="clear"/>
            <w:tcMar>
              <w:bottom w:w="28" w:type="dxa"/>
            </w:tcMar>
            <w:vAlign w:val="bottom"/>
          </w:tcPr>
          <w:p>
            <w:pPr>
              <w:pStyle w:val="TableContents"/>
              <w:spacing w:before="0" w:after="283"/>
              <w:jc w:val="left"/>
              <w:rPr>
                <w:rFonts w:ascii="helvetica" w:hAnsi="helvetica"/>
                <w:sz w:val="20"/>
              </w:rPr>
            </w:pPr>
            <w:r>
              <w:rPr>
                <w:rFonts w:ascii="helvetica" w:hAnsi="helvetica"/>
                <w:sz w:val="20"/>
              </w:rPr>
              <w:t>$</w:t>
            </w:r>
          </w:p>
        </w:tc>
        <w:tc>
          <w:tcPr>
            <w:tcW w:w="1014" w:type="dxa"/>
            <w:tcBorders>
              <w:bottom w:val="double" w:sz="8" w:space="0" w:color="000000"/>
            </w:tcBorders>
            <w:shd w:fill="FFFF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9.76</w:t>
            </w:r>
          </w:p>
        </w:tc>
        <w:tc>
          <w:tcPr>
            <w:tcW w:w="107" w:type="dxa"/>
            <w:tcBorders/>
            <w:shd w:fill="FFFFFF" w:val="clear"/>
            <w:vAlign w:val="bottom"/>
          </w:tcPr>
          <w:p>
            <w:pPr>
              <w:pStyle w:val="TableContents"/>
              <w:spacing w:before="0" w:after="283"/>
              <w:jc w:val="left"/>
              <w:rPr/>
            </w:pPr>
            <w:r>
              <w:rPr/>
              <w:t> </w:t>
            </w:r>
          </w:p>
        </w:tc>
        <w:tc>
          <w:tcPr>
            <w:tcW w:w="107" w:type="dxa"/>
            <w:tcBorders/>
            <w:shd w:fill="FFFFFF" w:val="clear"/>
            <w:vAlign w:val="bottom"/>
          </w:tcPr>
          <w:p>
            <w:pPr>
              <w:pStyle w:val="TableContents"/>
              <w:spacing w:before="0" w:after="283"/>
              <w:rPr/>
            </w:pPr>
            <w:r>
              <w:rPr/>
              <w:t> </w:t>
            </w:r>
          </w:p>
        </w:tc>
        <w:tc>
          <w:tcPr>
            <w:tcW w:w="145" w:type="dxa"/>
            <w:tcBorders>
              <w:bottom w:val="double" w:sz="8" w:space="0" w:color="000000"/>
            </w:tcBorders>
            <w:shd w:fill="FFFFFF" w:val="clear"/>
            <w:tcMar>
              <w:bottom w:w="28" w:type="dxa"/>
            </w:tcMar>
            <w:vAlign w:val="bottom"/>
          </w:tcPr>
          <w:p>
            <w:pPr>
              <w:pStyle w:val="TableContents"/>
              <w:spacing w:before="0" w:after="283"/>
              <w:jc w:val="left"/>
              <w:rPr/>
            </w:pPr>
            <w:r>
              <w:rPr/>
              <w:t> </w:t>
            </w:r>
          </w:p>
        </w:tc>
        <w:tc>
          <w:tcPr>
            <w:tcW w:w="1133" w:type="dxa"/>
            <w:tcBorders>
              <w:bottom w:val="double" w:sz="8" w:space="0" w:color="000000"/>
            </w:tcBorders>
            <w:shd w:fill="FFFF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3.18</w:t>
            </w:r>
          </w:p>
        </w:tc>
        <w:tc>
          <w:tcPr>
            <w:tcW w:w="107" w:type="dxa"/>
            <w:tcBorders/>
            <w:shd w:fill="FFFFFF" w:val="clear"/>
            <w:vAlign w:val="bottom"/>
          </w:tcPr>
          <w:p>
            <w:pPr>
              <w:pStyle w:val="TableContents"/>
              <w:spacing w:before="0" w:after="283"/>
              <w:jc w:val="left"/>
              <w:rPr/>
            </w:pPr>
            <w:r>
              <w:rPr/>
              <w:t> </w:t>
            </w:r>
          </w:p>
        </w:tc>
        <w:tc>
          <w:tcPr>
            <w:tcW w:w="107" w:type="dxa"/>
            <w:tcBorders/>
            <w:shd w:fill="FFFFFF" w:val="clear"/>
            <w:vAlign w:val="bottom"/>
          </w:tcPr>
          <w:p>
            <w:pPr>
              <w:pStyle w:val="TableContents"/>
              <w:spacing w:before="0" w:after="283"/>
              <w:rPr/>
            </w:pPr>
            <w:r>
              <w:rPr/>
              <w:t> </w:t>
            </w:r>
          </w:p>
        </w:tc>
        <w:tc>
          <w:tcPr>
            <w:tcW w:w="170" w:type="dxa"/>
            <w:tcBorders>
              <w:bottom w:val="double" w:sz="8" w:space="0" w:color="000000"/>
            </w:tcBorders>
            <w:shd w:fill="FFFFFF" w:val="clear"/>
            <w:tcMar>
              <w:bottom w:w="28" w:type="dxa"/>
            </w:tcMar>
            <w:vAlign w:val="bottom"/>
          </w:tcPr>
          <w:p>
            <w:pPr>
              <w:pStyle w:val="TableContents"/>
              <w:spacing w:before="0" w:after="283"/>
              <w:jc w:val="left"/>
              <w:rPr>
                <w:rFonts w:ascii="helvetica" w:hAnsi="helvetica"/>
                <w:sz w:val="20"/>
              </w:rPr>
            </w:pPr>
            <w:r>
              <w:rPr>
                <w:rFonts w:ascii="helvetica" w:hAnsi="helvetica"/>
                <w:sz w:val="20"/>
              </w:rPr>
              <w:t>$</w:t>
            </w:r>
          </w:p>
        </w:tc>
        <w:tc>
          <w:tcPr>
            <w:tcW w:w="1048" w:type="dxa"/>
            <w:tcBorders>
              <w:bottom w:val="double" w:sz="8" w:space="0" w:color="000000"/>
            </w:tcBorders>
            <w:shd w:fill="FFFF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6,000</w:t>
            </w:r>
          </w:p>
        </w:tc>
        <w:tc>
          <w:tcPr>
            <w:tcW w:w="126" w:type="dxa"/>
            <w:tcBorders/>
            <w:shd w:fill="FFFFFF" w:val="clear"/>
            <w:vAlign w:val="bottom"/>
          </w:tcPr>
          <w:p>
            <w:pPr>
              <w:pStyle w:val="TableContents"/>
              <w:spacing w:before="0" w:after="283"/>
              <w:jc w:val="left"/>
              <w:rPr/>
            </w:pPr>
            <w:r>
              <w:rPr/>
              <w:t> </w:t>
            </w:r>
          </w:p>
        </w:tc>
      </w:tr>
      <w:tr>
        <w:trPr/>
        <w:tc>
          <w:tcPr>
            <w:tcW w:w="4438" w:type="dxa"/>
            <w:tcBorders/>
            <w:shd w:fill="CCEEFF" w:val="clear"/>
            <w:vAlign w:val="bottom"/>
          </w:tcPr>
          <w:p>
            <w:pPr>
              <w:pStyle w:val="TableContents"/>
              <w:spacing w:before="0" w:after="0"/>
              <w:ind w:left="0" w:right="0" w:hanging="0"/>
              <w:jc w:val="both"/>
              <w:rPr>
                <w:rFonts w:ascii="helvetica" w:hAnsi="helvetica"/>
                <w:sz w:val="20"/>
              </w:rPr>
            </w:pPr>
            <w:r>
              <w:rPr>
                <w:rFonts w:ascii="helvetica" w:hAnsi="helvetica"/>
                <w:sz w:val="20"/>
              </w:rPr>
              <w:t>Vested and expected to vest - December 31, 2011</w:t>
            </w:r>
          </w:p>
        </w:tc>
        <w:tc>
          <w:tcPr>
            <w:tcW w:w="107" w:type="dxa"/>
            <w:tcBorders/>
            <w:shd w:fill="CCEEFF" w:val="clear"/>
            <w:vAlign w:val="bottom"/>
          </w:tcPr>
          <w:p>
            <w:pPr>
              <w:pStyle w:val="TableContents"/>
              <w:spacing w:before="0" w:after="283"/>
              <w:rPr/>
            </w:pPr>
            <w:r>
              <w:rPr/>
              <w:t> </w:t>
            </w:r>
          </w:p>
        </w:tc>
        <w:tc>
          <w:tcPr>
            <w:tcW w:w="107" w:type="dxa"/>
            <w:tcBorders>
              <w:bottom w:val="double" w:sz="8" w:space="0" w:color="000000"/>
            </w:tcBorders>
            <w:shd w:fill="CCEEFF" w:val="clear"/>
            <w:tcMar>
              <w:bottom w:w="28" w:type="dxa"/>
            </w:tcMar>
            <w:vAlign w:val="bottom"/>
          </w:tcPr>
          <w:p>
            <w:pPr>
              <w:pStyle w:val="TableContents"/>
              <w:spacing w:before="0" w:after="283"/>
              <w:jc w:val="left"/>
              <w:rPr/>
            </w:pPr>
            <w:r>
              <w:rPr/>
              <w:t> </w:t>
            </w:r>
          </w:p>
        </w:tc>
        <w:tc>
          <w:tcPr>
            <w:tcW w:w="1102" w:type="dxa"/>
            <w:tcBorders>
              <w:bottom w:val="double" w:sz="8" w:space="0" w:color="000000"/>
            </w:tcBorders>
            <w:shd w:fill="CCEE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149,752</w:t>
            </w:r>
          </w:p>
        </w:tc>
        <w:tc>
          <w:tcPr>
            <w:tcW w:w="119" w:type="dxa"/>
            <w:tcBorders/>
            <w:shd w:fill="CCEEFF" w:val="clear"/>
            <w:vAlign w:val="bottom"/>
          </w:tcPr>
          <w:p>
            <w:pPr>
              <w:pStyle w:val="TableContents"/>
              <w:spacing w:before="0" w:after="283"/>
              <w:jc w:val="left"/>
              <w:rPr/>
            </w:pPr>
            <w:r>
              <w:rPr/>
              <w:t> </w:t>
            </w:r>
          </w:p>
        </w:tc>
        <w:tc>
          <w:tcPr>
            <w:tcW w:w="107" w:type="dxa"/>
            <w:tcBorders/>
            <w:shd w:fill="CCEEFF" w:val="clear"/>
            <w:vAlign w:val="bottom"/>
          </w:tcPr>
          <w:p>
            <w:pPr>
              <w:pStyle w:val="TableContents"/>
              <w:spacing w:before="0" w:after="283"/>
              <w:rPr/>
            </w:pPr>
            <w:r>
              <w:rPr/>
              <w:t> </w:t>
            </w:r>
          </w:p>
        </w:tc>
        <w:tc>
          <w:tcPr>
            <w:tcW w:w="161" w:type="dxa"/>
            <w:tcBorders>
              <w:bottom w:val="double" w:sz="8" w:space="0" w:color="000000"/>
            </w:tcBorders>
            <w:shd w:fill="CCEEFF" w:val="clear"/>
            <w:tcMar>
              <w:bottom w:w="28" w:type="dxa"/>
            </w:tcMar>
            <w:vAlign w:val="bottom"/>
          </w:tcPr>
          <w:p>
            <w:pPr>
              <w:pStyle w:val="TableContents"/>
              <w:spacing w:before="0" w:after="283"/>
              <w:jc w:val="left"/>
              <w:rPr>
                <w:rFonts w:ascii="helvetica" w:hAnsi="helvetica"/>
                <w:sz w:val="20"/>
              </w:rPr>
            </w:pPr>
            <w:r>
              <w:rPr>
                <w:rFonts w:ascii="helvetica" w:hAnsi="helvetica"/>
                <w:sz w:val="20"/>
              </w:rPr>
              <w:t>$</w:t>
            </w:r>
          </w:p>
        </w:tc>
        <w:tc>
          <w:tcPr>
            <w:tcW w:w="1014" w:type="dxa"/>
            <w:tcBorders>
              <w:bottom w:val="double" w:sz="8" w:space="0" w:color="000000"/>
            </w:tcBorders>
            <w:shd w:fill="CCEE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9.68</w:t>
            </w:r>
          </w:p>
        </w:tc>
        <w:tc>
          <w:tcPr>
            <w:tcW w:w="107" w:type="dxa"/>
            <w:tcBorders/>
            <w:shd w:fill="CCEEFF" w:val="clear"/>
            <w:vAlign w:val="bottom"/>
          </w:tcPr>
          <w:p>
            <w:pPr>
              <w:pStyle w:val="TableContents"/>
              <w:spacing w:before="0" w:after="283"/>
              <w:jc w:val="left"/>
              <w:rPr/>
            </w:pPr>
            <w:r>
              <w:rPr/>
              <w:t> </w:t>
            </w:r>
          </w:p>
        </w:tc>
        <w:tc>
          <w:tcPr>
            <w:tcW w:w="107" w:type="dxa"/>
            <w:tcBorders/>
            <w:shd w:fill="CCEEFF" w:val="clear"/>
            <w:vAlign w:val="bottom"/>
          </w:tcPr>
          <w:p>
            <w:pPr>
              <w:pStyle w:val="TableContents"/>
              <w:spacing w:before="0" w:after="283"/>
              <w:rPr/>
            </w:pPr>
            <w:r>
              <w:rPr/>
              <w:t> </w:t>
            </w:r>
          </w:p>
        </w:tc>
        <w:tc>
          <w:tcPr>
            <w:tcW w:w="145" w:type="dxa"/>
            <w:tcBorders>
              <w:bottom w:val="double" w:sz="8" w:space="0" w:color="000000"/>
            </w:tcBorders>
            <w:shd w:fill="CCEEFF" w:val="clear"/>
            <w:tcMar>
              <w:bottom w:w="28" w:type="dxa"/>
            </w:tcMar>
            <w:vAlign w:val="bottom"/>
          </w:tcPr>
          <w:p>
            <w:pPr>
              <w:pStyle w:val="TableContents"/>
              <w:spacing w:before="0" w:after="283"/>
              <w:jc w:val="left"/>
              <w:rPr/>
            </w:pPr>
            <w:r>
              <w:rPr/>
              <w:t> </w:t>
            </w:r>
          </w:p>
        </w:tc>
        <w:tc>
          <w:tcPr>
            <w:tcW w:w="1133" w:type="dxa"/>
            <w:tcBorders>
              <w:bottom w:val="double" w:sz="8" w:space="0" w:color="000000"/>
            </w:tcBorders>
            <w:shd w:fill="CCEE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3.27</w:t>
            </w:r>
          </w:p>
        </w:tc>
        <w:tc>
          <w:tcPr>
            <w:tcW w:w="107" w:type="dxa"/>
            <w:tcBorders/>
            <w:shd w:fill="CCEEFF" w:val="clear"/>
            <w:vAlign w:val="bottom"/>
          </w:tcPr>
          <w:p>
            <w:pPr>
              <w:pStyle w:val="TableContents"/>
              <w:spacing w:before="0" w:after="283"/>
              <w:jc w:val="left"/>
              <w:rPr/>
            </w:pPr>
            <w:r>
              <w:rPr/>
              <w:t> </w:t>
            </w:r>
          </w:p>
        </w:tc>
        <w:tc>
          <w:tcPr>
            <w:tcW w:w="107" w:type="dxa"/>
            <w:tcBorders/>
            <w:shd w:fill="CCEEFF" w:val="clear"/>
            <w:vAlign w:val="bottom"/>
          </w:tcPr>
          <w:p>
            <w:pPr>
              <w:pStyle w:val="TableContents"/>
              <w:spacing w:before="0" w:after="283"/>
              <w:rPr/>
            </w:pPr>
            <w:r>
              <w:rPr/>
              <w:t> </w:t>
            </w:r>
          </w:p>
        </w:tc>
        <w:tc>
          <w:tcPr>
            <w:tcW w:w="170" w:type="dxa"/>
            <w:tcBorders>
              <w:bottom w:val="double" w:sz="8" w:space="0" w:color="000000"/>
            </w:tcBorders>
            <w:shd w:fill="CCEEFF" w:val="clear"/>
            <w:tcMar>
              <w:bottom w:w="28" w:type="dxa"/>
            </w:tcMar>
            <w:vAlign w:val="bottom"/>
          </w:tcPr>
          <w:p>
            <w:pPr>
              <w:pStyle w:val="TableContents"/>
              <w:spacing w:before="0" w:after="283"/>
              <w:jc w:val="left"/>
              <w:rPr>
                <w:rFonts w:ascii="helvetica" w:hAnsi="helvetica"/>
                <w:sz w:val="20"/>
              </w:rPr>
            </w:pPr>
            <w:r>
              <w:rPr>
                <w:rFonts w:ascii="helvetica" w:hAnsi="helvetica"/>
                <w:sz w:val="20"/>
              </w:rPr>
              <w:t>$</w:t>
            </w:r>
          </w:p>
        </w:tc>
        <w:tc>
          <w:tcPr>
            <w:tcW w:w="1048" w:type="dxa"/>
            <w:tcBorders>
              <w:bottom w:val="double" w:sz="8" w:space="0" w:color="000000"/>
            </w:tcBorders>
            <w:shd w:fill="CCEE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6,000</w:t>
            </w:r>
          </w:p>
        </w:tc>
        <w:tc>
          <w:tcPr>
            <w:tcW w:w="126" w:type="dxa"/>
            <w:tcBorders/>
            <w:shd w:fill="CCEEFF" w:val="clear"/>
            <w:vAlign w:val="bottom"/>
          </w:tcPr>
          <w:p>
            <w:pPr>
              <w:pStyle w:val="TableContents"/>
              <w:spacing w:before="0" w:after="283"/>
              <w:jc w:val="left"/>
              <w:rPr/>
            </w:pPr>
            <w:r>
              <w:rPr/>
              <w:t> </w:t>
            </w:r>
          </w:p>
        </w:tc>
      </w:tr>
    </w:tbl>
    <w:p>
      <w:pPr>
        <w:pStyle w:val="TextBody"/>
        <w:spacing w:before="0" w:after="0"/>
        <w:ind w:left="0" w:right="0" w:hanging="0"/>
        <w:rPr/>
      </w:pPr>
      <w:r>
        <w:rPr/>
        <w:t> </w:t>
      </w:r>
    </w:p>
    <w:p>
      <w:pPr>
        <w:pStyle w:val="TextBody"/>
        <w:spacing w:before="0" w:after="0"/>
        <w:ind w:left="0" w:right="0" w:hanging="0"/>
        <w:jc w:val="both"/>
        <w:rPr>
          <w:rFonts w:ascii="helvetica" w:hAnsi="helvetica"/>
          <w:sz w:val="20"/>
        </w:rPr>
      </w:pPr>
      <w:r>
        <w:rPr>
          <w:rFonts w:ascii="helvetica" w:hAnsi="helvetica"/>
          <w:sz w:val="20"/>
        </w:rPr>
        <w:t>The aggregate intrinsic value in the table above represents the total pre-tax amount of the proceeds, net of exercise price, which would have been received by option holders if all option holders had exercised and immediately sold all options with an exercise price lower than the market price on December 31, 2011, based on the closing price of the Company’s common stock of $0.96 on that date.</w:t>
      </w:r>
    </w:p>
    <w:p>
      <w:pPr>
        <w:pStyle w:val="TextBody"/>
        <w:spacing w:before="0" w:after="0"/>
        <w:ind w:left="0" w:right="0" w:hanging="0"/>
        <w:jc w:val="both"/>
        <w:rPr/>
      </w:pPr>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r>
      <w:bookmarkStart w:id="1262" w:name="PGBRK107"/>
      <w:bookmarkStart w:id="1263" w:name="PGBRK107"/>
      <w:bookmarkEnd w:id="126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264" w:name="FTR107"/>
      <w:bookmarkStart w:id="1265" w:name="FTR107"/>
      <w:bookmarkEnd w:id="126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1266" w:name="GLFTR106"/>
      <w:bookmarkEnd w:id="1266"/>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helvetica" w:hAnsi="helvetica"/>
          <w:sz w:val="20"/>
        </w:rPr>
      </w:pPr>
      <w:bookmarkStart w:id="1267" w:name="PN106"/>
      <w:bookmarkEnd w:id="1267"/>
      <w:r>
        <w:rPr>
          <w:rFonts w:ascii="helvetica" w:hAnsi="helvetica"/>
          <w:sz w:val="20"/>
        </w:rPr>
        <w:t>F-36</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268" w:name="HDR106"/>
      <w:bookmarkStart w:id="1269" w:name="HDR106"/>
      <w:bookmarkEnd w:id="126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1270" w:name="GLHDR106"/>
      <w:bookmarkEnd w:id="1270"/>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t> </w:t>
      </w:r>
    </w:p>
    <w:p>
      <w:pPr>
        <w:pStyle w:val="TextBody"/>
        <w:spacing w:before="0" w:after="0"/>
        <w:ind w:left="0" w:right="0" w:hanging="0"/>
        <w:jc w:val="both"/>
        <w:rPr>
          <w:rFonts w:ascii="helvetica" w:hAnsi="helvetica"/>
          <w:sz w:val="20"/>
        </w:rPr>
      </w:pPr>
      <w:r>
        <w:rPr>
          <w:rFonts w:ascii="helvetica" w:hAnsi="helvetica"/>
          <w:sz w:val="20"/>
        </w:rPr>
        <w:t>The options were granted to the employees, directors and consultants at exercise prices that ranged from $0.80 to $20.96, the estimated fair market value of the common stock on the dates of issuance. All options granted prior to 2011 expire on the ten year anniversary of the issuance date and were vested immediately or on a quarterly basis up to five years. The Company uses the Black-Scholes option pricing model to estimate the grant-date fair value of share-based awards. The Black-Scholes model requires subjective assumptions regarding future stock price volatility and expected time to exercise, along with assumptions about the risk-free interest rate and expected dividends, which affect the estimated fair values of the Company’s stock-based awards. The expected term of options granted was determined in accordance with the “simplified approach” as the Company has very limited historical data on employee exercises and post-vesting employment termination behavior. The expected volatility is based on the historical volatilities of the common stock of comparable publicly traded companies based on the Company’s belief that it currently has limited historical data regarding the volatility of its stock price on which to base a meaningful estimate of expected volatility. The risk-free rate selected to value any particular grant is based on the U.S. Treasury rate that corresponds to the expected term of the grant effective as of the date of the grant. The Company used 0% as an expected dividend yield assumption. These factors could change in the future, affecting the determination of stock-based compensation expense in future periods. Utilizing these assumptions, the fair value is determined at the date of grant. The weighted fair value of the stock options granted during 2011 is $0.32. For the years ended December 31, 2011 and 2010 and for the period from inception through December 31, 2011, the Company recorded stock-based compensation related to stock options and restricted stock for employees and directors of $192,153, $547,895 and $1,461,165, respectively which is included in selling, general and administrative expenses and research and development expenses in the amount of $154,399 and $37,754, $447,292 and $100,603, and $1,024,102 and $437,063, respectively.  The Company cancelled 200,625 stock options during the year ended December 31, 2011.  These options were cancelled due to the resignation of the optionees during the fiscal year.</w:t>
      </w:r>
    </w:p>
    <w:p>
      <w:pPr>
        <w:pStyle w:val="TextBody"/>
        <w:spacing w:before="0" w:after="0"/>
        <w:ind w:left="0" w:right="0" w:hanging="0"/>
        <w:jc w:val="both"/>
        <w:rPr/>
      </w:pPr>
      <w:r>
        <w:rPr/>
        <w:t> </w:t>
      </w:r>
    </w:p>
    <w:p>
      <w:pPr>
        <w:pStyle w:val="TextBody"/>
        <w:spacing w:before="0" w:after="0"/>
        <w:ind w:left="0" w:right="0" w:hanging="0"/>
        <w:jc w:val="both"/>
        <w:rPr>
          <w:rFonts w:ascii="helvetica" w:hAnsi="helvetica"/>
          <w:sz w:val="20"/>
        </w:rPr>
      </w:pPr>
      <w:r>
        <w:rPr>
          <w:rFonts w:ascii="helvetica" w:hAnsi="helvetica"/>
          <w:sz w:val="20"/>
        </w:rPr>
        <w:t>The financial statement effect of forfeitures is estimated at the time of grant and revised, if necessary, if the actual effect differs from those estimates. For option grants to employees and directors in 2010, the Company assigned a forfeiture factor of 10%. This percentage was determined based on consideration of actual forfeitures realized to date and estimated forfeitures to potentially occur in the future.  All option grants during 2011 were immediately exercisable; therefore, there was no forfeiture factor assigned.</w:t>
      </w:r>
    </w:p>
    <w:p>
      <w:pPr>
        <w:pStyle w:val="TextBody"/>
        <w:spacing w:before="0" w:after="0"/>
        <w:ind w:left="0" w:right="0" w:hanging="0"/>
        <w:jc w:val="both"/>
        <w:rPr/>
      </w:pPr>
      <w:r>
        <w:rPr/>
        <w:t> </w:t>
      </w:r>
    </w:p>
    <w:p>
      <w:pPr>
        <w:pStyle w:val="TextBody"/>
        <w:spacing w:before="0" w:after="0"/>
        <w:ind w:left="0" w:right="0" w:hanging="0"/>
        <w:jc w:val="both"/>
        <w:rPr>
          <w:rFonts w:ascii="helvetica" w:hAnsi="helvetica"/>
          <w:sz w:val="20"/>
        </w:rPr>
      </w:pPr>
      <w:r>
        <w:rPr>
          <w:rFonts w:ascii="helvetica" w:hAnsi="helvetica"/>
          <w:sz w:val="20"/>
        </w:rPr>
        <w:t>As of December 31, 2011, there was approximately $14,094 of total unrecognized compensation expense related to unvested stock options under the Plan. That expense is expected to be recognized over the weighted-average period of 1.89 years.</w:t>
      </w:r>
    </w:p>
    <w:p>
      <w:pPr>
        <w:pStyle w:val="TextBody"/>
        <w:spacing w:before="0" w:after="0"/>
        <w:ind w:left="0" w:right="0" w:hanging="0"/>
        <w:jc w:val="both"/>
        <w:rPr/>
      </w:pPr>
      <w:r>
        <w:rPr/>
        <w:t> </w:t>
      </w:r>
    </w:p>
    <w:p>
      <w:pPr>
        <w:pStyle w:val="TextBody"/>
        <w:spacing w:before="0" w:after="0"/>
        <w:ind w:left="0" w:right="0" w:hanging="0"/>
        <w:jc w:val="both"/>
        <w:rPr>
          <w:rFonts w:ascii="helvetica" w:hAnsi="helvetica"/>
          <w:sz w:val="20"/>
        </w:rPr>
      </w:pPr>
      <w:r>
        <w:rPr>
          <w:rFonts w:ascii="helvetica" w:hAnsi="helvetica"/>
          <w:sz w:val="20"/>
        </w:rPr>
        <w:t>Effective February 17, 2010, the Board of Directors of the Company accepted the resignation of Dr. Juliet Singh as Chief Executive Officer of the Company and as a director on the Board. In connection with Dr. Singh’s resignation, the Company and Dr. Singh entered into a separation agreement that provided Dr. Singh with one year of continued salary in accordance with the terms of her existing employment agreement as well as the accelerated vesting of 37,500 stock options previously granted. In addition, the term in which Dr. Singh may exercise the vested options (which included 76,250 options in total, comprised of 38,750 stock options that were vested as of the separation date as well as the 37,500 stock options subject to the accelerated vesting) was modified and extended to three years from the date of her resignation. In accordance with accounting guidance, since these stock options were modified, the value of the modification for each stock option was determined. For the stock options vested as of the separation date, the modified value was equal to the number of options multiplied by the difference in value (per the Black-Scholes option pricing model) between the original and modified terms of the stock options utilizing current values for market stock price, interest rate and volatility. For the stock options in which the vesting was accelerated, the new value for these stock options was calculated as of the separation date using the Black-Scholes option pricing model. In total, the additional stock based compensation expense recognized for the modified stock options was approximately $174,000 and was recorded in stock-based compensation in additional paid-in capital and general and administrative expenses in the accompanying consolidated balance sheets and consolidated statement of operations as of and for the year ended December 31, 2010, respectively.</w:t>
      </w:r>
    </w:p>
    <w:p>
      <w:pPr>
        <w:pStyle w:val="TextBody"/>
        <w:spacing w:before="0" w:after="0"/>
        <w:ind w:left="0" w:right="0" w:hanging="0"/>
        <w:jc w:val="both"/>
        <w:rPr/>
      </w:pPr>
      <w:r>
        <w:rPr/>
        <w:t> </w:t>
      </w:r>
    </w:p>
    <w:p>
      <w:pPr>
        <w:pStyle w:val="TextBody"/>
        <w:spacing w:before="0" w:after="0"/>
        <w:ind w:left="0" w:right="0" w:hanging="0"/>
        <w:jc w:val="both"/>
        <w:rPr>
          <w:rFonts w:ascii="helvetica" w:hAnsi="helvetica"/>
          <w:sz w:val="20"/>
        </w:rPr>
      </w:pPr>
      <w:r>
        <w:rPr>
          <w:rFonts w:ascii="helvetica" w:hAnsi="helvetica"/>
          <w:sz w:val="20"/>
        </w:rPr>
        <w:t>On February 26, 2010, the Company’s Board of Directors granted 37,500 stock options to an executive officer of the Company under the Company’s 2007 Incentive Stock and Awards Plan. All of the options were granted with an exercise price of $7.20 and have a ten year life.  Also, the options vest one-twelfth per quarter commencing on the first full quarter after the initial grant date of February 26, 2010.</w:t>
      </w:r>
    </w:p>
    <w:p>
      <w:pPr>
        <w:pStyle w:val="TextBody"/>
        <w:spacing w:before="0" w:after="0"/>
        <w:ind w:left="0" w:right="0" w:hanging="0"/>
        <w:jc w:val="both"/>
        <w:rPr/>
      </w:pPr>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r>
      <w:bookmarkStart w:id="1271" w:name="PGBRK108"/>
      <w:bookmarkStart w:id="1272" w:name="PGBRK108"/>
      <w:bookmarkEnd w:id="127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273" w:name="FTR108"/>
      <w:bookmarkStart w:id="1274" w:name="FTR108"/>
      <w:bookmarkEnd w:id="127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1275" w:name="GLFTR107"/>
      <w:bookmarkEnd w:id="1275"/>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helvetica" w:hAnsi="helvetica"/>
          <w:sz w:val="20"/>
        </w:rPr>
      </w:pPr>
      <w:bookmarkStart w:id="1276" w:name="PN107"/>
      <w:bookmarkEnd w:id="1276"/>
      <w:r>
        <w:rPr>
          <w:rFonts w:ascii="helvetica" w:hAnsi="helvetica"/>
          <w:sz w:val="20"/>
        </w:rPr>
        <w:t>F-37</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277" w:name="HDR107"/>
      <w:bookmarkStart w:id="1278" w:name="HDR107"/>
      <w:bookmarkEnd w:id="127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1279" w:name="GLHDR107"/>
      <w:bookmarkEnd w:id="1279"/>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pPr>
      <w:r>
        <w:rPr/>
        <w:t> </w:t>
      </w:r>
    </w:p>
    <w:p>
      <w:pPr>
        <w:pStyle w:val="TextBody"/>
        <w:spacing w:before="0" w:after="0"/>
        <w:ind w:left="0" w:right="0" w:hanging="0"/>
        <w:jc w:val="both"/>
        <w:rPr>
          <w:rFonts w:ascii="helvetica" w:hAnsi="helvetica"/>
          <w:sz w:val="20"/>
        </w:rPr>
      </w:pPr>
      <w:r>
        <w:rPr>
          <w:rFonts w:ascii="helvetica" w:hAnsi="helvetica"/>
          <w:sz w:val="20"/>
        </w:rPr>
        <w:t>On August 13, 2010, the Company entered into a consulting agreement (previously approved by the Board of Directors) with a retained search firm to provide the Company with executive recruitment services. In accordance with the agreement, the Company had the option to pay for such services in cash or by issuing stock options of an equivalent value. Per the agreement, 50% of the fee (deemed non-refundable) was due upon execution of the agreement and the remaining 50% was due if and when the retained search firm placed a candidate with the Company. The total fee ultimately owed to the retained search firm would not be finalized until an executive was hired as it will be based on the total compensation for the executive in the first year of employment. It was agreed between the retained search firm and the Company that the value of the stock option as of the execution of the agreement would be the basis for determining the number of stock options to be issued for the initial fee as well as in the total fee due to the retained search firm. The option value was determined to be $5.26 based on the Black-Scholes pricing model using an exercise price of $8.56. Using an estimated first year salary (including bonus) of $350,000, the total fee was estimated to be $105,000. As noted above, the Company was obligated to pay 50% of the estimated total fee, or $52,500, upon execution of the agreement, which the Company opted to issue a non-qualified stock option in lieu of cash. Therefore, the Company issued a non-qualified stock option, under the Plan, to purchase up to 10,000 shares of common stock in payment of this initial fee. The stock option is non-refundable and therefore, fully vested upon issuance. As a result, the total value of the fee/option was recognized in August 2010. Effective October 20, 2010, the Board of Directors appointed a new president and chief executive officer that was a candidate referred to the Company from the retained search firm (see below). The total first year compensation for the executive was estimated to be $441,000, therefore, the final fee due to the retained search firm was $132,300. The Company opted to pay the remainder of the fee due with a non-qualified stock option. Considering the option issued in August 2010 for the purchase of up to 10,000 shares of common stock, the final stock option issued in October 2010 was to purchase an additional 15,152 shares of common stock. The value of this stock option representing the remainder of the fee, $79,800, was recognized in October 2010.  For the years ended December 31, 2011 and 2010 and the period from Inception through December 31, 2011, the Company recorded stock-based compensation related to these stock options of $0, $132,300 and $132,300, respectively.</w:t>
      </w:r>
    </w:p>
    <w:p>
      <w:pPr>
        <w:pStyle w:val="TextBody"/>
        <w:spacing w:before="0" w:after="0"/>
        <w:ind w:left="0" w:right="0" w:hanging="0"/>
        <w:jc w:val="both"/>
        <w:rPr/>
      </w:pPr>
      <w:r>
        <w:rPr/>
        <w:t> </w:t>
      </w:r>
    </w:p>
    <w:p>
      <w:pPr>
        <w:pStyle w:val="TextBody"/>
        <w:spacing w:before="0" w:after="0"/>
        <w:ind w:left="0" w:right="0" w:hanging="0"/>
        <w:jc w:val="both"/>
        <w:rPr>
          <w:rFonts w:ascii="helvetica" w:hAnsi="helvetica"/>
          <w:sz w:val="20"/>
        </w:rPr>
      </w:pPr>
      <w:r>
        <w:rPr>
          <w:rFonts w:ascii="helvetica" w:hAnsi="helvetica"/>
          <w:sz w:val="20"/>
        </w:rPr>
        <w:t>Effective October 20, 2010, the Company appointed John N. Bonfiglio, Ph.D. as Chief Executive Officer and President of the Company. Dr. Bonfiglio was also appointed as a director on the Company’s Board. The Board granted Dr. Bonfiglio a stock option for 50,000 shares of common stock and issued 6,250 shares of restricted common stock in accordance with the Company’s 2007 Incentive Stock and Awards Plan. The stock option and the restricted common stock will vest as follows: 25% of the option shares and the restricted stock shall vest immediately upon grant, with the balance of the option shares and the restricted stock vesting in equal monthly installments over the next 36 months beginning 30 days after the grant date; provided, however, Dr. Bonfiglio shall gain a vested interest in an additional 10% of the option shares and the restricted stock upon the closing of a Qualified Transaction. The exercise price of the stock option will be $6.40 per share, the reported closing price of the Company’s common stock on October 20, 2010. The vesting of all options will fully accelerate upon an involuntary termination of Dr. Bonfiglio’s employment within twelve months following a change of control (as such terms are defined in the Employment Agreement).  Effective May 13, 2011, this individual resigned and all options granted to the employee have been cancelled.</w:t>
      </w:r>
    </w:p>
    <w:p>
      <w:pPr>
        <w:pStyle w:val="TextBody"/>
        <w:spacing w:before="0" w:after="0"/>
        <w:ind w:left="0" w:right="0" w:hanging="0"/>
        <w:jc w:val="both"/>
        <w:rPr/>
      </w:pPr>
      <w:r>
        <w:rPr/>
        <w:t> </w:t>
      </w:r>
    </w:p>
    <w:p>
      <w:pPr>
        <w:pStyle w:val="TextBody"/>
        <w:spacing w:before="0" w:after="0"/>
        <w:ind w:left="0" w:right="0" w:hanging="0"/>
        <w:jc w:val="both"/>
        <w:rPr>
          <w:rFonts w:ascii="helvetica" w:hAnsi="helvetica"/>
          <w:sz w:val="20"/>
        </w:rPr>
      </w:pPr>
      <w:r>
        <w:rPr>
          <w:rFonts w:ascii="helvetica" w:hAnsi="helvetica"/>
          <w:sz w:val="20"/>
        </w:rPr>
        <w:t>On October 5, 2011, priority claims of former employees in the amount of $119,667 originating as a result of the Company’s Bankruptcy petition filed June 26, 2010 (the “Priority Claimants”), were settled and paid by the Company.  These amounts consisted of accrued and owed payroll amounts, accrued vacation and any other claims held against the Company at October 5, 2011.  The Priority Claimants were given cash in the amount $47,975 and 37,500 stock options valued at $11,400 and the difference of $60,292 was recognized as a gain on forgiveness of liabilities during the year ended December 31, 2011. These options have an exercise price of $0.80, vested immediately upon issuance, and have a three year life from the date of issuance.</w:t>
      </w:r>
    </w:p>
    <w:p>
      <w:pPr>
        <w:pStyle w:val="TextBody"/>
        <w:spacing w:before="0" w:after="0"/>
        <w:ind w:left="0" w:right="0" w:hanging="0"/>
        <w:jc w:val="both"/>
        <w:rPr/>
      </w:pPr>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r>
      <w:bookmarkStart w:id="1280" w:name="PGBRK109"/>
      <w:bookmarkStart w:id="1281" w:name="PGBRK109"/>
      <w:bookmarkEnd w:id="128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282" w:name="FTR109"/>
      <w:bookmarkStart w:id="1283" w:name="FTR109"/>
      <w:bookmarkEnd w:id="128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1284" w:name="GLFTR108"/>
      <w:bookmarkEnd w:id="1284"/>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helvetica" w:hAnsi="helvetica"/>
          <w:sz w:val="20"/>
        </w:rPr>
      </w:pPr>
      <w:bookmarkStart w:id="1285" w:name="PN108"/>
      <w:bookmarkEnd w:id="1285"/>
      <w:r>
        <w:rPr>
          <w:rFonts w:ascii="helvetica" w:hAnsi="helvetica"/>
          <w:sz w:val="20"/>
        </w:rPr>
        <w:t>F-38</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286" w:name="HDR108"/>
      <w:bookmarkStart w:id="1287" w:name="HDR108"/>
      <w:bookmarkEnd w:id="128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1288" w:name="GLHDR108"/>
      <w:bookmarkEnd w:id="1288"/>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t> </w:t>
      </w:r>
    </w:p>
    <w:p>
      <w:pPr>
        <w:pStyle w:val="TextBody"/>
        <w:spacing w:before="0" w:after="0"/>
        <w:ind w:left="0" w:right="0" w:hanging="0"/>
        <w:jc w:val="both"/>
        <w:rPr>
          <w:rFonts w:ascii="helvetica" w:hAnsi="helvetica"/>
          <w:sz w:val="20"/>
        </w:rPr>
      </w:pPr>
      <w:r>
        <w:rPr>
          <w:rFonts w:ascii="helvetica" w:hAnsi="helvetica"/>
          <w:sz w:val="20"/>
        </w:rPr>
        <w:t>The table below illustrates the fair value per share and Black-Scholes option pricing model with the following assumptions used for the grants issued to the employees and directors during the years ended December 31, 2011 and 2010</w:t>
      </w:r>
    </w:p>
    <w:p>
      <w:pPr>
        <w:pStyle w:val="TextBody"/>
        <w:spacing w:before="0" w:after="0"/>
        <w:rPr/>
      </w:pPr>
      <w:r>
        <w:rPr/>
        <w:t> </w:t>
      </w:r>
    </w:p>
    <w:tbl>
      <w:tblPr>
        <w:tblW w:w="4250" w:type="pct"/>
        <w:jc w:val="left"/>
        <w:tblInd w:w="0" w:type="dxa"/>
        <w:tblCellMar>
          <w:top w:w="0" w:type="dxa"/>
          <w:left w:w="0" w:type="dxa"/>
          <w:bottom w:w="0" w:type="dxa"/>
          <w:right w:w="0" w:type="dxa"/>
        </w:tblCellMar>
      </w:tblPr>
      <w:tblGrid>
        <w:gridCol w:w="6008"/>
        <w:gridCol w:w="106"/>
        <w:gridCol w:w="153"/>
        <w:gridCol w:w="859"/>
        <w:gridCol w:w="207"/>
        <w:gridCol w:w="106"/>
        <w:gridCol w:w="153"/>
        <w:gridCol w:w="859"/>
        <w:gridCol w:w="223"/>
      </w:tblGrid>
      <w:tr>
        <w:trPr/>
        <w:tc>
          <w:tcPr>
            <w:tcW w:w="6008" w:type="dxa"/>
            <w:tcBorders/>
            <w:shd w:fill="auto" w:val="clear"/>
            <w:vAlign w:val="bottom"/>
          </w:tcPr>
          <w:p>
            <w:pPr>
              <w:pStyle w:val="TableContents"/>
              <w:spacing w:before="0" w:after="283"/>
              <w:rPr/>
            </w:pPr>
            <w:r>
              <w:rPr/>
              <w:t> </w:t>
            </w:r>
          </w:p>
        </w:tc>
        <w:tc>
          <w:tcPr>
            <w:tcW w:w="106" w:type="dxa"/>
            <w:tcBorders/>
            <w:shd w:fill="auto" w:val="clear"/>
            <w:vAlign w:val="bottom"/>
          </w:tcPr>
          <w:p>
            <w:pPr>
              <w:pStyle w:val="TableContents"/>
              <w:spacing w:before="0" w:after="283"/>
              <w:jc w:val="center"/>
              <w:rPr/>
            </w:pPr>
            <w:r>
              <w:rPr/>
              <w:t> </w:t>
            </w:r>
          </w:p>
        </w:tc>
        <w:tc>
          <w:tcPr>
            <w:tcW w:w="1012" w:type="dxa"/>
            <w:gridSpan w:val="2"/>
            <w:tcBorders>
              <w:bottom w:val="single" w:sz="12" w:space="0" w:color="000000"/>
            </w:tcBorders>
            <w:shd w:fill="auto" w:val="clear"/>
            <w:tcMar>
              <w:bottom w:w="28" w:type="dxa"/>
            </w:tcMar>
            <w:vAlign w:val="bottom"/>
          </w:tcPr>
          <w:p>
            <w:pPr>
              <w:pStyle w:val="TableContents"/>
              <w:spacing w:before="0" w:after="283"/>
              <w:jc w:val="center"/>
              <w:rPr>
                <w:rFonts w:ascii="helvetica" w:hAnsi="helvetica"/>
                <w:b/>
                <w:sz w:val="16"/>
              </w:rPr>
            </w:pPr>
            <w:r>
              <w:rPr>
                <w:rFonts w:ascii="helvetica" w:hAnsi="helvetica"/>
                <w:b/>
                <w:sz w:val="16"/>
              </w:rPr>
              <w:t>2011</w:t>
            </w:r>
          </w:p>
        </w:tc>
        <w:tc>
          <w:tcPr>
            <w:tcW w:w="207" w:type="dxa"/>
            <w:tcBorders/>
            <w:shd w:fill="auto" w:val="clear"/>
            <w:vAlign w:val="bottom"/>
          </w:tcPr>
          <w:p>
            <w:pPr>
              <w:pStyle w:val="TableContents"/>
              <w:spacing w:before="0" w:after="283"/>
              <w:jc w:val="center"/>
              <w:rPr/>
            </w:pPr>
            <w:r>
              <w:rPr/>
              <w:t> </w:t>
            </w:r>
          </w:p>
        </w:tc>
        <w:tc>
          <w:tcPr>
            <w:tcW w:w="106" w:type="dxa"/>
            <w:tcBorders/>
            <w:shd w:fill="auto" w:val="clear"/>
            <w:vAlign w:val="bottom"/>
          </w:tcPr>
          <w:p>
            <w:pPr>
              <w:pStyle w:val="TableContents"/>
              <w:spacing w:before="0" w:after="283"/>
              <w:jc w:val="center"/>
              <w:rPr/>
            </w:pPr>
            <w:r>
              <w:rPr/>
              <w:t> </w:t>
            </w:r>
          </w:p>
        </w:tc>
        <w:tc>
          <w:tcPr>
            <w:tcW w:w="1012" w:type="dxa"/>
            <w:gridSpan w:val="2"/>
            <w:tcBorders>
              <w:bottom w:val="single" w:sz="12" w:space="0" w:color="000000"/>
            </w:tcBorders>
            <w:shd w:fill="auto" w:val="clear"/>
            <w:tcMar>
              <w:bottom w:w="28" w:type="dxa"/>
            </w:tcMar>
            <w:vAlign w:val="bottom"/>
          </w:tcPr>
          <w:p>
            <w:pPr>
              <w:pStyle w:val="TableContents"/>
              <w:spacing w:before="0" w:after="283"/>
              <w:jc w:val="center"/>
              <w:rPr>
                <w:rFonts w:ascii="helvetica" w:hAnsi="helvetica"/>
                <w:b/>
                <w:sz w:val="16"/>
              </w:rPr>
            </w:pPr>
            <w:r>
              <w:rPr>
                <w:rFonts w:ascii="helvetica" w:hAnsi="helvetica"/>
                <w:b/>
                <w:sz w:val="16"/>
              </w:rPr>
              <w:t>2010</w:t>
            </w:r>
          </w:p>
        </w:tc>
        <w:tc>
          <w:tcPr>
            <w:tcW w:w="223" w:type="dxa"/>
            <w:tcBorders/>
            <w:shd w:fill="auto" w:val="clear"/>
            <w:vAlign w:val="bottom"/>
          </w:tcPr>
          <w:p>
            <w:pPr>
              <w:pStyle w:val="TableContents"/>
              <w:spacing w:before="0" w:after="283"/>
              <w:jc w:val="left"/>
              <w:rPr/>
            </w:pPr>
            <w:r>
              <w:rPr/>
              <w:t> </w:t>
            </w:r>
          </w:p>
        </w:tc>
      </w:tr>
      <w:tr>
        <w:trPr/>
        <w:tc>
          <w:tcPr>
            <w:tcW w:w="6008" w:type="dxa"/>
            <w:tcBorders/>
            <w:shd w:fill="CCEEFF" w:val="clear"/>
            <w:vAlign w:val="bottom"/>
          </w:tcPr>
          <w:p>
            <w:pPr>
              <w:pStyle w:val="TableContents"/>
              <w:spacing w:before="0" w:after="0"/>
              <w:ind w:left="0" w:right="0" w:hanging="0"/>
              <w:jc w:val="both"/>
              <w:rPr>
                <w:rFonts w:ascii="helvetica" w:hAnsi="helvetica"/>
                <w:sz w:val="20"/>
              </w:rPr>
            </w:pPr>
            <w:r>
              <w:rPr>
                <w:rFonts w:ascii="helvetica" w:hAnsi="helvetica"/>
                <w:sz w:val="20"/>
              </w:rPr>
              <w:t>Weighted-average fair value of options granted</w:t>
            </w:r>
          </w:p>
        </w:tc>
        <w:tc>
          <w:tcPr>
            <w:tcW w:w="106" w:type="dxa"/>
            <w:tcBorders/>
            <w:shd w:fill="CCEEFF" w:val="clear"/>
            <w:vAlign w:val="bottom"/>
          </w:tcPr>
          <w:p>
            <w:pPr>
              <w:pStyle w:val="TableContents"/>
              <w:spacing w:before="0" w:after="283"/>
              <w:rPr/>
            </w:pPr>
            <w:r>
              <w:rPr/>
              <w:t> </w:t>
            </w:r>
          </w:p>
        </w:tc>
        <w:tc>
          <w:tcPr>
            <w:tcW w:w="153" w:type="dxa"/>
            <w:tcBorders/>
            <w:shd w:fill="CCEEFF" w:val="clear"/>
            <w:vAlign w:val="bottom"/>
          </w:tcPr>
          <w:p>
            <w:pPr>
              <w:pStyle w:val="TableContents"/>
              <w:spacing w:before="0" w:after="283"/>
              <w:jc w:val="left"/>
              <w:rPr>
                <w:rFonts w:ascii="helvetica" w:hAnsi="helvetica"/>
                <w:sz w:val="20"/>
              </w:rPr>
            </w:pPr>
            <w:r>
              <w:rPr>
                <w:rFonts w:ascii="helvetica" w:hAnsi="helvetica"/>
                <w:sz w:val="20"/>
              </w:rPr>
              <w:t>$</w:t>
            </w:r>
          </w:p>
        </w:tc>
        <w:tc>
          <w:tcPr>
            <w:tcW w:w="859"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0.32</w:t>
            </w:r>
          </w:p>
        </w:tc>
        <w:tc>
          <w:tcPr>
            <w:tcW w:w="207" w:type="dxa"/>
            <w:tcBorders/>
            <w:shd w:fill="CCEEFF" w:val="clear"/>
            <w:vAlign w:val="bottom"/>
          </w:tcPr>
          <w:p>
            <w:pPr>
              <w:pStyle w:val="TableContents"/>
              <w:spacing w:before="0" w:after="283"/>
              <w:jc w:val="left"/>
              <w:rPr/>
            </w:pPr>
            <w:r>
              <w:rPr/>
              <w:t> </w:t>
            </w:r>
          </w:p>
        </w:tc>
        <w:tc>
          <w:tcPr>
            <w:tcW w:w="106" w:type="dxa"/>
            <w:tcBorders/>
            <w:shd w:fill="CCEEFF" w:val="clear"/>
            <w:vAlign w:val="bottom"/>
          </w:tcPr>
          <w:p>
            <w:pPr>
              <w:pStyle w:val="TableContents"/>
              <w:spacing w:before="0" w:after="283"/>
              <w:rPr/>
            </w:pPr>
            <w:r>
              <w:rPr/>
              <w:t> </w:t>
            </w:r>
          </w:p>
        </w:tc>
        <w:tc>
          <w:tcPr>
            <w:tcW w:w="153" w:type="dxa"/>
            <w:tcBorders/>
            <w:shd w:fill="CCEEFF" w:val="clear"/>
            <w:vAlign w:val="bottom"/>
          </w:tcPr>
          <w:p>
            <w:pPr>
              <w:pStyle w:val="TableContents"/>
              <w:spacing w:before="0" w:after="283"/>
              <w:jc w:val="left"/>
              <w:rPr>
                <w:rFonts w:ascii="helvetica" w:hAnsi="helvetica"/>
                <w:sz w:val="20"/>
              </w:rPr>
            </w:pPr>
            <w:r>
              <w:rPr>
                <w:rFonts w:ascii="helvetica" w:hAnsi="helvetica"/>
                <w:sz w:val="20"/>
              </w:rPr>
              <w:t>$</w:t>
            </w:r>
          </w:p>
        </w:tc>
        <w:tc>
          <w:tcPr>
            <w:tcW w:w="859"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4.48</w:t>
            </w:r>
          </w:p>
        </w:tc>
        <w:tc>
          <w:tcPr>
            <w:tcW w:w="223" w:type="dxa"/>
            <w:tcBorders/>
            <w:shd w:fill="CCEEFF" w:val="clear"/>
            <w:vAlign w:val="bottom"/>
          </w:tcPr>
          <w:p>
            <w:pPr>
              <w:pStyle w:val="TableContents"/>
              <w:spacing w:before="0" w:after="283"/>
              <w:jc w:val="left"/>
              <w:rPr/>
            </w:pPr>
            <w:r>
              <w:rPr/>
              <w:t> </w:t>
            </w:r>
          </w:p>
        </w:tc>
      </w:tr>
      <w:tr>
        <w:trPr/>
        <w:tc>
          <w:tcPr>
            <w:tcW w:w="6008" w:type="dxa"/>
            <w:tcBorders/>
            <w:shd w:fill="FFFFFF" w:val="clear"/>
            <w:vAlign w:val="bottom"/>
          </w:tcPr>
          <w:p>
            <w:pPr>
              <w:pStyle w:val="TableContents"/>
              <w:spacing w:before="0" w:after="0"/>
              <w:ind w:left="0" w:right="0" w:hanging="0"/>
              <w:jc w:val="both"/>
              <w:rPr>
                <w:rFonts w:ascii="helvetica" w:hAnsi="helvetica"/>
                <w:sz w:val="20"/>
              </w:rPr>
            </w:pPr>
            <w:r>
              <w:rPr>
                <w:rFonts w:ascii="helvetica" w:hAnsi="helvetica"/>
                <w:sz w:val="20"/>
              </w:rPr>
              <w:t>Expected terms (in years)</w:t>
            </w:r>
          </w:p>
        </w:tc>
        <w:tc>
          <w:tcPr>
            <w:tcW w:w="106" w:type="dxa"/>
            <w:tcBorders/>
            <w:shd w:fill="FFFFFF" w:val="clear"/>
            <w:vAlign w:val="bottom"/>
          </w:tcPr>
          <w:p>
            <w:pPr>
              <w:pStyle w:val="TableContents"/>
              <w:spacing w:before="0" w:after="283"/>
              <w:rPr/>
            </w:pPr>
            <w:r>
              <w:rPr/>
              <w:t> </w:t>
            </w:r>
          </w:p>
        </w:tc>
        <w:tc>
          <w:tcPr>
            <w:tcW w:w="153" w:type="dxa"/>
            <w:tcBorders/>
            <w:shd w:fill="FFFFFF" w:val="clear"/>
            <w:vAlign w:val="bottom"/>
          </w:tcPr>
          <w:p>
            <w:pPr>
              <w:pStyle w:val="TableContents"/>
              <w:spacing w:before="0" w:after="283"/>
              <w:jc w:val="left"/>
              <w:rPr/>
            </w:pPr>
            <w:r>
              <w:rPr/>
              <w:t> </w:t>
            </w:r>
          </w:p>
        </w:tc>
        <w:tc>
          <w:tcPr>
            <w:tcW w:w="859"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3.0</w:t>
            </w:r>
          </w:p>
        </w:tc>
        <w:tc>
          <w:tcPr>
            <w:tcW w:w="207" w:type="dxa"/>
            <w:tcBorders/>
            <w:shd w:fill="FFFFFF" w:val="clear"/>
            <w:vAlign w:val="bottom"/>
          </w:tcPr>
          <w:p>
            <w:pPr>
              <w:pStyle w:val="TableContents"/>
              <w:spacing w:before="0" w:after="283"/>
              <w:jc w:val="left"/>
              <w:rPr/>
            </w:pPr>
            <w:r>
              <w:rPr/>
              <w:t> </w:t>
            </w:r>
          </w:p>
        </w:tc>
        <w:tc>
          <w:tcPr>
            <w:tcW w:w="106" w:type="dxa"/>
            <w:tcBorders/>
            <w:shd w:fill="FFFFFF" w:val="clear"/>
            <w:vAlign w:val="bottom"/>
          </w:tcPr>
          <w:p>
            <w:pPr>
              <w:pStyle w:val="TableContents"/>
              <w:spacing w:before="0" w:after="283"/>
              <w:rPr/>
            </w:pPr>
            <w:r>
              <w:rPr/>
              <w:t> </w:t>
            </w:r>
          </w:p>
        </w:tc>
        <w:tc>
          <w:tcPr>
            <w:tcW w:w="153" w:type="dxa"/>
            <w:tcBorders/>
            <w:shd w:fill="FFFFFF" w:val="clear"/>
            <w:vAlign w:val="bottom"/>
          </w:tcPr>
          <w:p>
            <w:pPr>
              <w:pStyle w:val="TableContents"/>
              <w:spacing w:before="0" w:after="283"/>
              <w:jc w:val="left"/>
              <w:rPr/>
            </w:pPr>
            <w:r>
              <w:rPr/>
              <w:t> </w:t>
            </w:r>
          </w:p>
        </w:tc>
        <w:tc>
          <w:tcPr>
            <w:tcW w:w="859"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6.0</w:t>
            </w:r>
          </w:p>
        </w:tc>
        <w:tc>
          <w:tcPr>
            <w:tcW w:w="223" w:type="dxa"/>
            <w:tcBorders/>
            <w:shd w:fill="FFFFFF" w:val="clear"/>
            <w:vAlign w:val="bottom"/>
          </w:tcPr>
          <w:p>
            <w:pPr>
              <w:pStyle w:val="TableContents"/>
              <w:spacing w:before="0" w:after="283"/>
              <w:jc w:val="left"/>
              <w:rPr/>
            </w:pPr>
            <w:r>
              <w:rPr/>
              <w:t> </w:t>
            </w:r>
          </w:p>
        </w:tc>
      </w:tr>
      <w:tr>
        <w:trPr/>
        <w:tc>
          <w:tcPr>
            <w:tcW w:w="6008" w:type="dxa"/>
            <w:tcBorders/>
            <w:shd w:fill="CCEEFF" w:val="clear"/>
            <w:vAlign w:val="bottom"/>
          </w:tcPr>
          <w:p>
            <w:pPr>
              <w:pStyle w:val="TableContents"/>
              <w:spacing w:before="0" w:after="0"/>
              <w:ind w:left="0" w:right="0" w:hanging="0"/>
              <w:jc w:val="both"/>
              <w:rPr>
                <w:rFonts w:ascii="helvetica" w:hAnsi="helvetica"/>
                <w:sz w:val="20"/>
              </w:rPr>
            </w:pPr>
            <w:r>
              <w:rPr>
                <w:rFonts w:ascii="helvetica" w:hAnsi="helvetica"/>
                <w:sz w:val="20"/>
              </w:rPr>
              <w:t>Expected volatility</w:t>
            </w:r>
          </w:p>
        </w:tc>
        <w:tc>
          <w:tcPr>
            <w:tcW w:w="106" w:type="dxa"/>
            <w:tcBorders/>
            <w:shd w:fill="CCEEFF" w:val="clear"/>
            <w:vAlign w:val="bottom"/>
          </w:tcPr>
          <w:p>
            <w:pPr>
              <w:pStyle w:val="TableContents"/>
              <w:spacing w:before="0" w:after="283"/>
              <w:rPr/>
            </w:pPr>
            <w:r>
              <w:rPr/>
              <w:t> </w:t>
            </w:r>
          </w:p>
        </w:tc>
        <w:tc>
          <w:tcPr>
            <w:tcW w:w="153" w:type="dxa"/>
            <w:tcBorders/>
            <w:shd w:fill="CCEEFF" w:val="clear"/>
            <w:vAlign w:val="bottom"/>
          </w:tcPr>
          <w:p>
            <w:pPr>
              <w:pStyle w:val="TableContents"/>
              <w:spacing w:before="0" w:after="283"/>
              <w:jc w:val="left"/>
              <w:rPr/>
            </w:pPr>
            <w:r>
              <w:rPr/>
              <w:t> </w:t>
            </w:r>
          </w:p>
        </w:tc>
        <w:tc>
          <w:tcPr>
            <w:tcW w:w="859"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85</w:t>
            </w:r>
          </w:p>
        </w:tc>
        <w:tc>
          <w:tcPr>
            <w:tcW w:w="207" w:type="dxa"/>
            <w:tcBorders/>
            <w:shd w:fill="CCEEFF" w:val="clear"/>
            <w:vAlign w:val="bottom"/>
          </w:tcPr>
          <w:p>
            <w:pPr>
              <w:pStyle w:val="TableContents"/>
              <w:spacing w:before="0" w:after="283"/>
              <w:jc w:val="left"/>
              <w:rPr>
                <w:rFonts w:ascii="helvetica" w:hAnsi="helvetica"/>
                <w:sz w:val="20"/>
              </w:rPr>
            </w:pPr>
            <w:r>
              <w:rPr>
                <w:rFonts w:ascii="helvetica" w:hAnsi="helvetica"/>
                <w:sz w:val="20"/>
              </w:rPr>
              <w:t>%</w:t>
            </w:r>
          </w:p>
        </w:tc>
        <w:tc>
          <w:tcPr>
            <w:tcW w:w="106" w:type="dxa"/>
            <w:tcBorders/>
            <w:shd w:fill="CCEEFF" w:val="clear"/>
            <w:vAlign w:val="bottom"/>
          </w:tcPr>
          <w:p>
            <w:pPr>
              <w:pStyle w:val="TableContents"/>
              <w:spacing w:before="0" w:after="283"/>
              <w:rPr/>
            </w:pPr>
            <w:r>
              <w:rPr/>
              <w:t> </w:t>
            </w:r>
          </w:p>
        </w:tc>
        <w:tc>
          <w:tcPr>
            <w:tcW w:w="153" w:type="dxa"/>
            <w:tcBorders/>
            <w:shd w:fill="CCEEFF" w:val="clear"/>
            <w:vAlign w:val="bottom"/>
          </w:tcPr>
          <w:p>
            <w:pPr>
              <w:pStyle w:val="TableContents"/>
              <w:spacing w:before="0" w:after="283"/>
              <w:jc w:val="left"/>
              <w:rPr/>
            </w:pPr>
            <w:r>
              <w:rPr/>
              <w:t> </w:t>
            </w:r>
          </w:p>
        </w:tc>
        <w:tc>
          <w:tcPr>
            <w:tcW w:w="859"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75</w:t>
            </w:r>
          </w:p>
        </w:tc>
        <w:tc>
          <w:tcPr>
            <w:tcW w:w="223" w:type="dxa"/>
            <w:tcBorders/>
            <w:shd w:fill="CCEEFF" w:val="clear"/>
            <w:vAlign w:val="bottom"/>
          </w:tcPr>
          <w:p>
            <w:pPr>
              <w:pStyle w:val="TableContents"/>
              <w:spacing w:before="0" w:after="283"/>
              <w:jc w:val="left"/>
              <w:rPr>
                <w:rFonts w:ascii="helvetica" w:hAnsi="helvetica"/>
                <w:sz w:val="20"/>
              </w:rPr>
            </w:pPr>
            <w:r>
              <w:rPr>
                <w:rFonts w:ascii="helvetica" w:hAnsi="helvetica"/>
                <w:sz w:val="20"/>
              </w:rPr>
              <w:t>%</w:t>
            </w:r>
          </w:p>
        </w:tc>
      </w:tr>
      <w:tr>
        <w:trPr/>
        <w:tc>
          <w:tcPr>
            <w:tcW w:w="6008" w:type="dxa"/>
            <w:tcBorders/>
            <w:shd w:fill="FFFFFF" w:val="clear"/>
            <w:vAlign w:val="bottom"/>
          </w:tcPr>
          <w:p>
            <w:pPr>
              <w:pStyle w:val="TableContents"/>
              <w:spacing w:before="0" w:after="0"/>
              <w:ind w:left="0" w:right="0" w:hanging="0"/>
              <w:jc w:val="both"/>
              <w:rPr>
                <w:rFonts w:ascii="helvetica" w:hAnsi="helvetica"/>
                <w:sz w:val="20"/>
              </w:rPr>
            </w:pPr>
            <w:r>
              <w:rPr>
                <w:rFonts w:ascii="helvetica" w:hAnsi="helvetica"/>
                <w:sz w:val="20"/>
              </w:rPr>
              <w:t>Risk-free interest rate</w:t>
            </w:r>
          </w:p>
        </w:tc>
        <w:tc>
          <w:tcPr>
            <w:tcW w:w="106" w:type="dxa"/>
            <w:tcBorders/>
            <w:shd w:fill="FFFFFF" w:val="clear"/>
            <w:vAlign w:val="bottom"/>
          </w:tcPr>
          <w:p>
            <w:pPr>
              <w:pStyle w:val="TableContents"/>
              <w:spacing w:before="0" w:after="283"/>
              <w:rPr/>
            </w:pPr>
            <w:r>
              <w:rPr/>
              <w:t> </w:t>
            </w:r>
          </w:p>
        </w:tc>
        <w:tc>
          <w:tcPr>
            <w:tcW w:w="153" w:type="dxa"/>
            <w:tcBorders/>
            <w:shd w:fill="FFFFFF" w:val="clear"/>
            <w:vAlign w:val="bottom"/>
          </w:tcPr>
          <w:p>
            <w:pPr>
              <w:pStyle w:val="TableContents"/>
              <w:spacing w:before="0" w:after="283"/>
              <w:jc w:val="left"/>
              <w:rPr/>
            </w:pPr>
            <w:r>
              <w:rPr/>
              <w:t> </w:t>
            </w:r>
          </w:p>
        </w:tc>
        <w:tc>
          <w:tcPr>
            <w:tcW w:w="859"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0.46</w:t>
            </w:r>
          </w:p>
        </w:tc>
        <w:tc>
          <w:tcPr>
            <w:tcW w:w="207" w:type="dxa"/>
            <w:tcBorders/>
            <w:shd w:fill="FFFFFF" w:val="clear"/>
            <w:vAlign w:val="bottom"/>
          </w:tcPr>
          <w:p>
            <w:pPr>
              <w:pStyle w:val="TableContents"/>
              <w:spacing w:before="0" w:after="283"/>
              <w:jc w:val="left"/>
              <w:rPr>
                <w:rFonts w:ascii="helvetica" w:hAnsi="helvetica"/>
                <w:sz w:val="20"/>
              </w:rPr>
            </w:pPr>
            <w:r>
              <w:rPr>
                <w:rFonts w:ascii="helvetica" w:hAnsi="helvetica"/>
                <w:sz w:val="20"/>
              </w:rPr>
              <w:t>%</w:t>
            </w:r>
          </w:p>
        </w:tc>
        <w:tc>
          <w:tcPr>
            <w:tcW w:w="106" w:type="dxa"/>
            <w:tcBorders/>
            <w:shd w:fill="FFFFFF" w:val="clear"/>
            <w:vAlign w:val="bottom"/>
          </w:tcPr>
          <w:p>
            <w:pPr>
              <w:pStyle w:val="TableContents"/>
              <w:spacing w:before="0" w:after="283"/>
              <w:rPr/>
            </w:pPr>
            <w:r>
              <w:rPr/>
              <w:t> </w:t>
            </w:r>
          </w:p>
        </w:tc>
        <w:tc>
          <w:tcPr>
            <w:tcW w:w="153" w:type="dxa"/>
            <w:tcBorders/>
            <w:shd w:fill="FFFFFF" w:val="clear"/>
            <w:vAlign w:val="bottom"/>
          </w:tcPr>
          <w:p>
            <w:pPr>
              <w:pStyle w:val="TableContents"/>
              <w:spacing w:before="0" w:after="283"/>
              <w:jc w:val="left"/>
              <w:rPr/>
            </w:pPr>
            <w:r>
              <w:rPr/>
              <w:t> </w:t>
            </w:r>
          </w:p>
        </w:tc>
        <w:tc>
          <w:tcPr>
            <w:tcW w:w="859"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2.02</w:t>
            </w:r>
          </w:p>
        </w:tc>
        <w:tc>
          <w:tcPr>
            <w:tcW w:w="223" w:type="dxa"/>
            <w:tcBorders/>
            <w:shd w:fill="FFFFFF" w:val="clear"/>
            <w:vAlign w:val="bottom"/>
          </w:tcPr>
          <w:p>
            <w:pPr>
              <w:pStyle w:val="TableContents"/>
              <w:spacing w:before="0" w:after="283"/>
              <w:jc w:val="left"/>
              <w:rPr>
                <w:rFonts w:ascii="helvetica" w:hAnsi="helvetica"/>
                <w:sz w:val="20"/>
              </w:rPr>
            </w:pPr>
            <w:r>
              <w:rPr>
                <w:rFonts w:ascii="helvetica" w:hAnsi="helvetica"/>
                <w:sz w:val="20"/>
              </w:rPr>
              <w:t>%</w:t>
            </w:r>
          </w:p>
        </w:tc>
      </w:tr>
      <w:tr>
        <w:trPr/>
        <w:tc>
          <w:tcPr>
            <w:tcW w:w="6008" w:type="dxa"/>
            <w:tcBorders/>
            <w:shd w:fill="CCEEFF" w:val="clear"/>
            <w:vAlign w:val="bottom"/>
          </w:tcPr>
          <w:p>
            <w:pPr>
              <w:pStyle w:val="TableContents"/>
              <w:spacing w:before="0" w:after="0"/>
              <w:ind w:left="0" w:right="0" w:hanging="0"/>
              <w:jc w:val="both"/>
              <w:rPr>
                <w:rFonts w:ascii="helvetica" w:hAnsi="helvetica"/>
                <w:sz w:val="20"/>
              </w:rPr>
            </w:pPr>
            <w:r>
              <w:rPr>
                <w:rFonts w:ascii="helvetica" w:hAnsi="helvetica"/>
                <w:sz w:val="20"/>
              </w:rPr>
              <w:t>Dividend yield</w:t>
            </w:r>
          </w:p>
        </w:tc>
        <w:tc>
          <w:tcPr>
            <w:tcW w:w="106" w:type="dxa"/>
            <w:tcBorders/>
            <w:shd w:fill="CCEEFF" w:val="clear"/>
            <w:vAlign w:val="bottom"/>
          </w:tcPr>
          <w:p>
            <w:pPr>
              <w:pStyle w:val="TableContents"/>
              <w:spacing w:before="0" w:after="283"/>
              <w:rPr/>
            </w:pPr>
            <w:r>
              <w:rPr/>
              <w:t> </w:t>
            </w:r>
          </w:p>
        </w:tc>
        <w:tc>
          <w:tcPr>
            <w:tcW w:w="153" w:type="dxa"/>
            <w:tcBorders/>
            <w:shd w:fill="CCEEFF" w:val="clear"/>
            <w:vAlign w:val="bottom"/>
          </w:tcPr>
          <w:p>
            <w:pPr>
              <w:pStyle w:val="TableContents"/>
              <w:spacing w:before="0" w:after="283"/>
              <w:jc w:val="left"/>
              <w:rPr/>
            </w:pPr>
            <w:r>
              <w:rPr/>
              <w:t> </w:t>
            </w:r>
          </w:p>
        </w:tc>
        <w:tc>
          <w:tcPr>
            <w:tcW w:w="859"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w:t>
            </w:r>
          </w:p>
        </w:tc>
        <w:tc>
          <w:tcPr>
            <w:tcW w:w="207" w:type="dxa"/>
            <w:tcBorders/>
            <w:shd w:fill="CCEEFF" w:val="clear"/>
            <w:vAlign w:val="bottom"/>
          </w:tcPr>
          <w:p>
            <w:pPr>
              <w:pStyle w:val="TableContents"/>
              <w:spacing w:before="0" w:after="283"/>
              <w:jc w:val="left"/>
              <w:rPr/>
            </w:pPr>
            <w:r>
              <w:rPr/>
              <w:t> </w:t>
            </w:r>
          </w:p>
        </w:tc>
        <w:tc>
          <w:tcPr>
            <w:tcW w:w="106" w:type="dxa"/>
            <w:tcBorders/>
            <w:shd w:fill="CCEEFF" w:val="clear"/>
            <w:vAlign w:val="bottom"/>
          </w:tcPr>
          <w:p>
            <w:pPr>
              <w:pStyle w:val="TableContents"/>
              <w:spacing w:before="0" w:after="283"/>
              <w:rPr/>
            </w:pPr>
            <w:r>
              <w:rPr/>
              <w:t> </w:t>
            </w:r>
          </w:p>
        </w:tc>
        <w:tc>
          <w:tcPr>
            <w:tcW w:w="153" w:type="dxa"/>
            <w:tcBorders/>
            <w:shd w:fill="CCEEFF" w:val="clear"/>
            <w:vAlign w:val="bottom"/>
          </w:tcPr>
          <w:p>
            <w:pPr>
              <w:pStyle w:val="TableContents"/>
              <w:spacing w:before="0" w:after="283"/>
              <w:jc w:val="left"/>
              <w:rPr/>
            </w:pPr>
            <w:r>
              <w:rPr/>
              <w:t> </w:t>
            </w:r>
          </w:p>
        </w:tc>
        <w:tc>
          <w:tcPr>
            <w:tcW w:w="859"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w:t>
            </w:r>
          </w:p>
        </w:tc>
        <w:tc>
          <w:tcPr>
            <w:tcW w:w="223" w:type="dxa"/>
            <w:tcBorders/>
            <w:shd w:fill="CCEEFF" w:val="clear"/>
            <w:vAlign w:val="bottom"/>
          </w:tcPr>
          <w:p>
            <w:pPr>
              <w:pStyle w:val="TableContents"/>
              <w:spacing w:before="0" w:after="283"/>
              <w:jc w:val="left"/>
              <w:rPr/>
            </w:pPr>
            <w:r>
              <w:rPr/>
              <w:t> </w:t>
            </w:r>
          </w:p>
        </w:tc>
      </w:tr>
    </w:tbl>
    <w:p>
      <w:pPr>
        <w:pStyle w:val="TextBody"/>
        <w:spacing w:before="0" w:after="0"/>
        <w:ind w:left="0" w:right="0" w:hanging="0"/>
        <w:rPr/>
      </w:pPr>
      <w:r>
        <w:rPr/>
        <w:t> </w:t>
      </w:r>
    </w:p>
    <w:p>
      <w:pPr>
        <w:pStyle w:val="TextBody"/>
        <w:spacing w:before="0" w:after="0"/>
        <w:ind w:left="0" w:right="0" w:hanging="0"/>
        <w:jc w:val="both"/>
        <w:rPr>
          <w:rFonts w:ascii="helvetica" w:hAnsi="helvetica"/>
          <w:sz w:val="20"/>
        </w:rPr>
      </w:pPr>
      <w:r>
        <w:rPr>
          <w:rFonts w:ascii="helvetica" w:hAnsi="helvetica"/>
          <w:sz w:val="20"/>
        </w:rPr>
        <w:t>No options were issued to consultants during the year ended December 31, 2011.</w:t>
      </w:r>
    </w:p>
    <w:p>
      <w:pPr>
        <w:pStyle w:val="TextBody"/>
        <w:spacing w:before="0" w:after="0"/>
        <w:ind w:left="0" w:right="0" w:hanging="0"/>
        <w:rPr/>
      </w:pPr>
      <w:r>
        <w:rPr/>
        <w:t> </w:t>
      </w:r>
    </w:p>
    <w:p>
      <w:pPr>
        <w:pStyle w:val="TextBody"/>
        <w:spacing w:before="0" w:after="0"/>
        <w:ind w:left="0" w:right="0" w:hanging="0"/>
        <w:jc w:val="both"/>
        <w:rPr>
          <w:rFonts w:ascii="helvetica" w:hAnsi="helvetica"/>
          <w:sz w:val="20"/>
        </w:rPr>
      </w:pPr>
      <w:r>
        <w:rPr>
          <w:rFonts w:ascii="helvetica" w:hAnsi="helvetica"/>
          <w:sz w:val="20"/>
        </w:rPr>
        <w:t>The table below illustrates the fair value per share and Black-Scholes option pricing model with the following assumptions used for the grants issued to the consultants during the year ended December 31, 2010:</w:t>
      </w:r>
    </w:p>
    <w:p>
      <w:pPr>
        <w:pStyle w:val="TextBody"/>
        <w:spacing w:before="0" w:after="0"/>
        <w:ind w:left="0" w:right="0" w:hanging="0"/>
        <w:rPr/>
      </w:pPr>
      <w:r>
        <w:rPr/>
        <w:t> </w:t>
      </w:r>
    </w:p>
    <w:tbl>
      <w:tblPr>
        <w:tblW w:w="4250" w:type="pct"/>
        <w:jc w:val="left"/>
        <w:tblInd w:w="0" w:type="dxa"/>
        <w:tblCellMar>
          <w:top w:w="0" w:type="dxa"/>
          <w:left w:w="0" w:type="dxa"/>
          <w:bottom w:w="0" w:type="dxa"/>
          <w:right w:w="0" w:type="dxa"/>
        </w:tblCellMar>
      </w:tblPr>
      <w:tblGrid>
        <w:gridCol w:w="7289"/>
        <w:gridCol w:w="111"/>
        <w:gridCol w:w="154"/>
        <w:gridCol w:w="901"/>
        <w:gridCol w:w="219"/>
      </w:tblGrid>
      <w:tr>
        <w:trPr/>
        <w:tc>
          <w:tcPr>
            <w:tcW w:w="7289" w:type="dxa"/>
            <w:tcBorders/>
            <w:shd w:fill="auto" w:val="clear"/>
            <w:vAlign w:val="bottom"/>
          </w:tcPr>
          <w:p>
            <w:pPr>
              <w:pStyle w:val="TableContents"/>
              <w:spacing w:before="0" w:after="283"/>
              <w:rPr/>
            </w:pPr>
            <w:r>
              <w:rPr/>
              <w:t xml:space="preserve">  </w:t>
            </w:r>
          </w:p>
        </w:tc>
        <w:tc>
          <w:tcPr>
            <w:tcW w:w="111" w:type="dxa"/>
            <w:tcBorders/>
            <w:shd w:fill="auto" w:val="clear"/>
            <w:vAlign w:val="bottom"/>
          </w:tcPr>
          <w:p>
            <w:pPr>
              <w:pStyle w:val="TableContents"/>
              <w:spacing w:before="0" w:after="283"/>
              <w:jc w:val="center"/>
              <w:rPr/>
            </w:pPr>
            <w:r>
              <w:rPr/>
              <w:t> </w:t>
            </w:r>
          </w:p>
        </w:tc>
        <w:tc>
          <w:tcPr>
            <w:tcW w:w="1055"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helvetica" w:hAnsi="helvetica"/>
                <w:b/>
                <w:sz w:val="16"/>
              </w:rPr>
            </w:pPr>
            <w:r>
              <w:rPr>
                <w:rFonts w:ascii="helvetica" w:hAnsi="helvetica"/>
                <w:b/>
                <w:sz w:val="16"/>
              </w:rPr>
              <w:t>2010</w:t>
            </w:r>
          </w:p>
        </w:tc>
        <w:tc>
          <w:tcPr>
            <w:tcW w:w="219" w:type="dxa"/>
            <w:tcBorders/>
            <w:shd w:fill="auto" w:val="clear"/>
            <w:vAlign w:val="bottom"/>
          </w:tcPr>
          <w:p>
            <w:pPr>
              <w:pStyle w:val="TableContents"/>
              <w:spacing w:before="0" w:after="283"/>
              <w:jc w:val="left"/>
              <w:rPr/>
            </w:pPr>
            <w:r>
              <w:rPr/>
              <w:t> </w:t>
            </w:r>
          </w:p>
        </w:tc>
      </w:tr>
      <w:tr>
        <w:trPr/>
        <w:tc>
          <w:tcPr>
            <w:tcW w:w="7289" w:type="dxa"/>
            <w:tcBorders/>
            <w:shd w:fill="CCEEFF" w:val="clear"/>
            <w:vAlign w:val="bottom"/>
          </w:tcPr>
          <w:p>
            <w:pPr>
              <w:pStyle w:val="TableContents"/>
              <w:spacing w:before="0" w:after="0"/>
              <w:ind w:left="0" w:right="0" w:hanging="0"/>
              <w:jc w:val="both"/>
              <w:rPr>
                <w:rFonts w:ascii="helvetica" w:hAnsi="helvetica"/>
                <w:sz w:val="20"/>
              </w:rPr>
            </w:pPr>
            <w:r>
              <w:rPr>
                <w:rFonts w:ascii="helvetica" w:hAnsi="helvetica"/>
                <w:sz w:val="20"/>
              </w:rPr>
              <w:t>Weighted-average fair value of options granted</w:t>
            </w:r>
          </w:p>
        </w:tc>
        <w:tc>
          <w:tcPr>
            <w:tcW w:w="111" w:type="dxa"/>
            <w:tcBorders/>
            <w:shd w:fill="CCEEFF" w:val="clear"/>
            <w:vAlign w:val="bottom"/>
          </w:tcPr>
          <w:p>
            <w:pPr>
              <w:pStyle w:val="TableContents"/>
              <w:spacing w:before="0" w:after="283"/>
              <w:rPr/>
            </w:pPr>
            <w:r>
              <w:rPr/>
              <w:t> </w:t>
            </w:r>
          </w:p>
        </w:tc>
        <w:tc>
          <w:tcPr>
            <w:tcW w:w="154" w:type="dxa"/>
            <w:tcBorders/>
            <w:shd w:fill="CCEEFF" w:val="clear"/>
            <w:vAlign w:val="bottom"/>
          </w:tcPr>
          <w:p>
            <w:pPr>
              <w:pStyle w:val="TableContents"/>
              <w:spacing w:before="0" w:after="283"/>
              <w:jc w:val="left"/>
              <w:rPr>
                <w:rFonts w:ascii="helvetica" w:hAnsi="helvetica"/>
                <w:sz w:val="20"/>
              </w:rPr>
            </w:pPr>
            <w:r>
              <w:rPr>
                <w:rFonts w:ascii="helvetica" w:hAnsi="helvetica"/>
                <w:sz w:val="20"/>
              </w:rPr>
              <w:t>$</w:t>
            </w:r>
          </w:p>
        </w:tc>
        <w:tc>
          <w:tcPr>
            <w:tcW w:w="901"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5.28</w:t>
            </w:r>
          </w:p>
        </w:tc>
        <w:tc>
          <w:tcPr>
            <w:tcW w:w="219" w:type="dxa"/>
            <w:tcBorders/>
            <w:shd w:fill="CCEEFF" w:val="clear"/>
            <w:vAlign w:val="bottom"/>
          </w:tcPr>
          <w:p>
            <w:pPr>
              <w:pStyle w:val="TableContents"/>
              <w:spacing w:before="0" w:after="283"/>
              <w:jc w:val="left"/>
              <w:rPr/>
            </w:pPr>
            <w:r>
              <w:rPr/>
              <w:t> </w:t>
            </w:r>
          </w:p>
        </w:tc>
      </w:tr>
      <w:tr>
        <w:trPr/>
        <w:tc>
          <w:tcPr>
            <w:tcW w:w="7289" w:type="dxa"/>
            <w:tcBorders/>
            <w:shd w:fill="FFFFFF" w:val="clear"/>
            <w:vAlign w:val="bottom"/>
          </w:tcPr>
          <w:p>
            <w:pPr>
              <w:pStyle w:val="TableContents"/>
              <w:spacing w:before="0" w:after="0"/>
              <w:ind w:left="0" w:right="0" w:hanging="0"/>
              <w:jc w:val="both"/>
              <w:rPr>
                <w:rFonts w:ascii="helvetica" w:hAnsi="helvetica"/>
                <w:sz w:val="20"/>
              </w:rPr>
            </w:pPr>
            <w:r>
              <w:rPr>
                <w:rFonts w:ascii="helvetica" w:hAnsi="helvetica"/>
                <w:sz w:val="20"/>
              </w:rPr>
              <w:t>Expected terms (in years)</w:t>
            </w:r>
          </w:p>
        </w:tc>
        <w:tc>
          <w:tcPr>
            <w:tcW w:w="111" w:type="dxa"/>
            <w:tcBorders/>
            <w:shd w:fill="FFFFFF" w:val="clear"/>
            <w:vAlign w:val="bottom"/>
          </w:tcPr>
          <w:p>
            <w:pPr>
              <w:pStyle w:val="TableContents"/>
              <w:spacing w:before="0" w:after="283"/>
              <w:rPr/>
            </w:pPr>
            <w:r>
              <w:rPr/>
              <w:t> </w:t>
            </w:r>
          </w:p>
        </w:tc>
        <w:tc>
          <w:tcPr>
            <w:tcW w:w="154" w:type="dxa"/>
            <w:tcBorders/>
            <w:shd w:fill="FFFFFF" w:val="clear"/>
            <w:vAlign w:val="bottom"/>
          </w:tcPr>
          <w:p>
            <w:pPr>
              <w:pStyle w:val="TableContents"/>
              <w:spacing w:before="0" w:after="283"/>
              <w:jc w:val="left"/>
              <w:rPr/>
            </w:pPr>
            <w:r>
              <w:rPr/>
              <w:t> </w:t>
            </w:r>
          </w:p>
        </w:tc>
        <w:tc>
          <w:tcPr>
            <w:tcW w:w="901"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5.0</w:t>
            </w:r>
          </w:p>
        </w:tc>
        <w:tc>
          <w:tcPr>
            <w:tcW w:w="219" w:type="dxa"/>
            <w:tcBorders/>
            <w:shd w:fill="FFFFFF" w:val="clear"/>
            <w:vAlign w:val="bottom"/>
          </w:tcPr>
          <w:p>
            <w:pPr>
              <w:pStyle w:val="TableContents"/>
              <w:spacing w:before="0" w:after="283"/>
              <w:jc w:val="left"/>
              <w:rPr/>
            </w:pPr>
            <w:r>
              <w:rPr/>
              <w:t> </w:t>
            </w:r>
          </w:p>
        </w:tc>
      </w:tr>
      <w:tr>
        <w:trPr/>
        <w:tc>
          <w:tcPr>
            <w:tcW w:w="7289" w:type="dxa"/>
            <w:tcBorders/>
            <w:shd w:fill="CCEEFF" w:val="clear"/>
            <w:vAlign w:val="bottom"/>
          </w:tcPr>
          <w:p>
            <w:pPr>
              <w:pStyle w:val="TableContents"/>
              <w:spacing w:before="0" w:after="0"/>
              <w:ind w:left="0" w:right="0" w:hanging="0"/>
              <w:jc w:val="both"/>
              <w:rPr>
                <w:rFonts w:ascii="helvetica" w:hAnsi="helvetica"/>
                <w:sz w:val="20"/>
              </w:rPr>
            </w:pPr>
            <w:r>
              <w:rPr>
                <w:rFonts w:ascii="helvetica" w:hAnsi="helvetica"/>
                <w:sz w:val="20"/>
              </w:rPr>
              <w:t>Expected volatility</w:t>
            </w:r>
          </w:p>
        </w:tc>
        <w:tc>
          <w:tcPr>
            <w:tcW w:w="111" w:type="dxa"/>
            <w:tcBorders/>
            <w:shd w:fill="CCEEFF" w:val="clear"/>
            <w:vAlign w:val="bottom"/>
          </w:tcPr>
          <w:p>
            <w:pPr>
              <w:pStyle w:val="TableContents"/>
              <w:spacing w:before="0" w:after="283"/>
              <w:rPr/>
            </w:pPr>
            <w:r>
              <w:rPr/>
              <w:t> </w:t>
            </w:r>
          </w:p>
        </w:tc>
        <w:tc>
          <w:tcPr>
            <w:tcW w:w="154" w:type="dxa"/>
            <w:tcBorders/>
            <w:shd w:fill="CCEEFF" w:val="clear"/>
            <w:vAlign w:val="bottom"/>
          </w:tcPr>
          <w:p>
            <w:pPr>
              <w:pStyle w:val="TableContents"/>
              <w:spacing w:before="0" w:after="283"/>
              <w:jc w:val="left"/>
              <w:rPr/>
            </w:pPr>
            <w:r>
              <w:rPr/>
              <w:t> </w:t>
            </w:r>
          </w:p>
        </w:tc>
        <w:tc>
          <w:tcPr>
            <w:tcW w:w="901"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75</w:t>
            </w:r>
          </w:p>
        </w:tc>
        <w:tc>
          <w:tcPr>
            <w:tcW w:w="219" w:type="dxa"/>
            <w:tcBorders/>
            <w:shd w:fill="CCEEFF" w:val="clear"/>
            <w:vAlign w:val="bottom"/>
          </w:tcPr>
          <w:p>
            <w:pPr>
              <w:pStyle w:val="TableContents"/>
              <w:spacing w:before="0" w:after="283"/>
              <w:jc w:val="left"/>
              <w:rPr>
                <w:rFonts w:ascii="helvetica" w:hAnsi="helvetica"/>
                <w:sz w:val="20"/>
              </w:rPr>
            </w:pPr>
            <w:r>
              <w:rPr>
                <w:rFonts w:ascii="helvetica" w:hAnsi="helvetica"/>
                <w:sz w:val="20"/>
              </w:rPr>
              <w:t>%</w:t>
            </w:r>
          </w:p>
        </w:tc>
      </w:tr>
      <w:tr>
        <w:trPr/>
        <w:tc>
          <w:tcPr>
            <w:tcW w:w="7289" w:type="dxa"/>
            <w:tcBorders/>
            <w:shd w:fill="FFFFFF" w:val="clear"/>
            <w:vAlign w:val="bottom"/>
          </w:tcPr>
          <w:p>
            <w:pPr>
              <w:pStyle w:val="TableContents"/>
              <w:spacing w:before="0" w:after="0"/>
              <w:ind w:left="0" w:right="0" w:hanging="0"/>
              <w:jc w:val="both"/>
              <w:rPr>
                <w:rFonts w:ascii="helvetica" w:hAnsi="helvetica"/>
                <w:sz w:val="20"/>
              </w:rPr>
            </w:pPr>
            <w:r>
              <w:rPr>
                <w:rFonts w:ascii="helvetica" w:hAnsi="helvetica"/>
                <w:sz w:val="20"/>
              </w:rPr>
              <w:t>Risk-free interest rate</w:t>
            </w:r>
          </w:p>
        </w:tc>
        <w:tc>
          <w:tcPr>
            <w:tcW w:w="111" w:type="dxa"/>
            <w:tcBorders/>
            <w:shd w:fill="FFFFFF" w:val="clear"/>
            <w:vAlign w:val="bottom"/>
          </w:tcPr>
          <w:p>
            <w:pPr>
              <w:pStyle w:val="TableContents"/>
              <w:spacing w:before="0" w:after="283"/>
              <w:rPr/>
            </w:pPr>
            <w:r>
              <w:rPr/>
              <w:t> </w:t>
            </w:r>
          </w:p>
        </w:tc>
        <w:tc>
          <w:tcPr>
            <w:tcW w:w="154" w:type="dxa"/>
            <w:tcBorders/>
            <w:shd w:fill="FFFFFF" w:val="clear"/>
            <w:vAlign w:val="bottom"/>
          </w:tcPr>
          <w:p>
            <w:pPr>
              <w:pStyle w:val="TableContents"/>
              <w:spacing w:before="0" w:after="283"/>
              <w:jc w:val="left"/>
              <w:rPr/>
            </w:pPr>
            <w:r>
              <w:rPr/>
              <w:t> </w:t>
            </w:r>
          </w:p>
        </w:tc>
        <w:tc>
          <w:tcPr>
            <w:tcW w:w="901"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1.63</w:t>
            </w:r>
          </w:p>
        </w:tc>
        <w:tc>
          <w:tcPr>
            <w:tcW w:w="219" w:type="dxa"/>
            <w:tcBorders/>
            <w:shd w:fill="FFFFFF" w:val="clear"/>
            <w:vAlign w:val="bottom"/>
          </w:tcPr>
          <w:p>
            <w:pPr>
              <w:pStyle w:val="TableContents"/>
              <w:spacing w:before="0" w:after="283"/>
              <w:jc w:val="left"/>
              <w:rPr>
                <w:rFonts w:ascii="helvetica" w:hAnsi="helvetica"/>
                <w:sz w:val="20"/>
              </w:rPr>
            </w:pPr>
            <w:r>
              <w:rPr>
                <w:rFonts w:ascii="helvetica" w:hAnsi="helvetica"/>
                <w:sz w:val="20"/>
              </w:rPr>
              <w:t>%</w:t>
            </w:r>
          </w:p>
        </w:tc>
      </w:tr>
      <w:tr>
        <w:trPr/>
        <w:tc>
          <w:tcPr>
            <w:tcW w:w="7289" w:type="dxa"/>
            <w:tcBorders/>
            <w:shd w:fill="CCEEFF" w:val="clear"/>
            <w:vAlign w:val="bottom"/>
          </w:tcPr>
          <w:p>
            <w:pPr>
              <w:pStyle w:val="TableContents"/>
              <w:spacing w:before="0" w:after="0"/>
              <w:ind w:left="0" w:right="0" w:hanging="0"/>
              <w:jc w:val="both"/>
              <w:rPr>
                <w:rFonts w:ascii="helvetica" w:hAnsi="helvetica"/>
                <w:sz w:val="20"/>
              </w:rPr>
            </w:pPr>
            <w:r>
              <w:rPr>
                <w:rFonts w:ascii="helvetica" w:hAnsi="helvetica"/>
                <w:sz w:val="20"/>
              </w:rPr>
              <w:t>Dividend yield</w:t>
            </w:r>
          </w:p>
        </w:tc>
        <w:tc>
          <w:tcPr>
            <w:tcW w:w="111" w:type="dxa"/>
            <w:tcBorders/>
            <w:shd w:fill="CCEEFF" w:val="clear"/>
            <w:vAlign w:val="bottom"/>
          </w:tcPr>
          <w:p>
            <w:pPr>
              <w:pStyle w:val="TableContents"/>
              <w:spacing w:before="0" w:after="283"/>
              <w:rPr/>
            </w:pPr>
            <w:r>
              <w:rPr/>
              <w:t> </w:t>
            </w:r>
          </w:p>
        </w:tc>
        <w:tc>
          <w:tcPr>
            <w:tcW w:w="154" w:type="dxa"/>
            <w:tcBorders/>
            <w:shd w:fill="CCEEFF" w:val="clear"/>
            <w:vAlign w:val="bottom"/>
          </w:tcPr>
          <w:p>
            <w:pPr>
              <w:pStyle w:val="TableContents"/>
              <w:spacing w:before="0" w:after="283"/>
              <w:jc w:val="left"/>
              <w:rPr/>
            </w:pPr>
            <w:r>
              <w:rPr/>
              <w:t> </w:t>
            </w:r>
          </w:p>
        </w:tc>
        <w:tc>
          <w:tcPr>
            <w:tcW w:w="901"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w:t>
            </w:r>
          </w:p>
        </w:tc>
        <w:tc>
          <w:tcPr>
            <w:tcW w:w="219" w:type="dxa"/>
            <w:tcBorders/>
            <w:shd w:fill="CCEEFF" w:val="clear"/>
            <w:vAlign w:val="bottom"/>
          </w:tcPr>
          <w:p>
            <w:pPr>
              <w:pStyle w:val="TableContents"/>
              <w:spacing w:before="0" w:after="283"/>
              <w:jc w:val="left"/>
              <w:rPr/>
            </w:pPr>
            <w:r>
              <w:rPr/>
              <w:t> </w:t>
            </w:r>
          </w:p>
        </w:tc>
      </w:tr>
    </w:tbl>
    <w:p>
      <w:pPr>
        <w:pStyle w:val="TextBody"/>
        <w:spacing w:before="0" w:after="0"/>
        <w:ind w:left="0" w:right="0" w:hanging="0"/>
        <w:rPr/>
      </w:pPr>
      <w:r>
        <w:rPr/>
        <w:t> </w:t>
      </w:r>
    </w:p>
    <w:p>
      <w:pPr>
        <w:pStyle w:val="TextBody"/>
        <w:spacing w:before="0" w:after="0"/>
        <w:ind w:left="0" w:right="0" w:hanging="0"/>
        <w:jc w:val="left"/>
        <w:rPr>
          <w:rFonts w:ascii="helvetica" w:hAnsi="helvetica"/>
          <w:b/>
          <w:sz w:val="20"/>
        </w:rPr>
      </w:pPr>
      <w:r>
        <w:rPr>
          <w:rFonts w:ascii="helvetica" w:hAnsi="helvetica"/>
          <w:b/>
          <w:sz w:val="20"/>
        </w:rPr>
        <w:t>NOTE 8.   WARRANTS</w:t>
      </w:r>
    </w:p>
    <w:p>
      <w:pPr>
        <w:pStyle w:val="TextBody"/>
        <w:spacing w:before="0" w:after="0"/>
        <w:ind w:left="0" w:right="0" w:hanging="0"/>
        <w:rPr/>
      </w:pPr>
      <w:r>
        <w:rPr/>
        <w:t> </w:t>
      </w:r>
    </w:p>
    <w:p>
      <w:pPr>
        <w:pStyle w:val="TextBody"/>
        <w:spacing w:before="0" w:after="0"/>
        <w:ind w:left="0" w:right="0" w:hanging="0"/>
        <w:jc w:val="both"/>
        <w:rPr>
          <w:rFonts w:ascii="helvetica" w:hAnsi="helvetica"/>
          <w:sz w:val="20"/>
        </w:rPr>
      </w:pPr>
      <w:r>
        <w:rPr>
          <w:rFonts w:ascii="helvetica" w:hAnsi="helvetica"/>
          <w:sz w:val="20"/>
        </w:rPr>
        <w:t>A summary of the status of the warrants for the year ended December 31, 2011 is as follows:</w:t>
      </w:r>
    </w:p>
    <w:p>
      <w:pPr>
        <w:pStyle w:val="TextBody"/>
        <w:spacing w:before="0" w:after="0"/>
        <w:ind w:left="0" w:right="0" w:hanging="0"/>
        <w:jc w:val="both"/>
        <w:rPr/>
      </w:pPr>
      <w:r>
        <w:rPr/>
        <w:t> </w:t>
      </w:r>
    </w:p>
    <w:tbl>
      <w:tblPr>
        <w:tblW w:w="5000" w:type="pct"/>
        <w:jc w:val="left"/>
        <w:tblInd w:w="0" w:type="dxa"/>
        <w:tblCellMar>
          <w:top w:w="0" w:type="dxa"/>
          <w:left w:w="0" w:type="dxa"/>
          <w:bottom w:w="0" w:type="dxa"/>
          <w:right w:w="0" w:type="dxa"/>
        </w:tblCellMar>
      </w:tblPr>
      <w:tblGrid>
        <w:gridCol w:w="7188"/>
        <w:gridCol w:w="114"/>
        <w:gridCol w:w="127"/>
        <w:gridCol w:w="1198"/>
        <w:gridCol w:w="122"/>
        <w:gridCol w:w="114"/>
        <w:gridCol w:w="154"/>
        <w:gridCol w:w="1062"/>
        <w:gridCol w:w="126"/>
      </w:tblGrid>
      <w:tr>
        <w:trPr/>
        <w:tc>
          <w:tcPr>
            <w:tcW w:w="7188" w:type="dxa"/>
            <w:tcBorders/>
            <w:shd w:fill="auto" w:val="clear"/>
            <w:vAlign w:val="bottom"/>
          </w:tcPr>
          <w:p>
            <w:pPr>
              <w:pStyle w:val="TableContents"/>
              <w:spacing w:before="0" w:after="283"/>
              <w:rPr/>
            </w:pPr>
            <w:r>
              <w:rPr/>
              <w:t xml:space="preserve">  </w:t>
            </w:r>
          </w:p>
        </w:tc>
        <w:tc>
          <w:tcPr>
            <w:tcW w:w="114" w:type="dxa"/>
            <w:tcBorders/>
            <w:shd w:fill="auto" w:val="clear"/>
            <w:vAlign w:val="bottom"/>
          </w:tcPr>
          <w:p>
            <w:pPr>
              <w:pStyle w:val="TableContents"/>
              <w:spacing w:before="0" w:after="283"/>
              <w:rPr/>
            </w:pPr>
            <w:r>
              <w:rPr/>
              <w:t> </w:t>
            </w:r>
          </w:p>
        </w:tc>
        <w:tc>
          <w:tcPr>
            <w:tcW w:w="1325"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helvetica" w:hAnsi="helvetica"/>
                <w:b/>
                <w:sz w:val="16"/>
              </w:rPr>
            </w:pPr>
            <w:r>
              <w:rPr>
                <w:rFonts w:ascii="helvetica" w:hAnsi="helvetica"/>
                <w:b/>
                <w:sz w:val="16"/>
              </w:rPr>
              <w:t>Number of Shares Subject to Warrants Outstanding</w:t>
            </w:r>
          </w:p>
        </w:tc>
        <w:tc>
          <w:tcPr>
            <w:tcW w:w="122" w:type="dxa"/>
            <w:tcBorders/>
            <w:shd w:fill="auto" w:val="clear"/>
            <w:vAlign w:val="bottom"/>
          </w:tcPr>
          <w:p>
            <w:pPr>
              <w:pStyle w:val="TableContents"/>
              <w:spacing w:before="0" w:after="283"/>
              <w:jc w:val="left"/>
              <w:rPr/>
            </w:pPr>
            <w:r>
              <w:rPr/>
              <w:t> </w:t>
            </w:r>
          </w:p>
        </w:tc>
        <w:tc>
          <w:tcPr>
            <w:tcW w:w="114" w:type="dxa"/>
            <w:tcBorders/>
            <w:shd w:fill="auto" w:val="clear"/>
            <w:vAlign w:val="bottom"/>
          </w:tcPr>
          <w:p>
            <w:pPr>
              <w:pStyle w:val="TableContents"/>
              <w:spacing w:before="0" w:after="283"/>
              <w:rPr/>
            </w:pPr>
            <w:r>
              <w:rPr/>
              <w:t> </w:t>
            </w:r>
          </w:p>
        </w:tc>
        <w:tc>
          <w:tcPr>
            <w:tcW w:w="1216"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helvetica" w:hAnsi="helvetica"/>
                <w:b/>
                <w:sz w:val="16"/>
              </w:rPr>
            </w:pPr>
            <w:r>
              <w:rPr>
                <w:rFonts w:ascii="helvetica" w:hAnsi="helvetica"/>
                <w:b/>
                <w:sz w:val="16"/>
              </w:rPr>
              <w:t>Weighted Avg. Exercise Price</w:t>
            </w:r>
          </w:p>
        </w:tc>
        <w:tc>
          <w:tcPr>
            <w:tcW w:w="126" w:type="dxa"/>
            <w:tcBorders/>
            <w:shd w:fill="auto" w:val="clear"/>
            <w:vAlign w:val="bottom"/>
          </w:tcPr>
          <w:p>
            <w:pPr>
              <w:pStyle w:val="TableContents"/>
              <w:spacing w:before="0" w:after="283"/>
              <w:jc w:val="left"/>
              <w:rPr/>
            </w:pPr>
            <w:r>
              <w:rPr/>
              <w:t> </w:t>
            </w:r>
          </w:p>
        </w:tc>
      </w:tr>
      <w:tr>
        <w:trPr/>
        <w:tc>
          <w:tcPr>
            <w:tcW w:w="7188" w:type="dxa"/>
            <w:tcBorders/>
            <w:shd w:fill="auto" w:val="clear"/>
            <w:vAlign w:val="bottom"/>
          </w:tcPr>
          <w:p>
            <w:pPr>
              <w:pStyle w:val="TableContents"/>
              <w:spacing w:before="0" w:after="283"/>
              <w:rPr/>
            </w:pPr>
            <w:r>
              <w:rPr/>
              <w:t xml:space="preserve">  </w:t>
            </w:r>
          </w:p>
        </w:tc>
        <w:tc>
          <w:tcPr>
            <w:tcW w:w="114" w:type="dxa"/>
            <w:tcBorders/>
            <w:shd w:fill="auto" w:val="clear"/>
            <w:vAlign w:val="bottom"/>
          </w:tcPr>
          <w:p>
            <w:pPr>
              <w:pStyle w:val="TableContents"/>
              <w:spacing w:before="0" w:after="283"/>
              <w:rPr/>
            </w:pPr>
            <w:r>
              <w:rPr/>
              <w:t> </w:t>
            </w:r>
          </w:p>
        </w:tc>
        <w:tc>
          <w:tcPr>
            <w:tcW w:w="1325" w:type="dxa"/>
            <w:gridSpan w:val="2"/>
            <w:tcBorders/>
            <w:shd w:fill="auto" w:val="clear"/>
            <w:vAlign w:val="bottom"/>
          </w:tcPr>
          <w:p>
            <w:pPr>
              <w:pStyle w:val="TableContents"/>
              <w:spacing w:before="0" w:after="283"/>
              <w:rPr/>
            </w:pPr>
            <w:r>
              <w:rPr/>
              <w:t> </w:t>
            </w:r>
          </w:p>
        </w:tc>
        <w:tc>
          <w:tcPr>
            <w:tcW w:w="122" w:type="dxa"/>
            <w:tcBorders/>
            <w:shd w:fill="auto" w:val="clear"/>
            <w:vAlign w:val="bottom"/>
          </w:tcPr>
          <w:p>
            <w:pPr>
              <w:pStyle w:val="TableContents"/>
              <w:spacing w:before="0" w:after="283"/>
              <w:jc w:val="left"/>
              <w:rPr/>
            </w:pPr>
            <w:r>
              <w:rPr/>
              <w:t> </w:t>
            </w:r>
          </w:p>
        </w:tc>
        <w:tc>
          <w:tcPr>
            <w:tcW w:w="114" w:type="dxa"/>
            <w:tcBorders/>
            <w:shd w:fill="auto" w:val="clear"/>
            <w:vAlign w:val="bottom"/>
          </w:tcPr>
          <w:p>
            <w:pPr>
              <w:pStyle w:val="TableContents"/>
              <w:spacing w:before="0" w:after="283"/>
              <w:rPr/>
            </w:pPr>
            <w:r>
              <w:rPr/>
              <w:t> </w:t>
            </w:r>
          </w:p>
        </w:tc>
        <w:tc>
          <w:tcPr>
            <w:tcW w:w="1216" w:type="dxa"/>
            <w:gridSpan w:val="2"/>
            <w:tcBorders/>
            <w:shd w:fill="auto" w:val="clear"/>
            <w:vAlign w:val="bottom"/>
          </w:tcPr>
          <w:p>
            <w:pPr>
              <w:pStyle w:val="TableContents"/>
              <w:spacing w:before="0" w:after="283"/>
              <w:rPr/>
            </w:pPr>
            <w:r>
              <w:rPr/>
              <w:t> </w:t>
            </w:r>
          </w:p>
        </w:tc>
        <w:tc>
          <w:tcPr>
            <w:tcW w:w="126" w:type="dxa"/>
            <w:tcBorders/>
            <w:shd w:fill="auto" w:val="clear"/>
            <w:vAlign w:val="bottom"/>
          </w:tcPr>
          <w:p>
            <w:pPr>
              <w:pStyle w:val="TableContents"/>
              <w:spacing w:before="0" w:after="283"/>
              <w:jc w:val="left"/>
              <w:rPr/>
            </w:pPr>
            <w:r>
              <w:rPr/>
              <w:t> </w:t>
            </w:r>
          </w:p>
        </w:tc>
      </w:tr>
      <w:tr>
        <w:trPr/>
        <w:tc>
          <w:tcPr>
            <w:tcW w:w="7188" w:type="dxa"/>
            <w:tcBorders/>
            <w:shd w:fill="CCEEFF" w:val="clear"/>
            <w:vAlign w:val="bottom"/>
          </w:tcPr>
          <w:p>
            <w:pPr>
              <w:pStyle w:val="TableContents"/>
              <w:spacing w:before="0" w:after="0"/>
              <w:ind w:left="0" w:right="0" w:hanging="0"/>
              <w:jc w:val="both"/>
              <w:rPr>
                <w:rFonts w:ascii="helvetica" w:hAnsi="helvetica"/>
                <w:sz w:val="20"/>
              </w:rPr>
            </w:pPr>
            <w:r>
              <w:rPr>
                <w:rFonts w:ascii="helvetica" w:hAnsi="helvetica"/>
                <w:sz w:val="20"/>
              </w:rPr>
              <w:t>Warrants outstanding - January 1, 2011</w:t>
            </w:r>
          </w:p>
        </w:tc>
        <w:tc>
          <w:tcPr>
            <w:tcW w:w="114" w:type="dxa"/>
            <w:tcBorders/>
            <w:shd w:fill="CCEEFF" w:val="clear"/>
            <w:vAlign w:val="bottom"/>
          </w:tcPr>
          <w:p>
            <w:pPr>
              <w:pStyle w:val="TableContents"/>
              <w:spacing w:before="0" w:after="283"/>
              <w:rPr/>
            </w:pPr>
            <w:r>
              <w:rPr/>
              <w:t> </w:t>
            </w:r>
          </w:p>
        </w:tc>
        <w:tc>
          <w:tcPr>
            <w:tcW w:w="127" w:type="dxa"/>
            <w:tcBorders/>
            <w:shd w:fill="CCEEFF" w:val="clear"/>
            <w:vAlign w:val="bottom"/>
          </w:tcPr>
          <w:p>
            <w:pPr>
              <w:pStyle w:val="TableContents"/>
              <w:spacing w:before="0" w:after="283"/>
              <w:jc w:val="left"/>
              <w:rPr/>
            </w:pPr>
            <w:r>
              <w:rPr/>
              <w:t> </w:t>
            </w:r>
          </w:p>
        </w:tc>
        <w:tc>
          <w:tcPr>
            <w:tcW w:w="1198"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96,123</w:t>
            </w:r>
          </w:p>
        </w:tc>
        <w:tc>
          <w:tcPr>
            <w:tcW w:w="122" w:type="dxa"/>
            <w:tcBorders/>
            <w:shd w:fill="CCEEFF" w:val="clear"/>
            <w:vAlign w:val="bottom"/>
          </w:tcPr>
          <w:p>
            <w:pPr>
              <w:pStyle w:val="TableContents"/>
              <w:spacing w:before="0" w:after="283"/>
              <w:jc w:val="left"/>
              <w:rPr/>
            </w:pPr>
            <w:r>
              <w:rPr/>
              <w:t> </w:t>
            </w:r>
          </w:p>
        </w:tc>
        <w:tc>
          <w:tcPr>
            <w:tcW w:w="114" w:type="dxa"/>
            <w:tcBorders/>
            <w:shd w:fill="CCEEFF" w:val="clear"/>
            <w:vAlign w:val="bottom"/>
          </w:tcPr>
          <w:p>
            <w:pPr>
              <w:pStyle w:val="TableContents"/>
              <w:spacing w:before="0" w:after="283"/>
              <w:rPr/>
            </w:pPr>
            <w:r>
              <w:rPr/>
              <w:t> </w:t>
            </w:r>
          </w:p>
        </w:tc>
        <w:tc>
          <w:tcPr>
            <w:tcW w:w="154" w:type="dxa"/>
            <w:tcBorders/>
            <w:shd w:fill="CCEEFF" w:val="clear"/>
            <w:vAlign w:val="bottom"/>
          </w:tcPr>
          <w:p>
            <w:pPr>
              <w:pStyle w:val="TableContents"/>
              <w:spacing w:before="0" w:after="283"/>
              <w:jc w:val="left"/>
              <w:rPr>
                <w:rFonts w:ascii="helvetica" w:hAnsi="helvetica"/>
                <w:sz w:val="20"/>
              </w:rPr>
            </w:pPr>
            <w:r>
              <w:rPr>
                <w:rFonts w:ascii="helvetica" w:hAnsi="helvetica"/>
                <w:sz w:val="20"/>
              </w:rPr>
              <w:t>$</w:t>
            </w:r>
          </w:p>
        </w:tc>
        <w:tc>
          <w:tcPr>
            <w:tcW w:w="1062"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32.80</w:t>
            </w:r>
          </w:p>
        </w:tc>
        <w:tc>
          <w:tcPr>
            <w:tcW w:w="126" w:type="dxa"/>
            <w:tcBorders/>
            <w:shd w:fill="CCEEFF" w:val="clear"/>
            <w:vAlign w:val="bottom"/>
          </w:tcPr>
          <w:p>
            <w:pPr>
              <w:pStyle w:val="TableContents"/>
              <w:spacing w:before="0" w:after="283"/>
              <w:jc w:val="left"/>
              <w:rPr/>
            </w:pPr>
            <w:r>
              <w:rPr/>
              <w:t> </w:t>
            </w:r>
          </w:p>
        </w:tc>
      </w:tr>
      <w:tr>
        <w:trPr/>
        <w:tc>
          <w:tcPr>
            <w:tcW w:w="7188" w:type="dxa"/>
            <w:tcBorders/>
            <w:shd w:fill="FFFFFF" w:val="clear"/>
            <w:vAlign w:val="bottom"/>
          </w:tcPr>
          <w:p>
            <w:pPr>
              <w:pStyle w:val="TableContents"/>
              <w:spacing w:before="0" w:after="0"/>
              <w:ind w:left="0" w:right="0" w:hanging="0"/>
              <w:jc w:val="both"/>
              <w:rPr>
                <w:rFonts w:ascii="helvetica" w:hAnsi="helvetica"/>
                <w:sz w:val="20"/>
              </w:rPr>
            </w:pPr>
            <w:r>
              <w:rPr>
                <w:rFonts w:ascii="helvetica" w:hAnsi="helvetica"/>
                <w:sz w:val="20"/>
              </w:rPr>
              <w:t>Granted</w:t>
            </w:r>
          </w:p>
        </w:tc>
        <w:tc>
          <w:tcPr>
            <w:tcW w:w="114" w:type="dxa"/>
            <w:tcBorders/>
            <w:shd w:fill="FFFFFF" w:val="clear"/>
            <w:vAlign w:val="bottom"/>
          </w:tcPr>
          <w:p>
            <w:pPr>
              <w:pStyle w:val="TableContents"/>
              <w:spacing w:before="0" w:after="283"/>
              <w:rPr/>
            </w:pPr>
            <w:r>
              <w:rPr/>
              <w:t> </w:t>
            </w:r>
          </w:p>
        </w:tc>
        <w:tc>
          <w:tcPr>
            <w:tcW w:w="127" w:type="dxa"/>
            <w:tcBorders/>
            <w:shd w:fill="FFFFFF" w:val="clear"/>
            <w:vAlign w:val="bottom"/>
          </w:tcPr>
          <w:p>
            <w:pPr>
              <w:pStyle w:val="TableContents"/>
              <w:spacing w:before="0" w:after="283"/>
              <w:jc w:val="left"/>
              <w:rPr/>
            </w:pPr>
            <w:r>
              <w:rPr/>
              <w:t> </w:t>
            </w:r>
          </w:p>
        </w:tc>
        <w:tc>
          <w:tcPr>
            <w:tcW w:w="1198"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w:t>
            </w:r>
          </w:p>
        </w:tc>
        <w:tc>
          <w:tcPr>
            <w:tcW w:w="122" w:type="dxa"/>
            <w:tcBorders/>
            <w:shd w:fill="FFFFFF" w:val="clear"/>
            <w:vAlign w:val="bottom"/>
          </w:tcPr>
          <w:p>
            <w:pPr>
              <w:pStyle w:val="TableContents"/>
              <w:spacing w:before="0" w:after="283"/>
              <w:jc w:val="left"/>
              <w:rPr/>
            </w:pPr>
            <w:r>
              <w:rPr/>
              <w:t> </w:t>
            </w:r>
          </w:p>
        </w:tc>
        <w:tc>
          <w:tcPr>
            <w:tcW w:w="114" w:type="dxa"/>
            <w:tcBorders/>
            <w:shd w:fill="FFFFFF" w:val="clear"/>
            <w:vAlign w:val="bottom"/>
          </w:tcPr>
          <w:p>
            <w:pPr>
              <w:pStyle w:val="TableContents"/>
              <w:spacing w:before="0" w:after="283"/>
              <w:rPr/>
            </w:pPr>
            <w:r>
              <w:rPr/>
              <w:t> </w:t>
            </w:r>
          </w:p>
        </w:tc>
        <w:tc>
          <w:tcPr>
            <w:tcW w:w="154" w:type="dxa"/>
            <w:tcBorders/>
            <w:shd w:fill="FFFFFF" w:val="clear"/>
            <w:vAlign w:val="bottom"/>
          </w:tcPr>
          <w:p>
            <w:pPr>
              <w:pStyle w:val="TableContents"/>
              <w:spacing w:before="0" w:after="283"/>
              <w:jc w:val="left"/>
              <w:rPr/>
            </w:pPr>
            <w:r>
              <w:rPr/>
              <w:t> </w:t>
            </w:r>
          </w:p>
        </w:tc>
        <w:tc>
          <w:tcPr>
            <w:tcW w:w="1062" w:type="dxa"/>
            <w:tcBorders/>
            <w:shd w:fill="FFFFFF" w:val="clear"/>
            <w:vAlign w:val="bottom"/>
          </w:tcPr>
          <w:p>
            <w:pPr>
              <w:pStyle w:val="TableContents"/>
              <w:spacing w:before="0" w:after="283"/>
              <w:jc w:val="right"/>
              <w:rPr/>
            </w:pPr>
            <w:r>
              <w:rPr/>
              <w:t> </w:t>
            </w:r>
          </w:p>
        </w:tc>
        <w:tc>
          <w:tcPr>
            <w:tcW w:w="126" w:type="dxa"/>
            <w:tcBorders/>
            <w:shd w:fill="FFFFFF" w:val="clear"/>
            <w:vAlign w:val="bottom"/>
          </w:tcPr>
          <w:p>
            <w:pPr>
              <w:pStyle w:val="TableContents"/>
              <w:spacing w:before="0" w:after="283"/>
              <w:jc w:val="left"/>
              <w:rPr/>
            </w:pPr>
            <w:r>
              <w:rPr/>
              <w:t> </w:t>
            </w:r>
          </w:p>
        </w:tc>
      </w:tr>
      <w:tr>
        <w:trPr/>
        <w:tc>
          <w:tcPr>
            <w:tcW w:w="7188" w:type="dxa"/>
            <w:tcBorders/>
            <w:shd w:fill="CCEEFF" w:val="clear"/>
            <w:vAlign w:val="bottom"/>
          </w:tcPr>
          <w:p>
            <w:pPr>
              <w:pStyle w:val="TableContents"/>
              <w:spacing w:before="0" w:after="0"/>
              <w:ind w:left="0" w:right="0" w:hanging="0"/>
              <w:jc w:val="both"/>
              <w:rPr>
                <w:rFonts w:ascii="helvetica" w:hAnsi="helvetica"/>
                <w:sz w:val="20"/>
              </w:rPr>
            </w:pPr>
            <w:r>
              <w:rPr>
                <w:rFonts w:ascii="helvetica" w:hAnsi="helvetica"/>
                <w:sz w:val="20"/>
              </w:rPr>
              <w:t>Exercised</w:t>
            </w:r>
          </w:p>
        </w:tc>
        <w:tc>
          <w:tcPr>
            <w:tcW w:w="114" w:type="dxa"/>
            <w:tcBorders/>
            <w:shd w:fill="CCEEFF" w:val="clear"/>
            <w:vAlign w:val="bottom"/>
          </w:tcPr>
          <w:p>
            <w:pPr>
              <w:pStyle w:val="TableContents"/>
              <w:spacing w:before="0" w:after="283"/>
              <w:rPr/>
            </w:pPr>
            <w:r>
              <w:rPr/>
              <w:t> </w:t>
            </w:r>
          </w:p>
        </w:tc>
        <w:tc>
          <w:tcPr>
            <w:tcW w:w="127" w:type="dxa"/>
            <w:tcBorders/>
            <w:shd w:fill="CCEEFF" w:val="clear"/>
            <w:vAlign w:val="bottom"/>
          </w:tcPr>
          <w:p>
            <w:pPr>
              <w:pStyle w:val="TableContents"/>
              <w:spacing w:before="0" w:after="283"/>
              <w:jc w:val="left"/>
              <w:rPr/>
            </w:pPr>
            <w:r>
              <w:rPr/>
              <w:t> </w:t>
            </w:r>
          </w:p>
        </w:tc>
        <w:tc>
          <w:tcPr>
            <w:tcW w:w="1198"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w:t>
            </w:r>
          </w:p>
        </w:tc>
        <w:tc>
          <w:tcPr>
            <w:tcW w:w="122" w:type="dxa"/>
            <w:tcBorders/>
            <w:shd w:fill="CCEEFF" w:val="clear"/>
            <w:vAlign w:val="bottom"/>
          </w:tcPr>
          <w:p>
            <w:pPr>
              <w:pStyle w:val="TableContents"/>
              <w:spacing w:before="0" w:after="283"/>
              <w:jc w:val="left"/>
              <w:rPr/>
            </w:pPr>
            <w:r>
              <w:rPr/>
              <w:t> </w:t>
            </w:r>
          </w:p>
        </w:tc>
        <w:tc>
          <w:tcPr>
            <w:tcW w:w="114" w:type="dxa"/>
            <w:tcBorders/>
            <w:shd w:fill="CCEEFF" w:val="clear"/>
            <w:vAlign w:val="bottom"/>
          </w:tcPr>
          <w:p>
            <w:pPr>
              <w:pStyle w:val="TableContents"/>
              <w:spacing w:before="0" w:after="283"/>
              <w:rPr/>
            </w:pPr>
            <w:r>
              <w:rPr/>
              <w:t> </w:t>
            </w:r>
          </w:p>
        </w:tc>
        <w:tc>
          <w:tcPr>
            <w:tcW w:w="154" w:type="dxa"/>
            <w:tcBorders/>
            <w:shd w:fill="CCEEFF" w:val="clear"/>
            <w:vAlign w:val="bottom"/>
          </w:tcPr>
          <w:p>
            <w:pPr>
              <w:pStyle w:val="TableContents"/>
              <w:spacing w:before="0" w:after="283"/>
              <w:jc w:val="left"/>
              <w:rPr/>
            </w:pPr>
            <w:r>
              <w:rPr/>
              <w:t> </w:t>
            </w:r>
          </w:p>
        </w:tc>
        <w:tc>
          <w:tcPr>
            <w:tcW w:w="1062" w:type="dxa"/>
            <w:tcBorders/>
            <w:shd w:fill="CCEEFF" w:val="clear"/>
            <w:vAlign w:val="bottom"/>
          </w:tcPr>
          <w:p>
            <w:pPr>
              <w:pStyle w:val="TableContents"/>
              <w:spacing w:before="0" w:after="283"/>
              <w:jc w:val="right"/>
              <w:rPr/>
            </w:pPr>
            <w:r>
              <w:rPr/>
              <w:t> </w:t>
            </w:r>
          </w:p>
        </w:tc>
        <w:tc>
          <w:tcPr>
            <w:tcW w:w="126" w:type="dxa"/>
            <w:tcBorders/>
            <w:shd w:fill="CCEEFF" w:val="clear"/>
            <w:vAlign w:val="bottom"/>
          </w:tcPr>
          <w:p>
            <w:pPr>
              <w:pStyle w:val="TableContents"/>
              <w:spacing w:before="0" w:after="283"/>
              <w:jc w:val="left"/>
              <w:rPr/>
            </w:pPr>
            <w:r>
              <w:rPr/>
              <w:t> </w:t>
            </w:r>
          </w:p>
        </w:tc>
      </w:tr>
      <w:tr>
        <w:trPr/>
        <w:tc>
          <w:tcPr>
            <w:tcW w:w="7188" w:type="dxa"/>
            <w:tcBorders/>
            <w:shd w:fill="FFFFFF" w:val="clear"/>
            <w:vAlign w:val="bottom"/>
          </w:tcPr>
          <w:p>
            <w:pPr>
              <w:pStyle w:val="TableContents"/>
              <w:spacing w:before="0" w:after="0"/>
              <w:ind w:left="0" w:right="0" w:hanging="0"/>
              <w:jc w:val="both"/>
              <w:rPr>
                <w:rFonts w:ascii="helvetica" w:hAnsi="helvetica"/>
                <w:sz w:val="20"/>
              </w:rPr>
            </w:pPr>
            <w:r>
              <w:rPr>
                <w:rFonts w:ascii="helvetica" w:hAnsi="helvetica"/>
                <w:sz w:val="20"/>
              </w:rPr>
              <w:t>Expired</w:t>
            </w:r>
          </w:p>
        </w:tc>
        <w:tc>
          <w:tcPr>
            <w:tcW w:w="114" w:type="dxa"/>
            <w:tcBorders/>
            <w:shd w:fill="FFFFFF" w:val="clear"/>
            <w:vAlign w:val="bottom"/>
          </w:tcPr>
          <w:p>
            <w:pPr>
              <w:pStyle w:val="TableContents"/>
              <w:spacing w:before="0" w:after="283"/>
              <w:rPr/>
            </w:pPr>
            <w:r>
              <w:rPr/>
              <w:t> </w:t>
            </w:r>
          </w:p>
        </w:tc>
        <w:tc>
          <w:tcPr>
            <w:tcW w:w="127"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198" w:type="dxa"/>
            <w:tcBorders>
              <w:bottom w:val="single" w:sz="12" w:space="0" w:color="000000"/>
            </w:tcBorders>
            <w:shd w:fill="FFFF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(625</w:t>
            </w:r>
          </w:p>
        </w:tc>
        <w:tc>
          <w:tcPr>
            <w:tcW w:w="122" w:type="dxa"/>
            <w:tcBorders/>
            <w:shd w:fill="FFFFFF" w:val="clear"/>
            <w:vAlign w:val="bottom"/>
          </w:tcPr>
          <w:p>
            <w:pPr>
              <w:pStyle w:val="TableContents"/>
              <w:spacing w:before="0" w:after="283"/>
              <w:jc w:val="left"/>
              <w:rPr>
                <w:rFonts w:ascii="helvetica" w:hAnsi="helvetica"/>
                <w:sz w:val="20"/>
              </w:rPr>
            </w:pPr>
            <w:r>
              <w:rPr>
                <w:rFonts w:ascii="helvetica" w:hAnsi="helvetica"/>
                <w:sz w:val="20"/>
              </w:rPr>
              <w:t>)</w:t>
            </w:r>
          </w:p>
        </w:tc>
        <w:tc>
          <w:tcPr>
            <w:tcW w:w="114" w:type="dxa"/>
            <w:tcBorders/>
            <w:shd w:fill="FFFFFF" w:val="clear"/>
            <w:vAlign w:val="bottom"/>
          </w:tcPr>
          <w:p>
            <w:pPr>
              <w:pStyle w:val="TableContents"/>
              <w:spacing w:before="0" w:after="283"/>
              <w:rPr/>
            </w:pPr>
            <w:r>
              <w:rPr/>
              <w:t> </w:t>
            </w:r>
          </w:p>
        </w:tc>
        <w:tc>
          <w:tcPr>
            <w:tcW w:w="154"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62" w:type="dxa"/>
            <w:tcBorders>
              <w:bottom w:val="single" w:sz="12" w:space="0" w:color="000000"/>
            </w:tcBorders>
            <w:shd w:fill="FFFF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16.00</w:t>
            </w:r>
          </w:p>
        </w:tc>
        <w:tc>
          <w:tcPr>
            <w:tcW w:w="126" w:type="dxa"/>
            <w:tcBorders/>
            <w:shd w:fill="FFFFFF" w:val="clear"/>
            <w:vAlign w:val="bottom"/>
          </w:tcPr>
          <w:p>
            <w:pPr>
              <w:pStyle w:val="TableContents"/>
              <w:spacing w:before="0" w:after="283"/>
              <w:jc w:val="left"/>
              <w:rPr/>
            </w:pPr>
            <w:r>
              <w:rPr/>
              <w:t> </w:t>
            </w:r>
          </w:p>
        </w:tc>
      </w:tr>
      <w:tr>
        <w:trPr/>
        <w:tc>
          <w:tcPr>
            <w:tcW w:w="7188" w:type="dxa"/>
            <w:tcBorders/>
            <w:shd w:fill="CCEEFF" w:val="clear"/>
            <w:vAlign w:val="bottom"/>
          </w:tcPr>
          <w:p>
            <w:pPr>
              <w:pStyle w:val="TableContents"/>
              <w:spacing w:before="0" w:after="0"/>
              <w:ind w:left="0" w:right="0" w:hanging="0"/>
              <w:jc w:val="both"/>
              <w:rPr>
                <w:rFonts w:ascii="helvetica" w:hAnsi="helvetica"/>
                <w:sz w:val="20"/>
              </w:rPr>
            </w:pPr>
            <w:r>
              <w:rPr>
                <w:rFonts w:ascii="helvetica" w:hAnsi="helvetica"/>
                <w:sz w:val="20"/>
              </w:rPr>
              <w:t>Warrants outstanding and exercisable - December 31, 2011</w:t>
            </w:r>
          </w:p>
        </w:tc>
        <w:tc>
          <w:tcPr>
            <w:tcW w:w="114" w:type="dxa"/>
            <w:tcBorders/>
            <w:shd w:fill="CCEEFF" w:val="clear"/>
            <w:vAlign w:val="bottom"/>
          </w:tcPr>
          <w:p>
            <w:pPr>
              <w:pStyle w:val="TableContents"/>
              <w:spacing w:before="0" w:after="283"/>
              <w:rPr/>
            </w:pPr>
            <w:r>
              <w:rPr/>
              <w:t> </w:t>
            </w:r>
          </w:p>
        </w:tc>
        <w:tc>
          <w:tcPr>
            <w:tcW w:w="127" w:type="dxa"/>
            <w:tcBorders>
              <w:bottom w:val="double" w:sz="8" w:space="0" w:color="000000"/>
            </w:tcBorders>
            <w:shd w:fill="CCEEFF" w:val="clear"/>
            <w:tcMar>
              <w:bottom w:w="28" w:type="dxa"/>
            </w:tcMar>
            <w:vAlign w:val="bottom"/>
          </w:tcPr>
          <w:p>
            <w:pPr>
              <w:pStyle w:val="TableContents"/>
              <w:spacing w:before="0" w:after="283"/>
              <w:jc w:val="left"/>
              <w:rPr/>
            </w:pPr>
            <w:r>
              <w:rPr/>
              <w:t> </w:t>
            </w:r>
          </w:p>
        </w:tc>
        <w:tc>
          <w:tcPr>
            <w:tcW w:w="1198" w:type="dxa"/>
            <w:tcBorders>
              <w:bottom w:val="double" w:sz="8" w:space="0" w:color="000000"/>
            </w:tcBorders>
            <w:shd w:fill="CCEE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95,498</w:t>
            </w:r>
          </w:p>
        </w:tc>
        <w:tc>
          <w:tcPr>
            <w:tcW w:w="122" w:type="dxa"/>
            <w:tcBorders/>
            <w:shd w:fill="CCEEFF" w:val="clear"/>
            <w:vAlign w:val="bottom"/>
          </w:tcPr>
          <w:p>
            <w:pPr>
              <w:pStyle w:val="TableContents"/>
              <w:spacing w:before="0" w:after="283"/>
              <w:jc w:val="left"/>
              <w:rPr/>
            </w:pPr>
            <w:r>
              <w:rPr/>
              <w:t> </w:t>
            </w:r>
          </w:p>
        </w:tc>
        <w:tc>
          <w:tcPr>
            <w:tcW w:w="114" w:type="dxa"/>
            <w:tcBorders/>
            <w:shd w:fill="CCEEFF" w:val="clear"/>
            <w:vAlign w:val="bottom"/>
          </w:tcPr>
          <w:p>
            <w:pPr>
              <w:pStyle w:val="TableContents"/>
              <w:spacing w:before="0" w:after="283"/>
              <w:rPr/>
            </w:pPr>
            <w:r>
              <w:rPr/>
              <w:t> </w:t>
            </w:r>
          </w:p>
        </w:tc>
        <w:tc>
          <w:tcPr>
            <w:tcW w:w="154" w:type="dxa"/>
            <w:tcBorders>
              <w:bottom w:val="double" w:sz="8" w:space="0" w:color="000000"/>
            </w:tcBorders>
            <w:shd w:fill="CCEEFF" w:val="clear"/>
            <w:tcMar>
              <w:bottom w:w="28" w:type="dxa"/>
            </w:tcMar>
            <w:vAlign w:val="bottom"/>
          </w:tcPr>
          <w:p>
            <w:pPr>
              <w:pStyle w:val="TableContents"/>
              <w:spacing w:before="0" w:after="283"/>
              <w:jc w:val="left"/>
              <w:rPr>
                <w:rFonts w:ascii="helvetica" w:hAnsi="helvetica"/>
                <w:sz w:val="20"/>
              </w:rPr>
            </w:pPr>
            <w:r>
              <w:rPr>
                <w:rFonts w:ascii="helvetica" w:hAnsi="helvetica"/>
                <w:sz w:val="20"/>
              </w:rPr>
              <w:t>$</w:t>
            </w:r>
          </w:p>
        </w:tc>
        <w:tc>
          <w:tcPr>
            <w:tcW w:w="1062" w:type="dxa"/>
            <w:tcBorders>
              <w:bottom w:val="double" w:sz="8" w:space="0" w:color="000000"/>
            </w:tcBorders>
            <w:shd w:fill="CCEE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33.16</w:t>
            </w:r>
          </w:p>
        </w:tc>
        <w:tc>
          <w:tcPr>
            <w:tcW w:w="126" w:type="dxa"/>
            <w:tcBorders/>
            <w:shd w:fill="CCEEFF" w:val="clear"/>
            <w:vAlign w:val="bottom"/>
          </w:tcPr>
          <w:p>
            <w:pPr>
              <w:pStyle w:val="TableContents"/>
              <w:spacing w:before="0" w:after="283"/>
              <w:jc w:val="left"/>
              <w:rPr/>
            </w:pPr>
            <w:r>
              <w:rPr/>
              <w:t> </w:t>
            </w:r>
          </w:p>
        </w:tc>
      </w:tr>
      <w:tr>
        <w:trPr/>
        <w:tc>
          <w:tcPr>
            <w:tcW w:w="7188" w:type="dxa"/>
            <w:tcBorders/>
            <w:shd w:fill="FFFFFF" w:val="clear"/>
            <w:vAlign w:val="bottom"/>
          </w:tcPr>
          <w:p>
            <w:pPr>
              <w:pStyle w:val="TableContents"/>
              <w:spacing w:before="0" w:after="0"/>
              <w:ind w:left="0" w:right="0" w:hanging="0"/>
              <w:jc w:val="both"/>
              <w:rPr>
                <w:rFonts w:ascii="helvetica" w:hAnsi="helvetica"/>
                <w:sz w:val="20"/>
              </w:rPr>
            </w:pPr>
            <w:r>
              <w:rPr>
                <w:rFonts w:ascii="helvetica" w:hAnsi="helvetica"/>
                <w:sz w:val="20"/>
              </w:rPr>
              <w:t>Weighted average remaining contractual life of the outstanding warrants in years - December 31, 2011</w:t>
            </w:r>
          </w:p>
        </w:tc>
        <w:tc>
          <w:tcPr>
            <w:tcW w:w="114" w:type="dxa"/>
            <w:tcBorders/>
            <w:shd w:fill="FFFFFF" w:val="clear"/>
            <w:vAlign w:val="bottom"/>
          </w:tcPr>
          <w:p>
            <w:pPr>
              <w:pStyle w:val="TableContents"/>
              <w:spacing w:before="0" w:after="283"/>
              <w:rPr/>
            </w:pPr>
            <w:r>
              <w:rPr/>
              <w:t> </w:t>
            </w:r>
          </w:p>
        </w:tc>
        <w:tc>
          <w:tcPr>
            <w:tcW w:w="127" w:type="dxa"/>
            <w:tcBorders>
              <w:bottom w:val="double" w:sz="8" w:space="0" w:color="000000"/>
            </w:tcBorders>
            <w:shd w:fill="FFFFFF" w:val="clear"/>
            <w:tcMar>
              <w:bottom w:w="28" w:type="dxa"/>
            </w:tcMar>
            <w:vAlign w:val="bottom"/>
          </w:tcPr>
          <w:p>
            <w:pPr>
              <w:pStyle w:val="TableContents"/>
              <w:spacing w:before="0" w:after="283"/>
              <w:jc w:val="left"/>
              <w:rPr/>
            </w:pPr>
            <w:r>
              <w:rPr/>
              <w:t> </w:t>
            </w:r>
          </w:p>
        </w:tc>
        <w:tc>
          <w:tcPr>
            <w:tcW w:w="1198" w:type="dxa"/>
            <w:tcBorders>
              <w:bottom w:val="double" w:sz="8" w:space="0" w:color="000000"/>
            </w:tcBorders>
            <w:shd w:fill="FFFF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0.91</w:t>
            </w:r>
          </w:p>
        </w:tc>
        <w:tc>
          <w:tcPr>
            <w:tcW w:w="122" w:type="dxa"/>
            <w:tcBorders/>
            <w:shd w:fill="FFFFFF" w:val="clear"/>
            <w:vAlign w:val="bottom"/>
          </w:tcPr>
          <w:p>
            <w:pPr>
              <w:pStyle w:val="TableContents"/>
              <w:spacing w:before="0" w:after="283"/>
              <w:jc w:val="left"/>
              <w:rPr/>
            </w:pPr>
            <w:r>
              <w:rPr/>
              <w:t> </w:t>
            </w:r>
          </w:p>
        </w:tc>
        <w:tc>
          <w:tcPr>
            <w:tcW w:w="114" w:type="dxa"/>
            <w:tcBorders/>
            <w:shd w:fill="FFFFFF" w:val="clear"/>
            <w:vAlign w:val="bottom"/>
          </w:tcPr>
          <w:p>
            <w:pPr>
              <w:pStyle w:val="TableContents"/>
              <w:spacing w:before="0" w:after="283"/>
              <w:rPr/>
            </w:pPr>
            <w:r>
              <w:rPr/>
              <w:t> </w:t>
            </w:r>
          </w:p>
        </w:tc>
        <w:tc>
          <w:tcPr>
            <w:tcW w:w="154" w:type="dxa"/>
            <w:tcBorders/>
            <w:shd w:fill="FFFFFF" w:val="clear"/>
            <w:vAlign w:val="bottom"/>
          </w:tcPr>
          <w:p>
            <w:pPr>
              <w:pStyle w:val="TableContents"/>
              <w:spacing w:before="0" w:after="283"/>
              <w:jc w:val="left"/>
              <w:rPr/>
            </w:pPr>
            <w:r>
              <w:rPr/>
              <w:t> </w:t>
            </w:r>
          </w:p>
        </w:tc>
        <w:tc>
          <w:tcPr>
            <w:tcW w:w="1062" w:type="dxa"/>
            <w:tcBorders/>
            <w:shd w:fill="FFFFFF" w:val="clear"/>
            <w:vAlign w:val="bottom"/>
          </w:tcPr>
          <w:p>
            <w:pPr>
              <w:pStyle w:val="TableContents"/>
              <w:spacing w:before="0" w:after="283"/>
              <w:jc w:val="right"/>
              <w:rPr/>
            </w:pPr>
            <w:r>
              <w:rPr/>
              <w:t> </w:t>
            </w:r>
          </w:p>
        </w:tc>
        <w:tc>
          <w:tcPr>
            <w:tcW w:w="126" w:type="dxa"/>
            <w:tcBorders/>
            <w:shd w:fill="FFFFFF" w:val="clear"/>
            <w:vAlign w:val="bottom"/>
          </w:tcPr>
          <w:p>
            <w:pPr>
              <w:pStyle w:val="TableContents"/>
              <w:spacing w:before="0" w:after="283"/>
              <w:jc w:val="left"/>
              <w:rPr/>
            </w:pPr>
            <w:r>
              <w:rPr/>
              <w:t> </w:t>
            </w:r>
          </w:p>
        </w:tc>
      </w:tr>
    </w:tbl>
    <w:p>
      <w:pPr>
        <w:pStyle w:val="TextBody"/>
        <w:spacing w:before="0" w:after="0"/>
        <w:ind w:left="0" w:right="0" w:hanging="0"/>
        <w:rPr/>
      </w:pPr>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r>
      <w:bookmarkStart w:id="1289" w:name="PGBRK110"/>
      <w:bookmarkStart w:id="1290" w:name="PGBRK110"/>
      <w:bookmarkEnd w:id="129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291" w:name="FTR110"/>
      <w:bookmarkStart w:id="1292" w:name="FTR110"/>
      <w:bookmarkEnd w:id="129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1293" w:name="GLFTR109"/>
      <w:bookmarkEnd w:id="1293"/>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helvetica" w:hAnsi="helvetica"/>
          <w:sz w:val="20"/>
        </w:rPr>
      </w:pPr>
      <w:bookmarkStart w:id="1294" w:name="PN109"/>
      <w:bookmarkEnd w:id="1294"/>
      <w:r>
        <w:rPr>
          <w:rFonts w:ascii="helvetica" w:hAnsi="helvetica"/>
          <w:sz w:val="20"/>
        </w:rPr>
        <w:t>F-39</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295" w:name="HDR109"/>
      <w:bookmarkStart w:id="1296" w:name="HDR109"/>
      <w:bookmarkEnd w:id="129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1297" w:name="GLHDR109"/>
      <w:bookmarkEnd w:id="1297"/>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pPr>
      <w:r>
        <w:rPr/>
        <w:t> </w:t>
      </w:r>
    </w:p>
    <w:p>
      <w:pPr>
        <w:pStyle w:val="TextBody"/>
        <w:spacing w:before="0" w:after="0"/>
        <w:ind w:left="0" w:right="0" w:hanging="0"/>
        <w:jc w:val="both"/>
        <w:rPr>
          <w:rFonts w:ascii="helvetica" w:hAnsi="helvetica"/>
          <w:sz w:val="20"/>
        </w:rPr>
      </w:pPr>
      <w:r>
        <w:rPr>
          <w:rFonts w:ascii="helvetica" w:hAnsi="helvetica"/>
          <w:sz w:val="20"/>
        </w:rPr>
        <w:t>The expiration of the outstanding warrants at December 31, 2011 occurs through May 2013 at various dates.</w:t>
      </w:r>
    </w:p>
    <w:p>
      <w:pPr>
        <w:pStyle w:val="TextBody"/>
        <w:spacing w:before="0" w:after="0"/>
        <w:ind w:left="0" w:right="0" w:hanging="0"/>
        <w:jc w:val="both"/>
        <w:rPr/>
      </w:pPr>
      <w:r>
        <w:rPr/>
        <w:t> </w:t>
      </w:r>
    </w:p>
    <w:p>
      <w:pPr>
        <w:pStyle w:val="TextBody"/>
        <w:spacing w:before="0" w:after="0"/>
        <w:ind w:left="0" w:right="0" w:hanging="0"/>
        <w:jc w:val="both"/>
        <w:rPr>
          <w:rFonts w:ascii="helvetica" w:hAnsi="helvetica"/>
          <w:sz w:val="20"/>
        </w:rPr>
      </w:pPr>
      <w:r>
        <w:rPr>
          <w:rFonts w:ascii="helvetica" w:hAnsi="helvetica"/>
          <w:sz w:val="20"/>
        </w:rPr>
        <w:t>On April 24, 2008, the Company entered into a one-year consulting agreement with a firm to provide the Company with financial advisory services. As compensation for the services, the Company issued a three-year warrant to purchase 625 shares of the Company’s common stock at a cash and cashless price of $16.00 per share. The fair value of the warrant, determined based on the Black-Scholes pricing model, this warrant expired during the year ended December 31, 2011.</w:t>
      </w:r>
    </w:p>
    <w:p>
      <w:pPr>
        <w:pStyle w:val="TextBody"/>
        <w:spacing w:before="0" w:after="0"/>
        <w:ind w:left="0" w:right="0" w:hanging="0"/>
        <w:jc w:val="both"/>
        <w:rPr/>
      </w:pPr>
      <w:r>
        <w:rPr/>
        <w:t> </w:t>
      </w:r>
    </w:p>
    <w:p>
      <w:pPr>
        <w:pStyle w:val="TextBody"/>
        <w:spacing w:before="0" w:after="0"/>
        <w:ind w:left="0" w:right="0" w:hanging="0"/>
        <w:jc w:val="both"/>
        <w:rPr>
          <w:rFonts w:ascii="helvetica" w:hAnsi="helvetica"/>
          <w:b/>
          <w:sz w:val="20"/>
        </w:rPr>
      </w:pPr>
      <w:r>
        <w:rPr>
          <w:rFonts w:ascii="helvetica" w:hAnsi="helvetica"/>
          <w:b/>
          <w:sz w:val="20"/>
        </w:rPr>
        <w:t>NOTE 9.   INCOME TAXES</w:t>
      </w:r>
    </w:p>
    <w:p>
      <w:pPr>
        <w:pStyle w:val="TextBody"/>
        <w:spacing w:before="0" w:after="0"/>
        <w:ind w:left="0" w:right="0" w:hanging="0"/>
        <w:jc w:val="both"/>
        <w:rPr/>
      </w:pPr>
      <w:r>
        <w:rPr/>
        <w:t> </w:t>
      </w:r>
    </w:p>
    <w:p>
      <w:pPr>
        <w:pStyle w:val="TextBody"/>
        <w:spacing w:before="0" w:after="0"/>
        <w:ind w:left="0" w:right="0" w:hanging="0"/>
        <w:jc w:val="both"/>
        <w:rPr>
          <w:rFonts w:ascii="helvetica" w:hAnsi="helvetica"/>
          <w:sz w:val="20"/>
        </w:rPr>
      </w:pPr>
      <w:r>
        <w:rPr>
          <w:rFonts w:ascii="helvetica" w:hAnsi="helvetica"/>
          <w:sz w:val="20"/>
        </w:rPr>
        <w:t>The Company is subject to taxation in the United States and California. The Company does not have any income tax provision for the years ended December 31, 2011 and 2010 due to current and historical losses.</w:t>
      </w:r>
    </w:p>
    <w:p>
      <w:pPr>
        <w:pStyle w:val="TextBody"/>
        <w:spacing w:before="0" w:after="0"/>
        <w:ind w:left="0" w:right="0" w:hanging="0"/>
        <w:jc w:val="both"/>
        <w:rPr/>
      </w:pPr>
      <w:r>
        <w:rPr/>
        <w:t> </w:t>
      </w:r>
    </w:p>
    <w:p>
      <w:pPr>
        <w:pStyle w:val="TextBody"/>
        <w:spacing w:before="0" w:after="0"/>
        <w:ind w:left="0" w:right="0" w:hanging="0"/>
        <w:jc w:val="both"/>
        <w:rPr>
          <w:rFonts w:ascii="helvetica" w:hAnsi="helvetica"/>
          <w:sz w:val="20"/>
        </w:rPr>
      </w:pPr>
      <w:r>
        <w:rPr>
          <w:rFonts w:ascii="helvetica" w:hAnsi="helvetica"/>
          <w:sz w:val="20"/>
        </w:rPr>
        <w:t>The provision for income taxes using the statutory federal income tax rate of 34% as compared to the company’s effective tax rate is summarized as follows: </w:t>
      </w:r>
    </w:p>
    <w:p>
      <w:pPr>
        <w:pStyle w:val="TextBody"/>
        <w:spacing w:before="0" w:after="0"/>
        <w:ind w:left="0" w:right="0" w:hanging="0"/>
        <w:jc w:val="both"/>
        <w:rPr/>
      </w:pPr>
      <w:r>
        <w:rPr/>
        <w:t> </w:t>
      </w:r>
    </w:p>
    <w:tbl>
      <w:tblPr>
        <w:tblW w:w="4250" w:type="pct"/>
        <w:jc w:val="left"/>
        <w:tblInd w:w="0" w:type="dxa"/>
        <w:tblCellMar>
          <w:top w:w="0" w:type="dxa"/>
          <w:left w:w="0" w:type="dxa"/>
          <w:bottom w:w="0" w:type="dxa"/>
          <w:right w:w="0" w:type="dxa"/>
        </w:tblCellMar>
      </w:tblPr>
      <w:tblGrid>
        <w:gridCol w:w="5784"/>
        <w:gridCol w:w="99"/>
        <w:gridCol w:w="145"/>
        <w:gridCol w:w="1085"/>
        <w:gridCol w:w="110"/>
        <w:gridCol w:w="99"/>
        <w:gridCol w:w="136"/>
        <w:gridCol w:w="1093"/>
        <w:gridCol w:w="123"/>
      </w:tblGrid>
      <w:tr>
        <w:trPr/>
        <w:tc>
          <w:tcPr>
            <w:tcW w:w="5784" w:type="dxa"/>
            <w:tcBorders/>
            <w:shd w:fill="auto" w:val="clear"/>
            <w:vAlign w:val="bottom"/>
          </w:tcPr>
          <w:p>
            <w:pPr>
              <w:pStyle w:val="TableContents"/>
              <w:spacing w:before="0" w:after="283"/>
              <w:jc w:val="center"/>
              <w:rPr/>
            </w:pPr>
            <w:r>
              <w:rPr/>
              <w:t xml:space="preserve">  </w:t>
            </w:r>
          </w:p>
        </w:tc>
        <w:tc>
          <w:tcPr>
            <w:tcW w:w="99" w:type="dxa"/>
            <w:tcBorders/>
            <w:shd w:fill="auto" w:val="clear"/>
            <w:vAlign w:val="bottom"/>
          </w:tcPr>
          <w:p>
            <w:pPr>
              <w:pStyle w:val="TableContents"/>
              <w:spacing w:before="0" w:after="283"/>
              <w:jc w:val="center"/>
              <w:rPr/>
            </w:pPr>
            <w:r>
              <w:rPr/>
              <w:t> </w:t>
            </w:r>
          </w:p>
        </w:tc>
        <w:tc>
          <w:tcPr>
            <w:tcW w:w="1230" w:type="dxa"/>
            <w:gridSpan w:val="2"/>
            <w:tcBorders/>
            <w:shd w:fill="auto" w:val="clear"/>
            <w:vAlign w:val="bottom"/>
          </w:tcPr>
          <w:p>
            <w:pPr>
              <w:pStyle w:val="TableContents"/>
              <w:spacing w:before="0" w:after="0"/>
              <w:ind w:left="0" w:right="0" w:hanging="0"/>
              <w:jc w:val="center"/>
              <w:rPr>
                <w:rFonts w:ascii="helvetica" w:hAnsi="helvetica"/>
                <w:b/>
                <w:sz w:val="16"/>
              </w:rPr>
            </w:pPr>
            <w:r>
              <w:rPr>
                <w:rFonts w:ascii="helvetica" w:hAnsi="helvetica"/>
                <w:b/>
                <w:sz w:val="16"/>
              </w:rPr>
              <w:t>December 31,</w:t>
            </w:r>
          </w:p>
        </w:tc>
        <w:tc>
          <w:tcPr>
            <w:tcW w:w="110" w:type="dxa"/>
            <w:tcBorders/>
            <w:shd w:fill="auto" w:val="clear"/>
            <w:vAlign w:val="bottom"/>
          </w:tcPr>
          <w:p>
            <w:pPr>
              <w:pStyle w:val="TableContents"/>
              <w:spacing w:before="0" w:after="283"/>
              <w:jc w:val="center"/>
              <w:rPr/>
            </w:pPr>
            <w:r>
              <w:rPr/>
              <w:t> </w:t>
            </w:r>
          </w:p>
        </w:tc>
        <w:tc>
          <w:tcPr>
            <w:tcW w:w="99" w:type="dxa"/>
            <w:tcBorders/>
            <w:shd w:fill="auto" w:val="clear"/>
            <w:vAlign w:val="bottom"/>
          </w:tcPr>
          <w:p>
            <w:pPr>
              <w:pStyle w:val="TableContents"/>
              <w:spacing w:before="0" w:after="283"/>
              <w:jc w:val="center"/>
              <w:rPr/>
            </w:pPr>
            <w:r>
              <w:rPr/>
              <w:t> </w:t>
            </w:r>
          </w:p>
        </w:tc>
        <w:tc>
          <w:tcPr>
            <w:tcW w:w="1229" w:type="dxa"/>
            <w:gridSpan w:val="2"/>
            <w:tcBorders/>
            <w:shd w:fill="auto" w:val="clear"/>
            <w:vAlign w:val="bottom"/>
          </w:tcPr>
          <w:p>
            <w:pPr>
              <w:pStyle w:val="TableContents"/>
              <w:spacing w:before="0" w:after="0"/>
              <w:ind w:left="0" w:right="0" w:hanging="0"/>
              <w:jc w:val="center"/>
              <w:rPr>
                <w:rFonts w:ascii="helvetica" w:hAnsi="helvetica"/>
                <w:b/>
                <w:sz w:val="16"/>
              </w:rPr>
            </w:pPr>
            <w:r>
              <w:rPr>
                <w:rFonts w:ascii="helvetica" w:hAnsi="helvetica"/>
                <w:b/>
                <w:sz w:val="16"/>
              </w:rPr>
              <w:t>December 31,</w:t>
            </w:r>
          </w:p>
        </w:tc>
        <w:tc>
          <w:tcPr>
            <w:tcW w:w="123" w:type="dxa"/>
            <w:tcBorders/>
            <w:shd w:fill="auto" w:val="clear"/>
            <w:vAlign w:val="bottom"/>
          </w:tcPr>
          <w:p>
            <w:pPr>
              <w:pStyle w:val="TableContents"/>
              <w:spacing w:before="0" w:after="283"/>
              <w:jc w:val="center"/>
              <w:rPr/>
            </w:pPr>
            <w:r>
              <w:rPr/>
              <w:t> </w:t>
            </w:r>
          </w:p>
        </w:tc>
      </w:tr>
      <w:tr>
        <w:trPr/>
        <w:tc>
          <w:tcPr>
            <w:tcW w:w="5784" w:type="dxa"/>
            <w:tcBorders/>
            <w:shd w:fill="auto" w:val="clear"/>
            <w:vAlign w:val="bottom"/>
          </w:tcPr>
          <w:p>
            <w:pPr>
              <w:pStyle w:val="TableContents"/>
              <w:spacing w:before="0" w:after="283"/>
              <w:jc w:val="center"/>
              <w:rPr/>
            </w:pPr>
            <w:r>
              <w:rPr/>
              <w:t xml:space="preserve">  </w:t>
            </w:r>
          </w:p>
        </w:tc>
        <w:tc>
          <w:tcPr>
            <w:tcW w:w="99" w:type="dxa"/>
            <w:tcBorders/>
            <w:shd w:fill="auto" w:val="clear"/>
            <w:vAlign w:val="bottom"/>
          </w:tcPr>
          <w:p>
            <w:pPr>
              <w:pStyle w:val="TableContents"/>
              <w:spacing w:before="0" w:after="283"/>
              <w:jc w:val="center"/>
              <w:rPr/>
            </w:pPr>
            <w:r>
              <w:rPr/>
              <w:t> </w:t>
            </w:r>
          </w:p>
        </w:tc>
        <w:tc>
          <w:tcPr>
            <w:tcW w:w="1230"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helvetica" w:hAnsi="helvetica"/>
                <w:b/>
                <w:sz w:val="16"/>
              </w:rPr>
            </w:pPr>
            <w:r>
              <w:rPr>
                <w:rFonts w:ascii="helvetica" w:hAnsi="helvetica"/>
                <w:b/>
                <w:sz w:val="16"/>
              </w:rPr>
              <w:t>2011</w:t>
            </w:r>
          </w:p>
        </w:tc>
        <w:tc>
          <w:tcPr>
            <w:tcW w:w="110" w:type="dxa"/>
            <w:tcBorders/>
            <w:shd w:fill="auto" w:val="clear"/>
            <w:vAlign w:val="bottom"/>
          </w:tcPr>
          <w:p>
            <w:pPr>
              <w:pStyle w:val="TableContents"/>
              <w:spacing w:before="0" w:after="283"/>
              <w:jc w:val="center"/>
              <w:rPr/>
            </w:pPr>
            <w:r>
              <w:rPr/>
              <w:t> </w:t>
            </w:r>
          </w:p>
        </w:tc>
        <w:tc>
          <w:tcPr>
            <w:tcW w:w="99" w:type="dxa"/>
            <w:tcBorders/>
            <w:shd w:fill="auto" w:val="clear"/>
            <w:vAlign w:val="bottom"/>
          </w:tcPr>
          <w:p>
            <w:pPr>
              <w:pStyle w:val="TableContents"/>
              <w:spacing w:before="0" w:after="283"/>
              <w:jc w:val="center"/>
              <w:rPr/>
            </w:pPr>
            <w:r>
              <w:rPr/>
              <w:t> </w:t>
            </w:r>
          </w:p>
        </w:tc>
        <w:tc>
          <w:tcPr>
            <w:tcW w:w="1229"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helvetica" w:hAnsi="helvetica"/>
                <w:b/>
                <w:sz w:val="16"/>
              </w:rPr>
            </w:pPr>
            <w:r>
              <w:rPr>
                <w:rFonts w:ascii="helvetica" w:hAnsi="helvetica"/>
                <w:b/>
                <w:sz w:val="16"/>
              </w:rPr>
              <w:t>2010</w:t>
            </w:r>
          </w:p>
        </w:tc>
        <w:tc>
          <w:tcPr>
            <w:tcW w:w="123" w:type="dxa"/>
            <w:tcBorders/>
            <w:shd w:fill="auto" w:val="clear"/>
            <w:vAlign w:val="bottom"/>
          </w:tcPr>
          <w:p>
            <w:pPr>
              <w:pStyle w:val="TableContents"/>
              <w:spacing w:before="0" w:after="283"/>
              <w:jc w:val="left"/>
              <w:rPr/>
            </w:pPr>
            <w:r>
              <w:rPr/>
              <w:t> </w:t>
            </w:r>
          </w:p>
        </w:tc>
      </w:tr>
      <w:tr>
        <w:trPr/>
        <w:tc>
          <w:tcPr>
            <w:tcW w:w="5784" w:type="dxa"/>
            <w:tcBorders/>
            <w:shd w:fill="CCEEFF" w:val="clear"/>
            <w:vAlign w:val="bottom"/>
          </w:tcPr>
          <w:p>
            <w:pPr>
              <w:pStyle w:val="TableContents"/>
              <w:spacing w:before="0" w:after="0"/>
              <w:ind w:left="0" w:right="0" w:hanging="0"/>
              <w:jc w:val="both"/>
              <w:rPr>
                <w:rFonts w:ascii="helvetica" w:hAnsi="helvetica"/>
                <w:sz w:val="20"/>
              </w:rPr>
            </w:pPr>
            <w:r>
              <w:rPr>
                <w:rFonts w:ascii="helvetica" w:hAnsi="helvetica"/>
                <w:sz w:val="20"/>
              </w:rPr>
              <w:t>Federal tax benefit at statutory rate</w:t>
            </w:r>
          </w:p>
        </w:tc>
        <w:tc>
          <w:tcPr>
            <w:tcW w:w="99" w:type="dxa"/>
            <w:tcBorders/>
            <w:shd w:fill="CCEEFF" w:val="clear"/>
            <w:vAlign w:val="bottom"/>
          </w:tcPr>
          <w:p>
            <w:pPr>
              <w:pStyle w:val="TableContents"/>
              <w:spacing w:before="0" w:after="283"/>
              <w:rPr/>
            </w:pPr>
            <w:r>
              <w:rPr/>
              <w:t> </w:t>
            </w:r>
          </w:p>
        </w:tc>
        <w:tc>
          <w:tcPr>
            <w:tcW w:w="145" w:type="dxa"/>
            <w:tcBorders/>
            <w:shd w:fill="CCEEFF" w:val="clear"/>
            <w:vAlign w:val="bottom"/>
          </w:tcPr>
          <w:p>
            <w:pPr>
              <w:pStyle w:val="TableContents"/>
              <w:spacing w:before="0" w:after="283"/>
              <w:jc w:val="left"/>
              <w:rPr>
                <w:rFonts w:ascii="helvetica" w:hAnsi="helvetica"/>
                <w:sz w:val="20"/>
              </w:rPr>
            </w:pPr>
            <w:r>
              <w:rPr>
                <w:rFonts w:ascii="helvetica" w:hAnsi="helvetica"/>
                <w:sz w:val="20"/>
              </w:rPr>
              <w:t>$</w:t>
            </w:r>
          </w:p>
        </w:tc>
        <w:tc>
          <w:tcPr>
            <w:tcW w:w="1085"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(319,489</w:t>
            </w:r>
          </w:p>
        </w:tc>
        <w:tc>
          <w:tcPr>
            <w:tcW w:w="110" w:type="dxa"/>
            <w:tcBorders/>
            <w:shd w:fill="CCEEFF" w:val="clear"/>
            <w:vAlign w:val="bottom"/>
          </w:tcPr>
          <w:p>
            <w:pPr>
              <w:pStyle w:val="TableContents"/>
              <w:spacing w:before="0" w:after="283"/>
              <w:jc w:val="left"/>
              <w:rPr>
                <w:rFonts w:ascii="helvetica" w:hAnsi="helvetica"/>
                <w:sz w:val="20"/>
              </w:rPr>
            </w:pPr>
            <w:r>
              <w:rPr>
                <w:rFonts w:ascii="helvetica" w:hAnsi="helvetica"/>
                <w:sz w:val="20"/>
              </w:rPr>
              <w:t>)</w:t>
            </w:r>
          </w:p>
        </w:tc>
        <w:tc>
          <w:tcPr>
            <w:tcW w:w="99" w:type="dxa"/>
            <w:tcBorders/>
            <w:shd w:fill="CCEEFF" w:val="clear"/>
            <w:vAlign w:val="bottom"/>
          </w:tcPr>
          <w:p>
            <w:pPr>
              <w:pStyle w:val="TableContents"/>
              <w:spacing w:before="0" w:after="283"/>
              <w:rPr/>
            </w:pPr>
            <w:r>
              <w:rPr/>
              <w:t> </w:t>
            </w:r>
          </w:p>
        </w:tc>
        <w:tc>
          <w:tcPr>
            <w:tcW w:w="136" w:type="dxa"/>
            <w:tcBorders/>
            <w:shd w:fill="CCEEFF" w:val="clear"/>
            <w:vAlign w:val="bottom"/>
          </w:tcPr>
          <w:p>
            <w:pPr>
              <w:pStyle w:val="TableContents"/>
              <w:spacing w:before="0" w:after="283"/>
              <w:jc w:val="left"/>
              <w:rPr>
                <w:rFonts w:ascii="helvetica" w:hAnsi="helvetica"/>
                <w:sz w:val="20"/>
              </w:rPr>
            </w:pPr>
            <w:r>
              <w:rPr>
                <w:rFonts w:ascii="helvetica" w:hAnsi="helvetica"/>
                <w:sz w:val="20"/>
              </w:rPr>
              <w:t>$</w:t>
            </w:r>
          </w:p>
        </w:tc>
        <w:tc>
          <w:tcPr>
            <w:tcW w:w="1093"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(842,257</w:t>
            </w:r>
          </w:p>
        </w:tc>
        <w:tc>
          <w:tcPr>
            <w:tcW w:w="123" w:type="dxa"/>
            <w:tcBorders/>
            <w:shd w:fill="CCEEFF" w:val="clear"/>
            <w:vAlign w:val="bottom"/>
          </w:tcPr>
          <w:p>
            <w:pPr>
              <w:pStyle w:val="TableContents"/>
              <w:spacing w:before="0" w:after="283"/>
              <w:jc w:val="left"/>
              <w:rPr>
                <w:rFonts w:ascii="helvetica" w:hAnsi="helvetica"/>
                <w:sz w:val="20"/>
              </w:rPr>
            </w:pPr>
            <w:r>
              <w:rPr>
                <w:rFonts w:ascii="helvetica" w:hAnsi="helvetica"/>
                <w:sz w:val="20"/>
              </w:rPr>
              <w:t>)</w:t>
            </w:r>
          </w:p>
        </w:tc>
      </w:tr>
      <w:tr>
        <w:trPr/>
        <w:tc>
          <w:tcPr>
            <w:tcW w:w="5784" w:type="dxa"/>
            <w:tcBorders/>
            <w:shd w:fill="FFFFFF" w:val="clear"/>
            <w:vAlign w:val="bottom"/>
          </w:tcPr>
          <w:p>
            <w:pPr>
              <w:pStyle w:val="TableContents"/>
              <w:spacing w:before="0" w:after="0"/>
              <w:ind w:left="0" w:right="0" w:hanging="0"/>
              <w:jc w:val="both"/>
              <w:rPr>
                <w:rFonts w:ascii="helvetica" w:hAnsi="helvetica"/>
                <w:sz w:val="20"/>
              </w:rPr>
            </w:pPr>
            <w:r>
              <w:rPr>
                <w:rFonts w:ascii="helvetica" w:hAnsi="helvetica"/>
                <w:sz w:val="20"/>
              </w:rPr>
              <w:t>State tax benefit, net</w:t>
            </w:r>
          </w:p>
        </w:tc>
        <w:tc>
          <w:tcPr>
            <w:tcW w:w="99" w:type="dxa"/>
            <w:tcBorders/>
            <w:shd w:fill="FFFFFF" w:val="clear"/>
            <w:vAlign w:val="bottom"/>
          </w:tcPr>
          <w:p>
            <w:pPr>
              <w:pStyle w:val="TableContents"/>
              <w:spacing w:before="0" w:after="283"/>
              <w:rPr/>
            </w:pPr>
            <w:r>
              <w:rPr/>
              <w:t> </w:t>
            </w:r>
          </w:p>
        </w:tc>
        <w:tc>
          <w:tcPr>
            <w:tcW w:w="145" w:type="dxa"/>
            <w:tcBorders/>
            <w:shd w:fill="FFFFFF" w:val="clear"/>
            <w:vAlign w:val="bottom"/>
          </w:tcPr>
          <w:p>
            <w:pPr>
              <w:pStyle w:val="TableContents"/>
              <w:spacing w:before="0" w:after="283"/>
              <w:jc w:val="left"/>
              <w:rPr/>
            </w:pPr>
            <w:r>
              <w:rPr/>
              <w:t> </w:t>
            </w:r>
          </w:p>
        </w:tc>
        <w:tc>
          <w:tcPr>
            <w:tcW w:w="1085"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(58,881</w:t>
            </w:r>
          </w:p>
        </w:tc>
        <w:tc>
          <w:tcPr>
            <w:tcW w:w="110" w:type="dxa"/>
            <w:tcBorders/>
            <w:shd w:fill="FFFFFF" w:val="clear"/>
            <w:vAlign w:val="bottom"/>
          </w:tcPr>
          <w:p>
            <w:pPr>
              <w:pStyle w:val="TableContents"/>
              <w:spacing w:before="0" w:after="283"/>
              <w:jc w:val="left"/>
              <w:rPr>
                <w:rFonts w:ascii="helvetica" w:hAnsi="helvetica"/>
                <w:sz w:val="20"/>
              </w:rPr>
            </w:pPr>
            <w:r>
              <w:rPr>
                <w:rFonts w:ascii="helvetica" w:hAnsi="helvetica"/>
                <w:sz w:val="20"/>
              </w:rPr>
              <w:t>)</w:t>
            </w:r>
          </w:p>
        </w:tc>
        <w:tc>
          <w:tcPr>
            <w:tcW w:w="99" w:type="dxa"/>
            <w:tcBorders/>
            <w:shd w:fill="FFFFFF" w:val="clear"/>
            <w:vAlign w:val="bottom"/>
          </w:tcPr>
          <w:p>
            <w:pPr>
              <w:pStyle w:val="TableContents"/>
              <w:spacing w:before="0" w:after="283"/>
              <w:rPr/>
            </w:pPr>
            <w:r>
              <w:rPr/>
              <w:t> </w:t>
            </w:r>
          </w:p>
        </w:tc>
        <w:tc>
          <w:tcPr>
            <w:tcW w:w="136" w:type="dxa"/>
            <w:tcBorders/>
            <w:shd w:fill="FFFFFF" w:val="clear"/>
            <w:vAlign w:val="bottom"/>
          </w:tcPr>
          <w:p>
            <w:pPr>
              <w:pStyle w:val="TableContents"/>
              <w:spacing w:before="0" w:after="283"/>
              <w:jc w:val="left"/>
              <w:rPr/>
            </w:pPr>
            <w:r>
              <w:rPr/>
              <w:t> </w:t>
            </w:r>
          </w:p>
        </w:tc>
        <w:tc>
          <w:tcPr>
            <w:tcW w:w="1093"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(161,372</w:t>
            </w:r>
          </w:p>
        </w:tc>
        <w:tc>
          <w:tcPr>
            <w:tcW w:w="123" w:type="dxa"/>
            <w:tcBorders/>
            <w:shd w:fill="FFFFFF" w:val="clear"/>
            <w:vAlign w:val="bottom"/>
          </w:tcPr>
          <w:p>
            <w:pPr>
              <w:pStyle w:val="TableContents"/>
              <w:spacing w:before="0" w:after="283"/>
              <w:jc w:val="left"/>
              <w:rPr>
                <w:rFonts w:ascii="helvetica" w:hAnsi="helvetica"/>
                <w:sz w:val="20"/>
              </w:rPr>
            </w:pPr>
            <w:r>
              <w:rPr>
                <w:rFonts w:ascii="helvetica" w:hAnsi="helvetica"/>
                <w:sz w:val="20"/>
              </w:rPr>
              <w:t>)</w:t>
            </w:r>
          </w:p>
        </w:tc>
      </w:tr>
      <w:tr>
        <w:trPr/>
        <w:tc>
          <w:tcPr>
            <w:tcW w:w="5784" w:type="dxa"/>
            <w:tcBorders/>
            <w:shd w:fill="CCEEFF" w:val="clear"/>
            <w:vAlign w:val="bottom"/>
          </w:tcPr>
          <w:p>
            <w:pPr>
              <w:pStyle w:val="TableContents"/>
              <w:spacing w:before="0" w:after="0"/>
              <w:ind w:left="0" w:right="0" w:hanging="0"/>
              <w:jc w:val="both"/>
              <w:rPr>
                <w:rFonts w:ascii="helvetica" w:hAnsi="helvetica"/>
                <w:sz w:val="20"/>
              </w:rPr>
            </w:pPr>
            <w:r>
              <w:rPr>
                <w:rFonts w:ascii="helvetica" w:hAnsi="helvetica"/>
                <w:sz w:val="20"/>
              </w:rPr>
              <w:t>Research and development credits</w:t>
            </w:r>
          </w:p>
        </w:tc>
        <w:tc>
          <w:tcPr>
            <w:tcW w:w="99" w:type="dxa"/>
            <w:tcBorders/>
            <w:shd w:fill="CCEEFF" w:val="clear"/>
            <w:vAlign w:val="bottom"/>
          </w:tcPr>
          <w:p>
            <w:pPr>
              <w:pStyle w:val="TableContents"/>
              <w:spacing w:before="0" w:after="283"/>
              <w:rPr/>
            </w:pPr>
            <w:r>
              <w:rPr/>
              <w:t> </w:t>
            </w:r>
          </w:p>
        </w:tc>
        <w:tc>
          <w:tcPr>
            <w:tcW w:w="145" w:type="dxa"/>
            <w:tcBorders/>
            <w:shd w:fill="CCEEFF" w:val="clear"/>
            <w:vAlign w:val="bottom"/>
          </w:tcPr>
          <w:p>
            <w:pPr>
              <w:pStyle w:val="TableContents"/>
              <w:spacing w:before="0" w:after="283"/>
              <w:jc w:val="left"/>
              <w:rPr/>
            </w:pPr>
            <w:r>
              <w:rPr/>
              <w:t> </w:t>
            </w:r>
          </w:p>
        </w:tc>
        <w:tc>
          <w:tcPr>
            <w:tcW w:w="1085"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(10,123</w:t>
            </w:r>
          </w:p>
        </w:tc>
        <w:tc>
          <w:tcPr>
            <w:tcW w:w="110" w:type="dxa"/>
            <w:tcBorders/>
            <w:shd w:fill="CCEEFF" w:val="clear"/>
            <w:vAlign w:val="bottom"/>
          </w:tcPr>
          <w:p>
            <w:pPr>
              <w:pStyle w:val="TableContents"/>
              <w:spacing w:before="0" w:after="283"/>
              <w:jc w:val="left"/>
              <w:rPr>
                <w:rFonts w:ascii="helvetica" w:hAnsi="helvetica"/>
                <w:sz w:val="20"/>
              </w:rPr>
            </w:pPr>
            <w:r>
              <w:rPr>
                <w:rFonts w:ascii="helvetica" w:hAnsi="helvetica"/>
                <w:sz w:val="20"/>
              </w:rPr>
              <w:t>)</w:t>
            </w:r>
          </w:p>
        </w:tc>
        <w:tc>
          <w:tcPr>
            <w:tcW w:w="99" w:type="dxa"/>
            <w:tcBorders/>
            <w:shd w:fill="CCEEFF" w:val="clear"/>
            <w:vAlign w:val="bottom"/>
          </w:tcPr>
          <w:p>
            <w:pPr>
              <w:pStyle w:val="TableContents"/>
              <w:spacing w:before="0" w:after="283"/>
              <w:rPr/>
            </w:pPr>
            <w:r>
              <w:rPr/>
              <w:t> </w:t>
            </w:r>
          </w:p>
        </w:tc>
        <w:tc>
          <w:tcPr>
            <w:tcW w:w="136" w:type="dxa"/>
            <w:tcBorders/>
            <w:shd w:fill="CCEEFF" w:val="clear"/>
            <w:vAlign w:val="bottom"/>
          </w:tcPr>
          <w:p>
            <w:pPr>
              <w:pStyle w:val="TableContents"/>
              <w:spacing w:before="0" w:after="283"/>
              <w:jc w:val="left"/>
              <w:rPr/>
            </w:pPr>
            <w:r>
              <w:rPr/>
              <w:t> </w:t>
            </w:r>
          </w:p>
        </w:tc>
        <w:tc>
          <w:tcPr>
            <w:tcW w:w="1093"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(39,517</w:t>
            </w:r>
          </w:p>
        </w:tc>
        <w:tc>
          <w:tcPr>
            <w:tcW w:w="123" w:type="dxa"/>
            <w:tcBorders/>
            <w:shd w:fill="CCEEFF" w:val="clear"/>
            <w:vAlign w:val="bottom"/>
          </w:tcPr>
          <w:p>
            <w:pPr>
              <w:pStyle w:val="TableContents"/>
              <w:spacing w:before="0" w:after="283"/>
              <w:jc w:val="left"/>
              <w:rPr>
                <w:rFonts w:ascii="helvetica" w:hAnsi="helvetica"/>
                <w:sz w:val="20"/>
              </w:rPr>
            </w:pPr>
            <w:r>
              <w:rPr>
                <w:rFonts w:ascii="helvetica" w:hAnsi="helvetica"/>
                <w:sz w:val="20"/>
              </w:rPr>
              <w:t>)</w:t>
            </w:r>
          </w:p>
        </w:tc>
      </w:tr>
      <w:tr>
        <w:trPr/>
        <w:tc>
          <w:tcPr>
            <w:tcW w:w="5784" w:type="dxa"/>
            <w:tcBorders/>
            <w:shd w:fill="FFFFFF" w:val="clear"/>
            <w:vAlign w:val="bottom"/>
          </w:tcPr>
          <w:p>
            <w:pPr>
              <w:pStyle w:val="TableContents"/>
              <w:spacing w:before="0" w:after="0"/>
              <w:ind w:left="0" w:right="0" w:hanging="0"/>
              <w:jc w:val="both"/>
              <w:rPr>
                <w:rFonts w:ascii="helvetica" w:hAnsi="helvetica"/>
                <w:sz w:val="20"/>
              </w:rPr>
            </w:pPr>
            <w:r>
              <w:rPr>
                <w:rFonts w:ascii="helvetica" w:hAnsi="helvetica"/>
                <w:sz w:val="20"/>
              </w:rPr>
              <w:t>Employee stock-based compensation</w:t>
            </w:r>
          </w:p>
        </w:tc>
        <w:tc>
          <w:tcPr>
            <w:tcW w:w="99" w:type="dxa"/>
            <w:tcBorders/>
            <w:shd w:fill="FFFFFF" w:val="clear"/>
            <w:vAlign w:val="bottom"/>
          </w:tcPr>
          <w:p>
            <w:pPr>
              <w:pStyle w:val="TableContents"/>
              <w:spacing w:before="0" w:after="283"/>
              <w:rPr/>
            </w:pPr>
            <w:r>
              <w:rPr/>
              <w:t> </w:t>
            </w:r>
          </w:p>
        </w:tc>
        <w:tc>
          <w:tcPr>
            <w:tcW w:w="145" w:type="dxa"/>
            <w:tcBorders/>
            <w:shd w:fill="FFFFFF" w:val="clear"/>
            <w:vAlign w:val="bottom"/>
          </w:tcPr>
          <w:p>
            <w:pPr>
              <w:pStyle w:val="TableContents"/>
              <w:spacing w:before="0" w:after="283"/>
              <w:jc w:val="left"/>
              <w:rPr/>
            </w:pPr>
            <w:r>
              <w:rPr/>
              <w:t> </w:t>
            </w:r>
          </w:p>
        </w:tc>
        <w:tc>
          <w:tcPr>
            <w:tcW w:w="1085"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w:t>
            </w:r>
          </w:p>
        </w:tc>
        <w:tc>
          <w:tcPr>
            <w:tcW w:w="110" w:type="dxa"/>
            <w:tcBorders/>
            <w:shd w:fill="FFFFFF" w:val="clear"/>
            <w:vAlign w:val="bottom"/>
          </w:tcPr>
          <w:p>
            <w:pPr>
              <w:pStyle w:val="TableContents"/>
              <w:spacing w:before="0" w:after="283"/>
              <w:jc w:val="left"/>
              <w:rPr/>
            </w:pPr>
            <w:r>
              <w:rPr/>
              <w:t> </w:t>
            </w:r>
          </w:p>
        </w:tc>
        <w:tc>
          <w:tcPr>
            <w:tcW w:w="99" w:type="dxa"/>
            <w:tcBorders/>
            <w:shd w:fill="FFFFFF" w:val="clear"/>
            <w:vAlign w:val="bottom"/>
          </w:tcPr>
          <w:p>
            <w:pPr>
              <w:pStyle w:val="TableContents"/>
              <w:spacing w:before="0" w:after="283"/>
              <w:rPr/>
            </w:pPr>
            <w:r>
              <w:rPr/>
              <w:t> </w:t>
            </w:r>
          </w:p>
        </w:tc>
        <w:tc>
          <w:tcPr>
            <w:tcW w:w="136" w:type="dxa"/>
            <w:tcBorders/>
            <w:shd w:fill="FFFFFF" w:val="clear"/>
            <w:vAlign w:val="bottom"/>
          </w:tcPr>
          <w:p>
            <w:pPr>
              <w:pStyle w:val="TableContents"/>
              <w:spacing w:before="0" w:after="283"/>
              <w:jc w:val="left"/>
              <w:rPr/>
            </w:pPr>
            <w:r>
              <w:rPr/>
              <w:t> </w:t>
            </w:r>
          </w:p>
        </w:tc>
        <w:tc>
          <w:tcPr>
            <w:tcW w:w="1093"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w:t>
            </w:r>
          </w:p>
        </w:tc>
        <w:tc>
          <w:tcPr>
            <w:tcW w:w="123" w:type="dxa"/>
            <w:tcBorders/>
            <w:shd w:fill="FFFFFF" w:val="clear"/>
            <w:vAlign w:val="bottom"/>
          </w:tcPr>
          <w:p>
            <w:pPr>
              <w:pStyle w:val="TableContents"/>
              <w:spacing w:before="0" w:after="283"/>
              <w:jc w:val="left"/>
              <w:rPr/>
            </w:pPr>
            <w:r>
              <w:rPr/>
              <w:t> </w:t>
            </w:r>
          </w:p>
        </w:tc>
      </w:tr>
      <w:tr>
        <w:trPr/>
        <w:tc>
          <w:tcPr>
            <w:tcW w:w="5784" w:type="dxa"/>
            <w:tcBorders/>
            <w:shd w:fill="CCEEFF" w:val="clear"/>
            <w:vAlign w:val="bottom"/>
          </w:tcPr>
          <w:p>
            <w:pPr>
              <w:pStyle w:val="TableContents"/>
              <w:spacing w:before="0" w:after="0"/>
              <w:ind w:left="0" w:right="0" w:hanging="0"/>
              <w:jc w:val="both"/>
              <w:rPr>
                <w:rFonts w:ascii="helvetica" w:hAnsi="helvetica"/>
                <w:sz w:val="20"/>
              </w:rPr>
            </w:pPr>
            <w:r>
              <w:rPr>
                <w:rFonts w:ascii="helvetica" w:hAnsi="helvetica"/>
                <w:sz w:val="20"/>
              </w:rPr>
              <w:t>Other differences</w:t>
            </w:r>
          </w:p>
        </w:tc>
        <w:tc>
          <w:tcPr>
            <w:tcW w:w="99" w:type="dxa"/>
            <w:tcBorders/>
            <w:shd w:fill="CCEEFF" w:val="clear"/>
            <w:vAlign w:val="bottom"/>
          </w:tcPr>
          <w:p>
            <w:pPr>
              <w:pStyle w:val="TableContents"/>
              <w:spacing w:before="0" w:after="283"/>
              <w:rPr/>
            </w:pPr>
            <w:r>
              <w:rPr/>
              <w:t> </w:t>
            </w:r>
          </w:p>
        </w:tc>
        <w:tc>
          <w:tcPr>
            <w:tcW w:w="145" w:type="dxa"/>
            <w:tcBorders/>
            <w:shd w:fill="CCEEFF" w:val="clear"/>
            <w:vAlign w:val="bottom"/>
          </w:tcPr>
          <w:p>
            <w:pPr>
              <w:pStyle w:val="TableContents"/>
              <w:spacing w:before="0" w:after="283"/>
              <w:jc w:val="left"/>
              <w:rPr/>
            </w:pPr>
            <w:r>
              <w:rPr/>
              <w:t> </w:t>
            </w:r>
          </w:p>
        </w:tc>
        <w:tc>
          <w:tcPr>
            <w:tcW w:w="1085"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w:t>
            </w:r>
          </w:p>
        </w:tc>
        <w:tc>
          <w:tcPr>
            <w:tcW w:w="110" w:type="dxa"/>
            <w:tcBorders/>
            <w:shd w:fill="CCEEFF" w:val="clear"/>
            <w:vAlign w:val="bottom"/>
          </w:tcPr>
          <w:p>
            <w:pPr>
              <w:pStyle w:val="TableContents"/>
              <w:spacing w:before="0" w:after="283"/>
              <w:jc w:val="left"/>
              <w:rPr/>
            </w:pPr>
            <w:r>
              <w:rPr/>
              <w:t> </w:t>
            </w:r>
          </w:p>
        </w:tc>
        <w:tc>
          <w:tcPr>
            <w:tcW w:w="99" w:type="dxa"/>
            <w:tcBorders/>
            <w:shd w:fill="CCEEFF" w:val="clear"/>
            <w:vAlign w:val="bottom"/>
          </w:tcPr>
          <w:p>
            <w:pPr>
              <w:pStyle w:val="TableContents"/>
              <w:spacing w:before="0" w:after="283"/>
              <w:rPr/>
            </w:pPr>
            <w:r>
              <w:rPr/>
              <w:t> </w:t>
            </w:r>
          </w:p>
        </w:tc>
        <w:tc>
          <w:tcPr>
            <w:tcW w:w="136" w:type="dxa"/>
            <w:tcBorders/>
            <w:shd w:fill="CCEEFF" w:val="clear"/>
            <w:vAlign w:val="bottom"/>
          </w:tcPr>
          <w:p>
            <w:pPr>
              <w:pStyle w:val="TableContents"/>
              <w:spacing w:before="0" w:after="283"/>
              <w:jc w:val="left"/>
              <w:rPr/>
            </w:pPr>
            <w:r>
              <w:rPr/>
              <w:t> </w:t>
            </w:r>
          </w:p>
        </w:tc>
        <w:tc>
          <w:tcPr>
            <w:tcW w:w="1093"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46</w:t>
            </w:r>
          </w:p>
        </w:tc>
        <w:tc>
          <w:tcPr>
            <w:tcW w:w="123" w:type="dxa"/>
            <w:tcBorders/>
            <w:shd w:fill="CCEEFF" w:val="clear"/>
            <w:vAlign w:val="bottom"/>
          </w:tcPr>
          <w:p>
            <w:pPr>
              <w:pStyle w:val="TableContents"/>
              <w:spacing w:before="0" w:after="283"/>
              <w:jc w:val="left"/>
              <w:rPr/>
            </w:pPr>
            <w:r>
              <w:rPr/>
              <w:t> </w:t>
            </w:r>
          </w:p>
        </w:tc>
      </w:tr>
      <w:tr>
        <w:trPr/>
        <w:tc>
          <w:tcPr>
            <w:tcW w:w="5784" w:type="dxa"/>
            <w:tcBorders/>
            <w:shd w:fill="FFFFFF" w:val="clear"/>
            <w:vAlign w:val="bottom"/>
          </w:tcPr>
          <w:p>
            <w:pPr>
              <w:pStyle w:val="TableContents"/>
              <w:spacing w:before="0" w:after="0"/>
              <w:ind w:left="0" w:right="0" w:hanging="0"/>
              <w:jc w:val="both"/>
              <w:rPr>
                <w:rFonts w:ascii="helvetica" w:hAnsi="helvetica"/>
                <w:sz w:val="20"/>
              </w:rPr>
            </w:pPr>
            <w:r>
              <w:rPr>
                <w:rFonts w:ascii="helvetica" w:hAnsi="helvetica"/>
                <w:sz w:val="20"/>
              </w:rPr>
              <w:t>Change in valuation allowance</w:t>
            </w:r>
          </w:p>
        </w:tc>
        <w:tc>
          <w:tcPr>
            <w:tcW w:w="99" w:type="dxa"/>
            <w:tcBorders/>
            <w:shd w:fill="FFFFFF" w:val="clear"/>
            <w:vAlign w:val="bottom"/>
          </w:tcPr>
          <w:p>
            <w:pPr>
              <w:pStyle w:val="TableContents"/>
              <w:spacing w:before="0" w:after="283"/>
              <w:rPr/>
            </w:pPr>
            <w:r>
              <w:rPr/>
              <w:t> </w:t>
            </w:r>
          </w:p>
        </w:tc>
        <w:tc>
          <w:tcPr>
            <w:tcW w:w="14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85" w:type="dxa"/>
            <w:tcBorders>
              <w:bottom w:val="single" w:sz="12" w:space="0" w:color="000000"/>
            </w:tcBorders>
            <w:shd w:fill="FFFF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388,493</w:t>
            </w:r>
          </w:p>
        </w:tc>
        <w:tc>
          <w:tcPr>
            <w:tcW w:w="110" w:type="dxa"/>
            <w:tcBorders/>
            <w:shd w:fill="FFFFFF" w:val="clear"/>
            <w:vAlign w:val="bottom"/>
          </w:tcPr>
          <w:p>
            <w:pPr>
              <w:pStyle w:val="TableContents"/>
              <w:spacing w:before="0" w:after="283"/>
              <w:jc w:val="left"/>
              <w:rPr/>
            </w:pPr>
            <w:r>
              <w:rPr/>
              <w:t> </w:t>
            </w:r>
          </w:p>
        </w:tc>
        <w:tc>
          <w:tcPr>
            <w:tcW w:w="99" w:type="dxa"/>
            <w:tcBorders/>
            <w:shd w:fill="FFFFFF" w:val="clear"/>
            <w:vAlign w:val="bottom"/>
          </w:tcPr>
          <w:p>
            <w:pPr>
              <w:pStyle w:val="TableContents"/>
              <w:spacing w:before="0" w:after="283"/>
              <w:rPr/>
            </w:pPr>
            <w:r>
              <w:rPr/>
              <w:t> </w:t>
            </w:r>
          </w:p>
        </w:tc>
        <w:tc>
          <w:tcPr>
            <w:tcW w:w="136"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93" w:type="dxa"/>
            <w:tcBorders>
              <w:bottom w:val="single" w:sz="12" w:space="0" w:color="000000"/>
            </w:tcBorders>
            <w:shd w:fill="FFFF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1,043,100</w:t>
            </w:r>
          </w:p>
        </w:tc>
        <w:tc>
          <w:tcPr>
            <w:tcW w:w="123" w:type="dxa"/>
            <w:tcBorders/>
            <w:shd w:fill="FFFFFF" w:val="clear"/>
            <w:vAlign w:val="bottom"/>
          </w:tcPr>
          <w:p>
            <w:pPr>
              <w:pStyle w:val="TableContents"/>
              <w:spacing w:before="0" w:after="283"/>
              <w:jc w:val="left"/>
              <w:rPr/>
            </w:pPr>
            <w:r>
              <w:rPr/>
              <w:t> </w:t>
            </w:r>
          </w:p>
        </w:tc>
      </w:tr>
      <w:tr>
        <w:trPr/>
        <w:tc>
          <w:tcPr>
            <w:tcW w:w="5784" w:type="dxa"/>
            <w:tcBorders/>
            <w:shd w:fill="CCEEFF" w:val="clear"/>
            <w:vAlign w:val="bottom"/>
          </w:tcPr>
          <w:p>
            <w:pPr>
              <w:pStyle w:val="TableContents"/>
              <w:spacing w:before="0" w:after="0"/>
              <w:ind w:left="0" w:right="0" w:hanging="0"/>
              <w:jc w:val="both"/>
              <w:rPr>
                <w:rFonts w:ascii="helvetica" w:hAnsi="helvetica"/>
                <w:sz w:val="20"/>
              </w:rPr>
            </w:pPr>
            <w:r>
              <w:rPr>
                <w:rFonts w:ascii="helvetica" w:hAnsi="helvetica"/>
                <w:sz w:val="20"/>
              </w:rPr>
              <w:t>Provision for income taxes</w:t>
            </w:r>
          </w:p>
        </w:tc>
        <w:tc>
          <w:tcPr>
            <w:tcW w:w="99" w:type="dxa"/>
            <w:tcBorders/>
            <w:shd w:fill="CCEEFF" w:val="clear"/>
            <w:vAlign w:val="bottom"/>
          </w:tcPr>
          <w:p>
            <w:pPr>
              <w:pStyle w:val="TableContents"/>
              <w:spacing w:before="0" w:after="283"/>
              <w:rPr/>
            </w:pPr>
            <w:r>
              <w:rPr/>
              <w:t> </w:t>
            </w:r>
          </w:p>
        </w:tc>
        <w:tc>
          <w:tcPr>
            <w:tcW w:w="145" w:type="dxa"/>
            <w:tcBorders>
              <w:bottom w:val="double" w:sz="8" w:space="0" w:color="000000"/>
            </w:tcBorders>
            <w:shd w:fill="CCEEFF" w:val="clear"/>
            <w:tcMar>
              <w:bottom w:w="28" w:type="dxa"/>
            </w:tcMar>
            <w:vAlign w:val="bottom"/>
          </w:tcPr>
          <w:p>
            <w:pPr>
              <w:pStyle w:val="TableContents"/>
              <w:spacing w:before="0" w:after="283"/>
              <w:jc w:val="left"/>
              <w:rPr>
                <w:rFonts w:ascii="helvetica" w:hAnsi="helvetica"/>
                <w:sz w:val="20"/>
              </w:rPr>
            </w:pPr>
            <w:r>
              <w:rPr>
                <w:rFonts w:ascii="helvetica" w:hAnsi="helvetica"/>
                <w:sz w:val="20"/>
              </w:rPr>
              <w:t>$</w:t>
            </w:r>
          </w:p>
        </w:tc>
        <w:tc>
          <w:tcPr>
            <w:tcW w:w="1085" w:type="dxa"/>
            <w:tcBorders>
              <w:bottom w:val="double" w:sz="8" w:space="0" w:color="000000"/>
            </w:tcBorders>
            <w:shd w:fill="CCEE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w:t>
            </w:r>
          </w:p>
        </w:tc>
        <w:tc>
          <w:tcPr>
            <w:tcW w:w="110" w:type="dxa"/>
            <w:tcBorders/>
            <w:shd w:fill="CCEEFF" w:val="clear"/>
            <w:vAlign w:val="bottom"/>
          </w:tcPr>
          <w:p>
            <w:pPr>
              <w:pStyle w:val="TableContents"/>
              <w:spacing w:before="0" w:after="283"/>
              <w:jc w:val="left"/>
              <w:rPr/>
            </w:pPr>
            <w:r>
              <w:rPr/>
              <w:t> </w:t>
            </w:r>
          </w:p>
        </w:tc>
        <w:tc>
          <w:tcPr>
            <w:tcW w:w="99" w:type="dxa"/>
            <w:tcBorders/>
            <w:shd w:fill="CCEEFF" w:val="clear"/>
            <w:vAlign w:val="bottom"/>
          </w:tcPr>
          <w:p>
            <w:pPr>
              <w:pStyle w:val="TableContents"/>
              <w:spacing w:before="0" w:after="283"/>
              <w:rPr/>
            </w:pPr>
            <w:r>
              <w:rPr/>
              <w:t> </w:t>
            </w:r>
          </w:p>
        </w:tc>
        <w:tc>
          <w:tcPr>
            <w:tcW w:w="136" w:type="dxa"/>
            <w:tcBorders>
              <w:bottom w:val="double" w:sz="8" w:space="0" w:color="000000"/>
            </w:tcBorders>
            <w:shd w:fill="CCEEFF" w:val="clear"/>
            <w:tcMar>
              <w:bottom w:w="28" w:type="dxa"/>
            </w:tcMar>
            <w:vAlign w:val="bottom"/>
          </w:tcPr>
          <w:p>
            <w:pPr>
              <w:pStyle w:val="TableContents"/>
              <w:spacing w:before="0" w:after="283"/>
              <w:jc w:val="left"/>
              <w:rPr>
                <w:rFonts w:ascii="helvetica" w:hAnsi="helvetica"/>
                <w:sz w:val="20"/>
              </w:rPr>
            </w:pPr>
            <w:r>
              <w:rPr>
                <w:rFonts w:ascii="helvetica" w:hAnsi="helvetica"/>
                <w:sz w:val="20"/>
              </w:rPr>
              <w:t>$</w:t>
            </w:r>
          </w:p>
        </w:tc>
        <w:tc>
          <w:tcPr>
            <w:tcW w:w="1093" w:type="dxa"/>
            <w:tcBorders>
              <w:bottom w:val="double" w:sz="8" w:space="0" w:color="000000"/>
            </w:tcBorders>
            <w:shd w:fill="CCEE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w:t>
            </w:r>
          </w:p>
        </w:tc>
        <w:tc>
          <w:tcPr>
            <w:tcW w:w="123" w:type="dxa"/>
            <w:tcBorders/>
            <w:shd w:fill="CCEEFF" w:val="clear"/>
            <w:vAlign w:val="bottom"/>
          </w:tcPr>
          <w:p>
            <w:pPr>
              <w:pStyle w:val="TableContents"/>
              <w:spacing w:before="0" w:after="283"/>
              <w:jc w:val="left"/>
              <w:rPr/>
            </w:pPr>
            <w:r>
              <w:rPr/>
              <w:t> </w:t>
            </w:r>
          </w:p>
        </w:tc>
      </w:tr>
    </w:tbl>
    <w:p>
      <w:pPr>
        <w:pStyle w:val="TextBody"/>
        <w:spacing w:before="0" w:after="0"/>
        <w:ind w:left="0" w:right="0" w:hanging="0"/>
        <w:rPr/>
      </w:pPr>
      <w:r>
        <w:rPr/>
        <w:t> </w:t>
      </w:r>
    </w:p>
    <w:p>
      <w:pPr>
        <w:pStyle w:val="TextBody"/>
        <w:spacing w:before="0" w:after="0"/>
        <w:ind w:left="0" w:right="0" w:hanging="0"/>
        <w:rPr/>
      </w:pPr>
      <w:r>
        <w:rPr/>
        <w:t> </w:t>
      </w:r>
    </w:p>
    <w:p>
      <w:pPr>
        <w:pStyle w:val="TextBody"/>
        <w:spacing w:before="0" w:after="0"/>
        <w:ind w:left="0" w:right="0" w:hanging="0"/>
        <w:jc w:val="both"/>
        <w:rPr>
          <w:rFonts w:ascii="helvetica" w:hAnsi="helvetica"/>
          <w:sz w:val="20"/>
        </w:rPr>
      </w:pPr>
      <w:r>
        <w:rPr>
          <w:rFonts w:ascii="helvetica" w:hAnsi="helvetica"/>
          <w:sz w:val="20"/>
        </w:rPr>
        <w:t>At December 31, 2011 and 2010, the Company had deferred tax assets of $6,167,481 and $5,778,988, respectively.  Due to uncertainties surrounding the Company’s ability to generate future taxable income to realize these assets, a full valuation allowance has been established to offset the net deferred tax asset. Additionally, the future utilization of the Company’s net operating loss to offset future taxable income may be subject to an annual limitation, pursuant to Internal Revenue Code Section 382, as a result of ownership changes that may have occurred previously or that could occur in the future.  The Company has not performed a Section 382 analysis to determine the limitation of the net operating loss and research and development credit carry forwards.</w:t>
      </w:r>
    </w:p>
    <w:p>
      <w:pPr>
        <w:pStyle w:val="TextBody"/>
        <w:spacing w:before="0" w:after="0"/>
        <w:ind w:left="0" w:right="0" w:hanging="0"/>
        <w:rPr/>
      </w:pPr>
      <w:r>
        <w:rPr/>
        <w:t> </w:t>
      </w:r>
    </w:p>
    <w:p>
      <w:pPr>
        <w:pStyle w:val="TextBody"/>
        <w:spacing w:before="0" w:after="0"/>
        <w:ind w:left="0" w:right="0" w:hanging="0"/>
        <w:jc w:val="both"/>
        <w:rPr>
          <w:rFonts w:ascii="helvetica" w:hAnsi="helvetica"/>
          <w:sz w:val="20"/>
        </w:rPr>
      </w:pPr>
      <w:r>
        <w:rPr>
          <w:rFonts w:ascii="helvetica" w:hAnsi="helvetica"/>
          <w:sz w:val="20"/>
        </w:rPr>
        <w:t>Significant components of the company’s deferred tax assets are as follows:</w:t>
      </w:r>
    </w:p>
    <w:p>
      <w:pPr>
        <w:pStyle w:val="TextBody"/>
        <w:spacing w:before="0" w:after="0"/>
        <w:ind w:left="0" w:right="0" w:hanging="0"/>
        <w:rPr/>
      </w:pPr>
      <w:r>
        <w:rPr/>
        <w:t> </w:t>
      </w:r>
    </w:p>
    <w:tbl>
      <w:tblPr>
        <w:tblW w:w="4250" w:type="pct"/>
        <w:jc w:val="left"/>
        <w:tblInd w:w="0" w:type="dxa"/>
        <w:tblCellMar>
          <w:top w:w="0" w:type="dxa"/>
          <w:left w:w="0" w:type="dxa"/>
          <w:bottom w:w="0" w:type="dxa"/>
          <w:right w:w="0" w:type="dxa"/>
        </w:tblCellMar>
      </w:tblPr>
      <w:tblGrid>
        <w:gridCol w:w="5309"/>
        <w:gridCol w:w="102"/>
        <w:gridCol w:w="154"/>
        <w:gridCol w:w="1237"/>
        <w:gridCol w:w="118"/>
        <w:gridCol w:w="102"/>
        <w:gridCol w:w="154"/>
        <w:gridCol w:w="1237"/>
        <w:gridCol w:w="261"/>
      </w:tblGrid>
      <w:tr>
        <w:trPr/>
        <w:tc>
          <w:tcPr>
            <w:tcW w:w="5309" w:type="dxa"/>
            <w:tcBorders/>
            <w:shd w:fill="auto" w:val="clear"/>
            <w:vAlign w:val="bottom"/>
          </w:tcPr>
          <w:p>
            <w:pPr>
              <w:pStyle w:val="TableContents"/>
              <w:spacing w:before="0" w:after="283"/>
              <w:rPr/>
            </w:pPr>
            <w:r>
              <w:rPr/>
              <w:t xml:space="preserve">  </w:t>
            </w:r>
          </w:p>
        </w:tc>
        <w:tc>
          <w:tcPr>
            <w:tcW w:w="102" w:type="dxa"/>
            <w:tcBorders/>
            <w:shd w:fill="auto" w:val="clear"/>
            <w:vAlign w:val="bottom"/>
          </w:tcPr>
          <w:p>
            <w:pPr>
              <w:pStyle w:val="TableContents"/>
              <w:spacing w:before="0" w:after="283"/>
              <w:jc w:val="center"/>
              <w:rPr/>
            </w:pPr>
            <w:r>
              <w:rPr/>
              <w:t> </w:t>
            </w:r>
          </w:p>
        </w:tc>
        <w:tc>
          <w:tcPr>
            <w:tcW w:w="1391" w:type="dxa"/>
            <w:gridSpan w:val="2"/>
            <w:tcBorders/>
            <w:shd w:fill="auto" w:val="clear"/>
            <w:vAlign w:val="bottom"/>
          </w:tcPr>
          <w:p>
            <w:pPr>
              <w:pStyle w:val="TableContents"/>
              <w:spacing w:before="0" w:after="0"/>
              <w:ind w:left="0" w:right="0" w:hanging="0"/>
              <w:jc w:val="center"/>
              <w:rPr>
                <w:rFonts w:ascii="helvetica" w:hAnsi="helvetica"/>
                <w:b/>
                <w:sz w:val="16"/>
              </w:rPr>
            </w:pPr>
            <w:r>
              <w:rPr>
                <w:rFonts w:ascii="helvetica" w:hAnsi="helvetica"/>
                <w:b/>
                <w:sz w:val="16"/>
              </w:rPr>
              <w:t>December 31,</w:t>
            </w:r>
          </w:p>
        </w:tc>
        <w:tc>
          <w:tcPr>
            <w:tcW w:w="118" w:type="dxa"/>
            <w:tcBorders/>
            <w:shd w:fill="auto" w:val="clear"/>
            <w:vAlign w:val="bottom"/>
          </w:tcPr>
          <w:p>
            <w:pPr>
              <w:pStyle w:val="TableContents"/>
              <w:spacing w:before="0" w:after="283"/>
              <w:jc w:val="center"/>
              <w:rPr/>
            </w:pPr>
            <w:r>
              <w:rPr/>
              <w:t> </w:t>
            </w:r>
          </w:p>
        </w:tc>
        <w:tc>
          <w:tcPr>
            <w:tcW w:w="102" w:type="dxa"/>
            <w:tcBorders/>
            <w:shd w:fill="auto" w:val="clear"/>
            <w:vAlign w:val="bottom"/>
          </w:tcPr>
          <w:p>
            <w:pPr>
              <w:pStyle w:val="TableContents"/>
              <w:spacing w:before="0" w:after="283"/>
              <w:jc w:val="center"/>
              <w:rPr/>
            </w:pPr>
            <w:r>
              <w:rPr/>
              <w:t> </w:t>
            </w:r>
          </w:p>
        </w:tc>
        <w:tc>
          <w:tcPr>
            <w:tcW w:w="1391" w:type="dxa"/>
            <w:gridSpan w:val="2"/>
            <w:tcBorders/>
            <w:shd w:fill="auto" w:val="clear"/>
            <w:vAlign w:val="bottom"/>
          </w:tcPr>
          <w:p>
            <w:pPr>
              <w:pStyle w:val="TableContents"/>
              <w:spacing w:before="0" w:after="0"/>
              <w:ind w:left="0" w:right="0" w:hanging="0"/>
              <w:jc w:val="center"/>
              <w:rPr>
                <w:rFonts w:ascii="helvetica" w:hAnsi="helvetica"/>
                <w:b/>
                <w:sz w:val="16"/>
              </w:rPr>
            </w:pPr>
            <w:r>
              <w:rPr>
                <w:rFonts w:ascii="helvetica" w:hAnsi="helvetica"/>
                <w:b/>
                <w:sz w:val="16"/>
              </w:rPr>
              <w:t>December 31,</w:t>
            </w:r>
          </w:p>
        </w:tc>
        <w:tc>
          <w:tcPr>
            <w:tcW w:w="261" w:type="dxa"/>
            <w:tcBorders/>
            <w:shd w:fill="auto" w:val="clear"/>
            <w:vAlign w:val="bottom"/>
          </w:tcPr>
          <w:p>
            <w:pPr>
              <w:pStyle w:val="TableContents"/>
              <w:spacing w:before="0" w:after="283"/>
              <w:jc w:val="center"/>
              <w:rPr/>
            </w:pPr>
            <w:r>
              <w:rPr/>
              <w:t> </w:t>
            </w:r>
          </w:p>
        </w:tc>
      </w:tr>
      <w:tr>
        <w:trPr/>
        <w:tc>
          <w:tcPr>
            <w:tcW w:w="5309" w:type="dxa"/>
            <w:tcBorders/>
            <w:shd w:fill="auto" w:val="clear"/>
            <w:vAlign w:val="bottom"/>
          </w:tcPr>
          <w:p>
            <w:pPr>
              <w:pStyle w:val="TableContents"/>
              <w:spacing w:before="0" w:after="283"/>
              <w:jc w:val="center"/>
              <w:rPr/>
            </w:pPr>
            <w:r>
              <w:rPr/>
              <w:t xml:space="preserve">  </w:t>
            </w:r>
          </w:p>
        </w:tc>
        <w:tc>
          <w:tcPr>
            <w:tcW w:w="102" w:type="dxa"/>
            <w:tcBorders/>
            <w:shd w:fill="auto" w:val="clear"/>
            <w:vAlign w:val="bottom"/>
          </w:tcPr>
          <w:p>
            <w:pPr>
              <w:pStyle w:val="TableContents"/>
              <w:spacing w:before="0" w:after="283"/>
              <w:jc w:val="center"/>
              <w:rPr/>
            </w:pPr>
            <w:r>
              <w:rPr/>
              <w:t> </w:t>
            </w:r>
          </w:p>
        </w:tc>
        <w:tc>
          <w:tcPr>
            <w:tcW w:w="1391"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helvetica" w:hAnsi="helvetica"/>
                <w:b/>
                <w:sz w:val="16"/>
              </w:rPr>
            </w:pPr>
            <w:r>
              <w:rPr>
                <w:rFonts w:ascii="helvetica" w:hAnsi="helvetica"/>
                <w:b/>
                <w:sz w:val="16"/>
              </w:rPr>
              <w:t>2011</w:t>
            </w:r>
          </w:p>
        </w:tc>
        <w:tc>
          <w:tcPr>
            <w:tcW w:w="118" w:type="dxa"/>
            <w:tcBorders/>
            <w:shd w:fill="auto" w:val="clear"/>
            <w:vAlign w:val="bottom"/>
          </w:tcPr>
          <w:p>
            <w:pPr>
              <w:pStyle w:val="TableContents"/>
              <w:spacing w:before="0" w:after="283"/>
              <w:jc w:val="center"/>
              <w:rPr/>
            </w:pPr>
            <w:r>
              <w:rPr/>
              <w:t> </w:t>
            </w:r>
          </w:p>
        </w:tc>
        <w:tc>
          <w:tcPr>
            <w:tcW w:w="102" w:type="dxa"/>
            <w:tcBorders/>
            <w:shd w:fill="auto" w:val="clear"/>
            <w:vAlign w:val="bottom"/>
          </w:tcPr>
          <w:p>
            <w:pPr>
              <w:pStyle w:val="TableContents"/>
              <w:spacing w:before="0" w:after="283"/>
              <w:jc w:val="center"/>
              <w:rPr/>
            </w:pPr>
            <w:r>
              <w:rPr/>
              <w:t> </w:t>
            </w:r>
          </w:p>
        </w:tc>
        <w:tc>
          <w:tcPr>
            <w:tcW w:w="1391"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helvetica" w:hAnsi="helvetica"/>
                <w:b/>
                <w:sz w:val="16"/>
              </w:rPr>
            </w:pPr>
            <w:r>
              <w:rPr>
                <w:rFonts w:ascii="helvetica" w:hAnsi="helvetica"/>
                <w:b/>
                <w:sz w:val="16"/>
              </w:rPr>
              <w:t>2010</w:t>
            </w:r>
          </w:p>
        </w:tc>
        <w:tc>
          <w:tcPr>
            <w:tcW w:w="261" w:type="dxa"/>
            <w:tcBorders/>
            <w:shd w:fill="auto" w:val="clear"/>
            <w:vAlign w:val="bottom"/>
          </w:tcPr>
          <w:p>
            <w:pPr>
              <w:pStyle w:val="TableContents"/>
              <w:spacing w:before="0" w:after="283"/>
              <w:jc w:val="left"/>
              <w:rPr/>
            </w:pPr>
            <w:r>
              <w:rPr/>
              <w:t> </w:t>
            </w:r>
          </w:p>
        </w:tc>
      </w:tr>
      <w:tr>
        <w:trPr/>
        <w:tc>
          <w:tcPr>
            <w:tcW w:w="5309" w:type="dxa"/>
            <w:tcBorders/>
            <w:shd w:fill="auto" w:val="clear"/>
            <w:vAlign w:val="bottom"/>
          </w:tcPr>
          <w:p>
            <w:pPr>
              <w:pStyle w:val="TableContents"/>
              <w:spacing w:before="0" w:after="0"/>
              <w:ind w:left="0" w:right="0" w:hanging="0"/>
              <w:jc w:val="both"/>
              <w:rPr>
                <w:rFonts w:ascii="helvetica" w:hAnsi="helvetica"/>
                <w:sz w:val="20"/>
              </w:rPr>
            </w:pPr>
            <w:r>
              <w:rPr>
                <w:rFonts w:ascii="helvetica" w:hAnsi="helvetica"/>
                <w:sz w:val="20"/>
              </w:rPr>
              <w:t>Deferred tax assets</w:t>
            </w:r>
          </w:p>
        </w:tc>
        <w:tc>
          <w:tcPr>
            <w:tcW w:w="102" w:type="dxa"/>
            <w:tcBorders/>
            <w:shd w:fill="auto" w:val="clear"/>
            <w:vAlign w:val="bottom"/>
          </w:tcPr>
          <w:p>
            <w:pPr>
              <w:pStyle w:val="TableContents"/>
              <w:spacing w:before="0" w:after="283"/>
              <w:rPr/>
            </w:pPr>
            <w:r>
              <w:rPr/>
              <w:t> </w:t>
            </w:r>
          </w:p>
        </w:tc>
        <w:tc>
          <w:tcPr>
            <w:tcW w:w="1391" w:type="dxa"/>
            <w:gridSpan w:val="2"/>
            <w:tcBorders/>
            <w:shd w:fill="auto" w:val="clear"/>
            <w:vAlign w:val="bottom"/>
          </w:tcPr>
          <w:p>
            <w:pPr>
              <w:pStyle w:val="TableContents"/>
              <w:spacing w:before="0" w:after="283"/>
              <w:rPr/>
            </w:pPr>
            <w:r>
              <w:rPr/>
              <w:t> </w:t>
            </w:r>
          </w:p>
        </w:tc>
        <w:tc>
          <w:tcPr>
            <w:tcW w:w="118" w:type="dxa"/>
            <w:tcBorders/>
            <w:shd w:fill="auto" w:val="clear"/>
            <w:vAlign w:val="bottom"/>
          </w:tcPr>
          <w:p>
            <w:pPr>
              <w:pStyle w:val="TableContents"/>
              <w:spacing w:before="0" w:after="283"/>
              <w:jc w:val="left"/>
              <w:rPr/>
            </w:pPr>
            <w:r>
              <w:rPr/>
              <w:t> </w:t>
            </w:r>
          </w:p>
        </w:tc>
        <w:tc>
          <w:tcPr>
            <w:tcW w:w="102" w:type="dxa"/>
            <w:tcBorders/>
            <w:shd w:fill="auto" w:val="clear"/>
            <w:vAlign w:val="bottom"/>
          </w:tcPr>
          <w:p>
            <w:pPr>
              <w:pStyle w:val="TableContents"/>
              <w:spacing w:before="0" w:after="283"/>
              <w:rPr/>
            </w:pPr>
            <w:r>
              <w:rPr/>
              <w:t> </w:t>
            </w:r>
          </w:p>
        </w:tc>
        <w:tc>
          <w:tcPr>
            <w:tcW w:w="1391" w:type="dxa"/>
            <w:gridSpan w:val="2"/>
            <w:tcBorders/>
            <w:shd w:fill="auto" w:val="clear"/>
            <w:vAlign w:val="bottom"/>
          </w:tcPr>
          <w:p>
            <w:pPr>
              <w:pStyle w:val="TableContents"/>
              <w:spacing w:before="0" w:after="283"/>
              <w:rPr/>
            </w:pPr>
            <w:r>
              <w:rPr/>
              <w:t> </w:t>
            </w:r>
          </w:p>
        </w:tc>
        <w:tc>
          <w:tcPr>
            <w:tcW w:w="261" w:type="dxa"/>
            <w:tcBorders/>
            <w:shd w:fill="auto" w:val="clear"/>
            <w:vAlign w:val="bottom"/>
          </w:tcPr>
          <w:p>
            <w:pPr>
              <w:pStyle w:val="TableContents"/>
              <w:spacing w:before="0" w:after="283"/>
              <w:ind w:left="0" w:right="0" w:firstLine="180"/>
              <w:jc w:val="left"/>
              <w:rPr/>
            </w:pPr>
            <w:r>
              <w:rPr/>
              <w:t> </w:t>
            </w:r>
          </w:p>
        </w:tc>
      </w:tr>
      <w:tr>
        <w:trPr/>
        <w:tc>
          <w:tcPr>
            <w:tcW w:w="5309" w:type="dxa"/>
            <w:tcBorders/>
            <w:shd w:fill="CCEEFF" w:val="clear"/>
            <w:vAlign w:val="bottom"/>
          </w:tcPr>
          <w:p>
            <w:pPr>
              <w:pStyle w:val="TableContents"/>
              <w:spacing w:before="0" w:after="0"/>
              <w:ind w:left="0" w:right="0" w:firstLine="180"/>
              <w:jc w:val="both"/>
              <w:rPr>
                <w:rFonts w:ascii="helvetica" w:hAnsi="helvetica"/>
                <w:sz w:val="20"/>
              </w:rPr>
            </w:pPr>
            <w:r>
              <w:rPr>
                <w:rFonts w:ascii="helvetica" w:hAnsi="helvetica"/>
                <w:sz w:val="20"/>
              </w:rPr>
              <w:t>Federal and state net operating loss carryforwards</w:t>
            </w:r>
          </w:p>
        </w:tc>
        <w:tc>
          <w:tcPr>
            <w:tcW w:w="102" w:type="dxa"/>
            <w:tcBorders/>
            <w:shd w:fill="CCEEFF" w:val="clear"/>
            <w:vAlign w:val="bottom"/>
          </w:tcPr>
          <w:p>
            <w:pPr>
              <w:pStyle w:val="TableContents"/>
              <w:spacing w:before="0" w:after="283"/>
              <w:rPr/>
            </w:pPr>
            <w:r>
              <w:rPr/>
              <w:t> </w:t>
            </w:r>
          </w:p>
        </w:tc>
        <w:tc>
          <w:tcPr>
            <w:tcW w:w="154" w:type="dxa"/>
            <w:tcBorders/>
            <w:shd w:fill="CCEEFF" w:val="clear"/>
            <w:vAlign w:val="bottom"/>
          </w:tcPr>
          <w:p>
            <w:pPr>
              <w:pStyle w:val="TableContents"/>
              <w:spacing w:before="0" w:after="283"/>
              <w:jc w:val="left"/>
              <w:rPr>
                <w:rFonts w:ascii="helvetica" w:hAnsi="helvetica"/>
                <w:sz w:val="20"/>
              </w:rPr>
            </w:pPr>
            <w:r>
              <w:rPr>
                <w:rFonts w:ascii="helvetica" w:hAnsi="helvetica"/>
                <w:sz w:val="20"/>
              </w:rPr>
              <w:t>$</w:t>
            </w:r>
          </w:p>
        </w:tc>
        <w:tc>
          <w:tcPr>
            <w:tcW w:w="1237"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4,886,429</w:t>
            </w:r>
          </w:p>
        </w:tc>
        <w:tc>
          <w:tcPr>
            <w:tcW w:w="118" w:type="dxa"/>
            <w:tcBorders/>
            <w:shd w:fill="CCEEFF" w:val="clear"/>
            <w:vAlign w:val="bottom"/>
          </w:tcPr>
          <w:p>
            <w:pPr>
              <w:pStyle w:val="TableContents"/>
              <w:spacing w:before="0" w:after="283"/>
              <w:jc w:val="left"/>
              <w:rPr/>
            </w:pPr>
            <w:r>
              <w:rPr/>
              <w:t> </w:t>
            </w:r>
          </w:p>
        </w:tc>
        <w:tc>
          <w:tcPr>
            <w:tcW w:w="102" w:type="dxa"/>
            <w:tcBorders/>
            <w:shd w:fill="CCEEFF" w:val="clear"/>
            <w:vAlign w:val="bottom"/>
          </w:tcPr>
          <w:p>
            <w:pPr>
              <w:pStyle w:val="TableContents"/>
              <w:spacing w:before="0" w:after="283"/>
              <w:rPr/>
            </w:pPr>
            <w:r>
              <w:rPr/>
              <w:t> </w:t>
            </w:r>
          </w:p>
        </w:tc>
        <w:tc>
          <w:tcPr>
            <w:tcW w:w="154" w:type="dxa"/>
            <w:tcBorders/>
            <w:shd w:fill="CCEEFF" w:val="clear"/>
            <w:vAlign w:val="bottom"/>
          </w:tcPr>
          <w:p>
            <w:pPr>
              <w:pStyle w:val="TableContents"/>
              <w:spacing w:before="0" w:after="283"/>
              <w:jc w:val="left"/>
              <w:rPr>
                <w:rFonts w:ascii="helvetica" w:hAnsi="helvetica"/>
                <w:sz w:val="20"/>
              </w:rPr>
            </w:pPr>
            <w:r>
              <w:rPr>
                <w:rFonts w:ascii="helvetica" w:hAnsi="helvetica"/>
                <w:sz w:val="20"/>
              </w:rPr>
              <w:t>$</w:t>
            </w:r>
          </w:p>
        </w:tc>
        <w:tc>
          <w:tcPr>
            <w:tcW w:w="1237"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4,565,466</w:t>
            </w:r>
          </w:p>
        </w:tc>
        <w:tc>
          <w:tcPr>
            <w:tcW w:w="261" w:type="dxa"/>
            <w:tcBorders/>
            <w:shd w:fill="CCEEFF" w:val="clear"/>
            <w:vAlign w:val="bottom"/>
          </w:tcPr>
          <w:p>
            <w:pPr>
              <w:pStyle w:val="TableContents"/>
              <w:spacing w:before="0" w:after="283"/>
              <w:ind w:left="0" w:right="0" w:firstLine="180"/>
              <w:jc w:val="left"/>
              <w:rPr/>
            </w:pPr>
            <w:r>
              <w:rPr/>
              <w:t> </w:t>
            </w:r>
          </w:p>
        </w:tc>
      </w:tr>
      <w:tr>
        <w:trPr/>
        <w:tc>
          <w:tcPr>
            <w:tcW w:w="5309" w:type="dxa"/>
            <w:tcBorders/>
            <w:shd w:fill="FFFFFF" w:val="clear"/>
            <w:vAlign w:val="bottom"/>
          </w:tcPr>
          <w:p>
            <w:pPr>
              <w:pStyle w:val="TableContents"/>
              <w:spacing w:before="0" w:after="0"/>
              <w:ind w:left="0" w:right="0" w:firstLine="180"/>
              <w:jc w:val="both"/>
              <w:rPr>
                <w:rFonts w:ascii="helvetica" w:hAnsi="helvetica"/>
                <w:sz w:val="20"/>
              </w:rPr>
            </w:pPr>
            <w:r>
              <w:rPr>
                <w:rFonts w:ascii="helvetica" w:hAnsi="helvetica"/>
                <w:sz w:val="20"/>
              </w:rPr>
              <w:t>Stock-based compensation</w:t>
            </w:r>
          </w:p>
        </w:tc>
        <w:tc>
          <w:tcPr>
            <w:tcW w:w="102" w:type="dxa"/>
            <w:tcBorders/>
            <w:shd w:fill="FFFFFF" w:val="clear"/>
            <w:vAlign w:val="bottom"/>
          </w:tcPr>
          <w:p>
            <w:pPr>
              <w:pStyle w:val="TableContents"/>
              <w:spacing w:before="0" w:after="283"/>
              <w:rPr/>
            </w:pPr>
            <w:r>
              <w:rPr/>
              <w:t> </w:t>
            </w:r>
          </w:p>
        </w:tc>
        <w:tc>
          <w:tcPr>
            <w:tcW w:w="154" w:type="dxa"/>
            <w:tcBorders/>
            <w:shd w:fill="FFFFFF" w:val="clear"/>
            <w:vAlign w:val="bottom"/>
          </w:tcPr>
          <w:p>
            <w:pPr>
              <w:pStyle w:val="TableContents"/>
              <w:spacing w:before="0" w:after="283"/>
              <w:jc w:val="left"/>
              <w:rPr/>
            </w:pPr>
            <w:r>
              <w:rPr/>
              <w:t> </w:t>
            </w:r>
          </w:p>
        </w:tc>
        <w:tc>
          <w:tcPr>
            <w:tcW w:w="1237"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743,789</w:t>
            </w:r>
          </w:p>
        </w:tc>
        <w:tc>
          <w:tcPr>
            <w:tcW w:w="118" w:type="dxa"/>
            <w:tcBorders/>
            <w:shd w:fill="FFFFFF" w:val="clear"/>
            <w:vAlign w:val="bottom"/>
          </w:tcPr>
          <w:p>
            <w:pPr>
              <w:pStyle w:val="TableContents"/>
              <w:spacing w:before="0" w:after="283"/>
              <w:jc w:val="left"/>
              <w:rPr/>
            </w:pPr>
            <w:r>
              <w:rPr/>
              <w:t> </w:t>
            </w:r>
          </w:p>
        </w:tc>
        <w:tc>
          <w:tcPr>
            <w:tcW w:w="102" w:type="dxa"/>
            <w:tcBorders/>
            <w:shd w:fill="FFFFFF" w:val="clear"/>
            <w:vAlign w:val="bottom"/>
          </w:tcPr>
          <w:p>
            <w:pPr>
              <w:pStyle w:val="TableContents"/>
              <w:spacing w:before="0" w:after="283"/>
              <w:rPr/>
            </w:pPr>
            <w:r>
              <w:rPr/>
              <w:t> </w:t>
            </w:r>
          </w:p>
        </w:tc>
        <w:tc>
          <w:tcPr>
            <w:tcW w:w="154" w:type="dxa"/>
            <w:tcBorders/>
            <w:shd w:fill="FFFFFF" w:val="clear"/>
            <w:vAlign w:val="bottom"/>
          </w:tcPr>
          <w:p>
            <w:pPr>
              <w:pStyle w:val="TableContents"/>
              <w:spacing w:before="0" w:after="283"/>
              <w:jc w:val="left"/>
              <w:rPr/>
            </w:pPr>
            <w:r>
              <w:rPr/>
              <w:t> </w:t>
            </w:r>
          </w:p>
        </w:tc>
        <w:tc>
          <w:tcPr>
            <w:tcW w:w="1237"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671,940</w:t>
            </w:r>
          </w:p>
        </w:tc>
        <w:tc>
          <w:tcPr>
            <w:tcW w:w="261" w:type="dxa"/>
            <w:tcBorders/>
            <w:shd w:fill="FFFFFF" w:val="clear"/>
            <w:vAlign w:val="bottom"/>
          </w:tcPr>
          <w:p>
            <w:pPr>
              <w:pStyle w:val="TableContents"/>
              <w:spacing w:before="0" w:after="283"/>
              <w:ind w:left="0" w:right="0" w:firstLine="180"/>
              <w:jc w:val="left"/>
              <w:rPr/>
            </w:pPr>
            <w:r>
              <w:rPr/>
              <w:t> </w:t>
            </w:r>
          </w:p>
        </w:tc>
      </w:tr>
      <w:tr>
        <w:trPr/>
        <w:tc>
          <w:tcPr>
            <w:tcW w:w="5309" w:type="dxa"/>
            <w:tcBorders/>
            <w:shd w:fill="CCEEFF" w:val="clear"/>
            <w:vAlign w:val="bottom"/>
          </w:tcPr>
          <w:p>
            <w:pPr>
              <w:pStyle w:val="TableContents"/>
              <w:spacing w:before="0" w:after="0"/>
              <w:ind w:left="0" w:right="0" w:firstLine="180"/>
              <w:jc w:val="both"/>
              <w:rPr>
                <w:rFonts w:ascii="helvetica" w:hAnsi="helvetica"/>
                <w:sz w:val="20"/>
              </w:rPr>
            </w:pPr>
            <w:r>
              <w:rPr>
                <w:rFonts w:ascii="helvetica" w:hAnsi="helvetica"/>
                <w:sz w:val="20"/>
              </w:rPr>
              <w:t>Tax credits</w:t>
            </w:r>
          </w:p>
        </w:tc>
        <w:tc>
          <w:tcPr>
            <w:tcW w:w="102" w:type="dxa"/>
            <w:tcBorders/>
            <w:shd w:fill="CCEEFF" w:val="clear"/>
            <w:vAlign w:val="bottom"/>
          </w:tcPr>
          <w:p>
            <w:pPr>
              <w:pStyle w:val="TableContents"/>
              <w:spacing w:before="0" w:after="283"/>
              <w:rPr/>
            </w:pPr>
            <w:r>
              <w:rPr/>
              <w:t> </w:t>
            </w:r>
          </w:p>
        </w:tc>
        <w:tc>
          <w:tcPr>
            <w:tcW w:w="154" w:type="dxa"/>
            <w:tcBorders/>
            <w:shd w:fill="CCEEFF" w:val="clear"/>
            <w:vAlign w:val="bottom"/>
          </w:tcPr>
          <w:p>
            <w:pPr>
              <w:pStyle w:val="TableContents"/>
              <w:spacing w:before="0" w:after="283"/>
              <w:jc w:val="left"/>
              <w:rPr/>
            </w:pPr>
            <w:r>
              <w:rPr/>
              <w:t> </w:t>
            </w:r>
          </w:p>
        </w:tc>
        <w:tc>
          <w:tcPr>
            <w:tcW w:w="1237"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532,278</w:t>
            </w:r>
          </w:p>
        </w:tc>
        <w:tc>
          <w:tcPr>
            <w:tcW w:w="118" w:type="dxa"/>
            <w:tcBorders/>
            <w:shd w:fill="CCEEFF" w:val="clear"/>
            <w:vAlign w:val="bottom"/>
          </w:tcPr>
          <w:p>
            <w:pPr>
              <w:pStyle w:val="TableContents"/>
              <w:spacing w:before="0" w:after="283"/>
              <w:jc w:val="left"/>
              <w:rPr/>
            </w:pPr>
            <w:r>
              <w:rPr/>
              <w:t> </w:t>
            </w:r>
          </w:p>
        </w:tc>
        <w:tc>
          <w:tcPr>
            <w:tcW w:w="102" w:type="dxa"/>
            <w:tcBorders/>
            <w:shd w:fill="CCEEFF" w:val="clear"/>
            <w:vAlign w:val="bottom"/>
          </w:tcPr>
          <w:p>
            <w:pPr>
              <w:pStyle w:val="TableContents"/>
              <w:spacing w:before="0" w:after="283"/>
              <w:rPr/>
            </w:pPr>
            <w:r>
              <w:rPr/>
              <w:t> </w:t>
            </w:r>
          </w:p>
        </w:tc>
        <w:tc>
          <w:tcPr>
            <w:tcW w:w="154" w:type="dxa"/>
            <w:tcBorders/>
            <w:shd w:fill="CCEEFF" w:val="clear"/>
            <w:vAlign w:val="bottom"/>
          </w:tcPr>
          <w:p>
            <w:pPr>
              <w:pStyle w:val="TableContents"/>
              <w:spacing w:before="0" w:after="283"/>
              <w:jc w:val="left"/>
              <w:rPr/>
            </w:pPr>
            <w:r>
              <w:rPr/>
              <w:t> </w:t>
            </w:r>
          </w:p>
        </w:tc>
        <w:tc>
          <w:tcPr>
            <w:tcW w:w="1237"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522,155</w:t>
            </w:r>
          </w:p>
        </w:tc>
        <w:tc>
          <w:tcPr>
            <w:tcW w:w="261" w:type="dxa"/>
            <w:tcBorders/>
            <w:shd w:fill="CCEEFF" w:val="clear"/>
            <w:vAlign w:val="bottom"/>
          </w:tcPr>
          <w:p>
            <w:pPr>
              <w:pStyle w:val="TableContents"/>
              <w:spacing w:before="0" w:after="283"/>
              <w:ind w:left="0" w:right="0" w:firstLine="180"/>
              <w:jc w:val="left"/>
              <w:rPr/>
            </w:pPr>
            <w:r>
              <w:rPr/>
              <w:t> </w:t>
            </w:r>
          </w:p>
        </w:tc>
      </w:tr>
      <w:tr>
        <w:trPr/>
        <w:tc>
          <w:tcPr>
            <w:tcW w:w="5309" w:type="dxa"/>
            <w:tcBorders/>
            <w:shd w:fill="FFFFFF" w:val="clear"/>
            <w:vAlign w:val="bottom"/>
          </w:tcPr>
          <w:p>
            <w:pPr>
              <w:pStyle w:val="TableContents"/>
              <w:spacing w:before="0" w:after="0"/>
              <w:ind w:left="0" w:right="0" w:firstLine="180"/>
              <w:jc w:val="both"/>
              <w:rPr>
                <w:rFonts w:ascii="helvetica" w:hAnsi="helvetica"/>
                <w:sz w:val="20"/>
              </w:rPr>
            </w:pPr>
            <w:r>
              <w:rPr>
                <w:rFonts w:ascii="helvetica" w:hAnsi="helvetica"/>
                <w:sz w:val="20"/>
              </w:rPr>
              <w:t>Other</w:t>
            </w:r>
          </w:p>
        </w:tc>
        <w:tc>
          <w:tcPr>
            <w:tcW w:w="102" w:type="dxa"/>
            <w:tcBorders/>
            <w:shd w:fill="FFFFFF" w:val="clear"/>
            <w:vAlign w:val="bottom"/>
          </w:tcPr>
          <w:p>
            <w:pPr>
              <w:pStyle w:val="TableContents"/>
              <w:spacing w:before="0" w:after="283"/>
              <w:rPr/>
            </w:pPr>
            <w:r>
              <w:rPr/>
              <w:t> </w:t>
            </w:r>
          </w:p>
        </w:tc>
        <w:tc>
          <w:tcPr>
            <w:tcW w:w="154"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237" w:type="dxa"/>
            <w:tcBorders>
              <w:bottom w:val="single" w:sz="12" w:space="0" w:color="000000"/>
            </w:tcBorders>
            <w:shd w:fill="FFFF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4,985</w:t>
            </w:r>
          </w:p>
        </w:tc>
        <w:tc>
          <w:tcPr>
            <w:tcW w:w="118" w:type="dxa"/>
            <w:tcBorders/>
            <w:shd w:fill="FFFFFF" w:val="clear"/>
            <w:vAlign w:val="bottom"/>
          </w:tcPr>
          <w:p>
            <w:pPr>
              <w:pStyle w:val="TableContents"/>
              <w:spacing w:before="0" w:after="283"/>
              <w:jc w:val="left"/>
              <w:rPr/>
            </w:pPr>
            <w:r>
              <w:rPr/>
              <w:t> </w:t>
            </w:r>
          </w:p>
        </w:tc>
        <w:tc>
          <w:tcPr>
            <w:tcW w:w="102" w:type="dxa"/>
            <w:tcBorders/>
            <w:shd w:fill="FFFFFF" w:val="clear"/>
            <w:vAlign w:val="bottom"/>
          </w:tcPr>
          <w:p>
            <w:pPr>
              <w:pStyle w:val="TableContents"/>
              <w:spacing w:before="0" w:after="283"/>
              <w:rPr/>
            </w:pPr>
            <w:r>
              <w:rPr/>
              <w:t> </w:t>
            </w:r>
          </w:p>
        </w:tc>
        <w:tc>
          <w:tcPr>
            <w:tcW w:w="154"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237" w:type="dxa"/>
            <w:tcBorders>
              <w:bottom w:val="single" w:sz="12" w:space="0" w:color="000000"/>
            </w:tcBorders>
            <w:shd w:fill="FFFF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19,427</w:t>
            </w:r>
          </w:p>
        </w:tc>
        <w:tc>
          <w:tcPr>
            <w:tcW w:w="261" w:type="dxa"/>
            <w:tcBorders/>
            <w:shd w:fill="FFFFFF" w:val="clear"/>
            <w:vAlign w:val="bottom"/>
          </w:tcPr>
          <w:p>
            <w:pPr>
              <w:pStyle w:val="TableContents"/>
              <w:spacing w:before="0" w:after="283"/>
              <w:jc w:val="left"/>
              <w:rPr/>
            </w:pPr>
            <w:r>
              <w:rPr/>
              <w:t> </w:t>
            </w:r>
          </w:p>
        </w:tc>
      </w:tr>
      <w:tr>
        <w:trPr/>
        <w:tc>
          <w:tcPr>
            <w:tcW w:w="5309" w:type="dxa"/>
            <w:tcBorders/>
            <w:shd w:fill="CCEEFF" w:val="clear"/>
            <w:vAlign w:val="bottom"/>
          </w:tcPr>
          <w:p>
            <w:pPr>
              <w:pStyle w:val="TableContents"/>
              <w:spacing w:before="0" w:after="0"/>
              <w:ind w:left="0" w:right="0" w:hanging="0"/>
              <w:jc w:val="both"/>
              <w:rPr>
                <w:rFonts w:ascii="helvetica" w:hAnsi="helvetica"/>
                <w:sz w:val="20"/>
              </w:rPr>
            </w:pPr>
            <w:r>
              <w:rPr>
                <w:rFonts w:ascii="helvetica" w:hAnsi="helvetica"/>
                <w:sz w:val="20"/>
              </w:rPr>
              <w:t>Total deferred tax assets</w:t>
            </w:r>
          </w:p>
        </w:tc>
        <w:tc>
          <w:tcPr>
            <w:tcW w:w="102" w:type="dxa"/>
            <w:tcBorders/>
            <w:shd w:fill="CCEEFF" w:val="clear"/>
            <w:vAlign w:val="bottom"/>
          </w:tcPr>
          <w:p>
            <w:pPr>
              <w:pStyle w:val="TableContents"/>
              <w:spacing w:before="0" w:after="283"/>
              <w:rPr/>
            </w:pPr>
            <w:r>
              <w:rPr/>
              <w:t> </w:t>
            </w:r>
          </w:p>
        </w:tc>
        <w:tc>
          <w:tcPr>
            <w:tcW w:w="154"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237" w:type="dxa"/>
            <w:tcBorders>
              <w:bottom w:val="single" w:sz="12" w:space="0" w:color="000000"/>
            </w:tcBorders>
            <w:shd w:fill="CCEE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6,167,481</w:t>
            </w:r>
          </w:p>
        </w:tc>
        <w:tc>
          <w:tcPr>
            <w:tcW w:w="118" w:type="dxa"/>
            <w:tcBorders/>
            <w:shd w:fill="CCEEFF" w:val="clear"/>
            <w:vAlign w:val="bottom"/>
          </w:tcPr>
          <w:p>
            <w:pPr>
              <w:pStyle w:val="TableContents"/>
              <w:spacing w:before="0" w:after="283"/>
              <w:jc w:val="left"/>
              <w:rPr/>
            </w:pPr>
            <w:r>
              <w:rPr/>
              <w:t> </w:t>
            </w:r>
          </w:p>
        </w:tc>
        <w:tc>
          <w:tcPr>
            <w:tcW w:w="102" w:type="dxa"/>
            <w:tcBorders/>
            <w:shd w:fill="CCEEFF" w:val="clear"/>
            <w:vAlign w:val="bottom"/>
          </w:tcPr>
          <w:p>
            <w:pPr>
              <w:pStyle w:val="TableContents"/>
              <w:spacing w:before="0" w:after="283"/>
              <w:rPr/>
            </w:pPr>
            <w:r>
              <w:rPr/>
              <w:t> </w:t>
            </w:r>
          </w:p>
        </w:tc>
        <w:tc>
          <w:tcPr>
            <w:tcW w:w="154"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237" w:type="dxa"/>
            <w:tcBorders>
              <w:bottom w:val="single" w:sz="12" w:space="0" w:color="000000"/>
            </w:tcBorders>
            <w:shd w:fill="CCEE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5,778,988</w:t>
            </w:r>
          </w:p>
        </w:tc>
        <w:tc>
          <w:tcPr>
            <w:tcW w:w="261" w:type="dxa"/>
            <w:tcBorders/>
            <w:shd w:fill="CCEEFF" w:val="clear"/>
            <w:vAlign w:val="bottom"/>
          </w:tcPr>
          <w:p>
            <w:pPr>
              <w:pStyle w:val="TableContents"/>
              <w:spacing w:before="0" w:after="283"/>
              <w:jc w:val="left"/>
              <w:rPr/>
            </w:pPr>
            <w:r>
              <w:rPr/>
              <w:t> </w:t>
            </w:r>
          </w:p>
        </w:tc>
      </w:tr>
      <w:tr>
        <w:trPr/>
        <w:tc>
          <w:tcPr>
            <w:tcW w:w="5309" w:type="dxa"/>
            <w:tcBorders/>
            <w:shd w:fill="FFFFFF" w:val="clear"/>
            <w:vAlign w:val="bottom"/>
          </w:tcPr>
          <w:p>
            <w:pPr>
              <w:pStyle w:val="TableContents"/>
              <w:spacing w:before="0" w:after="0"/>
              <w:ind w:left="0" w:right="0" w:hanging="0"/>
              <w:jc w:val="both"/>
              <w:rPr>
                <w:rFonts w:ascii="helvetica" w:hAnsi="helvetica"/>
                <w:sz w:val="20"/>
              </w:rPr>
            </w:pPr>
            <w:r>
              <w:rPr>
                <w:rFonts w:ascii="helvetica" w:hAnsi="helvetica"/>
                <w:sz w:val="20"/>
              </w:rPr>
              <w:t>Less: Valuation allowance</w:t>
            </w:r>
          </w:p>
        </w:tc>
        <w:tc>
          <w:tcPr>
            <w:tcW w:w="102" w:type="dxa"/>
            <w:tcBorders/>
            <w:shd w:fill="FFFFFF" w:val="clear"/>
            <w:vAlign w:val="bottom"/>
          </w:tcPr>
          <w:p>
            <w:pPr>
              <w:pStyle w:val="TableContents"/>
              <w:spacing w:before="0" w:after="283"/>
              <w:rPr/>
            </w:pPr>
            <w:r>
              <w:rPr/>
              <w:t> </w:t>
            </w:r>
          </w:p>
        </w:tc>
        <w:tc>
          <w:tcPr>
            <w:tcW w:w="154"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237" w:type="dxa"/>
            <w:tcBorders>
              <w:bottom w:val="single" w:sz="12" w:space="0" w:color="000000"/>
            </w:tcBorders>
            <w:shd w:fill="FFFF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(6,167,481</w:t>
            </w:r>
          </w:p>
        </w:tc>
        <w:tc>
          <w:tcPr>
            <w:tcW w:w="118" w:type="dxa"/>
            <w:tcBorders/>
            <w:shd w:fill="FFFFFF" w:val="clear"/>
            <w:vAlign w:val="bottom"/>
          </w:tcPr>
          <w:p>
            <w:pPr>
              <w:pStyle w:val="TableContents"/>
              <w:spacing w:before="0" w:after="283"/>
              <w:jc w:val="left"/>
              <w:rPr>
                <w:rFonts w:ascii="helvetica" w:hAnsi="helvetica"/>
                <w:sz w:val="20"/>
              </w:rPr>
            </w:pPr>
            <w:r>
              <w:rPr>
                <w:rFonts w:ascii="helvetica" w:hAnsi="helvetica"/>
                <w:sz w:val="20"/>
              </w:rPr>
              <w:t>)</w:t>
            </w:r>
          </w:p>
        </w:tc>
        <w:tc>
          <w:tcPr>
            <w:tcW w:w="102" w:type="dxa"/>
            <w:tcBorders/>
            <w:shd w:fill="FFFFFF" w:val="clear"/>
            <w:vAlign w:val="bottom"/>
          </w:tcPr>
          <w:p>
            <w:pPr>
              <w:pStyle w:val="TableContents"/>
              <w:spacing w:before="0" w:after="283"/>
              <w:rPr/>
            </w:pPr>
            <w:r>
              <w:rPr/>
              <w:t> </w:t>
            </w:r>
          </w:p>
        </w:tc>
        <w:tc>
          <w:tcPr>
            <w:tcW w:w="154"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237" w:type="dxa"/>
            <w:tcBorders>
              <w:bottom w:val="single" w:sz="12" w:space="0" w:color="000000"/>
            </w:tcBorders>
            <w:shd w:fill="FFFF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(5,778,988</w:t>
            </w:r>
          </w:p>
        </w:tc>
        <w:tc>
          <w:tcPr>
            <w:tcW w:w="261" w:type="dxa"/>
            <w:tcBorders/>
            <w:shd w:fill="FFFFFF" w:val="clear"/>
            <w:vAlign w:val="bottom"/>
          </w:tcPr>
          <w:p>
            <w:pPr>
              <w:pStyle w:val="TableContents"/>
              <w:spacing w:before="0" w:after="283"/>
              <w:jc w:val="left"/>
              <w:rPr>
                <w:rFonts w:ascii="helvetica" w:hAnsi="helvetica"/>
                <w:sz w:val="20"/>
              </w:rPr>
            </w:pPr>
            <w:r>
              <w:rPr>
                <w:rFonts w:ascii="helvetica" w:hAnsi="helvetica"/>
                <w:sz w:val="20"/>
              </w:rPr>
              <w:t>)</w:t>
            </w:r>
          </w:p>
        </w:tc>
      </w:tr>
      <w:tr>
        <w:trPr/>
        <w:tc>
          <w:tcPr>
            <w:tcW w:w="5309" w:type="dxa"/>
            <w:tcBorders/>
            <w:shd w:fill="CCEEFF" w:val="clear"/>
            <w:vAlign w:val="bottom"/>
          </w:tcPr>
          <w:p>
            <w:pPr>
              <w:pStyle w:val="TableContents"/>
              <w:spacing w:before="0" w:after="0"/>
              <w:ind w:left="0" w:right="0" w:hanging="0"/>
              <w:jc w:val="both"/>
              <w:rPr>
                <w:rFonts w:ascii="helvetica" w:hAnsi="helvetica"/>
                <w:sz w:val="20"/>
              </w:rPr>
            </w:pPr>
            <w:r>
              <w:rPr>
                <w:rFonts w:ascii="helvetica" w:hAnsi="helvetica"/>
                <w:sz w:val="20"/>
              </w:rPr>
              <w:t>Net deferred income tax asset</w:t>
            </w:r>
          </w:p>
        </w:tc>
        <w:tc>
          <w:tcPr>
            <w:tcW w:w="102" w:type="dxa"/>
            <w:tcBorders/>
            <w:shd w:fill="CCEEFF" w:val="clear"/>
            <w:vAlign w:val="bottom"/>
          </w:tcPr>
          <w:p>
            <w:pPr>
              <w:pStyle w:val="TableContents"/>
              <w:spacing w:before="0" w:after="283"/>
              <w:rPr/>
            </w:pPr>
            <w:r>
              <w:rPr/>
              <w:t> </w:t>
            </w:r>
          </w:p>
        </w:tc>
        <w:tc>
          <w:tcPr>
            <w:tcW w:w="154" w:type="dxa"/>
            <w:tcBorders>
              <w:bottom w:val="double" w:sz="8" w:space="0" w:color="000000"/>
            </w:tcBorders>
            <w:shd w:fill="CCEEFF" w:val="clear"/>
            <w:tcMar>
              <w:bottom w:w="28" w:type="dxa"/>
            </w:tcMar>
            <w:vAlign w:val="bottom"/>
          </w:tcPr>
          <w:p>
            <w:pPr>
              <w:pStyle w:val="TableContents"/>
              <w:spacing w:before="0" w:after="283"/>
              <w:jc w:val="left"/>
              <w:rPr>
                <w:rFonts w:ascii="helvetica" w:hAnsi="helvetica"/>
                <w:sz w:val="20"/>
              </w:rPr>
            </w:pPr>
            <w:r>
              <w:rPr>
                <w:rFonts w:ascii="helvetica" w:hAnsi="helvetica"/>
                <w:sz w:val="20"/>
              </w:rPr>
              <w:t>$</w:t>
            </w:r>
          </w:p>
        </w:tc>
        <w:tc>
          <w:tcPr>
            <w:tcW w:w="1237" w:type="dxa"/>
            <w:tcBorders>
              <w:bottom w:val="double" w:sz="8" w:space="0" w:color="000000"/>
            </w:tcBorders>
            <w:shd w:fill="CCEE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w:t>
            </w:r>
          </w:p>
        </w:tc>
        <w:tc>
          <w:tcPr>
            <w:tcW w:w="118" w:type="dxa"/>
            <w:tcBorders/>
            <w:shd w:fill="CCEEFF" w:val="clear"/>
            <w:vAlign w:val="bottom"/>
          </w:tcPr>
          <w:p>
            <w:pPr>
              <w:pStyle w:val="TableContents"/>
              <w:spacing w:before="0" w:after="283"/>
              <w:jc w:val="left"/>
              <w:rPr/>
            </w:pPr>
            <w:r>
              <w:rPr/>
              <w:t> </w:t>
            </w:r>
          </w:p>
        </w:tc>
        <w:tc>
          <w:tcPr>
            <w:tcW w:w="102" w:type="dxa"/>
            <w:tcBorders/>
            <w:shd w:fill="CCEEFF" w:val="clear"/>
            <w:vAlign w:val="bottom"/>
          </w:tcPr>
          <w:p>
            <w:pPr>
              <w:pStyle w:val="TableContents"/>
              <w:spacing w:before="0" w:after="283"/>
              <w:rPr/>
            </w:pPr>
            <w:r>
              <w:rPr/>
              <w:t> </w:t>
            </w:r>
          </w:p>
        </w:tc>
        <w:tc>
          <w:tcPr>
            <w:tcW w:w="154" w:type="dxa"/>
            <w:tcBorders>
              <w:bottom w:val="double" w:sz="8" w:space="0" w:color="000000"/>
            </w:tcBorders>
            <w:shd w:fill="CCEEFF" w:val="clear"/>
            <w:tcMar>
              <w:bottom w:w="28" w:type="dxa"/>
            </w:tcMar>
            <w:vAlign w:val="bottom"/>
          </w:tcPr>
          <w:p>
            <w:pPr>
              <w:pStyle w:val="TableContents"/>
              <w:spacing w:before="0" w:after="283"/>
              <w:jc w:val="left"/>
              <w:rPr>
                <w:rFonts w:ascii="helvetica" w:hAnsi="helvetica"/>
                <w:sz w:val="20"/>
              </w:rPr>
            </w:pPr>
            <w:r>
              <w:rPr>
                <w:rFonts w:ascii="helvetica" w:hAnsi="helvetica"/>
                <w:sz w:val="20"/>
              </w:rPr>
              <w:t>$</w:t>
            </w:r>
          </w:p>
        </w:tc>
        <w:tc>
          <w:tcPr>
            <w:tcW w:w="1237" w:type="dxa"/>
            <w:tcBorders>
              <w:bottom w:val="double" w:sz="8" w:space="0" w:color="000000"/>
            </w:tcBorders>
            <w:shd w:fill="CCEE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w:t>
            </w:r>
          </w:p>
        </w:tc>
        <w:tc>
          <w:tcPr>
            <w:tcW w:w="261" w:type="dxa"/>
            <w:tcBorders/>
            <w:shd w:fill="CCEEFF" w:val="clear"/>
            <w:vAlign w:val="bottom"/>
          </w:tcPr>
          <w:p>
            <w:pPr>
              <w:pStyle w:val="TableContents"/>
              <w:spacing w:before="0" w:after="283"/>
              <w:jc w:val="left"/>
              <w:rPr/>
            </w:pPr>
            <w:r>
              <w:rPr/>
              <w:t> </w:t>
            </w:r>
          </w:p>
        </w:tc>
      </w:tr>
    </w:tbl>
    <w:p>
      <w:pPr>
        <w:pStyle w:val="TextBody"/>
        <w:spacing w:before="0" w:after="0"/>
        <w:ind w:left="0" w:right="0" w:hanging="0"/>
        <w:rPr/>
      </w:pPr>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r>
      <w:bookmarkStart w:id="1298" w:name="PGBRK111"/>
      <w:bookmarkStart w:id="1299" w:name="PGBRK111"/>
      <w:bookmarkEnd w:id="129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300" w:name="FTR111"/>
      <w:bookmarkStart w:id="1301" w:name="FTR111"/>
      <w:bookmarkEnd w:id="130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1302" w:name="GLFTR110"/>
      <w:bookmarkEnd w:id="1302"/>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helvetica" w:hAnsi="helvetica"/>
          <w:sz w:val="20"/>
        </w:rPr>
      </w:pPr>
      <w:bookmarkStart w:id="1303" w:name="PN110"/>
      <w:bookmarkEnd w:id="1303"/>
      <w:r>
        <w:rPr>
          <w:rFonts w:ascii="helvetica" w:hAnsi="helvetica"/>
          <w:sz w:val="20"/>
        </w:rPr>
        <w:t>F-40</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304" w:name="HDR110"/>
      <w:bookmarkStart w:id="1305" w:name="HDR110"/>
      <w:bookmarkEnd w:id="130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1306" w:name="GLHDR110"/>
      <w:bookmarkEnd w:id="1306"/>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br/>
      </w:r>
      <w:r>
        <w:rPr>
          <w:rFonts w:ascii="helvetica" w:hAnsi="helvetica"/>
          <w:sz w:val="20"/>
        </w:rPr>
        <w:t>Realization of the deferred tax assets is dependent upon the generation of future taxable income, the amount and timing of which are uncertain.  Accordingly, the net deferred tax assets have been fully offset by a valuation allowance.  The valuation allowance increased by approximately $388,000 and $1.0 million in 2011 and 2010, respectively.</w:t>
      </w:r>
    </w:p>
    <w:p>
      <w:pPr>
        <w:pStyle w:val="TextBody"/>
        <w:spacing w:before="0" w:after="0"/>
        <w:ind w:left="0" w:right="0" w:hanging="0"/>
        <w:jc w:val="both"/>
        <w:rPr/>
      </w:pPr>
      <w:r>
        <w:rPr/>
        <w:t> </w:t>
      </w:r>
    </w:p>
    <w:p>
      <w:pPr>
        <w:pStyle w:val="TextBody"/>
        <w:spacing w:before="0" w:after="0"/>
        <w:ind w:left="0" w:right="0" w:hanging="0"/>
        <w:jc w:val="both"/>
        <w:rPr>
          <w:rFonts w:ascii="helvetica" w:hAnsi="helvetica"/>
          <w:sz w:val="20"/>
        </w:rPr>
      </w:pPr>
      <w:r>
        <w:rPr>
          <w:rFonts w:ascii="helvetica" w:hAnsi="helvetica"/>
          <w:sz w:val="20"/>
        </w:rPr>
        <w:t>As of December 31, 2011, the Company had federal and California net operating loss carryforwards of approximately $12.3 million and $12.2 million, respectively. The federal and California tax loss carry forwards will begin to expire in 2020 and 2015, respectively, unless previously utilized.  The Company estimates its federal and California research and development tax credit carryforwards of approximately $315,000 and $330,000, respectively, which begin to expire in 2027 unless previously utilized.</w:t>
      </w:r>
    </w:p>
    <w:p>
      <w:pPr>
        <w:pStyle w:val="TextBody"/>
        <w:spacing w:before="0" w:after="0"/>
        <w:ind w:left="0" w:right="0" w:hanging="0"/>
        <w:jc w:val="both"/>
        <w:rPr/>
      </w:pPr>
      <w:r>
        <w:rPr/>
        <w:t> </w:t>
      </w:r>
    </w:p>
    <w:p>
      <w:pPr>
        <w:pStyle w:val="TextBody"/>
        <w:spacing w:before="0" w:after="0"/>
        <w:ind w:left="0" w:right="0" w:hanging="0"/>
        <w:jc w:val="both"/>
        <w:rPr>
          <w:rFonts w:ascii="helvetica" w:hAnsi="helvetica"/>
          <w:sz w:val="20"/>
        </w:rPr>
      </w:pPr>
      <w:r>
        <w:rPr>
          <w:rFonts w:ascii="helvetica" w:hAnsi="helvetica"/>
          <w:sz w:val="20"/>
        </w:rPr>
        <w:t>A portion of the net operating loss carry forwards as of December 31, 2011 and 2010 include amounts related to stock option deductions.  Excess tax benefits, if any, from share-based compensation are only realized when income taxes payable is reduced, with the corresponding credit posted to Additional Paid-in Capital.</w:t>
      </w:r>
    </w:p>
    <w:p>
      <w:pPr>
        <w:pStyle w:val="TextBody"/>
        <w:spacing w:before="0" w:after="0"/>
        <w:ind w:left="0" w:right="0" w:hanging="0"/>
        <w:jc w:val="both"/>
        <w:rPr/>
      </w:pPr>
      <w:r>
        <w:rPr/>
        <w:t> </w:t>
      </w:r>
    </w:p>
    <w:p>
      <w:pPr>
        <w:pStyle w:val="TextBody"/>
        <w:spacing w:before="0" w:after="0"/>
        <w:ind w:left="0" w:right="0" w:hanging="0"/>
        <w:jc w:val="both"/>
        <w:rPr>
          <w:rFonts w:ascii="helvetica" w:hAnsi="helvetica"/>
          <w:sz w:val="20"/>
        </w:rPr>
      </w:pPr>
      <w:r>
        <w:rPr>
          <w:rFonts w:ascii="helvetica" w:hAnsi="helvetica"/>
          <w:sz w:val="20"/>
        </w:rPr>
        <w:t>The impact of an uncertain income tax position on the income tax return must be recognized at the largest amount that is more-likely-than-not to be sustained upon audit by the relevant taxing authority. An uncertain income tax position will not be recognized if it has 50% or less likelihood of being sustained upon examination.  The Company believes that its income tax filing positions and deductions will be sustained on audit and does not anticipate any adjustments that will result in a material change to its financial position. Therefore, no reserves for uncertain income tax positions have been recorded.</w:t>
      </w:r>
    </w:p>
    <w:p>
      <w:pPr>
        <w:pStyle w:val="TextBody"/>
        <w:spacing w:before="0" w:after="0"/>
        <w:ind w:left="0" w:right="0" w:hanging="0"/>
        <w:jc w:val="both"/>
        <w:rPr/>
      </w:pPr>
      <w:r>
        <w:rPr/>
        <w:t> </w:t>
      </w:r>
    </w:p>
    <w:p>
      <w:pPr>
        <w:pStyle w:val="TextBody"/>
        <w:spacing w:before="0" w:after="0"/>
        <w:ind w:left="0" w:right="0" w:hanging="0"/>
        <w:jc w:val="both"/>
        <w:rPr>
          <w:rFonts w:ascii="helvetica" w:hAnsi="helvetica"/>
          <w:sz w:val="20"/>
        </w:rPr>
      </w:pPr>
      <w:r>
        <w:rPr>
          <w:rFonts w:ascii="helvetica" w:hAnsi="helvetica"/>
          <w:sz w:val="20"/>
        </w:rPr>
        <w:t>The Company’s practice is to recognize interest and/or penalties related to income tax matters in income tax expense. The Company had no accrual for interest or penalties at December 31, 2011 and 2010, and has not recognized interest and/or penalties in the consolidated statements of operations for the years ended December 31, 2011 and 2010. The Company’s tax years for 2000 and forward are subject to examination by the United States and state tax authorities due to the carry forward of unutilized net operating losses</w:t>
      </w:r>
    </w:p>
    <w:p>
      <w:pPr>
        <w:pStyle w:val="TextBody"/>
        <w:spacing w:before="0" w:after="0"/>
        <w:ind w:left="0" w:right="0" w:hanging="0"/>
        <w:jc w:val="both"/>
        <w:rPr/>
      </w:pPr>
      <w:r>
        <w:rPr/>
        <w:t> </w:t>
      </w:r>
    </w:p>
    <w:p>
      <w:pPr>
        <w:pStyle w:val="TextBody"/>
        <w:spacing w:before="0" w:after="0"/>
        <w:ind w:left="0" w:right="0" w:hanging="0"/>
        <w:jc w:val="both"/>
        <w:rPr>
          <w:rFonts w:ascii="helvetica" w:hAnsi="helvetica"/>
          <w:b/>
          <w:sz w:val="20"/>
        </w:rPr>
      </w:pPr>
      <w:r>
        <w:rPr>
          <w:rFonts w:ascii="helvetica" w:hAnsi="helvetica"/>
          <w:b/>
          <w:sz w:val="20"/>
        </w:rPr>
        <w:t>NOTE 10.  COMMITMENTS AND CONTINGENCIES</w:t>
      </w:r>
    </w:p>
    <w:p>
      <w:pPr>
        <w:pStyle w:val="TextBody"/>
        <w:spacing w:before="0" w:after="0"/>
        <w:ind w:left="0" w:right="0" w:hanging="0"/>
        <w:jc w:val="both"/>
        <w:rPr/>
      </w:pPr>
      <w:r>
        <w:rPr/>
        <w:t> </w:t>
      </w:r>
    </w:p>
    <w:p>
      <w:pPr>
        <w:pStyle w:val="TextBody"/>
        <w:spacing w:before="0" w:after="0"/>
        <w:ind w:left="0" w:right="0" w:hanging="0"/>
        <w:jc w:val="both"/>
        <w:rPr>
          <w:rFonts w:ascii="helvetica" w:hAnsi="helvetica"/>
          <w:b/>
          <w:sz w:val="20"/>
        </w:rPr>
      </w:pPr>
      <w:r>
        <w:rPr>
          <w:rFonts w:ascii="helvetica" w:hAnsi="helvetica"/>
          <w:b/>
          <w:sz w:val="20"/>
        </w:rPr>
        <w:t>Commitments</w:t>
      </w:r>
    </w:p>
    <w:p>
      <w:pPr>
        <w:pStyle w:val="TextBody"/>
        <w:spacing w:before="0" w:after="0"/>
        <w:ind w:left="0" w:right="0" w:hanging="0"/>
        <w:jc w:val="both"/>
        <w:rPr/>
      </w:pPr>
      <w:r>
        <w:rPr/>
        <w:t> </w:t>
      </w:r>
    </w:p>
    <w:p>
      <w:pPr>
        <w:pStyle w:val="TextBody"/>
        <w:spacing w:before="0" w:after="0"/>
        <w:ind w:left="0" w:right="0" w:hanging="0"/>
        <w:jc w:val="both"/>
        <w:rPr>
          <w:rFonts w:ascii="helvetica" w:hAnsi="helvetica"/>
          <w:sz w:val="20"/>
        </w:rPr>
      </w:pPr>
      <w:r>
        <w:rPr>
          <w:rFonts w:ascii="helvetica" w:hAnsi="helvetica"/>
          <w:sz w:val="20"/>
        </w:rPr>
        <w:t>The Company leased its office facilities under a noncancelable operating lease, which expired December 31, 2010. The Company renewed the lease from January 1, 2011 to June 30, 2011, with a monthly amount due of $3,835.  Rent expense for the years ended December 31, 2011, 2010 and the period from Inception through December 31, 2011 was $18,299, $54,821 and $243,955, respectively.  The Company entered into a new lease agreement for office facilities from February 15, 2012 to February 28, 2014. Monthly rent begins on March 1, 2012 in the amount of $2,972 for the first 12 months, and $3,715 is due monthly for the next 12 months.</w:t>
      </w:r>
    </w:p>
    <w:p>
      <w:pPr>
        <w:pStyle w:val="TextBody"/>
        <w:spacing w:before="0" w:after="0"/>
        <w:ind w:left="0" w:right="0" w:hanging="0"/>
        <w:jc w:val="both"/>
        <w:rPr/>
      </w:pPr>
      <w:r>
        <w:rPr/>
        <w:t> </w:t>
      </w:r>
    </w:p>
    <w:p>
      <w:pPr>
        <w:pStyle w:val="TextBody"/>
        <w:spacing w:before="0" w:after="0"/>
        <w:ind w:left="0" w:right="0" w:hanging="0"/>
        <w:jc w:val="both"/>
        <w:rPr>
          <w:rFonts w:ascii="helvetica" w:hAnsi="helvetica"/>
          <w:b/>
          <w:sz w:val="20"/>
        </w:rPr>
      </w:pPr>
      <w:r>
        <w:rPr>
          <w:rFonts w:ascii="helvetica" w:hAnsi="helvetica"/>
          <w:b/>
          <w:sz w:val="20"/>
        </w:rPr>
        <w:t>Indemnities and Guarantees</w:t>
      </w:r>
    </w:p>
    <w:p>
      <w:pPr>
        <w:pStyle w:val="TextBody"/>
        <w:spacing w:before="0" w:after="0"/>
        <w:ind w:left="0" w:right="0" w:hanging="0"/>
        <w:jc w:val="both"/>
        <w:rPr/>
      </w:pPr>
      <w:r>
        <w:rPr/>
        <w:t> </w:t>
      </w:r>
    </w:p>
    <w:p>
      <w:pPr>
        <w:pStyle w:val="TextBody"/>
        <w:spacing w:before="0" w:after="0"/>
        <w:ind w:left="0" w:right="0" w:hanging="0"/>
        <w:jc w:val="both"/>
        <w:rPr>
          <w:rFonts w:ascii="helvetica" w:hAnsi="helvetica"/>
          <w:sz w:val="20"/>
        </w:rPr>
      </w:pPr>
      <w:r>
        <w:rPr>
          <w:rFonts w:ascii="helvetica" w:hAnsi="helvetica"/>
          <w:sz w:val="20"/>
        </w:rPr>
        <w:t>In addition to the indemnification provisions contained in the Company’s charter documents, the Company will generally enter into separate indemnification agreements with the Company’s directors and officers. These agreements require the Company, among other things, to indemnify the director or officer against specified expenses and liabilities, such as attorneys’ fees, judgments, fines and settlements, paid by the individual in connection with any action, suit or proceeding arising out of the individual’s status or service as the Company’s director or officer, other than liabilities arising from willful misconduct or conduct that is knowingly fraudulent or deliberately dishonest, and to advance expenses incurred by the individual in connection with any proceeding against the individual with respect to which the individual may be entitled to indemnification by the Company.  The Company has also entered into an indemnification agreement with DermaStar as a secured lender.  This agreement requires the Company, among other things, to indemnify DermaStar, and any of its directors or officers as individuals, against specified expenses and liabilities, such as attorneys’ fees in connection with the preparation, amendment, appraisal, audit, modification, waiver, of the Line of Credit Agreement and enforcement of any rights/interest under the Line of Credit Agreement.  These guarantees and indemnities do not provide for any limitation of the maximum potential future payments the Company could be obligated to make. Historically, the Company has not been obligated nor incurred any payments for these obligations and, therefore, no liabilities have been recorded for these indemnities and guarantees in the accompanying consolidated balance sheets.</w:t>
      </w:r>
    </w:p>
    <w:p>
      <w:pPr>
        <w:pStyle w:val="TextBody"/>
        <w:spacing w:before="0" w:after="0"/>
        <w:ind w:left="0" w:right="0" w:hanging="0"/>
        <w:jc w:val="both"/>
        <w:rPr/>
      </w:pPr>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r>
      <w:bookmarkStart w:id="1307" w:name="PGBRK112"/>
      <w:bookmarkStart w:id="1308" w:name="PGBRK112"/>
      <w:bookmarkEnd w:id="130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309" w:name="FTR112"/>
      <w:bookmarkStart w:id="1310" w:name="FTR112"/>
      <w:bookmarkEnd w:id="131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1311" w:name="GLFTR111"/>
      <w:bookmarkEnd w:id="1311"/>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helvetica" w:hAnsi="helvetica"/>
          <w:sz w:val="20"/>
        </w:rPr>
      </w:pPr>
      <w:bookmarkStart w:id="1312" w:name="PN111"/>
      <w:bookmarkEnd w:id="1312"/>
      <w:r>
        <w:rPr>
          <w:rFonts w:ascii="helvetica" w:hAnsi="helvetica"/>
          <w:sz w:val="20"/>
        </w:rPr>
        <w:t>F-41</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313" w:name="HDR111"/>
      <w:bookmarkStart w:id="1314" w:name="HDR111"/>
      <w:bookmarkEnd w:id="131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1315" w:name="GLHDR111"/>
      <w:bookmarkEnd w:id="1315"/>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t> </w:t>
      </w:r>
    </w:p>
    <w:p>
      <w:pPr>
        <w:pStyle w:val="TextBody"/>
        <w:spacing w:before="0" w:after="0"/>
        <w:ind w:left="0" w:right="0" w:hanging="0"/>
        <w:jc w:val="both"/>
        <w:rPr>
          <w:rFonts w:ascii="helvetica" w:hAnsi="helvetica"/>
          <w:b/>
          <w:sz w:val="20"/>
        </w:rPr>
      </w:pPr>
      <w:r>
        <w:rPr>
          <w:rFonts w:ascii="helvetica" w:hAnsi="helvetica"/>
          <w:b/>
          <w:sz w:val="20"/>
        </w:rPr>
        <w:t>Cato Research Ltd. Agreement</w:t>
      </w:r>
    </w:p>
    <w:p>
      <w:pPr>
        <w:pStyle w:val="TextBody"/>
        <w:spacing w:before="0" w:after="0"/>
        <w:ind w:left="0" w:right="0" w:hanging="0"/>
        <w:jc w:val="both"/>
        <w:rPr/>
      </w:pPr>
      <w:r>
        <w:rPr/>
        <w:t> </w:t>
      </w:r>
    </w:p>
    <w:p>
      <w:pPr>
        <w:pStyle w:val="TextBody"/>
        <w:spacing w:before="0" w:after="0"/>
        <w:ind w:left="0" w:right="0" w:hanging="0"/>
        <w:jc w:val="both"/>
        <w:rPr>
          <w:rFonts w:ascii="helvetica" w:hAnsi="helvetica"/>
          <w:sz w:val="20"/>
        </w:rPr>
      </w:pPr>
      <w:r>
        <w:rPr>
          <w:rFonts w:ascii="helvetica" w:hAnsi="helvetica"/>
          <w:sz w:val="20"/>
        </w:rPr>
        <w:t>In accordance with the Master Services Agreement, dated April 10, 2007, between the Company and Cato Research Ltd. (“Cato”), a contract research and development organization, the Company entered into a clinical trial services agreement (“Agreement”) with Cato on June 10, 2008. Under the Agreement, Cato served as the Company’s strategic partner and contract research organization in conducting the Company’s Phase 3 clinical trial for Impracor .  As of December 31, 2009, the Company incurred approximately $3.2 million (original estimate of costs was $3.3 million) related to Cato’s fees as well as pass-through costs incurred by Cato or payable to the clinical sites for patients enrolled in the study.  The Company does not anticipate incurring any additional costs related to this Agreement.</w:t>
      </w:r>
    </w:p>
    <w:p>
      <w:pPr>
        <w:pStyle w:val="TextBody"/>
        <w:spacing w:before="0" w:after="0"/>
        <w:ind w:left="0" w:right="0" w:hanging="0"/>
        <w:jc w:val="both"/>
        <w:rPr/>
      </w:pPr>
      <w:r>
        <w:rPr/>
        <w:t> </w:t>
      </w:r>
    </w:p>
    <w:p>
      <w:pPr>
        <w:pStyle w:val="TextBody"/>
        <w:spacing w:before="0" w:after="0"/>
        <w:ind w:left="0" w:right="0" w:hanging="0"/>
        <w:jc w:val="both"/>
        <w:rPr>
          <w:rFonts w:ascii="helvetica" w:hAnsi="helvetica"/>
          <w:b/>
          <w:sz w:val="20"/>
        </w:rPr>
      </w:pPr>
      <w:r>
        <w:rPr>
          <w:rFonts w:ascii="helvetica" w:hAnsi="helvetica"/>
          <w:b/>
          <w:sz w:val="20"/>
        </w:rPr>
        <w:t>Cosmetic Products Consulting Agreement</w:t>
      </w:r>
    </w:p>
    <w:p>
      <w:pPr>
        <w:pStyle w:val="TextBody"/>
        <w:spacing w:before="0" w:after="0"/>
        <w:ind w:left="0" w:right="0" w:hanging="0"/>
        <w:jc w:val="both"/>
        <w:rPr/>
      </w:pPr>
      <w:r>
        <w:rPr/>
        <w:t> </w:t>
      </w:r>
    </w:p>
    <w:p>
      <w:pPr>
        <w:pStyle w:val="TextBody"/>
        <w:spacing w:before="0" w:after="0"/>
        <w:ind w:left="0" w:right="0" w:hanging="0"/>
        <w:jc w:val="both"/>
        <w:rPr>
          <w:rFonts w:ascii="helvetica" w:hAnsi="helvetica"/>
          <w:sz w:val="20"/>
        </w:rPr>
      </w:pPr>
      <w:r>
        <w:rPr>
          <w:rFonts w:ascii="helvetica" w:hAnsi="helvetica"/>
          <w:sz w:val="20"/>
        </w:rPr>
        <w:t>On August 25, 2008, the Company entered into an agreement with RIL-NA, LLC (“RIL-NA”) in order to enter into business relationships with third parties for certain of the Company’s cosmetic product formulations.  RIL-NA was to be paid a commission equal to approximately 20% of the adjusted gross revenues realized from transactions related to this agreement.  This agreement was terminable with 60 days written notice by either RIL-NA or the Company.  On June 12, 2011, the Company entered into another agreement with RIL-NA whereby RIL-NA paid approximately $5,000 in related legal filing fees to acquire exclusive marketing rights for the Company’s anti-cellulite product formulation from June 13, 2011 through August 11, 2011.  This agreement automatically terminated on August 12, 2011, and no revenues or amounts were paid to or on behalf of the Company.</w:t>
      </w:r>
    </w:p>
    <w:p>
      <w:pPr>
        <w:pStyle w:val="TextBody"/>
        <w:spacing w:before="0" w:after="0"/>
        <w:ind w:left="0" w:right="0" w:hanging="0"/>
        <w:jc w:val="both"/>
        <w:rPr/>
      </w:pPr>
      <w:r>
        <w:rPr/>
        <w:t> </w:t>
      </w:r>
    </w:p>
    <w:p>
      <w:pPr>
        <w:pStyle w:val="TextBody"/>
        <w:spacing w:before="0" w:after="0"/>
        <w:ind w:left="0" w:right="0" w:hanging="0"/>
        <w:jc w:val="both"/>
        <w:rPr>
          <w:rFonts w:ascii="helvetica" w:hAnsi="helvetica"/>
          <w:b/>
          <w:sz w:val="20"/>
        </w:rPr>
      </w:pPr>
      <w:r>
        <w:rPr>
          <w:rFonts w:ascii="helvetica" w:hAnsi="helvetica"/>
          <w:b/>
          <w:sz w:val="20"/>
        </w:rPr>
        <w:t>Cosmetic Product License Agreements</w:t>
      </w:r>
    </w:p>
    <w:p>
      <w:pPr>
        <w:pStyle w:val="TextBody"/>
        <w:spacing w:before="0" w:after="0"/>
        <w:ind w:left="0" w:right="0" w:hanging="0"/>
        <w:jc w:val="both"/>
        <w:rPr/>
      </w:pPr>
      <w:r>
        <w:rPr/>
        <w:t> </w:t>
      </w:r>
    </w:p>
    <w:p>
      <w:pPr>
        <w:pStyle w:val="TextBody"/>
        <w:spacing w:before="0" w:after="0"/>
        <w:ind w:left="0" w:right="0" w:hanging="0"/>
        <w:jc w:val="both"/>
        <w:rPr>
          <w:rFonts w:ascii="helvetica" w:hAnsi="helvetica"/>
          <w:sz w:val="20"/>
        </w:rPr>
      </w:pPr>
      <w:r>
        <w:rPr>
          <w:rFonts w:ascii="helvetica" w:hAnsi="helvetica"/>
          <w:sz w:val="20"/>
        </w:rPr>
        <w:t>On May 20, 2009, the Company and JH Direct, LLC (“JH Direct”) entered into a licensing agreement providing JH Direct with the exclusive worldwide rights to the Company’s anti-cellulite cosmetic product which utilizes the Company’s patented transdermal delivery system technology, Accudel.  Under the terms of the agreement, JH Direct will pay the Company initial royalty advances and a continuing licensing royalty on the worldwide sales of the anti-cellulite product.  The Company retained the exclusive rights to seek pharmaceutical/dermatological partners for the anti-cellulite product for an initial period of one year following the launch of the product, thereafter JH Direct will be allowed to expand in this channel.  The expiration date for this agreement is May 31, 2013.  In accordance with the cosmetic products consulting agreement, the consulting firm will receive a percentage of the operating profits paid to the Company.</w:t>
      </w:r>
    </w:p>
    <w:p>
      <w:pPr>
        <w:pStyle w:val="TextBody"/>
        <w:spacing w:before="0" w:after="0"/>
        <w:ind w:left="0" w:right="0" w:hanging="0"/>
        <w:jc w:val="both"/>
        <w:rPr/>
      </w:pPr>
      <w:r>
        <w:rPr/>
        <w:t> </w:t>
      </w:r>
    </w:p>
    <w:p>
      <w:pPr>
        <w:pStyle w:val="TextBody"/>
        <w:spacing w:before="0" w:after="0"/>
        <w:ind w:left="0" w:right="0" w:hanging="0"/>
        <w:jc w:val="both"/>
        <w:rPr>
          <w:rFonts w:ascii="helvetica" w:hAnsi="helvetica"/>
          <w:sz w:val="20"/>
        </w:rPr>
      </w:pPr>
      <w:r>
        <w:rPr>
          <w:rFonts w:ascii="helvetica" w:hAnsi="helvetica"/>
          <w:sz w:val="20"/>
        </w:rPr>
        <w:t>As of December 31, 2011, the Company had received non-refundable royalty advances totaling $100,000 from JH Direct, and has deferred all of these revenues.  Management believes JH Direct has abandoned its efforts to commercialize the anti-cellulite cream and the Company has exercised its rights to terminate the agreement in 2012, at which time all revenues from this agreement will be recognized in full.  Management believes no other monies will come from this contract.</w:t>
      </w:r>
    </w:p>
    <w:p>
      <w:pPr>
        <w:pStyle w:val="TextBody"/>
        <w:spacing w:before="0" w:after="0"/>
        <w:ind w:left="0" w:right="0" w:hanging="0"/>
        <w:jc w:val="both"/>
        <w:rPr/>
      </w:pPr>
      <w:r>
        <w:rPr/>
        <w:t> </w:t>
      </w:r>
    </w:p>
    <w:p>
      <w:pPr>
        <w:pStyle w:val="TextBody"/>
        <w:spacing w:before="0" w:after="0"/>
        <w:ind w:left="0" w:right="0" w:hanging="0"/>
        <w:jc w:val="both"/>
        <w:rPr>
          <w:rFonts w:ascii="helvetica" w:hAnsi="helvetica"/>
          <w:sz w:val="20"/>
        </w:rPr>
      </w:pPr>
      <w:r>
        <w:rPr>
          <w:rFonts w:ascii="helvetica" w:hAnsi="helvetica"/>
          <w:sz w:val="20"/>
        </w:rPr>
        <w:t>In June 2010, the Company and Jan Marini Skin Research, Inc. (“JMSR”) entered into a licensing agreement providing JMSR with the exclusive U.S. rights to Imprimis’ transdermal delivery technology for use in an anti-cellulite cosmetic product for the dermatological market. Under the terms of the agreement, JMSR will pay Imprimis a licensing royalty on the U.S. and worldwide sales of an anti-cellulite product using Imprimis’ delivery technology. JMSR obtained an exclusive right to promote and sell a product in the U.S. dermatological market for approximately one year after which time they have a non-exclusive right. Also, JMSR obtained a non-exclusive right to promote and sell the product in the ex-U.S. dermatological market. In accordance with the cosmetic products consulting agreement, the cosmetic consultants will receive a percentage of the royalties paid to the Company. Management believes JMSR has abandoned its efforts to commercialize the anti-cellulite cream and the Company will look to terminate this agreement in 2012.  No revenues or amounts were paid to or on behalf of the Company related to this agreement.</w:t>
      </w:r>
    </w:p>
    <w:p>
      <w:pPr>
        <w:pStyle w:val="TextBody"/>
        <w:spacing w:before="0" w:after="0"/>
        <w:ind w:left="0" w:right="0" w:hanging="0"/>
        <w:jc w:val="both"/>
        <w:rPr/>
      </w:pPr>
      <w:r>
        <w:rPr/>
        <w:t> </w:t>
      </w:r>
    </w:p>
    <w:p>
      <w:pPr>
        <w:pStyle w:val="TextBody"/>
        <w:spacing w:before="0" w:after="0"/>
        <w:ind w:left="0" w:right="0" w:hanging="0"/>
        <w:jc w:val="both"/>
        <w:rPr>
          <w:rFonts w:ascii="helvetica" w:hAnsi="helvetica"/>
          <w:b/>
          <w:sz w:val="20"/>
        </w:rPr>
      </w:pPr>
      <w:r>
        <w:rPr>
          <w:rFonts w:ascii="helvetica" w:hAnsi="helvetica"/>
          <w:b/>
          <w:sz w:val="20"/>
        </w:rPr>
        <w:t>Separation Agreement</w:t>
      </w:r>
    </w:p>
    <w:p>
      <w:pPr>
        <w:pStyle w:val="TextBody"/>
        <w:spacing w:before="0" w:after="0"/>
        <w:ind w:left="0" w:right="0" w:hanging="0"/>
        <w:jc w:val="both"/>
        <w:rPr/>
      </w:pPr>
      <w:r>
        <w:rPr/>
        <w:t> </w:t>
      </w:r>
    </w:p>
    <w:p>
      <w:pPr>
        <w:pStyle w:val="TextBody"/>
        <w:spacing w:before="0" w:after="0"/>
        <w:ind w:left="0" w:right="0" w:hanging="0"/>
        <w:jc w:val="both"/>
        <w:rPr>
          <w:rFonts w:ascii="helvetica" w:hAnsi="helvetica"/>
          <w:sz w:val="20"/>
        </w:rPr>
      </w:pPr>
      <w:r>
        <w:rPr>
          <w:rFonts w:ascii="helvetica" w:hAnsi="helvetica"/>
          <w:sz w:val="20"/>
        </w:rPr>
        <w:t>Effective February 17, 2010, the Board of Directors of the Company accepted the resignation of Dr. Juliet Singh as Chief Executive Officer of the Company and as a director on the Board. In connection with Dr. Singh’s resignation, the Company and Dr. Singh entered into a separation agreement that provides Dr. Singh with one year of continued salary in accordance with the terms of her existing employment agreement as well as the accelerated vesting of 37,500 stock options previously granted. The separation agreement also includes a mutual release of claims. In accordance with this agreement, the Company recorded a one-time accrual, in the year ended December 31, 2010, of $242,000 for the one year of continued salary (including the related employer payroll taxes) and medical benefits. Also, the Company recorded a total expense of approximately $174,000 for the value of the modifications to the stock options. As of December 31, 2011, no amounts are due under the separation agreement.</w:t>
      </w:r>
    </w:p>
    <w:p>
      <w:pPr>
        <w:pStyle w:val="TextBody"/>
        <w:spacing w:before="0" w:after="0"/>
        <w:ind w:left="0" w:right="0" w:hanging="0"/>
        <w:jc w:val="both"/>
        <w:rPr/>
      </w:pPr>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r>
      <w:bookmarkStart w:id="1316" w:name="PGBRK113"/>
      <w:bookmarkStart w:id="1317" w:name="PGBRK113"/>
      <w:bookmarkEnd w:id="131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318" w:name="FTR113"/>
      <w:bookmarkStart w:id="1319" w:name="FTR113"/>
      <w:bookmarkEnd w:id="131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1320" w:name="GLFTR112"/>
      <w:bookmarkEnd w:id="1320"/>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helvetica" w:hAnsi="helvetica"/>
          <w:sz w:val="20"/>
        </w:rPr>
      </w:pPr>
      <w:bookmarkStart w:id="1321" w:name="PN112"/>
      <w:bookmarkEnd w:id="1321"/>
      <w:r>
        <w:rPr>
          <w:rFonts w:ascii="helvetica" w:hAnsi="helvetica"/>
          <w:sz w:val="20"/>
        </w:rPr>
        <w:t>F-42</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322" w:name="HDR112"/>
      <w:bookmarkStart w:id="1323" w:name="HDR112"/>
      <w:bookmarkEnd w:id="132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1324" w:name="GLHDR112"/>
      <w:bookmarkEnd w:id="1324"/>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t> </w:t>
      </w:r>
    </w:p>
    <w:p>
      <w:pPr>
        <w:pStyle w:val="TextBody"/>
        <w:spacing w:before="0" w:after="0"/>
        <w:ind w:left="0" w:right="0" w:hanging="0"/>
        <w:jc w:val="left"/>
        <w:rPr>
          <w:rFonts w:ascii="helvetica" w:hAnsi="helvetica"/>
          <w:b/>
          <w:sz w:val="20"/>
        </w:rPr>
      </w:pPr>
      <w:r>
        <w:rPr>
          <w:rFonts w:ascii="helvetica" w:hAnsi="helvetica"/>
          <w:b/>
          <w:sz w:val="20"/>
        </w:rPr>
        <w:t>NOTE 11.  OTHER RELATED PARTY TRANSACTIONS</w:t>
      </w:r>
    </w:p>
    <w:p>
      <w:pPr>
        <w:pStyle w:val="TextBody"/>
        <w:spacing w:before="0" w:after="0"/>
        <w:ind w:left="0" w:right="0" w:hanging="0"/>
        <w:rPr/>
      </w:pPr>
      <w:r>
        <w:rPr/>
        <w:t> </w:t>
      </w:r>
    </w:p>
    <w:p>
      <w:pPr>
        <w:pStyle w:val="TextBody"/>
        <w:spacing w:before="0" w:after="0"/>
        <w:ind w:left="0" w:right="0" w:hanging="0"/>
        <w:jc w:val="both"/>
        <w:rPr>
          <w:rFonts w:ascii="helvetica" w:hAnsi="helvetica"/>
          <w:sz w:val="20"/>
        </w:rPr>
      </w:pPr>
      <w:r>
        <w:rPr>
          <w:rFonts w:ascii="helvetica" w:hAnsi="helvetica"/>
          <w:sz w:val="20"/>
        </w:rPr>
        <w:t>During the year ended December 31, 2011, the Company received cash advances from its Board member Jeffery Abrams and former Board member Anthony Thornley in the amount of $27,537 to extend insurance policies of the Company.  Following the dismissal of the Chapter 11 Case by the Bankruptcy Court on December 8, 2011, $27,537 was paid back by the Company in cash to Mr. Thornley and Mr. Abrams.  There are currently no amounts due to Mr. Thornley and/or Dr. Abrams related to this or any other transaction.</w:t>
      </w:r>
    </w:p>
    <w:p>
      <w:pPr>
        <w:pStyle w:val="TextBody"/>
        <w:spacing w:before="0" w:after="0"/>
        <w:ind w:left="0" w:right="0" w:hanging="0"/>
        <w:jc w:val="both"/>
        <w:rPr/>
      </w:pPr>
      <w:r>
        <w:rPr/>
        <w:t> </w:t>
      </w:r>
    </w:p>
    <w:p>
      <w:pPr>
        <w:pStyle w:val="TextBody"/>
        <w:spacing w:before="0" w:after="0"/>
        <w:ind w:left="0" w:right="0" w:hanging="0"/>
        <w:jc w:val="both"/>
        <w:rPr>
          <w:rFonts w:ascii="helvetica" w:hAnsi="helvetica"/>
          <w:sz w:val="20"/>
        </w:rPr>
      </w:pPr>
      <w:r>
        <w:rPr>
          <w:rFonts w:ascii="helvetica" w:hAnsi="helvetica"/>
          <w:sz w:val="20"/>
        </w:rPr>
        <w:t>During the year ended December 31, 2011, DermaStar purchased trade debt from third party vendors totaling $56,087.   The amount owed to DermaStar related to this debt is included in the accounts payable – related party line item on the consolidated balance sheet.  No amounts were paid to DermaStar related to this debt.  DermaStar also made cash payments on behalf of the Company during the year ended December 31, 2011 in the amount of $254,142.  On December 31, 2011, the Company made a payment to DermaStar totaling $254,142, as reimbursement for DermaStar’s cash payments made on behalf of the Company.  DermaStar, and its members individually, are control persons of the Company.  Also Dr. Robert J. Kammer, a director of the Company, and Mark L. Baum, Esq., Executive Chairman of the Company, are managing members and partial owners of DermaStar.</w:t>
      </w:r>
    </w:p>
    <w:p>
      <w:pPr>
        <w:pStyle w:val="TextBody"/>
        <w:spacing w:before="0" w:after="0"/>
        <w:ind w:left="0" w:right="0" w:hanging="0"/>
        <w:jc w:val="both"/>
        <w:rPr/>
      </w:pPr>
      <w:r>
        <w:rPr/>
        <w:t> </w:t>
      </w:r>
    </w:p>
    <w:p>
      <w:pPr>
        <w:pStyle w:val="TextBody"/>
        <w:spacing w:before="0" w:after="0"/>
        <w:ind w:left="0" w:right="0" w:hanging="0"/>
        <w:jc w:val="both"/>
        <w:rPr>
          <w:rFonts w:ascii="helvetica" w:hAnsi="helvetica"/>
          <w:b/>
          <w:sz w:val="20"/>
        </w:rPr>
      </w:pPr>
      <w:r>
        <w:rPr>
          <w:rFonts w:ascii="helvetica" w:hAnsi="helvetica"/>
          <w:b/>
          <w:sz w:val="20"/>
        </w:rPr>
        <w:t>NOTE 12.  RESEARCH AND DEVELOPMENT CREDIT</w:t>
      </w:r>
    </w:p>
    <w:p>
      <w:pPr>
        <w:pStyle w:val="TextBody"/>
        <w:spacing w:before="0" w:after="0"/>
        <w:ind w:left="0" w:right="0" w:hanging="0"/>
        <w:jc w:val="both"/>
        <w:rPr/>
      </w:pPr>
      <w:r>
        <w:rPr/>
        <w:t> </w:t>
      </w:r>
    </w:p>
    <w:p>
      <w:pPr>
        <w:pStyle w:val="TextBody"/>
        <w:spacing w:before="0" w:after="0"/>
        <w:ind w:left="0" w:right="0" w:hanging="0"/>
        <w:jc w:val="both"/>
        <w:rPr>
          <w:rFonts w:ascii="helvetica" w:hAnsi="helvetica"/>
          <w:sz w:val="20"/>
        </w:rPr>
      </w:pPr>
      <w:r>
        <w:rPr>
          <w:rFonts w:ascii="helvetica" w:hAnsi="helvetica"/>
          <w:sz w:val="20"/>
        </w:rPr>
        <w:t>In November 2010, the Company received a Federal grant amount of $244,479 under the Qualifying Therapeutic Discovery Project that is part of the Patient Protection and Affordable Care Act.  The funds were awarded in support of Impracor, the Company’s late-stage topical NSAID product candidate for the treatment of acute soft tissue injuries. The proceeds from this grant were recorded as a reduction in research and development expenses in the accompanying consolidated statement of operations.</w:t>
      </w:r>
    </w:p>
    <w:p>
      <w:pPr>
        <w:pStyle w:val="TextBody"/>
        <w:spacing w:before="0" w:after="0"/>
        <w:ind w:left="0" w:right="0" w:hanging="0"/>
        <w:jc w:val="both"/>
        <w:rPr/>
      </w:pPr>
      <w:r>
        <w:rPr/>
        <w:t> </w:t>
      </w:r>
    </w:p>
    <w:p>
      <w:pPr>
        <w:pStyle w:val="TextBody"/>
        <w:spacing w:before="0" w:after="0"/>
        <w:ind w:left="0" w:right="0" w:hanging="0"/>
        <w:jc w:val="both"/>
        <w:rPr>
          <w:rFonts w:ascii="helvetica" w:hAnsi="helvetica"/>
          <w:b/>
          <w:sz w:val="20"/>
        </w:rPr>
      </w:pPr>
      <w:r>
        <w:rPr>
          <w:rFonts w:ascii="helvetica" w:hAnsi="helvetica"/>
          <w:b/>
          <w:sz w:val="20"/>
        </w:rPr>
        <w:t>NOTE 13.  GAIN ON FORGIVENESS OF LIABILITIES</w:t>
      </w:r>
    </w:p>
    <w:p>
      <w:pPr>
        <w:pStyle w:val="TextBody"/>
        <w:spacing w:before="0" w:after="0"/>
        <w:ind w:left="0" w:right="0" w:hanging="0"/>
        <w:jc w:val="both"/>
        <w:rPr/>
      </w:pPr>
      <w:r>
        <w:rPr/>
        <w:t> </w:t>
      </w:r>
    </w:p>
    <w:p>
      <w:pPr>
        <w:pStyle w:val="TextBody"/>
        <w:spacing w:before="0" w:after="0"/>
        <w:ind w:left="0" w:right="0" w:hanging="0"/>
        <w:jc w:val="both"/>
        <w:rPr>
          <w:rFonts w:ascii="helvetica" w:hAnsi="helvetica"/>
          <w:sz w:val="20"/>
        </w:rPr>
      </w:pPr>
      <w:r>
        <w:rPr>
          <w:rFonts w:ascii="helvetica" w:hAnsi="helvetica"/>
          <w:sz w:val="20"/>
        </w:rPr>
        <w:t>On October 2, 2008, the Company entered into a payment agreement with a vendor, settling a balance of $52,598. It was agreed between the Company and the vendor that 50% of the amount owed, or $26,299, would be forgiven and the remainder would be paid in two installments, which were, 50%, or $13,150, upon execution of the payment agreement and $13,149 upon an infusion of capital into the Company. Since the inception of the payment agreement, the amount to be forgiven, $26,299, continued to be recorded as an accounts payable up until the infusion of $1 million from the issuance of the Note in April 2010. When the Note was issued, the final installment payment of $13,149 was paid and the $26,299 was recognized as a gain on forgiveness of liabilities by the Company during the year ended December 31, 2010.</w:t>
      </w:r>
    </w:p>
    <w:p>
      <w:pPr>
        <w:pStyle w:val="TextBody"/>
        <w:spacing w:before="0" w:after="0"/>
        <w:ind w:left="0" w:right="0" w:hanging="0"/>
        <w:jc w:val="both"/>
        <w:rPr/>
      </w:pPr>
      <w:r>
        <w:rPr/>
        <w:t> </w:t>
      </w:r>
    </w:p>
    <w:p>
      <w:pPr>
        <w:pStyle w:val="TextBody"/>
        <w:spacing w:before="0" w:after="0"/>
        <w:ind w:left="0" w:right="0" w:hanging="0"/>
        <w:jc w:val="both"/>
        <w:rPr>
          <w:rFonts w:ascii="helvetica" w:hAnsi="helvetica"/>
          <w:sz w:val="20"/>
        </w:rPr>
      </w:pPr>
      <w:r>
        <w:rPr>
          <w:rFonts w:ascii="helvetica" w:hAnsi="helvetica"/>
          <w:sz w:val="20"/>
        </w:rPr>
        <w:t>On October 5, 2011, priority claims of former employees in the amount of $119,667 originating as a result of the Company’s Bankruptcy petition filed June 26, 2010 (the “Priority Claimants”), were settled and paid by the Company.  These amounts consisted of accrued and owed payroll amounts, accrued vacation and any other claims held against the Company at October 5, 2011.  The Priority Claimants were given cash in the amount $47,975 and 300,000 stock options valued at $11,400 (using the Black-Scholes option pricing model to estimate the grant-date fair value) and the difference of $60,292 was recognized as a gain on forgiveness of liabilities during the year ended December 31, 2011.</w:t>
      </w:r>
    </w:p>
    <w:p>
      <w:pPr>
        <w:pStyle w:val="TextBody"/>
        <w:spacing w:before="0" w:after="0"/>
        <w:ind w:left="0" w:right="0" w:hanging="0"/>
        <w:jc w:val="both"/>
        <w:rPr/>
      </w:pPr>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r>
      <w:bookmarkStart w:id="1325" w:name="PGBRK114"/>
      <w:bookmarkStart w:id="1326" w:name="PGBRK114"/>
      <w:bookmarkEnd w:id="132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327" w:name="FTR114"/>
      <w:bookmarkStart w:id="1328" w:name="FTR114"/>
      <w:bookmarkEnd w:id="132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1329" w:name="GLFTR113"/>
      <w:bookmarkEnd w:id="1329"/>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helvetica" w:hAnsi="helvetica"/>
          <w:sz w:val="20"/>
        </w:rPr>
      </w:pPr>
      <w:bookmarkStart w:id="1330" w:name="PN113"/>
      <w:bookmarkEnd w:id="1330"/>
      <w:r>
        <w:rPr>
          <w:rFonts w:ascii="helvetica" w:hAnsi="helvetica"/>
          <w:sz w:val="20"/>
        </w:rPr>
        <w:t>F-43</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331" w:name="HDR113"/>
      <w:bookmarkStart w:id="1332" w:name="HDR113"/>
      <w:bookmarkEnd w:id="133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1333" w:name="GLHDR113"/>
      <w:bookmarkEnd w:id="1333"/>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pPr>
      <w:r>
        <w:rPr/>
        <w:t> </w:t>
      </w:r>
    </w:p>
    <w:p>
      <w:pPr>
        <w:pStyle w:val="TextBody"/>
        <w:spacing w:before="0" w:after="0"/>
        <w:ind w:left="0" w:right="0" w:hanging="0"/>
        <w:rPr/>
      </w:pPr>
      <w:r>
        <w:rPr/>
        <w:t> </w:t>
      </w:r>
    </w:p>
    <w:p>
      <w:pPr>
        <w:pStyle w:val="TextBody"/>
        <w:spacing w:before="0" w:after="0"/>
        <w:ind w:left="0" w:right="0" w:hanging="0"/>
        <w:jc w:val="both"/>
        <w:rPr/>
      </w:pPr>
      <w:r>
        <w:rPr/>
        <w:t> </w:t>
      </w:r>
    </w:p>
    <w:p>
      <w:pPr>
        <w:pStyle w:val="TextBody"/>
        <w:spacing w:before="0" w:after="0"/>
        <w:ind w:left="0" w:right="0" w:hanging="0"/>
        <w:jc w:val="center"/>
        <w:rPr>
          <w:rFonts w:ascii="helvetica" w:hAnsi="helvetica"/>
          <w:b/>
          <w:sz w:val="20"/>
        </w:rPr>
      </w:pPr>
      <w:r>
        <w:rPr>
          <w:rFonts w:ascii="helvetica" w:hAnsi="helvetica"/>
          <w:b/>
          <w:sz w:val="20"/>
        </w:rPr>
        <w:t>IMPRIMIS PHARMACEUTICALS, INC.</w:t>
      </w:r>
    </w:p>
    <w:p>
      <w:pPr>
        <w:pStyle w:val="TextBody"/>
        <w:spacing w:before="0" w:after="0"/>
        <w:ind w:left="0" w:right="0" w:hanging="0"/>
        <w:jc w:val="both"/>
        <w:rPr/>
      </w:pPr>
      <w:r>
        <w:rPr/>
        <w:t> </w:t>
      </w:r>
    </w:p>
    <w:p>
      <w:pPr>
        <w:pStyle w:val="TextBody"/>
        <w:spacing w:before="0" w:after="0"/>
        <w:ind w:left="0" w:right="0" w:hanging="0"/>
        <w:jc w:val="center"/>
        <w:rPr>
          <w:rFonts w:ascii="helvetica" w:hAnsi="helvetica"/>
          <w:b/>
          <w:sz w:val="20"/>
        </w:rPr>
      </w:pPr>
      <w:r>
        <w:rPr>
          <w:rFonts w:ascii="helvetica" w:hAnsi="helvetica"/>
          <w:b/>
          <w:sz w:val="20"/>
        </w:rPr>
        <w:t>PROSPECTUS</w:t>
      </w:r>
    </w:p>
    <w:p>
      <w:pPr>
        <w:pStyle w:val="TextBody"/>
        <w:spacing w:before="0" w:after="0"/>
        <w:ind w:left="0" w:right="0" w:hanging="0"/>
        <w:jc w:val="both"/>
        <w:rPr/>
      </w:pPr>
      <w:r>
        <w:rPr/>
        <w:t> </w:t>
      </w:r>
    </w:p>
    <w:p>
      <w:pPr>
        <w:pStyle w:val="TextBody"/>
        <w:spacing w:before="0" w:after="0"/>
        <w:ind w:left="0" w:right="0" w:hanging="0"/>
        <w:jc w:val="center"/>
        <w:rPr>
          <w:rFonts w:ascii="helvetica" w:hAnsi="helvetica"/>
          <w:b/>
          <w:sz w:val="20"/>
        </w:rPr>
      </w:pPr>
      <w:r>
        <w:rPr>
          <w:rFonts w:ascii="helvetica" w:hAnsi="helvetica"/>
          <w:b/>
          <w:sz w:val="20"/>
        </w:rPr>
        <w:t>Up to      Shares of Common Stock</w:t>
      </w:r>
    </w:p>
    <w:p>
      <w:pPr>
        <w:pStyle w:val="TextBody"/>
        <w:spacing w:before="0" w:after="0"/>
        <w:ind w:left="0" w:right="0" w:hanging="0"/>
        <w:jc w:val="both"/>
        <w:rPr/>
      </w:pPr>
      <w:r>
        <w:rPr/>
        <w:t> </w:t>
      </w:r>
    </w:p>
    <w:p>
      <w:pPr>
        <w:pStyle w:val="TextBody"/>
        <w:spacing w:before="0" w:after="0"/>
        <w:ind w:left="0" w:right="0" w:hanging="0"/>
        <w:jc w:val="center"/>
        <w:rPr>
          <w:rFonts w:ascii="helvetica" w:hAnsi="helvetica"/>
          <w:b/>
          <w:sz w:val="20"/>
        </w:rPr>
      </w:pPr>
      <w:r>
        <w:rPr>
          <w:rFonts w:ascii="helvetica" w:hAnsi="helvetica"/>
          <w:b/>
          <w:sz w:val="20"/>
        </w:rPr>
        <w:t>Prospectus dated        , 2012</w:t>
      </w:r>
    </w:p>
    <w:p>
      <w:pPr>
        <w:pStyle w:val="TextBody"/>
        <w:spacing w:before="0" w:after="0"/>
        <w:ind w:left="0" w:right="0" w:hanging="0"/>
        <w:jc w:val="center"/>
        <w:rPr/>
      </w:pPr>
      <w:r>
        <w:rPr/>
        <w:t> </w:t>
      </w:r>
    </w:p>
    <w:p>
      <w:pPr>
        <w:pStyle w:val="TextBody"/>
        <w:spacing w:before="0" w:after="0"/>
        <w:ind w:left="0" w:right="0" w:hanging="0"/>
        <w:jc w:val="center"/>
        <w:rPr/>
      </w:pPr>
      <w:r>
        <w:rPr/>
        <w:t> </w:t>
      </w:r>
    </w:p>
    <w:p>
      <w:pPr>
        <w:pStyle w:val="TextBody"/>
        <w:spacing w:before="0" w:after="0"/>
        <w:ind w:left="0" w:right="0" w:hanging="0"/>
        <w:jc w:val="both"/>
        <w:rPr/>
      </w:pPr>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r>
      <w:bookmarkStart w:id="1334" w:name="PGBRK115"/>
      <w:bookmarkStart w:id="1335" w:name="PGBRK115"/>
      <w:bookmarkEnd w:id="133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336" w:name="FTR115"/>
      <w:bookmarkStart w:id="1337" w:name="FTR115"/>
      <w:bookmarkEnd w:id="133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1338" w:name="GLFTR114"/>
      <w:bookmarkEnd w:id="1338"/>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1339" w:name="PN114"/>
      <w:bookmarkEnd w:id="1339"/>
      <w:r>
        <w:rPr/>
        <w:t> </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340" w:name="HDR114"/>
      <w:bookmarkStart w:id="1341" w:name="HDR114"/>
      <w:bookmarkEnd w:id="134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1342" w:name="GLHDR114"/>
      <w:bookmarkEnd w:id="1342"/>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t> </w:t>
      </w:r>
    </w:p>
    <w:p>
      <w:pPr>
        <w:pStyle w:val="TextBody"/>
        <w:spacing w:before="0" w:after="0"/>
        <w:ind w:left="0" w:right="0" w:hanging="0"/>
        <w:jc w:val="center"/>
        <w:rPr>
          <w:rFonts w:ascii="helvetica" w:hAnsi="helvetica"/>
          <w:b/>
          <w:sz w:val="20"/>
        </w:rPr>
      </w:pPr>
      <w:r>
        <w:rPr>
          <w:rFonts w:ascii="helvetica" w:hAnsi="helvetica"/>
          <w:b/>
          <w:sz w:val="20"/>
        </w:rPr>
        <w:t>PART II</w:t>
      </w:r>
    </w:p>
    <w:p>
      <w:pPr>
        <w:pStyle w:val="TextBody"/>
        <w:spacing w:before="0" w:after="0"/>
        <w:ind w:left="0" w:right="0" w:hanging="0"/>
        <w:jc w:val="both"/>
        <w:rPr/>
      </w:pPr>
      <w:r>
        <w:rPr/>
        <w:t> </w:t>
      </w:r>
    </w:p>
    <w:p>
      <w:pPr>
        <w:pStyle w:val="TextBody"/>
        <w:spacing w:before="0" w:after="0"/>
        <w:ind w:left="0" w:right="0" w:hanging="0"/>
        <w:jc w:val="center"/>
        <w:rPr>
          <w:rFonts w:ascii="helvetica" w:hAnsi="helvetica"/>
          <w:b/>
          <w:sz w:val="20"/>
        </w:rPr>
      </w:pPr>
      <w:r>
        <w:rPr>
          <w:rFonts w:ascii="helvetica" w:hAnsi="helvetica"/>
          <w:b/>
          <w:sz w:val="20"/>
        </w:rPr>
        <w:t>INFORMATION NOT REQUIRED IN PROSPECTUS</w:t>
      </w:r>
    </w:p>
    <w:p>
      <w:pPr>
        <w:pStyle w:val="TextBody"/>
        <w:spacing w:before="0" w:after="0"/>
        <w:ind w:left="0" w:right="0" w:hanging="0"/>
        <w:jc w:val="both"/>
        <w:rPr/>
      </w:pPr>
      <w:r>
        <w:rPr/>
        <w:t> </w:t>
      </w:r>
    </w:p>
    <w:p>
      <w:pPr>
        <w:pStyle w:val="TextBody"/>
        <w:spacing w:before="0" w:after="0"/>
        <w:ind w:left="0" w:right="0" w:hanging="0"/>
        <w:jc w:val="both"/>
        <w:rPr>
          <w:rFonts w:ascii="helvetica" w:hAnsi="helvetica"/>
          <w:b/>
          <w:sz w:val="20"/>
        </w:rPr>
      </w:pPr>
      <w:r>
        <w:rPr>
          <w:rFonts w:ascii="helvetica" w:hAnsi="helvetica"/>
          <w:b/>
          <w:sz w:val="20"/>
        </w:rPr>
        <w:t>ITEM 13. OTHER EXPENSES OF ISSUANCE AND DISTRIBUTION.</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r>
        <w:rPr>
          <w:rFonts w:ascii="helvetica" w:hAnsi="helvetica"/>
          <w:sz w:val="20"/>
        </w:rPr>
        <w:t>The following table sets forth the costs and expenses, other than the underwriting discount, payable by the registrant in connection with the sale and distribution of the securities being registered. All amounts are estimated except the SEC registration fee and the FINRA filing fee.</w:t>
      </w:r>
    </w:p>
    <w:p>
      <w:pPr>
        <w:pStyle w:val="TextBody"/>
        <w:spacing w:before="0" w:after="0"/>
        <w:ind w:left="0" w:right="0" w:hanging="0"/>
        <w:jc w:val="both"/>
        <w:rPr/>
      </w:pPr>
      <w:r>
        <w:rPr/>
        <w:t> </w:t>
      </w:r>
    </w:p>
    <w:tbl>
      <w:tblPr>
        <w:tblW w:w="5000" w:type="pct"/>
        <w:jc w:val="left"/>
        <w:tblInd w:w="0" w:type="dxa"/>
        <w:tblCellMar>
          <w:top w:w="0" w:type="dxa"/>
          <w:left w:w="0" w:type="dxa"/>
          <w:bottom w:w="0" w:type="dxa"/>
          <w:right w:w="0" w:type="dxa"/>
        </w:tblCellMar>
      </w:tblPr>
      <w:tblGrid>
        <w:gridCol w:w="8767"/>
        <w:gridCol w:w="110"/>
        <w:gridCol w:w="126"/>
        <w:gridCol w:w="1085"/>
        <w:gridCol w:w="117"/>
      </w:tblGrid>
      <w:tr>
        <w:trPr/>
        <w:tc>
          <w:tcPr>
            <w:tcW w:w="8767" w:type="dxa"/>
            <w:tcBorders/>
            <w:shd w:fill="auto" w:val="clear"/>
            <w:vAlign w:val="bottom"/>
          </w:tcPr>
          <w:p>
            <w:pPr>
              <w:pStyle w:val="TableContents"/>
              <w:spacing w:before="0" w:after="283"/>
              <w:rPr/>
            </w:pPr>
            <w:r>
              <w:rPr/>
              <w:t xml:space="preserve">  </w:t>
            </w:r>
          </w:p>
        </w:tc>
        <w:tc>
          <w:tcPr>
            <w:tcW w:w="110" w:type="dxa"/>
            <w:tcBorders/>
            <w:shd w:fill="auto" w:val="clear"/>
            <w:vAlign w:val="bottom"/>
          </w:tcPr>
          <w:p>
            <w:pPr>
              <w:pStyle w:val="TableContents"/>
              <w:spacing w:before="0" w:after="283"/>
              <w:rPr/>
            </w:pPr>
            <w:r>
              <w:rPr/>
              <w:t xml:space="preserve">  </w:t>
            </w:r>
          </w:p>
        </w:tc>
        <w:tc>
          <w:tcPr>
            <w:tcW w:w="1328" w:type="dxa"/>
            <w:gridSpan w:val="3"/>
            <w:tcBorders>
              <w:bottom w:val="single" w:sz="12" w:space="0" w:color="000000"/>
            </w:tcBorders>
            <w:shd w:fill="auto" w:val="clear"/>
            <w:tcMar>
              <w:bottom w:w="28" w:type="dxa"/>
            </w:tcMar>
            <w:vAlign w:val="bottom"/>
          </w:tcPr>
          <w:p>
            <w:pPr>
              <w:pStyle w:val="TableContents"/>
              <w:spacing w:before="0" w:after="0"/>
              <w:ind w:left="0" w:right="0" w:hanging="0"/>
              <w:jc w:val="center"/>
              <w:rPr/>
            </w:pPr>
            <w:r>
              <w:rPr>
                <w:rFonts w:ascii="helvetica" w:hAnsi="helvetica"/>
                <w:b/>
                <w:sz w:val="20"/>
              </w:rPr>
              <w:t>Amount</w:t>
            </w:r>
            <w:r>
              <w:rPr/>
              <w:t xml:space="preserve"> </w:t>
            </w:r>
          </w:p>
        </w:tc>
      </w:tr>
      <w:tr>
        <w:trPr/>
        <w:tc>
          <w:tcPr>
            <w:tcW w:w="8767" w:type="dxa"/>
            <w:tcBorders/>
            <w:shd w:fill="CCEEFF" w:val="clear"/>
            <w:vAlign w:val="bottom"/>
          </w:tcPr>
          <w:p>
            <w:pPr>
              <w:pStyle w:val="TableContents"/>
              <w:spacing w:before="0" w:after="0"/>
              <w:ind w:left="0" w:right="0" w:hanging="0"/>
              <w:jc w:val="left"/>
              <w:rPr/>
            </w:pPr>
            <w:r>
              <w:rPr>
                <w:rFonts w:ascii="helvetica" w:hAnsi="helvetica"/>
                <w:sz w:val="20"/>
              </w:rPr>
              <w:t>SEC Registration Fee</w:t>
            </w:r>
            <w:r>
              <w:rPr/>
              <w:t xml:space="preserve"> </w:t>
            </w:r>
          </w:p>
        </w:tc>
        <w:tc>
          <w:tcPr>
            <w:tcW w:w="110" w:type="dxa"/>
            <w:tcBorders/>
            <w:shd w:fill="CCEEFF" w:val="clear"/>
            <w:vAlign w:val="bottom"/>
          </w:tcPr>
          <w:p>
            <w:pPr>
              <w:pStyle w:val="TableContents"/>
              <w:spacing w:before="0" w:after="283"/>
              <w:rPr/>
            </w:pPr>
            <w:r>
              <w:rPr/>
              <w:t xml:space="preserve">  </w:t>
            </w:r>
          </w:p>
        </w:tc>
        <w:tc>
          <w:tcPr>
            <w:tcW w:w="126" w:type="dxa"/>
            <w:tcBorders/>
            <w:shd w:fill="CCEEFF" w:val="clear"/>
            <w:vAlign w:val="bottom"/>
          </w:tcPr>
          <w:p>
            <w:pPr>
              <w:pStyle w:val="TableContents"/>
              <w:spacing w:before="0" w:after="0"/>
              <w:ind w:left="0" w:right="0" w:hanging="0"/>
              <w:jc w:val="right"/>
              <w:rPr/>
            </w:pPr>
            <w:r>
              <w:rPr>
                <w:rFonts w:ascii="helvetica" w:hAnsi="helvetica"/>
                <w:sz w:val="20"/>
              </w:rPr>
              <w:t>$</w:t>
            </w:r>
            <w:r>
              <w:rPr/>
              <w:t xml:space="preserve"> </w:t>
            </w:r>
          </w:p>
        </w:tc>
        <w:tc>
          <w:tcPr>
            <w:tcW w:w="1085" w:type="dxa"/>
            <w:tcBorders/>
            <w:shd w:fill="CCEEFF" w:val="clear"/>
            <w:vAlign w:val="bottom"/>
          </w:tcPr>
          <w:p>
            <w:pPr>
              <w:pStyle w:val="TableContents"/>
              <w:spacing w:before="0" w:after="0"/>
              <w:ind w:left="0" w:right="0" w:hanging="0"/>
              <w:jc w:val="right"/>
              <w:rPr/>
            </w:pPr>
            <w:r>
              <w:rPr/>
              <w:t>   </w:t>
            </w:r>
            <w:r>
              <w:rPr>
                <w:rFonts w:ascii="helvetica" w:hAnsi="helvetica"/>
                <w:sz w:val="20"/>
              </w:rPr>
              <w:t>1,120</w:t>
            </w:r>
            <w:r>
              <w:rPr/>
              <w:t xml:space="preserve"> </w:t>
            </w:r>
          </w:p>
        </w:tc>
        <w:tc>
          <w:tcPr>
            <w:tcW w:w="117" w:type="dxa"/>
            <w:tcBorders/>
            <w:shd w:fill="CCEEFF" w:val="clear"/>
            <w:vAlign w:val="bottom"/>
          </w:tcPr>
          <w:p>
            <w:pPr>
              <w:pStyle w:val="TableContents"/>
              <w:spacing w:before="0" w:after="283"/>
              <w:rPr/>
            </w:pPr>
            <w:r>
              <w:rPr/>
              <w:t xml:space="preserve">  </w:t>
            </w:r>
          </w:p>
        </w:tc>
      </w:tr>
      <w:tr>
        <w:trPr/>
        <w:tc>
          <w:tcPr>
            <w:tcW w:w="8767" w:type="dxa"/>
            <w:tcBorders/>
            <w:shd w:fill="FFFFFF" w:val="clear"/>
            <w:vAlign w:val="bottom"/>
          </w:tcPr>
          <w:p>
            <w:pPr>
              <w:pStyle w:val="TableContents"/>
              <w:spacing w:before="0" w:after="0"/>
              <w:ind w:left="0" w:right="0" w:hanging="0"/>
              <w:jc w:val="left"/>
              <w:rPr/>
            </w:pPr>
            <w:r>
              <w:rPr>
                <w:rFonts w:ascii="helvetica" w:hAnsi="helvetica"/>
                <w:sz w:val="20"/>
              </w:rPr>
              <w:t>FINRA Filing Fee</w:t>
            </w:r>
            <w:r>
              <w:rPr/>
              <w:t xml:space="preserve"> </w:t>
            </w:r>
          </w:p>
        </w:tc>
        <w:tc>
          <w:tcPr>
            <w:tcW w:w="110" w:type="dxa"/>
            <w:tcBorders/>
            <w:shd w:fill="FFFFFF" w:val="clear"/>
            <w:vAlign w:val="bottom"/>
          </w:tcPr>
          <w:p>
            <w:pPr>
              <w:pStyle w:val="TableContents"/>
              <w:spacing w:before="0" w:after="283"/>
              <w:rPr/>
            </w:pPr>
            <w:r>
              <w:rPr/>
              <w:t xml:space="preserve">  </w:t>
            </w:r>
          </w:p>
        </w:tc>
        <w:tc>
          <w:tcPr>
            <w:tcW w:w="126" w:type="dxa"/>
            <w:tcBorders/>
            <w:shd w:fill="FFFFFF" w:val="clear"/>
            <w:vAlign w:val="bottom"/>
          </w:tcPr>
          <w:p>
            <w:pPr>
              <w:pStyle w:val="TableContents"/>
              <w:spacing w:before="0" w:after="283"/>
              <w:rPr/>
            </w:pPr>
            <w:r>
              <w:rPr/>
              <w:t xml:space="preserve">  </w:t>
            </w:r>
          </w:p>
        </w:tc>
        <w:tc>
          <w:tcPr>
            <w:tcW w:w="1085" w:type="dxa"/>
            <w:tcBorders/>
            <w:shd w:fill="FFFFFF" w:val="clear"/>
            <w:vAlign w:val="bottom"/>
          </w:tcPr>
          <w:p>
            <w:pPr>
              <w:pStyle w:val="TableContents"/>
              <w:spacing w:before="0" w:after="0"/>
              <w:ind w:left="0" w:right="0" w:hanging="0"/>
              <w:jc w:val="right"/>
              <w:rPr/>
            </w:pPr>
            <w:r>
              <w:rPr/>
              <w:t>   </w:t>
            </w:r>
            <w:r>
              <w:rPr>
                <w:rFonts w:ascii="helvetica" w:hAnsi="helvetica"/>
                <w:sz w:val="20"/>
              </w:rPr>
              <w:t>2,750</w:t>
            </w:r>
            <w:r>
              <w:rPr/>
              <w:t xml:space="preserve"> </w:t>
            </w:r>
          </w:p>
        </w:tc>
        <w:tc>
          <w:tcPr>
            <w:tcW w:w="117" w:type="dxa"/>
            <w:tcBorders/>
            <w:shd w:fill="FFFFFF" w:val="clear"/>
            <w:vAlign w:val="bottom"/>
          </w:tcPr>
          <w:p>
            <w:pPr>
              <w:pStyle w:val="TableContents"/>
              <w:spacing w:before="0" w:after="283"/>
              <w:rPr/>
            </w:pPr>
            <w:r>
              <w:rPr/>
              <w:t xml:space="preserve">  </w:t>
            </w:r>
          </w:p>
        </w:tc>
      </w:tr>
      <w:tr>
        <w:trPr/>
        <w:tc>
          <w:tcPr>
            <w:tcW w:w="8767" w:type="dxa"/>
            <w:tcBorders/>
            <w:shd w:fill="CCEEFF" w:val="clear"/>
            <w:vAlign w:val="bottom"/>
          </w:tcPr>
          <w:p>
            <w:pPr>
              <w:pStyle w:val="TableContents"/>
              <w:spacing w:before="0" w:after="0"/>
              <w:ind w:left="0" w:right="0" w:hanging="0"/>
              <w:jc w:val="left"/>
              <w:rPr/>
            </w:pPr>
            <w:r>
              <w:rPr>
                <w:rFonts w:ascii="helvetica" w:hAnsi="helvetica"/>
                <w:sz w:val="20"/>
              </w:rPr>
              <w:t>NASDAQ fee</w:t>
            </w:r>
            <w:r>
              <w:rPr/>
              <w:t xml:space="preserve"> </w:t>
            </w:r>
          </w:p>
        </w:tc>
        <w:tc>
          <w:tcPr>
            <w:tcW w:w="110" w:type="dxa"/>
            <w:tcBorders/>
            <w:shd w:fill="CCEEFF" w:val="clear"/>
            <w:vAlign w:val="bottom"/>
          </w:tcPr>
          <w:p>
            <w:pPr>
              <w:pStyle w:val="TableContents"/>
              <w:spacing w:before="0" w:after="283"/>
              <w:rPr/>
            </w:pPr>
            <w:r>
              <w:rPr/>
              <w:t xml:space="preserve">  </w:t>
            </w:r>
          </w:p>
        </w:tc>
        <w:tc>
          <w:tcPr>
            <w:tcW w:w="126" w:type="dxa"/>
            <w:tcBorders/>
            <w:shd w:fill="CCEEFF" w:val="clear"/>
            <w:vAlign w:val="bottom"/>
          </w:tcPr>
          <w:p>
            <w:pPr>
              <w:pStyle w:val="TableContents"/>
              <w:spacing w:before="0" w:after="283"/>
              <w:rPr/>
            </w:pPr>
            <w:r>
              <w:rPr/>
              <w:t xml:space="preserve">  </w:t>
            </w:r>
          </w:p>
        </w:tc>
        <w:tc>
          <w:tcPr>
            <w:tcW w:w="1085" w:type="dxa"/>
            <w:tcBorders/>
            <w:shd w:fill="CCEEFF" w:val="clear"/>
            <w:vAlign w:val="bottom"/>
          </w:tcPr>
          <w:p>
            <w:pPr>
              <w:pStyle w:val="TableContents"/>
              <w:spacing w:before="0" w:after="0"/>
              <w:ind w:left="0" w:right="0" w:hanging="0"/>
              <w:jc w:val="right"/>
              <w:rPr/>
            </w:pPr>
            <w:r>
              <w:rPr/>
              <w:t>   </w:t>
            </w:r>
            <w:r>
              <w:rPr>
                <w:rFonts w:ascii="helvetica" w:hAnsi="helvetica"/>
                <w:sz w:val="20"/>
              </w:rPr>
              <w:t>50,000</w:t>
            </w:r>
            <w:r>
              <w:rPr/>
              <w:t xml:space="preserve"> </w:t>
            </w:r>
          </w:p>
        </w:tc>
        <w:tc>
          <w:tcPr>
            <w:tcW w:w="117" w:type="dxa"/>
            <w:tcBorders/>
            <w:shd w:fill="CCEEFF" w:val="clear"/>
            <w:vAlign w:val="bottom"/>
          </w:tcPr>
          <w:p>
            <w:pPr>
              <w:pStyle w:val="TableContents"/>
              <w:spacing w:before="0" w:after="283"/>
              <w:rPr/>
            </w:pPr>
            <w:r>
              <w:rPr/>
              <w:t xml:space="preserve">  </w:t>
            </w:r>
          </w:p>
        </w:tc>
      </w:tr>
      <w:tr>
        <w:trPr/>
        <w:tc>
          <w:tcPr>
            <w:tcW w:w="8767" w:type="dxa"/>
            <w:tcBorders/>
            <w:shd w:fill="FFFFFF" w:val="clear"/>
            <w:vAlign w:val="bottom"/>
          </w:tcPr>
          <w:p>
            <w:pPr>
              <w:pStyle w:val="TableContents"/>
              <w:spacing w:before="0" w:after="0"/>
              <w:ind w:left="0" w:right="0" w:hanging="0"/>
              <w:jc w:val="left"/>
              <w:rPr/>
            </w:pPr>
            <w:r>
              <w:rPr>
                <w:rFonts w:ascii="helvetica" w:hAnsi="helvetica"/>
                <w:sz w:val="20"/>
              </w:rPr>
              <w:t>Legal Fees and Expenses</w:t>
            </w:r>
            <w:r>
              <w:rPr/>
              <w:t xml:space="preserve"> </w:t>
            </w:r>
          </w:p>
        </w:tc>
        <w:tc>
          <w:tcPr>
            <w:tcW w:w="110" w:type="dxa"/>
            <w:tcBorders/>
            <w:shd w:fill="FFFFFF" w:val="clear"/>
            <w:vAlign w:val="bottom"/>
          </w:tcPr>
          <w:p>
            <w:pPr>
              <w:pStyle w:val="TableContents"/>
              <w:spacing w:before="0" w:after="283"/>
              <w:rPr/>
            </w:pPr>
            <w:r>
              <w:rPr/>
              <w:t xml:space="preserve">  </w:t>
            </w:r>
          </w:p>
        </w:tc>
        <w:tc>
          <w:tcPr>
            <w:tcW w:w="126" w:type="dxa"/>
            <w:tcBorders/>
            <w:shd w:fill="FFFFFF" w:val="clear"/>
            <w:vAlign w:val="bottom"/>
          </w:tcPr>
          <w:p>
            <w:pPr>
              <w:pStyle w:val="TableContents"/>
              <w:spacing w:before="0" w:after="283"/>
              <w:rPr/>
            </w:pPr>
            <w:r>
              <w:rPr/>
              <w:t xml:space="preserve">  </w:t>
            </w:r>
          </w:p>
        </w:tc>
        <w:tc>
          <w:tcPr>
            <w:tcW w:w="1085" w:type="dxa"/>
            <w:tcBorders/>
            <w:shd w:fill="FFFFFF" w:val="clear"/>
            <w:vAlign w:val="bottom"/>
          </w:tcPr>
          <w:p>
            <w:pPr>
              <w:pStyle w:val="TableContents"/>
              <w:spacing w:before="0" w:after="0"/>
              <w:ind w:left="0" w:right="0" w:hanging="0"/>
              <w:jc w:val="right"/>
              <w:rPr/>
            </w:pPr>
            <w:r>
              <w:rPr/>
              <w:t>   </w:t>
            </w:r>
            <w:r>
              <w:rPr>
                <w:rFonts w:ascii="helvetica" w:hAnsi="helvetica"/>
                <w:sz w:val="20"/>
              </w:rPr>
              <w:t>250,000</w:t>
            </w:r>
            <w:r>
              <w:rPr/>
              <w:t xml:space="preserve"> </w:t>
            </w:r>
          </w:p>
        </w:tc>
        <w:tc>
          <w:tcPr>
            <w:tcW w:w="117" w:type="dxa"/>
            <w:tcBorders/>
            <w:shd w:fill="FFFFFF" w:val="clear"/>
            <w:vAlign w:val="bottom"/>
          </w:tcPr>
          <w:p>
            <w:pPr>
              <w:pStyle w:val="TableContents"/>
              <w:spacing w:before="0" w:after="283"/>
              <w:rPr/>
            </w:pPr>
            <w:r>
              <w:rPr/>
              <w:t xml:space="preserve">  </w:t>
            </w:r>
          </w:p>
        </w:tc>
      </w:tr>
      <w:tr>
        <w:trPr/>
        <w:tc>
          <w:tcPr>
            <w:tcW w:w="8767" w:type="dxa"/>
            <w:tcBorders/>
            <w:shd w:fill="CCEEFF" w:val="clear"/>
            <w:vAlign w:val="bottom"/>
          </w:tcPr>
          <w:p>
            <w:pPr>
              <w:pStyle w:val="TableContents"/>
              <w:spacing w:before="0" w:after="0"/>
              <w:ind w:left="0" w:right="0" w:hanging="0"/>
              <w:jc w:val="left"/>
              <w:rPr/>
            </w:pPr>
            <w:r>
              <w:rPr>
                <w:rFonts w:ascii="helvetica" w:hAnsi="helvetica"/>
                <w:sz w:val="20"/>
              </w:rPr>
              <w:t>Accounting Fees and Expenses</w:t>
            </w:r>
            <w:r>
              <w:rPr/>
              <w:t xml:space="preserve"> </w:t>
            </w:r>
          </w:p>
        </w:tc>
        <w:tc>
          <w:tcPr>
            <w:tcW w:w="110" w:type="dxa"/>
            <w:tcBorders/>
            <w:shd w:fill="CCEEFF" w:val="clear"/>
            <w:vAlign w:val="bottom"/>
          </w:tcPr>
          <w:p>
            <w:pPr>
              <w:pStyle w:val="TableContents"/>
              <w:spacing w:before="0" w:after="283"/>
              <w:rPr/>
            </w:pPr>
            <w:r>
              <w:rPr/>
              <w:t xml:space="preserve">  </w:t>
            </w:r>
          </w:p>
        </w:tc>
        <w:tc>
          <w:tcPr>
            <w:tcW w:w="126" w:type="dxa"/>
            <w:tcBorders/>
            <w:shd w:fill="CCEEFF" w:val="clear"/>
            <w:vAlign w:val="bottom"/>
          </w:tcPr>
          <w:p>
            <w:pPr>
              <w:pStyle w:val="TableContents"/>
              <w:spacing w:before="0" w:after="283"/>
              <w:rPr/>
            </w:pPr>
            <w:r>
              <w:rPr/>
              <w:t xml:space="preserve">  </w:t>
            </w:r>
          </w:p>
        </w:tc>
        <w:tc>
          <w:tcPr>
            <w:tcW w:w="1085" w:type="dxa"/>
            <w:tcBorders/>
            <w:shd w:fill="CCEEFF" w:val="clear"/>
            <w:vAlign w:val="bottom"/>
          </w:tcPr>
          <w:p>
            <w:pPr>
              <w:pStyle w:val="TableContents"/>
              <w:spacing w:before="0" w:after="0"/>
              <w:ind w:left="0" w:right="0" w:hanging="0"/>
              <w:jc w:val="right"/>
              <w:rPr/>
            </w:pPr>
            <w:r>
              <w:rPr/>
              <w:t>   </w:t>
            </w:r>
            <w:r>
              <w:rPr>
                <w:rFonts w:ascii="helvetica" w:hAnsi="helvetica"/>
                <w:sz w:val="20"/>
              </w:rPr>
              <w:t>40,000</w:t>
            </w:r>
            <w:r>
              <w:rPr/>
              <w:t xml:space="preserve"> </w:t>
            </w:r>
          </w:p>
        </w:tc>
        <w:tc>
          <w:tcPr>
            <w:tcW w:w="117" w:type="dxa"/>
            <w:tcBorders/>
            <w:shd w:fill="CCEEFF" w:val="clear"/>
            <w:vAlign w:val="bottom"/>
          </w:tcPr>
          <w:p>
            <w:pPr>
              <w:pStyle w:val="TableContents"/>
              <w:spacing w:before="0" w:after="283"/>
              <w:rPr/>
            </w:pPr>
            <w:r>
              <w:rPr/>
              <w:t xml:space="preserve">  </w:t>
            </w:r>
          </w:p>
        </w:tc>
      </w:tr>
      <w:tr>
        <w:trPr/>
        <w:tc>
          <w:tcPr>
            <w:tcW w:w="8767" w:type="dxa"/>
            <w:tcBorders/>
            <w:shd w:fill="FFFFFF" w:val="clear"/>
            <w:vAlign w:val="bottom"/>
          </w:tcPr>
          <w:p>
            <w:pPr>
              <w:pStyle w:val="TableContents"/>
              <w:spacing w:before="0" w:after="0"/>
              <w:ind w:left="0" w:right="0" w:hanging="0"/>
              <w:jc w:val="left"/>
              <w:rPr/>
            </w:pPr>
            <w:r>
              <w:rPr>
                <w:rFonts w:ascii="helvetica" w:hAnsi="helvetica"/>
                <w:sz w:val="20"/>
              </w:rPr>
              <w:t>Printing and Related Expenses</w:t>
            </w:r>
            <w:r>
              <w:rPr/>
              <w:t xml:space="preserve"> </w:t>
            </w:r>
          </w:p>
        </w:tc>
        <w:tc>
          <w:tcPr>
            <w:tcW w:w="110" w:type="dxa"/>
            <w:tcBorders/>
            <w:shd w:fill="FFFFFF" w:val="clear"/>
            <w:vAlign w:val="bottom"/>
          </w:tcPr>
          <w:p>
            <w:pPr>
              <w:pStyle w:val="TableContents"/>
              <w:spacing w:before="0" w:after="283"/>
              <w:rPr/>
            </w:pPr>
            <w:r>
              <w:rPr/>
              <w:t xml:space="preserve">  </w:t>
            </w:r>
          </w:p>
        </w:tc>
        <w:tc>
          <w:tcPr>
            <w:tcW w:w="126" w:type="dxa"/>
            <w:tcBorders/>
            <w:shd w:fill="FFFFFF" w:val="clear"/>
            <w:vAlign w:val="bottom"/>
          </w:tcPr>
          <w:p>
            <w:pPr>
              <w:pStyle w:val="TableContents"/>
              <w:spacing w:before="0" w:after="283"/>
              <w:rPr/>
            </w:pPr>
            <w:r>
              <w:rPr/>
              <w:t xml:space="preserve">  </w:t>
            </w:r>
          </w:p>
        </w:tc>
        <w:tc>
          <w:tcPr>
            <w:tcW w:w="1085" w:type="dxa"/>
            <w:tcBorders/>
            <w:shd w:fill="FFFFFF" w:val="clear"/>
            <w:vAlign w:val="bottom"/>
          </w:tcPr>
          <w:p>
            <w:pPr>
              <w:pStyle w:val="TableContents"/>
              <w:spacing w:before="0" w:after="0"/>
              <w:ind w:left="0" w:right="0" w:hanging="0"/>
              <w:jc w:val="right"/>
              <w:rPr/>
            </w:pPr>
            <w:r>
              <w:rPr/>
              <w:t>   </w:t>
            </w:r>
            <w:r>
              <w:rPr>
                <w:rFonts w:ascii="helvetica" w:hAnsi="helvetica"/>
                <w:sz w:val="20"/>
              </w:rPr>
              <w:t>20,000</w:t>
            </w:r>
            <w:r>
              <w:rPr/>
              <w:t xml:space="preserve"> </w:t>
            </w:r>
          </w:p>
        </w:tc>
        <w:tc>
          <w:tcPr>
            <w:tcW w:w="117" w:type="dxa"/>
            <w:tcBorders/>
            <w:shd w:fill="FFFFFF" w:val="clear"/>
            <w:vAlign w:val="bottom"/>
          </w:tcPr>
          <w:p>
            <w:pPr>
              <w:pStyle w:val="TableContents"/>
              <w:spacing w:before="0" w:after="283"/>
              <w:rPr/>
            </w:pPr>
            <w:r>
              <w:rPr/>
              <w:t xml:space="preserve">  </w:t>
            </w:r>
          </w:p>
        </w:tc>
      </w:tr>
      <w:tr>
        <w:trPr/>
        <w:tc>
          <w:tcPr>
            <w:tcW w:w="8767" w:type="dxa"/>
            <w:tcBorders/>
            <w:shd w:fill="CCEEFF" w:val="clear"/>
            <w:vAlign w:val="bottom"/>
          </w:tcPr>
          <w:p>
            <w:pPr>
              <w:pStyle w:val="TableContents"/>
              <w:spacing w:before="0" w:after="0"/>
              <w:ind w:left="0" w:right="0" w:hanging="0"/>
              <w:jc w:val="left"/>
              <w:rPr/>
            </w:pPr>
            <w:r>
              <w:rPr>
                <w:rFonts w:ascii="helvetica" w:hAnsi="helvetica"/>
                <w:sz w:val="20"/>
              </w:rPr>
              <w:t>Transfer Agent and Registrar Fees</w:t>
            </w:r>
            <w:r>
              <w:rPr/>
              <w:t xml:space="preserve"> </w:t>
            </w:r>
          </w:p>
        </w:tc>
        <w:tc>
          <w:tcPr>
            <w:tcW w:w="110" w:type="dxa"/>
            <w:tcBorders/>
            <w:shd w:fill="CCEEFF" w:val="clear"/>
            <w:vAlign w:val="bottom"/>
          </w:tcPr>
          <w:p>
            <w:pPr>
              <w:pStyle w:val="TableContents"/>
              <w:spacing w:before="0" w:after="283"/>
              <w:rPr/>
            </w:pPr>
            <w:r>
              <w:rPr/>
              <w:t xml:space="preserve">  </w:t>
            </w:r>
          </w:p>
        </w:tc>
        <w:tc>
          <w:tcPr>
            <w:tcW w:w="126" w:type="dxa"/>
            <w:tcBorders/>
            <w:shd w:fill="CCEEFF" w:val="clear"/>
            <w:vAlign w:val="bottom"/>
          </w:tcPr>
          <w:p>
            <w:pPr>
              <w:pStyle w:val="TableContents"/>
              <w:spacing w:before="0" w:after="283"/>
              <w:rPr/>
            </w:pPr>
            <w:r>
              <w:rPr/>
              <w:t xml:space="preserve">  </w:t>
            </w:r>
          </w:p>
        </w:tc>
        <w:tc>
          <w:tcPr>
            <w:tcW w:w="1085" w:type="dxa"/>
            <w:tcBorders/>
            <w:shd w:fill="CCEEFF" w:val="clear"/>
            <w:vAlign w:val="bottom"/>
          </w:tcPr>
          <w:p>
            <w:pPr>
              <w:pStyle w:val="TableContents"/>
              <w:spacing w:before="0" w:after="0"/>
              <w:ind w:left="0" w:right="0" w:hanging="0"/>
              <w:jc w:val="right"/>
              <w:rPr/>
            </w:pPr>
            <w:r>
              <w:rPr/>
              <w:t>   </w:t>
            </w:r>
            <w:r>
              <w:rPr>
                <w:rFonts w:ascii="helvetica" w:hAnsi="helvetica"/>
                <w:sz w:val="20"/>
              </w:rPr>
              <w:t>5,000</w:t>
            </w:r>
            <w:r>
              <w:rPr/>
              <w:t xml:space="preserve"> </w:t>
            </w:r>
          </w:p>
        </w:tc>
        <w:tc>
          <w:tcPr>
            <w:tcW w:w="117" w:type="dxa"/>
            <w:tcBorders/>
            <w:shd w:fill="CCEEFF" w:val="clear"/>
            <w:vAlign w:val="bottom"/>
          </w:tcPr>
          <w:p>
            <w:pPr>
              <w:pStyle w:val="TableContents"/>
              <w:spacing w:before="0" w:after="283"/>
              <w:rPr/>
            </w:pPr>
            <w:r>
              <w:rPr/>
              <w:t xml:space="preserve">  </w:t>
            </w:r>
          </w:p>
        </w:tc>
      </w:tr>
      <w:tr>
        <w:trPr/>
        <w:tc>
          <w:tcPr>
            <w:tcW w:w="8767" w:type="dxa"/>
            <w:tcBorders/>
            <w:shd w:fill="FFFFFF" w:val="clear"/>
            <w:vAlign w:val="bottom"/>
          </w:tcPr>
          <w:p>
            <w:pPr>
              <w:pStyle w:val="TableContents"/>
              <w:spacing w:before="0" w:after="0"/>
              <w:ind w:left="0" w:right="0" w:hanging="0"/>
              <w:jc w:val="left"/>
              <w:rPr/>
            </w:pPr>
            <w:r>
              <w:rPr>
                <w:rFonts w:ascii="helvetica" w:hAnsi="helvetica"/>
                <w:sz w:val="20"/>
              </w:rPr>
              <w:t>Miscellaneous Expenses</w:t>
            </w:r>
            <w:r>
              <w:rPr/>
              <w:t xml:space="preserve"> </w:t>
            </w:r>
          </w:p>
        </w:tc>
        <w:tc>
          <w:tcPr>
            <w:tcW w:w="110" w:type="dxa"/>
            <w:tcBorders/>
            <w:shd w:fill="FFFFFF" w:val="clear"/>
            <w:vAlign w:val="bottom"/>
          </w:tcPr>
          <w:p>
            <w:pPr>
              <w:pStyle w:val="TableContents"/>
              <w:spacing w:before="0" w:after="283"/>
              <w:rPr/>
            </w:pPr>
            <w:r>
              <w:rPr/>
              <w:t xml:space="preserve">  </w:t>
            </w:r>
          </w:p>
        </w:tc>
        <w:tc>
          <w:tcPr>
            <w:tcW w:w="126" w:type="dxa"/>
            <w:tcBorders>
              <w:bottom w:val="single" w:sz="12" w:space="0" w:color="000000"/>
            </w:tcBorders>
            <w:shd w:fill="FFFFFF" w:val="clear"/>
            <w:tcMar>
              <w:bottom w:w="28" w:type="dxa"/>
            </w:tcMar>
            <w:vAlign w:val="bottom"/>
          </w:tcPr>
          <w:p>
            <w:pPr>
              <w:pStyle w:val="TableContents"/>
              <w:spacing w:before="0" w:after="283"/>
              <w:rPr/>
            </w:pPr>
            <w:r>
              <w:rPr/>
              <w:t xml:space="preserve">  </w:t>
            </w:r>
          </w:p>
        </w:tc>
        <w:tc>
          <w:tcPr>
            <w:tcW w:w="1085" w:type="dxa"/>
            <w:tcBorders>
              <w:bottom w:val="single" w:sz="12" w:space="0" w:color="000000"/>
            </w:tcBorders>
            <w:shd w:fill="FFFFFF" w:val="clear"/>
            <w:tcMar>
              <w:bottom w:w="28" w:type="dxa"/>
            </w:tcMar>
            <w:vAlign w:val="bottom"/>
          </w:tcPr>
          <w:p>
            <w:pPr>
              <w:pStyle w:val="TableContents"/>
              <w:spacing w:before="0" w:after="0"/>
              <w:ind w:left="0" w:right="0" w:hanging="0"/>
              <w:jc w:val="right"/>
              <w:rPr/>
            </w:pPr>
            <w:r>
              <w:rPr/>
              <w:t>   </w:t>
            </w:r>
            <w:r>
              <w:rPr>
                <w:rFonts w:ascii="helvetica" w:hAnsi="helvetica"/>
                <w:sz w:val="20"/>
              </w:rPr>
              <w:t>10,000</w:t>
            </w:r>
            <w:r>
              <w:rPr/>
              <w:t xml:space="preserve"> </w:t>
            </w:r>
          </w:p>
        </w:tc>
        <w:tc>
          <w:tcPr>
            <w:tcW w:w="117" w:type="dxa"/>
            <w:tcBorders/>
            <w:shd w:fill="FFFFFF" w:val="clear"/>
            <w:vAlign w:val="bottom"/>
          </w:tcPr>
          <w:p>
            <w:pPr>
              <w:pStyle w:val="TableContents"/>
              <w:spacing w:before="0" w:after="283"/>
              <w:rPr/>
            </w:pPr>
            <w:r>
              <w:rPr/>
              <w:t xml:space="preserve">  </w:t>
            </w:r>
          </w:p>
        </w:tc>
      </w:tr>
      <w:tr>
        <w:trPr/>
        <w:tc>
          <w:tcPr>
            <w:tcW w:w="8767" w:type="dxa"/>
            <w:tcBorders/>
            <w:shd w:fill="CCEEFF" w:val="clear"/>
            <w:vAlign w:val="bottom"/>
          </w:tcPr>
          <w:p>
            <w:pPr>
              <w:pStyle w:val="TableContents"/>
              <w:spacing w:before="0" w:after="283"/>
              <w:jc w:val="left"/>
              <w:rPr/>
            </w:pPr>
            <w:r>
              <w:rPr/>
              <w:t> </w:t>
            </w:r>
            <w:r>
              <w:rPr>
                <w:rFonts w:ascii="helvetica" w:hAnsi="helvetica"/>
                <w:sz w:val="20"/>
              </w:rPr>
              <w:t>Total</w:t>
            </w:r>
            <w:r>
              <w:rPr/>
              <w:t xml:space="preserve"> </w:t>
            </w:r>
          </w:p>
        </w:tc>
        <w:tc>
          <w:tcPr>
            <w:tcW w:w="110" w:type="dxa"/>
            <w:tcBorders/>
            <w:shd w:fill="CCEEFF" w:val="clear"/>
            <w:vAlign w:val="bottom"/>
          </w:tcPr>
          <w:p>
            <w:pPr>
              <w:pStyle w:val="TableContents"/>
              <w:spacing w:before="0" w:after="283"/>
              <w:rPr/>
            </w:pPr>
            <w:r>
              <w:rPr/>
              <w:t xml:space="preserve">  </w:t>
            </w:r>
          </w:p>
        </w:tc>
        <w:tc>
          <w:tcPr>
            <w:tcW w:w="126" w:type="dxa"/>
            <w:tcBorders>
              <w:bottom w:val="double" w:sz="8" w:space="0" w:color="000000"/>
            </w:tcBorders>
            <w:shd w:fill="CCEEFF" w:val="clear"/>
            <w:tcMar>
              <w:bottom w:w="28" w:type="dxa"/>
            </w:tcMar>
            <w:vAlign w:val="bottom"/>
          </w:tcPr>
          <w:p>
            <w:pPr>
              <w:pStyle w:val="TableContents"/>
              <w:spacing w:before="0" w:after="0"/>
              <w:ind w:left="0" w:right="0" w:hanging="0"/>
              <w:jc w:val="left"/>
              <w:rPr/>
            </w:pPr>
            <w:r>
              <w:rPr>
                <w:rFonts w:ascii="helvetica" w:hAnsi="helvetica"/>
                <w:sz w:val="20"/>
              </w:rPr>
              <w:t>$</w:t>
            </w:r>
            <w:r>
              <w:rPr/>
              <w:t xml:space="preserve"> </w:t>
            </w:r>
          </w:p>
        </w:tc>
        <w:tc>
          <w:tcPr>
            <w:tcW w:w="1085" w:type="dxa"/>
            <w:tcBorders>
              <w:bottom w:val="double" w:sz="8" w:space="0" w:color="000000"/>
            </w:tcBorders>
            <w:shd w:fill="CCEEFF" w:val="clear"/>
            <w:tcMar>
              <w:bottom w:w="28" w:type="dxa"/>
            </w:tcMar>
            <w:vAlign w:val="bottom"/>
          </w:tcPr>
          <w:p>
            <w:pPr>
              <w:pStyle w:val="TableContents"/>
              <w:spacing w:before="0" w:after="0"/>
              <w:ind w:left="0" w:right="0" w:hanging="0"/>
              <w:jc w:val="right"/>
              <w:rPr/>
            </w:pPr>
            <w:r>
              <w:rPr>
                <w:rFonts w:ascii="helvetica" w:hAnsi="helvetica"/>
                <w:sz w:val="20"/>
              </w:rPr>
              <w:t>378,870</w:t>
            </w:r>
            <w:r>
              <w:rPr/>
              <w:t xml:space="preserve"> </w:t>
            </w:r>
          </w:p>
        </w:tc>
        <w:tc>
          <w:tcPr>
            <w:tcW w:w="117" w:type="dxa"/>
            <w:tcBorders/>
            <w:shd w:fill="CCEEFF" w:val="clear"/>
            <w:vAlign w:val="bottom"/>
          </w:tcPr>
          <w:p>
            <w:pPr>
              <w:pStyle w:val="TableContents"/>
              <w:spacing w:before="0" w:after="283"/>
              <w:rPr/>
            </w:pPr>
            <w:r>
              <w:rPr/>
              <w:t> </w:t>
            </w:r>
          </w:p>
        </w:tc>
      </w:tr>
    </w:tbl>
    <w:p>
      <w:pPr>
        <w:pStyle w:val="TextBody"/>
        <w:spacing w:before="0" w:after="0"/>
        <w:ind w:left="0" w:right="0" w:hanging="0"/>
        <w:jc w:val="both"/>
        <w:rPr/>
      </w:pPr>
      <w:r>
        <w:rPr/>
        <w:t> </w:t>
      </w:r>
    </w:p>
    <w:p>
      <w:pPr>
        <w:pStyle w:val="TextBody"/>
        <w:spacing w:before="0" w:after="0"/>
        <w:ind w:left="0" w:right="0" w:hanging="0"/>
        <w:rPr>
          <w:rFonts w:ascii="helvetica" w:hAnsi="helvetica"/>
          <w:b/>
          <w:sz w:val="20"/>
        </w:rPr>
      </w:pPr>
      <w:r>
        <w:rPr>
          <w:rFonts w:ascii="helvetica" w:hAnsi="helvetica"/>
          <w:b/>
          <w:sz w:val="20"/>
        </w:rPr>
        <w:t>ITEM 14. INDEMNIFICATION OF DIRECTORS AND OFFICERS.</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r>
        <w:rPr>
          <w:rFonts w:ascii="helvetica" w:hAnsi="helvetica"/>
          <w:sz w:val="20"/>
        </w:rPr>
        <w:t>Section 145 of the Delaware General Corporation Law permits a corporation to include in its charter documents, and in agreements between the corporation and its directors and officers, provisions expanding the scope of indemnification beyond that specifically provided by the current law.  Our Amended and Restated Certificate of Incorporation provides for the indemnification of directors and officers to the fullest extent permissible under Delaware law.  Our Bylaws provide for the indemnification of officers and directors to the fullest extent permissible under Delaware law, except that we are only obligated to indemnify such officer or director in connection with a proceeding initiated by such person if the proceeding was authorized by our Board of Directors.</w:t>
      </w:r>
    </w:p>
    <w:p>
      <w:pPr>
        <w:pStyle w:val="TextBody"/>
        <w:spacing w:before="0" w:after="0"/>
        <w:ind w:left="0" w:right="0" w:firstLine="720"/>
        <w:jc w:val="left"/>
        <w:rPr/>
      </w:pPr>
      <w:r>
        <w:rPr/>
        <w:t> </w:t>
      </w:r>
    </w:p>
    <w:p>
      <w:pPr>
        <w:pStyle w:val="TextBody"/>
        <w:spacing w:before="0" w:after="0"/>
        <w:ind w:left="0" w:right="0" w:firstLine="720"/>
        <w:jc w:val="left"/>
        <w:rPr>
          <w:rFonts w:ascii="helvetica" w:hAnsi="helvetica"/>
          <w:sz w:val="20"/>
        </w:rPr>
      </w:pPr>
      <w:r>
        <w:rPr>
          <w:rFonts w:ascii="helvetica" w:hAnsi="helvetica"/>
          <w:sz w:val="20"/>
        </w:rPr>
        <w:t>We have entered into indemnification agreements with our directors and certain executive officers, in addition to indemnification provided for in our charter documents, and we intend to enter into indemnification agreements with any new directors and our other executive officers in the future.</w:t>
      </w:r>
    </w:p>
    <w:p>
      <w:pPr>
        <w:pStyle w:val="TextBody"/>
        <w:spacing w:before="0" w:after="0"/>
        <w:ind w:left="0" w:right="0" w:firstLine="720"/>
        <w:jc w:val="left"/>
        <w:rPr/>
      </w:pPr>
      <w:r>
        <w:rPr/>
        <w:t> </w:t>
      </w:r>
    </w:p>
    <w:p>
      <w:pPr>
        <w:pStyle w:val="TextBody"/>
        <w:spacing w:before="0" w:after="0"/>
        <w:ind w:left="0" w:right="0" w:firstLine="720"/>
        <w:jc w:val="left"/>
        <w:rPr>
          <w:rFonts w:ascii="helvetica" w:hAnsi="helvetica"/>
          <w:sz w:val="20"/>
        </w:rPr>
      </w:pPr>
      <w:r>
        <w:rPr>
          <w:rFonts w:ascii="helvetica" w:hAnsi="helvetica"/>
          <w:sz w:val="20"/>
        </w:rPr>
        <w:t>The underwriting agreement (Exhibit 1.1 hereto) provides for the underwriter’s indemnification of us for certain liabilities, including liabilities arising under the Securities Act, in connection with matters specifically provided in writing by the underwriters for inclusion in the registration statement, and our indemnification of the underwriters for certain liabilities as set forth in the underwriting agreement.</w:t>
      </w:r>
    </w:p>
    <w:p>
      <w:pPr>
        <w:pStyle w:val="TextBody"/>
        <w:spacing w:before="0" w:after="0"/>
        <w:ind w:left="0" w:right="0" w:firstLine="720"/>
        <w:jc w:val="left"/>
        <w:rPr/>
      </w:pPr>
      <w:r>
        <w:rPr/>
        <w:t> </w:t>
      </w:r>
    </w:p>
    <w:p>
      <w:pPr>
        <w:pStyle w:val="TextBody"/>
        <w:spacing w:before="0" w:after="0"/>
        <w:ind w:left="0" w:right="0" w:firstLine="720"/>
        <w:jc w:val="left"/>
        <w:rPr>
          <w:rFonts w:ascii="helvetica" w:hAnsi="helvetica"/>
          <w:sz w:val="20"/>
        </w:rPr>
      </w:pPr>
      <w:r>
        <w:rPr>
          <w:rFonts w:ascii="helvetica" w:hAnsi="helvetica"/>
          <w:sz w:val="20"/>
        </w:rPr>
        <w:t>We have purchased and intend to maintain insurance on our behalf and on behalf of any person who is or was a director or officer against any loss arising from any claim asserted against him or her and incurred by him or her in that capacity, subject to certain exclusions and limits of the amount of coverage.</w:t>
      </w:r>
    </w:p>
    <w:p>
      <w:pPr>
        <w:pStyle w:val="TextBody"/>
        <w:spacing w:before="0" w:after="0"/>
        <w:ind w:left="0" w:right="0" w:firstLine="720"/>
        <w:jc w:val="both"/>
        <w:rPr/>
      </w:pPr>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r>
      <w:bookmarkStart w:id="1343" w:name="PGBRK116"/>
      <w:bookmarkStart w:id="1344" w:name="PGBRK116"/>
      <w:bookmarkEnd w:id="134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345" w:name="FTR116"/>
      <w:bookmarkStart w:id="1346" w:name="FTR116"/>
      <w:bookmarkEnd w:id="134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1347" w:name="GLFTR115"/>
      <w:bookmarkEnd w:id="1347"/>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helvetica" w:hAnsi="helvetica"/>
          <w:sz w:val="20"/>
        </w:rPr>
      </w:pPr>
      <w:bookmarkStart w:id="1348" w:name="PN115"/>
      <w:bookmarkEnd w:id="1348"/>
      <w:r>
        <w:rPr>
          <w:rFonts w:ascii="helvetica" w:hAnsi="helvetica"/>
          <w:sz w:val="20"/>
        </w:rPr>
        <w:t>II-1</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349" w:name="HDR115"/>
      <w:bookmarkStart w:id="1350" w:name="HDR115"/>
      <w:bookmarkEnd w:id="135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1351" w:name="GLHDR115"/>
      <w:bookmarkEnd w:id="1351"/>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pPr>
      <w:r>
        <w:rPr/>
        <w:t> </w:t>
      </w:r>
    </w:p>
    <w:p>
      <w:pPr>
        <w:pStyle w:val="TextBody"/>
        <w:spacing w:before="0" w:after="0"/>
        <w:ind w:left="0" w:right="0" w:hanging="0"/>
        <w:jc w:val="both"/>
        <w:rPr>
          <w:rFonts w:ascii="helvetica" w:hAnsi="helvetica"/>
          <w:b/>
          <w:sz w:val="20"/>
        </w:rPr>
      </w:pPr>
      <w:r>
        <w:rPr>
          <w:rFonts w:ascii="helvetica" w:hAnsi="helvetica"/>
          <w:b/>
          <w:sz w:val="20"/>
        </w:rPr>
        <w:t>ITEM 15. RECENT SALES OF UNREGISTERED SECURITIES.</w:t>
      </w:r>
    </w:p>
    <w:p>
      <w:pPr>
        <w:pStyle w:val="TextBody"/>
        <w:spacing w:before="0" w:after="0"/>
        <w:ind w:left="0" w:right="0" w:hanging="0"/>
        <w:rPr/>
      </w:pPr>
      <w:r>
        <w:rPr/>
        <w:t> </w:t>
      </w:r>
    </w:p>
    <w:p>
      <w:pPr>
        <w:pStyle w:val="TextBody"/>
        <w:spacing w:before="0" w:after="0"/>
        <w:ind w:left="0" w:right="0" w:firstLine="720"/>
        <w:jc w:val="left"/>
        <w:rPr>
          <w:rFonts w:ascii="helvetica" w:hAnsi="helvetica"/>
          <w:sz w:val="20"/>
        </w:rPr>
      </w:pPr>
      <w:r>
        <w:rPr>
          <w:rFonts w:ascii="helvetica" w:hAnsi="helvetica"/>
          <w:sz w:val="20"/>
        </w:rPr>
        <w:t>All information regarding share amounts of common stock and prices per share of common stock contained below assumes the consummation of the one-for-five reverse stock split to be effected following effectiveness of the registration statement of which this prospectus forms a part and prior to the closing of this offering.</w:t>
      </w:r>
    </w:p>
    <w:p>
      <w:pPr>
        <w:pStyle w:val="TextBody"/>
        <w:spacing w:before="0" w:after="0"/>
        <w:ind w:left="0" w:right="0" w:hanging="0"/>
        <w:jc w:val="both"/>
        <w:rPr/>
      </w:pPr>
      <w:r>
        <w:rPr/>
        <w:t> </w:t>
      </w:r>
    </w:p>
    <w:p>
      <w:pPr>
        <w:pStyle w:val="TextBody"/>
        <w:spacing w:before="0" w:after="0"/>
        <w:ind w:left="0" w:right="0" w:hanging="0"/>
        <w:jc w:val="both"/>
        <w:rPr>
          <w:rFonts w:ascii="helvetica" w:hAnsi="helvetica"/>
          <w:i/>
          <w:sz w:val="20"/>
        </w:rPr>
      </w:pPr>
      <w:r>
        <w:rPr>
          <w:rFonts w:ascii="helvetica" w:hAnsi="helvetica"/>
          <w:i/>
          <w:sz w:val="20"/>
        </w:rPr>
        <w:t>Issuance to Consultants and Executive Officers</w:t>
      </w:r>
    </w:p>
    <w:p>
      <w:pPr>
        <w:pStyle w:val="TextBody"/>
        <w:spacing w:before="0" w:after="0"/>
        <w:ind w:left="0" w:right="0" w:hanging="0"/>
        <w:jc w:val="both"/>
        <w:rPr/>
      </w:pPr>
      <w:r>
        <w:rPr/>
        <w:t> </w:t>
      </w:r>
    </w:p>
    <w:p>
      <w:pPr>
        <w:pStyle w:val="TextBody"/>
        <w:spacing w:before="0" w:after="0"/>
        <w:ind w:left="0" w:right="0" w:firstLine="720"/>
        <w:jc w:val="left"/>
        <w:rPr/>
      </w:pPr>
      <w:bookmarkStart w:id="1352" w:name="TAB224"/>
      <w:bookmarkEnd w:id="1352"/>
      <w:r>
        <w:rPr>
          <w:color w:val="000000"/>
          <w:spacing w:val="180"/>
        </w:rPr>
        <w:t> </w:t>
      </w:r>
      <w:r>
        <w:rPr>
          <w:rFonts w:ascii="helvetica" w:hAnsi="helvetica"/>
          <w:sz w:val="20"/>
        </w:rPr>
        <w:t>In June 2010, the Company entered into two separate agreements with an investor relations firm and a financial advisory services firm (collectively “the firms”) in order to provide certain investor relations and advisory services to the Company for a period of one year. In exchange for such services, the Company issued 5,000 shares, in the aggregate, of its unregistered common stock, of which all shares were nonforfeitable (valued at $208,000 and recorded as prepaid consulting fees upon issuance) to the firms as a prepayment of services to be received over a three-month period.</w:t>
      </w:r>
    </w:p>
    <w:p>
      <w:pPr>
        <w:pStyle w:val="TextBody"/>
        <w:spacing w:before="0" w:after="0"/>
        <w:ind w:left="0" w:right="0" w:firstLine="720"/>
        <w:jc w:val="left"/>
        <w:rPr/>
      </w:pPr>
      <w:r>
        <w:rPr/>
        <w:t> </w:t>
      </w:r>
    </w:p>
    <w:p>
      <w:pPr>
        <w:pStyle w:val="TextBody"/>
        <w:spacing w:before="0" w:after="0"/>
        <w:ind w:left="0" w:right="0" w:firstLine="720"/>
        <w:jc w:val="left"/>
        <w:rPr/>
      </w:pPr>
      <w:r>
        <w:rPr>
          <w:rFonts w:ascii="helvetica" w:hAnsi="helvetica"/>
          <w:sz w:val="20"/>
        </w:rPr>
        <w:t>In determining that the issuance of the securities in such transactions qualified for an exemption under Section 4(2), we relied on the following facts: each recipient represented that it was an accredited investor; the Company did not use general solicitation or advertising to market the securities; in each case the securities were issued to only one investor; and the securities issued were restricted securities.</w:t>
      </w:r>
      <w:r>
        <w:rPr/>
        <w:t xml:space="preserve"> </w:t>
      </w:r>
    </w:p>
    <w:p>
      <w:pPr>
        <w:pStyle w:val="TextBody"/>
        <w:spacing w:before="0" w:after="0"/>
        <w:ind w:left="0" w:right="0" w:firstLine="720"/>
        <w:jc w:val="left"/>
        <w:rPr/>
      </w:pPr>
      <w:r>
        <w:rPr/>
        <w:t> </w:t>
      </w:r>
    </w:p>
    <w:p>
      <w:pPr>
        <w:pStyle w:val="TextBody"/>
        <w:spacing w:before="0" w:after="0"/>
        <w:ind w:left="0" w:right="0" w:firstLine="720"/>
        <w:jc w:val="left"/>
        <w:rPr>
          <w:rFonts w:ascii="helvetica" w:hAnsi="helvetica"/>
          <w:sz w:val="20"/>
        </w:rPr>
      </w:pPr>
      <w:r>
        <w:rPr>
          <w:rFonts w:ascii="helvetica" w:hAnsi="helvetica"/>
          <w:sz w:val="20"/>
        </w:rPr>
        <w:t>On July 18, 2012, the Board granted to Mr. Baum 160,000 restricted stock units (RSUs) outside of the 2007 Plan.  The restricted stock units granted to Mr. Baum are subject to certain performance-based vesting criteria, such that 40,000 RSUs will vest upon the satisfaction of each of the following events:  (i) successful completion of a financing that results in aggregate cash proceeds to the Company of at least $5,000,000 at any time following the effective date of the grant; (ii) the Company meets the primary endpoints of its Phase III clinical studies for Impracor; (iii) the Company submits a New Drug Application for Impracor to the U.S. Food and Drug Administration; and (iv) the Company enters into a definitive license, collaboration or similar agreement for Impracor that would reasonably be expected to generate cash flow for the Company.   The RSUs vest in full upon a change in control of the Company.</w:t>
      </w:r>
    </w:p>
    <w:p>
      <w:pPr>
        <w:pStyle w:val="TextBody"/>
        <w:spacing w:before="0" w:after="0"/>
        <w:ind w:left="0" w:right="0" w:firstLine="720"/>
        <w:jc w:val="left"/>
        <w:rPr/>
      </w:pPr>
      <w:r>
        <w:rPr/>
        <w:t> </w:t>
      </w:r>
    </w:p>
    <w:p>
      <w:pPr>
        <w:pStyle w:val="TextBody"/>
        <w:spacing w:before="0" w:after="0"/>
        <w:ind w:left="0" w:right="0" w:firstLine="720"/>
        <w:jc w:val="left"/>
        <w:rPr>
          <w:rFonts w:ascii="helvetica" w:hAnsi="helvetica"/>
          <w:sz w:val="20"/>
        </w:rPr>
      </w:pPr>
      <w:r>
        <w:rPr>
          <w:rFonts w:ascii="helvetica" w:hAnsi="helvetica"/>
          <w:sz w:val="20"/>
        </w:rPr>
        <w:t>On July 18, 2012, the Board granted to Dr. Kammer 40,000 RSUs outside of the 2007 Plan in connection with his services as a consultant and advisor to the Company.  The RSU is subject to certain performance-based vesting criteria, such that all 40,000 RSUs will vest at such time as the Company meets the primary endpoints of its Phase III clinical studies for Impracor.</w:t>
      </w:r>
    </w:p>
    <w:p>
      <w:pPr>
        <w:pStyle w:val="TextBody"/>
        <w:spacing w:before="0" w:after="0"/>
        <w:ind w:left="0" w:right="0" w:firstLine="720"/>
        <w:jc w:val="left"/>
        <w:rPr/>
      </w:pPr>
      <w:r>
        <w:rPr/>
        <w:t> </w:t>
      </w:r>
    </w:p>
    <w:p>
      <w:pPr>
        <w:pStyle w:val="TextBody"/>
        <w:spacing w:before="0" w:after="0"/>
        <w:ind w:left="0" w:right="0" w:firstLine="720"/>
        <w:jc w:val="left"/>
        <w:rPr/>
      </w:pPr>
      <w:r>
        <w:rPr/>
        <w:t xml:space="preserve">The RSUs described in the two immediately preceding paragraphs have been registered under the Securities Act pursuant to a registration statement on Form S-8, filed by the Company with the SEC on August 22, 2012. </w:t>
      </w:r>
    </w:p>
    <w:p>
      <w:pPr>
        <w:pStyle w:val="TextBody"/>
        <w:spacing w:before="0" w:after="0"/>
        <w:ind w:left="0" w:right="0" w:firstLine="720"/>
        <w:jc w:val="left"/>
        <w:rPr/>
      </w:pPr>
      <w:r>
        <w:rPr/>
        <w:t> </w:t>
      </w:r>
    </w:p>
    <w:p>
      <w:pPr>
        <w:pStyle w:val="TextBody"/>
        <w:spacing w:before="0" w:after="0"/>
        <w:ind w:left="0" w:right="0" w:hanging="0"/>
        <w:jc w:val="both"/>
        <w:rPr>
          <w:rFonts w:ascii="helvetica" w:hAnsi="helvetica"/>
          <w:i/>
          <w:sz w:val="20"/>
        </w:rPr>
      </w:pPr>
      <w:r>
        <w:rPr>
          <w:rFonts w:ascii="helvetica" w:hAnsi="helvetica"/>
          <w:i/>
          <w:sz w:val="20"/>
        </w:rPr>
        <w:t>Convertible Note</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r>
        <w:rPr>
          <w:rFonts w:ascii="helvetica" w:hAnsi="helvetica"/>
          <w:sz w:val="20"/>
        </w:rPr>
        <w:t>On April 5, 2010, we issued a $1,000,000 Senior Convertible Promissory Note (the “Convertible Note”) to an existing stockholder, Alexej Ladonnikov, in a private placement.  The Convertible Note had a two-year term and an annual interest rate of 7.5% percent. We had a right to prepay the Convertible Note at any time upon providing written notice to the holder. At the time of issuance, the Convertible Note provided that at any time prior to the Company’s repayment of the Convertible Note, the holder may convert all or any part of the outstanding principal and accrued interest on the Convertible Note into shares of our common stock at a conversion rate of $40.00 per share. We received gross proceeds from the issuance of the Convertible Note in the aggregate amount of $1,000,000.</w:t>
      </w:r>
    </w:p>
    <w:p>
      <w:pPr>
        <w:pStyle w:val="TextBody"/>
        <w:spacing w:before="0" w:after="0"/>
        <w:ind w:left="0" w:right="0" w:firstLine="720"/>
        <w:jc w:val="both"/>
        <w:rPr/>
      </w:pPr>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r>
      <w:bookmarkStart w:id="1353" w:name="PGBRK117"/>
      <w:bookmarkStart w:id="1354" w:name="PGBRK117"/>
      <w:bookmarkEnd w:id="135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355" w:name="FTR117"/>
      <w:bookmarkStart w:id="1356" w:name="FTR117"/>
      <w:bookmarkEnd w:id="135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1357" w:name="GLFTR116"/>
      <w:bookmarkEnd w:id="1357"/>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helvetica" w:hAnsi="helvetica"/>
          <w:sz w:val="20"/>
        </w:rPr>
      </w:pPr>
      <w:bookmarkStart w:id="1358" w:name="PN116"/>
      <w:bookmarkEnd w:id="1358"/>
      <w:r>
        <w:rPr>
          <w:rFonts w:ascii="helvetica" w:hAnsi="helvetica"/>
          <w:sz w:val="20"/>
        </w:rPr>
        <w:t>II-2</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359" w:name="HDR116"/>
      <w:bookmarkStart w:id="1360" w:name="HDR116"/>
      <w:bookmarkEnd w:id="136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1361" w:name="GLHDR116"/>
      <w:bookmarkEnd w:id="1361"/>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r>
        <w:rPr>
          <w:rFonts w:ascii="helvetica" w:hAnsi="helvetica"/>
          <w:sz w:val="20"/>
        </w:rPr>
        <w:t>There were no discounts or commissions paid in connection with this private placement. The proceeds were used for working capital purposes.  The private placement was made solely to a single “accredited investor,” as that term is defined in Regulation D under the Securities Act. The securities issuable upon conversion of all or a portion of the Convertible Note were not registered under the Securities Act or the securities laws of any state, and were offered and sold in reliance on the exemption from registration afforded by Section 4(2) and corresponding provisions of state securities laws, which exempt transactions by an issuer not involving any public offering.</w:t>
      </w:r>
    </w:p>
    <w:p>
      <w:pPr>
        <w:pStyle w:val="TextBody"/>
        <w:spacing w:before="0" w:after="0"/>
        <w:ind w:left="0" w:right="0" w:firstLine="720"/>
        <w:jc w:val="left"/>
        <w:rPr/>
      </w:pPr>
      <w:r>
        <w:rPr/>
        <w:t> </w:t>
      </w:r>
    </w:p>
    <w:p>
      <w:pPr>
        <w:pStyle w:val="TextBody"/>
        <w:spacing w:before="0" w:after="0"/>
        <w:ind w:left="0" w:right="0" w:firstLine="720"/>
        <w:jc w:val="left"/>
        <w:rPr>
          <w:rFonts w:ascii="helvetica" w:hAnsi="helvetica"/>
          <w:sz w:val="20"/>
        </w:rPr>
      </w:pPr>
      <w:r>
        <w:rPr>
          <w:rFonts w:ascii="helvetica" w:hAnsi="helvetica"/>
          <w:sz w:val="20"/>
        </w:rPr>
        <w:t>During January 2012, Mr. Ladonnikov sold 80% of the Convertible Note to DermaStar in a private transaction.  Effective as of January 25, 2012, we entered into separate waiver and settlement agreements with DermaStar and Mr. Ladonnikov.  Under each of the waiver and settlement agreements, the holders of the Convertible Note agreed to forever waive (i) their rights to accelerate the entire unpaid principal sum of the Convertible Note and all accrued interest pursuant to Section 1 of the Convertible Note, (ii) their rights under Section 7 of the Senior Convertible Note Purchase Agreement dated April 5, 2010, and (iii) certain conversion rights pursuant to Section 3 of the Convertible Note.  Under the terms of the waiver and settlement agreement with DermaStar, we and DermaStar agreed to the mandatory conversion of the principal and accrued and unpaid interest of the Convertible Note and $56,087 in current accounts payable of the Company held by DermaStar into our common stock at a conversion price of approximately $0.06668 per share at such time as we had a sufficient number of shares of authorized common stock to effect such conversion.  Under the terms of the waiver and settlement agreement with Mr. Ladonnikov, we and Mr. Ladonnikov agreed to the mandatory conversion of the 20% of the principal and accrued and unpaid interest of the Convertible Note held by Mr. Ladonnikov, at such time as we had a sufficient number of authorized common shares to effect such a conversion, into our common stock at a conversion price of $0.60. Mr. Ladonnikov also agreed to make a one-time payment of $50,000 to us at such time as the Convertible Note was converted into common stock.</w:t>
      </w:r>
    </w:p>
    <w:p>
      <w:pPr>
        <w:pStyle w:val="TextBody"/>
        <w:spacing w:before="0" w:after="0"/>
        <w:ind w:left="0" w:right="0" w:firstLine="720"/>
        <w:jc w:val="left"/>
        <w:rPr/>
      </w:pPr>
      <w:r>
        <w:rPr/>
        <w:t> </w:t>
      </w:r>
    </w:p>
    <w:p>
      <w:pPr>
        <w:pStyle w:val="TextBody"/>
        <w:spacing w:before="0" w:after="0"/>
        <w:ind w:left="0" w:right="0" w:firstLine="720"/>
        <w:jc w:val="left"/>
        <w:rPr>
          <w:rFonts w:ascii="helvetica" w:hAnsi="helvetica"/>
          <w:sz w:val="20"/>
        </w:rPr>
      </w:pPr>
      <w:r>
        <w:rPr>
          <w:rFonts w:ascii="helvetica" w:hAnsi="helvetica"/>
          <w:sz w:val="20"/>
        </w:rPr>
        <w:t>On February 28, 2012, effective immediately following the effective time of our Certificate of Amendment to our Certificate of Incorporation increasing the number of authorized shares of common stock and implementing the one-for-eight reverse split of our common stock, the entire outstanding balance and all accrued but unpaid interest owing under the Convertible Note and the accounts payable held by DermaStar were converted into 1,835,830 shares of common stock, and the Convertible Note was terminated. Mr. Ladonnikov made the required one-time payment of $50,000 to us at the time of the conversion.</w:t>
      </w:r>
    </w:p>
    <w:p>
      <w:pPr>
        <w:pStyle w:val="TextBody"/>
        <w:spacing w:before="0" w:after="0"/>
        <w:ind w:left="0" w:right="0" w:hanging="0"/>
        <w:jc w:val="both"/>
        <w:rPr/>
      </w:pPr>
      <w:r>
        <w:rPr/>
        <w:t> </w:t>
      </w:r>
    </w:p>
    <w:p>
      <w:pPr>
        <w:pStyle w:val="TextBody"/>
        <w:spacing w:before="0" w:after="0"/>
        <w:ind w:left="0" w:right="0" w:hanging="0"/>
        <w:jc w:val="both"/>
        <w:rPr>
          <w:rFonts w:ascii="helvetica" w:hAnsi="helvetica"/>
          <w:i/>
          <w:sz w:val="20"/>
        </w:rPr>
      </w:pPr>
      <w:r>
        <w:rPr>
          <w:rFonts w:ascii="helvetica" w:hAnsi="helvetica"/>
          <w:i/>
          <w:sz w:val="20"/>
        </w:rPr>
        <w:t>Secured Line of Credit</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r>
        <w:rPr>
          <w:rFonts w:ascii="helvetica" w:hAnsi="helvetica"/>
          <w:sz w:val="20"/>
        </w:rPr>
        <w:t>On November 21, 2011, we entered into a Secured Line of Credit Letter Agreement (the “Line of Credit Agreement”) with DermaStar, pursuant to which DermaStar agreed to lend us funds under a line of credit upon certain conditions, including the dismissal of the Chapter 11 Case by the Bankruptcy Court.   The Line of Credit Agreement became effective on December 9, 2011, in connection with the dismissal of the Chapter 11 Case by the Bankruptcy Court.  The Line of Credit Agreement provided for advances of up to an aggregate of $750,000, subject to the satisfaction by us of certain conditions in connection with the initial advance and each subsequent advance.  </w:t>
      </w:r>
    </w:p>
    <w:p>
      <w:pPr>
        <w:pStyle w:val="TextBody"/>
        <w:spacing w:before="0" w:after="0"/>
        <w:ind w:left="0" w:right="0" w:firstLine="720"/>
        <w:jc w:val="left"/>
        <w:rPr/>
      </w:pPr>
      <w:r>
        <w:rPr/>
        <w:t> </w:t>
      </w:r>
    </w:p>
    <w:p>
      <w:pPr>
        <w:pStyle w:val="TextBody"/>
        <w:spacing w:before="0" w:after="0"/>
        <w:ind w:left="0" w:right="0" w:firstLine="720"/>
        <w:jc w:val="left"/>
        <w:rPr>
          <w:rFonts w:ascii="helvetica" w:hAnsi="helvetica"/>
          <w:sz w:val="20"/>
        </w:rPr>
      </w:pPr>
      <w:r>
        <w:rPr>
          <w:rFonts w:ascii="helvetica" w:hAnsi="helvetica"/>
          <w:sz w:val="20"/>
        </w:rPr>
        <w:t>On April 25, 2012, the entire outstanding principal balance and all accrued and unpaid interest under the line of credit, an aggregate of $762,534, was converted into 193,047 shares of common stock and warrants to purchase 48,262 shares of common stock at the offering price and on the terms of the April Private Placement described below, pursuant to the terms of a Conversion Agreement we entered into with DermaStar on April 20, 2012.  The warrants have substantially the same terms as the warrants issued in the April Private Placement.  The line of credit was terminated upon the completion of the conversion.</w:t>
      </w:r>
    </w:p>
    <w:p>
      <w:pPr>
        <w:pStyle w:val="TextBody"/>
        <w:spacing w:before="0" w:after="0"/>
        <w:ind w:left="0" w:right="0" w:firstLine="720"/>
        <w:jc w:val="left"/>
        <w:rPr/>
      </w:pPr>
      <w:r>
        <w:rPr/>
        <w:t> </w:t>
      </w:r>
    </w:p>
    <w:p>
      <w:pPr>
        <w:pStyle w:val="TextBody"/>
        <w:spacing w:before="0" w:after="0"/>
        <w:ind w:left="0" w:right="0" w:firstLine="720"/>
        <w:jc w:val="left"/>
        <w:rPr>
          <w:rFonts w:ascii="helvetica" w:hAnsi="helvetica"/>
          <w:sz w:val="20"/>
        </w:rPr>
      </w:pPr>
      <w:r>
        <w:rPr>
          <w:rFonts w:ascii="helvetica" w:hAnsi="helvetica"/>
          <w:sz w:val="20"/>
          <w:highlight w:val="white"/>
        </w:rPr>
        <w:t xml:space="preserve">The securities issued upon conversion of the outstanding principal and interest owing under the line of credit pursuant to the Conversion Agreement were issued </w:t>
      </w:r>
      <w:r>
        <w:rPr>
          <w:rFonts w:ascii="helvetica" w:hAnsi="helvetica"/>
          <w:sz w:val="20"/>
        </w:rPr>
        <w:t>in reliance on the exemption from the registration requirements of Section 4(2) of the Securities Act. In determining that the issuance of the securities pursuant to the Conversion Agreement qualified for an exemption under Section 4(2), we relied on the following facts: DermaStar is an accredited investor and the Company’s major stockholder; the Company did not use general solicitation or advertising to market the securities; DermaStar represented that it was purchasing the securities for its own account and not with a view to distribute them; and the securities issued were restricted securities.</w:t>
      </w:r>
    </w:p>
    <w:p>
      <w:pPr>
        <w:pStyle w:val="TextBody"/>
        <w:spacing w:before="0" w:after="0"/>
        <w:ind w:left="0" w:right="0" w:firstLine="720"/>
        <w:jc w:val="both"/>
        <w:rPr/>
      </w:pPr>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r>
      <w:bookmarkStart w:id="1362" w:name="PGBRK118"/>
      <w:bookmarkStart w:id="1363" w:name="PGBRK118"/>
      <w:bookmarkEnd w:id="136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364" w:name="FTR118"/>
      <w:bookmarkStart w:id="1365" w:name="FTR118"/>
      <w:bookmarkEnd w:id="136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1366" w:name="GLFTR117"/>
      <w:bookmarkEnd w:id="1366"/>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helvetica" w:hAnsi="helvetica"/>
          <w:sz w:val="20"/>
        </w:rPr>
      </w:pPr>
      <w:bookmarkStart w:id="1367" w:name="PN117"/>
      <w:bookmarkEnd w:id="1367"/>
      <w:r>
        <w:rPr>
          <w:rFonts w:ascii="helvetica" w:hAnsi="helvetica"/>
          <w:sz w:val="20"/>
        </w:rPr>
        <w:t>II-3</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368" w:name="HDR117"/>
      <w:bookmarkStart w:id="1369" w:name="HDR117"/>
      <w:bookmarkEnd w:id="136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1370" w:name="GLHDR117"/>
      <w:bookmarkEnd w:id="1370"/>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pPr>
      <w:r>
        <w:rPr/>
        <w:t> </w:t>
      </w:r>
    </w:p>
    <w:p>
      <w:pPr>
        <w:pStyle w:val="TextBody"/>
        <w:spacing w:before="0" w:after="0"/>
        <w:ind w:left="0" w:right="0" w:hanging="0"/>
        <w:jc w:val="left"/>
        <w:rPr>
          <w:rFonts w:ascii="helvetica" w:hAnsi="helvetica"/>
          <w:i/>
          <w:sz w:val="20"/>
        </w:rPr>
      </w:pPr>
      <w:r>
        <w:rPr>
          <w:rFonts w:ascii="helvetica" w:hAnsi="helvetica"/>
          <w:i/>
          <w:sz w:val="20"/>
        </w:rPr>
        <w:t>Series A Preferred Stock</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r>
        <w:rPr>
          <w:rFonts w:ascii="helvetica" w:hAnsi="helvetica"/>
          <w:sz w:val="20"/>
        </w:rPr>
        <w:t>In partial consideration for and in connection with the Line of Credit Agreement, on November 21, 2011 we executed a Securities Purchase Agreement (the “Series A Purchase Agreement”) with DermaStar, pursuant to which we agreed to issue ten (10) shares of newly-designated Series A Convertible Preferred Stock (the “Series A Preferred Stock”) to DermaStar for an aggregate purchase price of $100,000.   The Series A Purchase Agreement, as amended, became effective on December 9, 2011, in connection with the dismissal of the Chapter 11 Case by the Bankruptcy Court.  On December 12, 2011, we and DermaStar consummated the transactions contemplated by the Series A Purchase Agreement.  The shares of Series A Preferred Stock issued to DermaStar in the offering are convertible into 1,499,700 shares of our common stock.  Upon issuance of the Series A Preferred Stock, DermaStar, and its members individually, became control persons of the Company.  We appointed DermaStar Managing Members Mark L. Baum and Robert J. Kammer to our Board of Directors in December 2011.</w:t>
      </w:r>
    </w:p>
    <w:p>
      <w:pPr>
        <w:pStyle w:val="TextBody"/>
        <w:spacing w:before="0" w:after="0"/>
        <w:ind w:left="0" w:right="0" w:firstLine="720"/>
        <w:jc w:val="left"/>
        <w:rPr/>
      </w:pPr>
      <w:r>
        <w:rPr/>
        <w:t> </w:t>
      </w:r>
    </w:p>
    <w:p>
      <w:pPr>
        <w:pStyle w:val="TextBody"/>
        <w:spacing w:before="0" w:after="0"/>
        <w:ind w:left="0" w:right="0" w:firstLine="720"/>
        <w:jc w:val="left"/>
        <w:rPr>
          <w:rFonts w:ascii="helvetica" w:hAnsi="helvetica"/>
          <w:sz w:val="20"/>
        </w:rPr>
      </w:pPr>
      <w:r>
        <w:rPr>
          <w:rFonts w:ascii="helvetica" w:hAnsi="helvetica"/>
          <w:sz w:val="20"/>
          <w:highlight w:val="white"/>
        </w:rPr>
        <w:t xml:space="preserve">The Series A Preferred Stock issued to DermaStar in the offering were issued </w:t>
      </w:r>
      <w:r>
        <w:rPr>
          <w:rFonts w:ascii="helvetica" w:hAnsi="helvetica"/>
          <w:sz w:val="20"/>
        </w:rPr>
        <w:t>in reliance on the exemption from the registration requirements of Section 4(2) of the Securities Act. In determining that the issuance of the securities pursuant to the Series A Purchase Agreement qualified for an exemption under Section 4(2), we relied on the following facts: DermaStar is an accredited investor; the Company did not use general solicitation or advertising to market the securities; DermaStar represented that it was purchasing the securities for its own account and not with a view to distribute them; and the securities issued were restricted securities.</w:t>
      </w:r>
    </w:p>
    <w:p>
      <w:pPr>
        <w:pStyle w:val="TextBody"/>
        <w:spacing w:before="0" w:after="0"/>
        <w:ind w:left="0" w:right="0" w:firstLine="720"/>
        <w:jc w:val="left"/>
        <w:rPr/>
      </w:pPr>
      <w:r>
        <w:rPr/>
        <w:t> </w:t>
      </w:r>
    </w:p>
    <w:p>
      <w:pPr>
        <w:pStyle w:val="TextBody"/>
        <w:spacing w:before="0" w:after="0"/>
        <w:ind w:left="0" w:right="0" w:firstLine="720"/>
        <w:jc w:val="left"/>
        <w:rPr>
          <w:rFonts w:ascii="helvetica" w:hAnsi="helvetica"/>
          <w:sz w:val="20"/>
        </w:rPr>
      </w:pPr>
      <w:r>
        <w:rPr>
          <w:rFonts w:ascii="helvetica" w:hAnsi="helvetica"/>
          <w:sz w:val="20"/>
        </w:rPr>
        <w:t>On December 9, 2011, we filed a Certificate of Designation to our Amended and Restated Certificate of Incorporation with the Secretary of State of the State of Delaware setting forth the rights and preferences of the Series A Preferred Stock.  Among other things, the Certificate of Designation (i) authorizes 10 shares of the Company’s preferred stock to be designated as “Series A Convertible Preferred Stock”; (ii) grants the holders of the Series A Preferred Stock the right to convert into the Company’s Common Stock at a conversion price of $0.06668, as adjusted; (iii) grants a liquidation preference of $10,000 per share of Series A Preferred Stock; (iv) provides that the holders of Series A Preferred Stock shall vote with the holders of the Company’s common stock on an “as converted basis”; and (v) provides that the affirmative vote of a majority of the outstanding shares of the Series A Preferred Stock is required to approve certain other corporate matters including, among other things, changes to the rights of the holders of the Series A Preferred Stock, amendments to our Certificate of Incorporation or Bylaws, issuance of priority or parity securities, issuance of debt securities, entry into certain fundamental transactions and increase or decrease the size of the Board of Directors of the Company.</w:t>
      </w:r>
    </w:p>
    <w:p>
      <w:pPr>
        <w:pStyle w:val="TextBody"/>
        <w:spacing w:before="0" w:after="0"/>
        <w:ind w:left="0" w:right="0" w:firstLine="720"/>
        <w:jc w:val="left"/>
        <w:rPr/>
      </w:pPr>
      <w:r>
        <w:rPr/>
        <w:t> </w:t>
      </w:r>
    </w:p>
    <w:p>
      <w:pPr>
        <w:pStyle w:val="TextBody"/>
        <w:spacing w:before="0" w:after="0"/>
        <w:ind w:left="0" w:right="0" w:firstLine="720"/>
        <w:jc w:val="left"/>
        <w:rPr>
          <w:rFonts w:ascii="helvetica" w:hAnsi="helvetica"/>
          <w:sz w:val="20"/>
        </w:rPr>
      </w:pPr>
      <w:r>
        <w:rPr>
          <w:rFonts w:ascii="helvetica" w:hAnsi="helvetica"/>
          <w:sz w:val="20"/>
        </w:rPr>
        <w:t>On June 29, 2012, DermaStar converted the 10 shares of Series A Preferred Stock held by it into 1,499,700 shares of our common stock.   In connection with the conversion, we paid to DermaStar $200,000 as partial consideration for the conversion pursuant to a conversion agreement.  Immediately following the conversion of the Series A Preferred Stock, all 10 shares were retired to our treasury and cancelled.  The conversion agreement was unanimously approved by the Company’s disinterested directors, with Mr. Baum and Dr. Kammer abstaining.</w:t>
      </w:r>
    </w:p>
    <w:p>
      <w:pPr>
        <w:pStyle w:val="TextBody"/>
        <w:spacing w:before="0" w:after="0"/>
        <w:ind w:left="0" w:right="0" w:hanging="0"/>
        <w:jc w:val="both"/>
        <w:rPr/>
      </w:pPr>
      <w:r>
        <w:rPr/>
        <w:t> </w:t>
      </w:r>
    </w:p>
    <w:p>
      <w:pPr>
        <w:pStyle w:val="TextBody"/>
        <w:spacing w:before="0" w:after="0"/>
        <w:ind w:left="0" w:right="0" w:hanging="0"/>
        <w:jc w:val="both"/>
        <w:rPr>
          <w:rFonts w:ascii="helvetica" w:hAnsi="helvetica"/>
          <w:i/>
          <w:sz w:val="20"/>
        </w:rPr>
      </w:pPr>
      <w:r>
        <w:rPr>
          <w:rFonts w:ascii="helvetica" w:hAnsi="helvetica"/>
          <w:i/>
          <w:sz w:val="20"/>
        </w:rPr>
        <w:t>April Private Placement</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r>
        <w:rPr>
          <w:rFonts w:ascii="helvetica" w:hAnsi="helvetica"/>
          <w:sz w:val="20"/>
        </w:rPr>
        <w:t>On April 20, 2012, we entered into a Securities Purchase Agreement with certain accredited investors relating to the sale and issuance of an aggregate of 2,011,691 shares of our common stock and warrants to purchase up to 502,928 shares of common stock at an exercise price of $5.925 per share, for an aggregate purchase price of approximately $7.95 million (the “April Private Placement”).  We closed the April Private Placement on April 25, 2012.</w:t>
      </w:r>
    </w:p>
    <w:p>
      <w:pPr>
        <w:pStyle w:val="TextBody"/>
        <w:spacing w:before="0" w:after="0"/>
        <w:ind w:left="0" w:right="0" w:firstLine="720"/>
        <w:jc w:val="left"/>
        <w:rPr/>
      </w:pPr>
      <w:r>
        <w:rPr/>
        <w:t> </w:t>
      </w:r>
    </w:p>
    <w:p>
      <w:pPr>
        <w:pStyle w:val="TextBody"/>
        <w:spacing w:before="0" w:after="0"/>
        <w:ind w:left="0" w:right="0" w:firstLine="720"/>
        <w:jc w:val="left"/>
        <w:rPr>
          <w:rFonts w:ascii="helvetica" w:hAnsi="helvetica"/>
          <w:sz w:val="20"/>
        </w:rPr>
      </w:pPr>
      <w:r>
        <w:rPr>
          <w:rFonts w:ascii="helvetica" w:hAnsi="helvetica"/>
          <w:sz w:val="20"/>
        </w:rPr>
        <w:t>The investors are not entitled to any registration rights with respect to the common stock and warrants issued in the April Private Placement.  The warrants have a term of three years and are exercisable any time after April 25, 2012. We may require that the investors exercise the warrants in whole, but not in part, at any time within 20 business days after all of the following conditions have been satisfied: (i) the volume weighted average price of the our common stock for 10 consecutive trading days is equal to or greater than the exercise price of the warrants; (ii) we have received a Filing Review Notification from the FDA regarding the status of Impracor; and (iii) sufficient shares of common stock are authorized and reserved for issuance upon full exercise of the warrants.</w:t>
      </w:r>
    </w:p>
    <w:p>
      <w:pPr>
        <w:pStyle w:val="TextBody"/>
        <w:spacing w:before="0" w:after="0"/>
        <w:ind w:left="0" w:right="0" w:firstLine="720"/>
        <w:jc w:val="left"/>
        <w:rPr/>
      </w:pPr>
      <w:r>
        <w:rPr/>
        <w:t> </w:t>
      </w:r>
    </w:p>
    <w:p>
      <w:pPr>
        <w:pStyle w:val="TextBody"/>
        <w:spacing w:before="0" w:after="0"/>
        <w:ind w:left="0" w:right="0" w:firstLine="720"/>
        <w:jc w:val="left"/>
        <w:rPr>
          <w:rFonts w:ascii="helvetica" w:hAnsi="helvetica"/>
          <w:sz w:val="20"/>
        </w:rPr>
      </w:pPr>
      <w:r>
        <w:rPr>
          <w:rFonts w:ascii="helvetica" w:hAnsi="helvetica"/>
          <w:sz w:val="20"/>
        </w:rPr>
        <w:t>The securities sold in the April Private Placement were sold in reliance on the exemption from the registration requirements of Section 4(2) of the Securities Act and Rule 506 of Regulation D promulgated thereunder. In determining that the issuance of the securities in the April Private Placement qualified for an exemption under Section 4(2) and Rule 506 of Regulation D, we relied on the following facts: the Company did not use general solicitation or advertising to market the securities; each investor in the April Private Placement represented to the Company that it was an accredited investor (as that term is defined in Rule 501 of Regulation D) and that it was purchasing the securities for its own account and not with a view to distribute them; and the securities issued are restricted securities.</w:t>
      </w:r>
    </w:p>
    <w:p>
      <w:pPr>
        <w:pStyle w:val="TextBody"/>
        <w:spacing w:before="0" w:after="0"/>
        <w:ind w:left="0" w:right="0" w:firstLine="720"/>
        <w:jc w:val="left"/>
        <w:rPr/>
      </w:pPr>
      <w:r>
        <w:rPr/>
        <w:t> </w:t>
      </w:r>
    </w:p>
    <w:p>
      <w:pPr>
        <w:pStyle w:val="TextBody"/>
        <w:spacing w:before="0" w:after="0"/>
        <w:ind w:left="0" w:right="0" w:hanging="0"/>
        <w:jc w:val="left"/>
        <w:rPr/>
      </w:pPr>
      <w:r>
        <w:rPr>
          <w:rFonts w:ascii="helvetica" w:hAnsi="helvetica"/>
          <w:i/>
          <w:sz w:val="20"/>
        </w:rPr>
        <w:t>PCCA Transaction</w:t>
      </w:r>
      <w:r>
        <w:rPr/>
        <w:t xml:space="preserve"> </w:t>
      </w:r>
    </w:p>
    <w:p>
      <w:pPr>
        <w:pStyle w:val="TextBody"/>
        <w:spacing w:before="0" w:after="0"/>
        <w:ind w:left="0" w:right="0" w:hanging="0"/>
        <w:jc w:val="left"/>
        <w:rPr/>
      </w:pPr>
      <w:r>
        <w:rPr/>
        <w:t> </w:t>
      </w:r>
    </w:p>
    <w:p>
      <w:pPr>
        <w:pStyle w:val="TextBody"/>
        <w:spacing w:before="0" w:after="0"/>
        <w:ind w:left="0" w:right="0" w:firstLine="720"/>
        <w:jc w:val="left"/>
        <w:rPr/>
      </w:pPr>
      <w:r>
        <w:rPr>
          <w:rFonts w:ascii="helvetica" w:hAnsi="helvetica"/>
          <w:sz w:val="20"/>
        </w:rPr>
        <w:t>On August 30, 2012, we entered into a Stock Purchase Agreement (the “PCCA Purchase Agreement”) with PCCA in connection with the PCCA Transaction.  Pursuant to the terms of the PCCA Purchase Agreement, on August 31, 2012, we issued and sold to PCCA 832,683 shares of our common stock at a per share purchase price of $4.8038, for aggregate gross proceeds to us of $4,000,000. The PCCA Purchase Agreement does not grant to PCCA any registration rights with respect to the shares purchased and sold thereunder. The shares sold to PCCA were sold in reliance on the exemption from the registration requirements of the Securities Act afforded by Section 4(2) thereof. In determining that the issuance of such shares qualified for an exemption under Section 4(2) of the Securities Act, we relied on the following facts: PCCA represented that it was an accredited investor (as that term is defined in Rule 501 of Regulation D) and that it was purchasing such shares for its own account and not with a view to distribute them; the shares were sold to only one purchaser in connection with a strategic transaction; and the securities issued are restricted securities.</w:t>
      </w:r>
      <w:r>
        <w:rPr/>
        <w:t xml:space="preserve"> </w:t>
      </w:r>
    </w:p>
    <w:p>
      <w:pPr>
        <w:pStyle w:val="TextBody"/>
        <w:spacing w:before="0" w:after="0"/>
        <w:ind w:left="0" w:right="0" w:firstLine="720"/>
        <w:jc w:val="left"/>
        <w:rPr/>
      </w:pPr>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r>
      <w:bookmarkStart w:id="1371" w:name="PGBRK119"/>
      <w:bookmarkStart w:id="1372" w:name="PGBRK119"/>
      <w:bookmarkEnd w:id="137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373" w:name="FTR119"/>
      <w:bookmarkStart w:id="1374" w:name="FTR119"/>
      <w:bookmarkEnd w:id="137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1375" w:name="GLFTR118"/>
      <w:bookmarkEnd w:id="1375"/>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helvetica" w:hAnsi="helvetica"/>
          <w:sz w:val="20"/>
        </w:rPr>
      </w:pPr>
      <w:bookmarkStart w:id="1376" w:name="PN118"/>
      <w:bookmarkEnd w:id="1376"/>
      <w:r>
        <w:rPr>
          <w:rFonts w:ascii="helvetica" w:hAnsi="helvetica"/>
          <w:sz w:val="20"/>
        </w:rPr>
        <w:t>II-4</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377" w:name="HDR118"/>
      <w:bookmarkStart w:id="1378" w:name="HDR118"/>
      <w:bookmarkEnd w:id="137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1379" w:name="GLHDR118"/>
      <w:bookmarkEnd w:id="1379"/>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pPr>
      <w:r>
        <w:rPr/>
        <w:t> </w:t>
      </w:r>
    </w:p>
    <w:p>
      <w:pPr>
        <w:pStyle w:val="TextBody"/>
        <w:spacing w:before="0" w:after="0"/>
        <w:ind w:left="0" w:right="0" w:hanging="0"/>
        <w:jc w:val="both"/>
        <w:rPr>
          <w:rFonts w:ascii="helvetica" w:hAnsi="helvetica"/>
          <w:b/>
          <w:sz w:val="20"/>
        </w:rPr>
      </w:pPr>
      <w:r>
        <w:rPr>
          <w:rFonts w:ascii="helvetica" w:hAnsi="helvetica"/>
          <w:b/>
          <w:sz w:val="20"/>
        </w:rPr>
        <w:t>ITEM 16. EXHIBITS AND FINANCIAL STATEMENT SCHEDULES</w:t>
      </w:r>
    </w:p>
    <w:p>
      <w:pPr>
        <w:pStyle w:val="TextBody"/>
        <w:spacing w:before="0" w:after="0"/>
        <w:ind w:left="0" w:right="0" w:hanging="0"/>
        <w:jc w:val="both"/>
        <w:rPr/>
      </w:pPr>
      <w:r>
        <w:rPr/>
        <w:t> </w:t>
      </w:r>
    </w:p>
    <w:p>
      <w:pPr>
        <w:pStyle w:val="TextBody"/>
        <w:spacing w:before="0" w:after="0"/>
        <w:ind w:left="0" w:right="0" w:hanging="0"/>
        <w:rPr/>
      </w:pPr>
      <w:bookmarkStart w:id="1380" w:name="TAB225"/>
      <w:bookmarkEnd w:id="1380"/>
      <w:r>
        <w:rPr>
          <w:color w:val="000000"/>
          <w:spacing w:val="180"/>
        </w:rPr>
        <w:t> </w:t>
      </w:r>
      <w:r>
        <w:rPr>
          <w:rFonts w:ascii="helvetica" w:hAnsi="helvetica"/>
          <w:sz w:val="20"/>
          <w:u w:val="single"/>
        </w:rPr>
        <w:t>Financial Statement Schedules</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r>
        <w:rPr>
          <w:rFonts w:ascii="helvetica" w:hAnsi="helvetica"/>
          <w:sz w:val="20"/>
        </w:rPr>
        <w:t>All financial statement schedules are omitted because they are not applicable or the required information is shown in the financial statements or notes thereto.</w:t>
      </w:r>
    </w:p>
    <w:p>
      <w:pPr>
        <w:pStyle w:val="TextBody"/>
        <w:spacing w:before="0" w:after="0"/>
        <w:ind w:left="0" w:right="0" w:hanging="0"/>
        <w:jc w:val="both"/>
        <w:rPr/>
      </w:pPr>
      <w:r>
        <w:rPr/>
        <w:t> </w:t>
      </w:r>
    </w:p>
    <w:p>
      <w:pPr>
        <w:pStyle w:val="TextBody"/>
        <w:spacing w:before="0" w:after="0"/>
        <w:ind w:left="0" w:right="0" w:hanging="0"/>
        <w:rPr/>
      </w:pPr>
      <w:bookmarkStart w:id="1381" w:name="TAB226"/>
      <w:bookmarkEnd w:id="1381"/>
      <w:r>
        <w:rPr>
          <w:color w:val="000000"/>
          <w:spacing w:val="180"/>
        </w:rPr>
        <w:t> </w:t>
      </w:r>
      <w:r>
        <w:rPr>
          <w:rFonts w:ascii="helvetica" w:hAnsi="helvetica"/>
          <w:sz w:val="20"/>
          <w:u w:val="single"/>
        </w:rPr>
        <w:t>Exhibits</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r>
        <w:rPr>
          <w:rFonts w:ascii="helvetica" w:hAnsi="helvetica"/>
          <w:sz w:val="20"/>
        </w:rPr>
        <w:t>The following exhibits are being filed with this registration statement on Form S-1.</w:t>
      </w:r>
    </w:p>
    <w:p>
      <w:pPr>
        <w:pStyle w:val="TextBody"/>
        <w:spacing w:before="0" w:after="0"/>
        <w:ind w:left="0" w:right="0" w:hanging="0"/>
        <w:jc w:val="both"/>
        <w:rPr/>
      </w:pPr>
      <w:r>
        <w:rPr/>
        <w:t> </w:t>
      </w:r>
    </w:p>
    <w:tbl>
      <w:tblPr>
        <w:tblW w:w="5000" w:type="pct"/>
        <w:jc w:val="center"/>
        <w:tblInd w:w="0" w:type="dxa"/>
        <w:tblCellMar>
          <w:top w:w="0" w:type="dxa"/>
          <w:left w:w="0" w:type="dxa"/>
          <w:bottom w:w="28" w:type="dxa"/>
          <w:right w:w="0" w:type="dxa"/>
        </w:tblCellMar>
      </w:tblPr>
      <w:tblGrid>
        <w:gridCol w:w="1095"/>
        <w:gridCol w:w="205"/>
        <w:gridCol w:w="8905"/>
      </w:tblGrid>
      <w:tr>
        <w:trPr/>
        <w:tc>
          <w:tcPr>
            <w:tcW w:w="1095" w:type="dxa"/>
            <w:tcBorders>
              <w:bottom w:val="single" w:sz="12" w:space="0" w:color="000000"/>
            </w:tcBorders>
            <w:shd w:fill="auto" w:val="clear"/>
          </w:tcPr>
          <w:p>
            <w:pPr>
              <w:pStyle w:val="TableContents"/>
              <w:spacing w:before="0" w:after="0"/>
              <w:ind w:left="0" w:right="16" w:hanging="0"/>
              <w:jc w:val="left"/>
              <w:rPr>
                <w:rFonts w:ascii="helvetica" w:hAnsi="helvetica"/>
                <w:b/>
                <w:sz w:val="20"/>
              </w:rPr>
            </w:pPr>
            <w:r>
              <w:rPr>
                <w:rFonts w:ascii="helvetica" w:hAnsi="helvetica"/>
                <w:b/>
                <w:sz w:val="20"/>
              </w:rPr>
              <w:t>Exhibit No.</w:t>
            </w:r>
          </w:p>
        </w:tc>
        <w:tc>
          <w:tcPr>
            <w:tcW w:w="205" w:type="dxa"/>
            <w:tcBorders/>
            <w:shd w:fill="auto" w:val="clear"/>
            <w:tcMar>
              <w:bottom w:w="0" w:type="dxa"/>
            </w:tcMar>
          </w:tcPr>
          <w:p>
            <w:pPr>
              <w:pStyle w:val="TableContents"/>
              <w:spacing w:before="0" w:after="283"/>
              <w:jc w:val="left"/>
              <w:rPr/>
            </w:pPr>
            <w:r>
              <w:rPr/>
              <w:t xml:space="preserve">  </w:t>
            </w:r>
          </w:p>
        </w:tc>
        <w:tc>
          <w:tcPr>
            <w:tcW w:w="8905" w:type="dxa"/>
            <w:tcBorders>
              <w:bottom w:val="single" w:sz="12" w:space="0" w:color="000000"/>
            </w:tcBorders>
            <w:shd w:fill="auto" w:val="clear"/>
          </w:tcPr>
          <w:p>
            <w:pPr>
              <w:pStyle w:val="TableContents"/>
              <w:spacing w:before="0" w:after="0"/>
              <w:ind w:left="0" w:right="16" w:hanging="0"/>
              <w:jc w:val="left"/>
              <w:rPr>
                <w:rFonts w:ascii="helvetica" w:hAnsi="helvetica"/>
                <w:b/>
                <w:sz w:val="20"/>
              </w:rPr>
            </w:pPr>
            <w:r>
              <w:rPr>
                <w:rFonts w:ascii="helvetica" w:hAnsi="helvetica"/>
                <w:b/>
                <w:sz w:val="20"/>
              </w:rPr>
              <w:t>Description</w:t>
            </w:r>
          </w:p>
        </w:tc>
      </w:tr>
      <w:tr>
        <w:trPr/>
        <w:tc>
          <w:tcPr>
            <w:tcW w:w="1095" w:type="dxa"/>
            <w:tcBorders/>
            <w:shd w:fill="FFFFFF" w:val="clear"/>
            <w:tcMar>
              <w:bottom w:w="0" w:type="dxa"/>
            </w:tcMar>
          </w:tcPr>
          <w:p>
            <w:pPr>
              <w:pStyle w:val="TableContents"/>
              <w:spacing w:before="0" w:after="283"/>
              <w:jc w:val="left"/>
              <w:rPr/>
            </w:pPr>
            <w:r>
              <w:rPr/>
              <w:t> </w:t>
            </w:r>
          </w:p>
        </w:tc>
        <w:tc>
          <w:tcPr>
            <w:tcW w:w="205" w:type="dxa"/>
            <w:tcBorders/>
            <w:shd w:fill="FFFFFF" w:val="clear"/>
            <w:tcMar>
              <w:bottom w:w="0" w:type="dxa"/>
            </w:tcMar>
          </w:tcPr>
          <w:p>
            <w:pPr>
              <w:pStyle w:val="TableContents"/>
              <w:spacing w:before="0" w:after="283"/>
              <w:rPr/>
            </w:pPr>
            <w:r>
              <w:rPr/>
              <w:t> </w:t>
            </w:r>
          </w:p>
        </w:tc>
        <w:tc>
          <w:tcPr>
            <w:tcW w:w="8905" w:type="dxa"/>
            <w:tcBorders/>
            <w:shd w:fill="FFFFFF" w:val="clear"/>
            <w:tcMar>
              <w:bottom w:w="0" w:type="dxa"/>
            </w:tcMar>
          </w:tcPr>
          <w:p>
            <w:pPr>
              <w:pStyle w:val="TableContents"/>
              <w:spacing w:before="0" w:after="283"/>
              <w:jc w:val="both"/>
              <w:rPr/>
            </w:pPr>
            <w:r>
              <w:rPr/>
              <w:t> </w:t>
            </w:r>
          </w:p>
        </w:tc>
      </w:tr>
      <w:tr>
        <w:trPr/>
        <w:tc>
          <w:tcPr>
            <w:tcW w:w="1095" w:type="dxa"/>
            <w:tcBorders/>
            <w:shd w:fill="CCEEFF" w:val="clear"/>
            <w:tcMar>
              <w:bottom w:w="0" w:type="dxa"/>
            </w:tcMar>
          </w:tcPr>
          <w:p>
            <w:pPr>
              <w:pStyle w:val="TableContents"/>
              <w:spacing w:before="0" w:after="0"/>
              <w:ind w:left="0" w:right="16" w:hanging="0"/>
              <w:jc w:val="left"/>
              <w:rPr>
                <w:rFonts w:ascii="helvetica" w:hAnsi="helvetica"/>
                <w:sz w:val="20"/>
              </w:rPr>
            </w:pPr>
            <w:r>
              <w:rPr>
                <w:rFonts w:ascii="helvetica" w:hAnsi="helvetica"/>
                <w:sz w:val="20"/>
              </w:rPr>
              <w:t xml:space="preserve">1.1 † </w:t>
            </w:r>
          </w:p>
        </w:tc>
        <w:tc>
          <w:tcPr>
            <w:tcW w:w="205" w:type="dxa"/>
            <w:tcBorders/>
            <w:shd w:fill="CCEEFF" w:val="clear"/>
            <w:tcMar>
              <w:bottom w:w="0" w:type="dxa"/>
            </w:tcMar>
          </w:tcPr>
          <w:p>
            <w:pPr>
              <w:pStyle w:val="TableContents"/>
              <w:spacing w:before="0" w:after="283"/>
              <w:rPr/>
            </w:pPr>
            <w:r>
              <w:rPr/>
              <w:t xml:space="preserve">  </w:t>
            </w:r>
          </w:p>
        </w:tc>
        <w:tc>
          <w:tcPr>
            <w:tcW w:w="8905" w:type="dxa"/>
            <w:tcBorders/>
            <w:shd w:fill="CCEEFF" w:val="clear"/>
            <w:tcMar>
              <w:bottom w:w="0" w:type="dxa"/>
            </w:tcMar>
          </w:tcPr>
          <w:p>
            <w:pPr>
              <w:pStyle w:val="TableContents"/>
              <w:spacing w:before="0" w:after="0"/>
              <w:ind w:left="0" w:right="14" w:hanging="0"/>
              <w:jc w:val="both"/>
              <w:rPr>
                <w:rFonts w:ascii="helvetica" w:hAnsi="helvetica"/>
                <w:sz w:val="20"/>
              </w:rPr>
            </w:pPr>
            <w:r>
              <w:rPr>
                <w:rFonts w:ascii="helvetica" w:hAnsi="helvetica"/>
                <w:sz w:val="20"/>
              </w:rPr>
              <w:t>Form of Underwriting Agreement</w:t>
            </w:r>
          </w:p>
        </w:tc>
      </w:tr>
      <w:tr>
        <w:trPr/>
        <w:tc>
          <w:tcPr>
            <w:tcW w:w="1095" w:type="dxa"/>
            <w:tcBorders/>
            <w:shd w:fill="FFFFFF" w:val="clear"/>
            <w:tcMar>
              <w:bottom w:w="0" w:type="dxa"/>
            </w:tcMar>
          </w:tcPr>
          <w:p>
            <w:pPr>
              <w:pStyle w:val="TableContents"/>
              <w:spacing w:before="0" w:after="283"/>
              <w:jc w:val="left"/>
              <w:rPr/>
            </w:pPr>
            <w:r>
              <w:rPr/>
              <w:t> </w:t>
            </w:r>
          </w:p>
        </w:tc>
        <w:tc>
          <w:tcPr>
            <w:tcW w:w="205" w:type="dxa"/>
            <w:tcBorders/>
            <w:shd w:fill="FFFFFF" w:val="clear"/>
            <w:tcMar>
              <w:bottom w:w="0" w:type="dxa"/>
            </w:tcMar>
          </w:tcPr>
          <w:p>
            <w:pPr>
              <w:pStyle w:val="TableContents"/>
              <w:spacing w:before="0" w:after="283"/>
              <w:rPr/>
            </w:pPr>
            <w:r>
              <w:rPr/>
              <w:t> </w:t>
            </w:r>
          </w:p>
        </w:tc>
        <w:tc>
          <w:tcPr>
            <w:tcW w:w="8905" w:type="dxa"/>
            <w:tcBorders/>
            <w:shd w:fill="FFFFFF" w:val="clear"/>
            <w:tcMar>
              <w:bottom w:w="0" w:type="dxa"/>
            </w:tcMar>
          </w:tcPr>
          <w:p>
            <w:pPr>
              <w:pStyle w:val="TableContents"/>
              <w:spacing w:before="0" w:after="283"/>
              <w:jc w:val="both"/>
              <w:rPr/>
            </w:pPr>
            <w:r>
              <w:rPr/>
              <w:t> </w:t>
            </w:r>
          </w:p>
        </w:tc>
      </w:tr>
      <w:tr>
        <w:trPr/>
        <w:tc>
          <w:tcPr>
            <w:tcW w:w="1095" w:type="dxa"/>
            <w:tcBorders/>
            <w:shd w:fill="CCEEFF" w:val="clear"/>
            <w:tcMar>
              <w:bottom w:w="0" w:type="dxa"/>
            </w:tcMar>
          </w:tcPr>
          <w:p>
            <w:pPr>
              <w:pStyle w:val="TableContents"/>
              <w:spacing w:before="0" w:after="0"/>
              <w:ind w:left="0" w:right="16" w:hanging="0"/>
              <w:jc w:val="both"/>
              <w:rPr>
                <w:rFonts w:ascii="helvetica" w:hAnsi="helvetica"/>
                <w:sz w:val="20"/>
              </w:rPr>
            </w:pPr>
            <w:r>
              <w:rPr>
                <w:rFonts w:ascii="helvetica" w:hAnsi="helvetica"/>
                <w:sz w:val="20"/>
              </w:rPr>
              <w:t>2.1</w:t>
            </w:r>
          </w:p>
        </w:tc>
        <w:tc>
          <w:tcPr>
            <w:tcW w:w="205" w:type="dxa"/>
            <w:tcBorders/>
            <w:shd w:fill="CCEEFF" w:val="clear"/>
            <w:tcMar>
              <w:bottom w:w="0" w:type="dxa"/>
            </w:tcMar>
          </w:tcPr>
          <w:p>
            <w:pPr>
              <w:pStyle w:val="TableContents"/>
              <w:spacing w:before="0" w:after="283"/>
              <w:jc w:val="both"/>
              <w:rPr/>
            </w:pPr>
            <w:r>
              <w:rPr/>
              <w:t xml:space="preserve">  </w:t>
            </w:r>
          </w:p>
        </w:tc>
        <w:tc>
          <w:tcPr>
            <w:tcW w:w="8905" w:type="dxa"/>
            <w:tcBorders/>
            <w:shd w:fill="CCEEFF" w:val="clear"/>
            <w:tcMar>
              <w:bottom w:w="0" w:type="dxa"/>
            </w:tcMar>
          </w:tcPr>
          <w:p>
            <w:pPr>
              <w:pStyle w:val="TableContents"/>
              <w:spacing w:before="0" w:after="0"/>
              <w:ind w:left="0" w:right="16" w:hanging="0"/>
              <w:jc w:val="both"/>
              <w:rPr>
                <w:rFonts w:ascii="helvetica" w:hAnsi="helvetica"/>
                <w:sz w:val="20"/>
              </w:rPr>
            </w:pPr>
            <w:r>
              <w:rPr>
                <w:rFonts w:ascii="helvetica" w:hAnsi="helvetica"/>
                <w:sz w:val="20"/>
              </w:rPr>
              <w:t>Agreement and Plan of Merger, dated as of September 17, 2007, by and among Transdel Pharmaceuticals, Inc., Transdel Pharmaceuticals Holdings, Inc. and Trans-Pharma Acquisition Corp. Incorporation (incorporated herein by reference to Exhibit 2.1 to the Current Report on Form 8-K of Transdel Pharmaceuticals, Inc. filed with the Securities and Exchange Commission on September 21, 2007)</w:t>
            </w:r>
          </w:p>
        </w:tc>
      </w:tr>
      <w:tr>
        <w:trPr/>
        <w:tc>
          <w:tcPr>
            <w:tcW w:w="1095" w:type="dxa"/>
            <w:tcBorders/>
            <w:shd w:fill="FFFFFF" w:val="clear"/>
            <w:tcMar>
              <w:bottom w:w="0" w:type="dxa"/>
            </w:tcMar>
          </w:tcPr>
          <w:p>
            <w:pPr>
              <w:pStyle w:val="TableContents"/>
              <w:spacing w:before="0" w:after="283"/>
              <w:jc w:val="both"/>
              <w:rPr/>
            </w:pPr>
            <w:r>
              <w:rPr/>
              <w:t> </w:t>
            </w:r>
          </w:p>
        </w:tc>
        <w:tc>
          <w:tcPr>
            <w:tcW w:w="205" w:type="dxa"/>
            <w:tcBorders/>
            <w:shd w:fill="FFFFFF" w:val="clear"/>
            <w:tcMar>
              <w:bottom w:w="0" w:type="dxa"/>
            </w:tcMar>
          </w:tcPr>
          <w:p>
            <w:pPr>
              <w:pStyle w:val="TableContents"/>
              <w:spacing w:before="0" w:after="283"/>
              <w:jc w:val="both"/>
              <w:rPr/>
            </w:pPr>
            <w:r>
              <w:rPr/>
              <w:t> </w:t>
            </w:r>
          </w:p>
        </w:tc>
        <w:tc>
          <w:tcPr>
            <w:tcW w:w="8905" w:type="dxa"/>
            <w:tcBorders/>
            <w:shd w:fill="FFFFFF" w:val="clear"/>
            <w:tcMar>
              <w:bottom w:w="0" w:type="dxa"/>
            </w:tcMar>
          </w:tcPr>
          <w:p>
            <w:pPr>
              <w:pStyle w:val="TableContents"/>
              <w:spacing w:before="0" w:after="283"/>
              <w:jc w:val="both"/>
              <w:rPr/>
            </w:pPr>
            <w:r>
              <w:rPr/>
              <w:t> </w:t>
            </w:r>
          </w:p>
        </w:tc>
      </w:tr>
      <w:tr>
        <w:trPr/>
        <w:tc>
          <w:tcPr>
            <w:tcW w:w="1095" w:type="dxa"/>
            <w:tcBorders/>
            <w:shd w:fill="CCEEFF" w:val="clear"/>
            <w:tcMar>
              <w:bottom w:w="0" w:type="dxa"/>
            </w:tcMar>
          </w:tcPr>
          <w:p>
            <w:pPr>
              <w:pStyle w:val="TableContents"/>
              <w:spacing w:before="0" w:after="0"/>
              <w:ind w:left="0" w:right="16" w:hanging="0"/>
              <w:jc w:val="both"/>
              <w:rPr>
                <w:rFonts w:ascii="helvetica" w:hAnsi="helvetica"/>
                <w:sz w:val="20"/>
              </w:rPr>
            </w:pPr>
            <w:r>
              <w:rPr>
                <w:rFonts w:ascii="helvetica" w:hAnsi="helvetica"/>
                <w:sz w:val="20"/>
              </w:rPr>
              <w:t>3.1</w:t>
            </w:r>
          </w:p>
        </w:tc>
        <w:tc>
          <w:tcPr>
            <w:tcW w:w="205" w:type="dxa"/>
            <w:tcBorders/>
            <w:shd w:fill="CCEEFF" w:val="clear"/>
            <w:tcMar>
              <w:bottom w:w="0" w:type="dxa"/>
            </w:tcMar>
          </w:tcPr>
          <w:p>
            <w:pPr>
              <w:pStyle w:val="TableContents"/>
              <w:spacing w:before="0" w:after="283"/>
              <w:jc w:val="both"/>
              <w:rPr/>
            </w:pPr>
            <w:r>
              <w:rPr/>
              <w:t xml:space="preserve">  </w:t>
            </w:r>
          </w:p>
        </w:tc>
        <w:tc>
          <w:tcPr>
            <w:tcW w:w="8905" w:type="dxa"/>
            <w:tcBorders/>
            <w:shd w:fill="CCEEFF" w:val="clear"/>
            <w:tcMar>
              <w:bottom w:w="0" w:type="dxa"/>
            </w:tcMar>
          </w:tcPr>
          <w:p>
            <w:pPr>
              <w:pStyle w:val="TableContents"/>
              <w:spacing w:before="0" w:after="0"/>
              <w:ind w:left="0" w:right="16" w:hanging="0"/>
              <w:jc w:val="both"/>
              <w:rPr>
                <w:rFonts w:ascii="helvetica" w:hAnsi="helvetica"/>
                <w:sz w:val="20"/>
              </w:rPr>
            </w:pPr>
            <w:r>
              <w:rPr>
                <w:rFonts w:ascii="helvetica" w:hAnsi="helvetica"/>
                <w:sz w:val="20"/>
              </w:rPr>
              <w:t>Amended and Restated Certificate of Incorporation (incorporated herein by reference to Exhibit 3.1 to the Company’s Current Report on Form 8-K filed with the Securities and Exchange Commission September 13, 2007)</w:t>
            </w:r>
          </w:p>
        </w:tc>
      </w:tr>
      <w:tr>
        <w:trPr/>
        <w:tc>
          <w:tcPr>
            <w:tcW w:w="1095" w:type="dxa"/>
            <w:tcBorders/>
            <w:shd w:fill="FFFFFF" w:val="clear"/>
            <w:tcMar>
              <w:bottom w:w="0" w:type="dxa"/>
            </w:tcMar>
          </w:tcPr>
          <w:p>
            <w:pPr>
              <w:pStyle w:val="TableContents"/>
              <w:spacing w:before="0" w:after="283"/>
              <w:jc w:val="both"/>
              <w:rPr/>
            </w:pPr>
            <w:r>
              <w:rPr/>
              <w:t> </w:t>
            </w:r>
          </w:p>
        </w:tc>
        <w:tc>
          <w:tcPr>
            <w:tcW w:w="205" w:type="dxa"/>
            <w:tcBorders/>
            <w:shd w:fill="FFFFFF" w:val="clear"/>
            <w:tcMar>
              <w:bottom w:w="0" w:type="dxa"/>
            </w:tcMar>
          </w:tcPr>
          <w:p>
            <w:pPr>
              <w:pStyle w:val="TableContents"/>
              <w:spacing w:before="0" w:after="283"/>
              <w:jc w:val="both"/>
              <w:rPr/>
            </w:pPr>
            <w:r>
              <w:rPr/>
              <w:t> </w:t>
            </w:r>
          </w:p>
        </w:tc>
        <w:tc>
          <w:tcPr>
            <w:tcW w:w="8905" w:type="dxa"/>
            <w:tcBorders/>
            <w:shd w:fill="FFFFFF" w:val="clear"/>
            <w:tcMar>
              <w:bottom w:w="0" w:type="dxa"/>
            </w:tcMar>
          </w:tcPr>
          <w:p>
            <w:pPr>
              <w:pStyle w:val="TableContents"/>
              <w:spacing w:before="0" w:after="283"/>
              <w:jc w:val="both"/>
              <w:rPr/>
            </w:pPr>
            <w:r>
              <w:rPr/>
              <w:t> </w:t>
            </w:r>
          </w:p>
        </w:tc>
      </w:tr>
      <w:tr>
        <w:trPr/>
        <w:tc>
          <w:tcPr>
            <w:tcW w:w="1095" w:type="dxa"/>
            <w:tcBorders/>
            <w:shd w:fill="CCEEFF" w:val="clear"/>
            <w:tcMar>
              <w:bottom w:w="0" w:type="dxa"/>
            </w:tcMar>
          </w:tcPr>
          <w:p>
            <w:pPr>
              <w:pStyle w:val="TableContents"/>
              <w:spacing w:before="0" w:after="0"/>
              <w:ind w:left="0" w:right="16" w:hanging="0"/>
              <w:jc w:val="both"/>
              <w:rPr>
                <w:rFonts w:ascii="helvetica" w:hAnsi="helvetica"/>
                <w:sz w:val="20"/>
              </w:rPr>
            </w:pPr>
            <w:r>
              <w:rPr>
                <w:rFonts w:ascii="helvetica" w:hAnsi="helvetica"/>
                <w:sz w:val="20"/>
              </w:rPr>
              <w:t>3.2</w:t>
            </w:r>
          </w:p>
        </w:tc>
        <w:tc>
          <w:tcPr>
            <w:tcW w:w="205" w:type="dxa"/>
            <w:tcBorders/>
            <w:shd w:fill="CCEEFF" w:val="clear"/>
            <w:tcMar>
              <w:bottom w:w="0" w:type="dxa"/>
            </w:tcMar>
          </w:tcPr>
          <w:p>
            <w:pPr>
              <w:pStyle w:val="TableContents"/>
              <w:spacing w:before="0" w:after="283"/>
              <w:jc w:val="both"/>
              <w:rPr/>
            </w:pPr>
            <w:r>
              <w:rPr/>
              <w:t xml:space="preserve">  </w:t>
            </w:r>
          </w:p>
        </w:tc>
        <w:tc>
          <w:tcPr>
            <w:tcW w:w="8905" w:type="dxa"/>
            <w:tcBorders/>
            <w:shd w:fill="CCEEFF" w:val="clear"/>
            <w:tcMar>
              <w:bottom w:w="0" w:type="dxa"/>
            </w:tcMar>
          </w:tcPr>
          <w:p>
            <w:pPr>
              <w:pStyle w:val="TableContents"/>
              <w:spacing w:before="0" w:after="0"/>
              <w:ind w:left="0" w:right="16" w:hanging="0"/>
              <w:jc w:val="both"/>
              <w:rPr>
                <w:rFonts w:ascii="helvetica" w:hAnsi="helvetica"/>
                <w:sz w:val="20"/>
              </w:rPr>
            </w:pPr>
            <w:r>
              <w:rPr>
                <w:rFonts w:ascii="helvetica" w:hAnsi="helvetica"/>
                <w:sz w:val="20"/>
              </w:rPr>
              <w:t>Amended and Restated Bylaws (incorporated herein by reference to Exhibit 3.2 to the Company’s Current Report on Form 8-K filed with the Securities and Exchange Commission September 13, 2007)</w:t>
            </w:r>
          </w:p>
        </w:tc>
      </w:tr>
      <w:tr>
        <w:trPr/>
        <w:tc>
          <w:tcPr>
            <w:tcW w:w="1095" w:type="dxa"/>
            <w:tcBorders/>
            <w:shd w:fill="FFFFFF" w:val="clear"/>
            <w:tcMar>
              <w:bottom w:w="0" w:type="dxa"/>
            </w:tcMar>
          </w:tcPr>
          <w:p>
            <w:pPr>
              <w:pStyle w:val="TableContents"/>
              <w:spacing w:before="0" w:after="283"/>
              <w:jc w:val="both"/>
              <w:rPr/>
            </w:pPr>
            <w:r>
              <w:rPr/>
              <w:t> </w:t>
            </w:r>
          </w:p>
        </w:tc>
        <w:tc>
          <w:tcPr>
            <w:tcW w:w="205" w:type="dxa"/>
            <w:tcBorders/>
            <w:shd w:fill="FFFFFF" w:val="clear"/>
            <w:tcMar>
              <w:bottom w:w="0" w:type="dxa"/>
            </w:tcMar>
          </w:tcPr>
          <w:p>
            <w:pPr>
              <w:pStyle w:val="TableContents"/>
              <w:spacing w:before="0" w:after="283"/>
              <w:jc w:val="both"/>
              <w:rPr/>
            </w:pPr>
            <w:r>
              <w:rPr/>
              <w:t> </w:t>
            </w:r>
          </w:p>
        </w:tc>
        <w:tc>
          <w:tcPr>
            <w:tcW w:w="8905" w:type="dxa"/>
            <w:tcBorders/>
            <w:shd w:fill="FFFFFF" w:val="clear"/>
            <w:tcMar>
              <w:bottom w:w="0" w:type="dxa"/>
            </w:tcMar>
          </w:tcPr>
          <w:p>
            <w:pPr>
              <w:pStyle w:val="TableContents"/>
              <w:spacing w:before="0" w:after="283"/>
              <w:jc w:val="both"/>
              <w:rPr/>
            </w:pPr>
            <w:r>
              <w:rPr/>
              <w:t> </w:t>
            </w:r>
          </w:p>
        </w:tc>
      </w:tr>
      <w:tr>
        <w:trPr/>
        <w:tc>
          <w:tcPr>
            <w:tcW w:w="1095" w:type="dxa"/>
            <w:tcBorders/>
            <w:shd w:fill="CCEEFF" w:val="clear"/>
            <w:tcMar>
              <w:bottom w:w="0" w:type="dxa"/>
            </w:tcMar>
          </w:tcPr>
          <w:p>
            <w:pPr>
              <w:pStyle w:val="TableContents"/>
              <w:spacing w:before="0" w:after="0"/>
              <w:ind w:left="0" w:right="16" w:hanging="0"/>
              <w:jc w:val="both"/>
              <w:rPr>
                <w:rFonts w:ascii="helvetica" w:hAnsi="helvetica"/>
                <w:sz w:val="20"/>
              </w:rPr>
            </w:pPr>
            <w:r>
              <w:rPr>
                <w:rFonts w:ascii="helvetica" w:hAnsi="helvetica"/>
                <w:sz w:val="20"/>
              </w:rPr>
              <w:t>3.3</w:t>
            </w:r>
          </w:p>
        </w:tc>
        <w:tc>
          <w:tcPr>
            <w:tcW w:w="205" w:type="dxa"/>
            <w:tcBorders/>
            <w:shd w:fill="CCEEFF" w:val="clear"/>
            <w:tcMar>
              <w:bottom w:w="0" w:type="dxa"/>
            </w:tcMar>
          </w:tcPr>
          <w:p>
            <w:pPr>
              <w:pStyle w:val="TableContents"/>
              <w:spacing w:before="0" w:after="283"/>
              <w:jc w:val="both"/>
              <w:rPr/>
            </w:pPr>
            <w:r>
              <w:rPr/>
              <w:t xml:space="preserve">  </w:t>
            </w:r>
          </w:p>
        </w:tc>
        <w:tc>
          <w:tcPr>
            <w:tcW w:w="8905" w:type="dxa"/>
            <w:tcBorders/>
            <w:shd w:fill="CCEEFF" w:val="clear"/>
            <w:tcMar>
              <w:bottom w:w="0" w:type="dxa"/>
            </w:tcMar>
          </w:tcPr>
          <w:p>
            <w:pPr>
              <w:pStyle w:val="TableContents"/>
              <w:spacing w:before="0" w:after="0"/>
              <w:ind w:left="0" w:right="16" w:hanging="0"/>
              <w:jc w:val="both"/>
              <w:rPr>
                <w:rFonts w:ascii="helvetica" w:hAnsi="helvetica"/>
                <w:sz w:val="20"/>
              </w:rPr>
            </w:pPr>
            <w:r>
              <w:rPr>
                <w:rFonts w:ascii="helvetica" w:hAnsi="helvetica"/>
                <w:sz w:val="20"/>
              </w:rPr>
              <w:t>Certificate of Designation of Series A Convertible Preferred Stock of Transdel Pharmaceuticals, Inc. (incorporated herein by reference to Exhibit 3.1 to the Current Report on Form 8-K of Transdel Pharmaceuticals, Inc. filed with the Securities and Exchange Commission on December 20, 2011) </w:t>
            </w:r>
          </w:p>
        </w:tc>
      </w:tr>
      <w:tr>
        <w:trPr/>
        <w:tc>
          <w:tcPr>
            <w:tcW w:w="1095" w:type="dxa"/>
            <w:tcBorders/>
            <w:shd w:fill="FFFFFF" w:val="clear"/>
            <w:tcMar>
              <w:bottom w:w="0" w:type="dxa"/>
            </w:tcMar>
          </w:tcPr>
          <w:p>
            <w:pPr>
              <w:pStyle w:val="TableContents"/>
              <w:spacing w:before="0" w:after="283"/>
              <w:jc w:val="both"/>
              <w:rPr/>
            </w:pPr>
            <w:r>
              <w:rPr/>
              <w:t> </w:t>
            </w:r>
          </w:p>
        </w:tc>
        <w:tc>
          <w:tcPr>
            <w:tcW w:w="205" w:type="dxa"/>
            <w:tcBorders/>
            <w:shd w:fill="FFFFFF" w:val="clear"/>
            <w:tcMar>
              <w:bottom w:w="0" w:type="dxa"/>
            </w:tcMar>
          </w:tcPr>
          <w:p>
            <w:pPr>
              <w:pStyle w:val="TableContents"/>
              <w:spacing w:before="0" w:after="283"/>
              <w:jc w:val="both"/>
              <w:rPr/>
            </w:pPr>
            <w:r>
              <w:rPr/>
              <w:t> </w:t>
            </w:r>
          </w:p>
        </w:tc>
        <w:tc>
          <w:tcPr>
            <w:tcW w:w="8905" w:type="dxa"/>
            <w:tcBorders/>
            <w:shd w:fill="FFFFFF" w:val="clear"/>
            <w:tcMar>
              <w:bottom w:w="0" w:type="dxa"/>
            </w:tcMar>
          </w:tcPr>
          <w:p>
            <w:pPr>
              <w:pStyle w:val="TableContents"/>
              <w:spacing w:before="0" w:after="283"/>
              <w:jc w:val="both"/>
              <w:rPr/>
            </w:pPr>
            <w:r>
              <w:rPr/>
              <w:t> </w:t>
            </w:r>
          </w:p>
        </w:tc>
      </w:tr>
      <w:tr>
        <w:trPr/>
        <w:tc>
          <w:tcPr>
            <w:tcW w:w="1095" w:type="dxa"/>
            <w:tcBorders/>
            <w:shd w:fill="CCEEFF" w:val="clear"/>
            <w:tcMar>
              <w:bottom w:w="0" w:type="dxa"/>
            </w:tcMar>
          </w:tcPr>
          <w:p>
            <w:pPr>
              <w:pStyle w:val="TableContents"/>
              <w:spacing w:before="0" w:after="0"/>
              <w:ind w:left="0" w:right="16" w:hanging="0"/>
              <w:jc w:val="both"/>
              <w:rPr>
                <w:rFonts w:ascii="helvetica" w:hAnsi="helvetica"/>
                <w:sz w:val="20"/>
              </w:rPr>
            </w:pPr>
            <w:r>
              <w:rPr>
                <w:rFonts w:ascii="helvetica" w:hAnsi="helvetica"/>
                <w:sz w:val="20"/>
              </w:rPr>
              <w:t>3.4</w:t>
            </w:r>
          </w:p>
        </w:tc>
        <w:tc>
          <w:tcPr>
            <w:tcW w:w="205" w:type="dxa"/>
            <w:tcBorders/>
            <w:shd w:fill="CCEEFF" w:val="clear"/>
            <w:tcMar>
              <w:bottom w:w="0" w:type="dxa"/>
            </w:tcMar>
          </w:tcPr>
          <w:p>
            <w:pPr>
              <w:pStyle w:val="TableContents"/>
              <w:spacing w:before="0" w:after="283"/>
              <w:jc w:val="both"/>
              <w:rPr/>
            </w:pPr>
            <w:r>
              <w:rPr/>
              <w:t xml:space="preserve">  </w:t>
            </w:r>
          </w:p>
        </w:tc>
        <w:tc>
          <w:tcPr>
            <w:tcW w:w="8905" w:type="dxa"/>
            <w:tcBorders/>
            <w:shd w:fill="CCEEFF" w:val="clear"/>
            <w:tcMar>
              <w:bottom w:w="0" w:type="dxa"/>
            </w:tcMar>
          </w:tcPr>
          <w:p>
            <w:pPr>
              <w:pStyle w:val="TableContents"/>
              <w:spacing w:before="0" w:after="0"/>
              <w:ind w:left="0" w:right="16" w:hanging="0"/>
              <w:jc w:val="both"/>
              <w:rPr>
                <w:rFonts w:ascii="helvetica" w:hAnsi="helvetica"/>
                <w:sz w:val="20"/>
              </w:rPr>
            </w:pPr>
            <w:r>
              <w:rPr>
                <w:rFonts w:ascii="helvetica" w:hAnsi="helvetica"/>
                <w:sz w:val="20"/>
              </w:rPr>
              <w:t>Certificate of Amendment to Amended and Restated Certificate of Incorporation (incorporated by reference to Exhibit 3.1 to the Company’s Quarterly Report on 10-Q filed with the Securities and Exchange Commission on May 10, 2012)</w:t>
            </w:r>
          </w:p>
        </w:tc>
      </w:tr>
      <w:tr>
        <w:trPr/>
        <w:tc>
          <w:tcPr>
            <w:tcW w:w="1095" w:type="dxa"/>
            <w:tcBorders/>
            <w:shd w:fill="FFFFFF" w:val="clear"/>
            <w:tcMar>
              <w:bottom w:w="0" w:type="dxa"/>
            </w:tcMar>
          </w:tcPr>
          <w:p>
            <w:pPr>
              <w:pStyle w:val="TableContents"/>
              <w:spacing w:before="0" w:after="283"/>
              <w:jc w:val="both"/>
              <w:rPr/>
            </w:pPr>
            <w:r>
              <w:rPr/>
              <w:t> </w:t>
            </w:r>
          </w:p>
        </w:tc>
        <w:tc>
          <w:tcPr>
            <w:tcW w:w="205" w:type="dxa"/>
            <w:tcBorders/>
            <w:shd w:fill="FFFFFF" w:val="clear"/>
            <w:tcMar>
              <w:bottom w:w="0" w:type="dxa"/>
            </w:tcMar>
          </w:tcPr>
          <w:p>
            <w:pPr>
              <w:pStyle w:val="TableContents"/>
              <w:spacing w:before="0" w:after="283"/>
              <w:jc w:val="both"/>
              <w:rPr/>
            </w:pPr>
            <w:r>
              <w:rPr/>
              <w:t> </w:t>
            </w:r>
          </w:p>
        </w:tc>
        <w:tc>
          <w:tcPr>
            <w:tcW w:w="8905" w:type="dxa"/>
            <w:tcBorders/>
            <w:shd w:fill="FFFFFF" w:val="clear"/>
            <w:tcMar>
              <w:bottom w:w="0" w:type="dxa"/>
            </w:tcMar>
          </w:tcPr>
          <w:p>
            <w:pPr>
              <w:pStyle w:val="TableContents"/>
              <w:spacing w:before="0" w:after="283"/>
              <w:jc w:val="both"/>
              <w:rPr/>
            </w:pPr>
            <w:r>
              <w:rPr/>
              <w:t> </w:t>
            </w:r>
          </w:p>
        </w:tc>
      </w:tr>
      <w:tr>
        <w:trPr/>
        <w:tc>
          <w:tcPr>
            <w:tcW w:w="1095" w:type="dxa"/>
            <w:tcBorders/>
            <w:shd w:fill="CCEEFF" w:val="clear"/>
            <w:tcMar>
              <w:bottom w:w="0" w:type="dxa"/>
            </w:tcMar>
          </w:tcPr>
          <w:p>
            <w:pPr>
              <w:pStyle w:val="TableContents"/>
              <w:spacing w:before="0" w:after="0"/>
              <w:ind w:left="0" w:right="16" w:hanging="0"/>
              <w:jc w:val="both"/>
              <w:rPr>
                <w:rFonts w:ascii="helvetica" w:hAnsi="helvetica"/>
                <w:sz w:val="20"/>
              </w:rPr>
            </w:pPr>
            <w:r>
              <w:rPr>
                <w:rFonts w:ascii="helvetica" w:hAnsi="helvetica"/>
                <w:sz w:val="20"/>
              </w:rPr>
              <w:t xml:space="preserve">5.1 * </w:t>
            </w:r>
          </w:p>
        </w:tc>
        <w:tc>
          <w:tcPr>
            <w:tcW w:w="205" w:type="dxa"/>
            <w:tcBorders/>
            <w:shd w:fill="CCEEFF" w:val="clear"/>
            <w:tcMar>
              <w:bottom w:w="0" w:type="dxa"/>
            </w:tcMar>
          </w:tcPr>
          <w:p>
            <w:pPr>
              <w:pStyle w:val="TableContents"/>
              <w:spacing w:before="0" w:after="283"/>
              <w:jc w:val="both"/>
              <w:rPr/>
            </w:pPr>
            <w:r>
              <w:rPr/>
              <w:t xml:space="preserve">  </w:t>
            </w:r>
          </w:p>
        </w:tc>
        <w:tc>
          <w:tcPr>
            <w:tcW w:w="8905" w:type="dxa"/>
            <w:tcBorders/>
            <w:shd w:fill="CCEEFF" w:val="clear"/>
            <w:tcMar>
              <w:bottom w:w="0" w:type="dxa"/>
            </w:tcMar>
          </w:tcPr>
          <w:p>
            <w:pPr>
              <w:pStyle w:val="TableContents"/>
              <w:spacing w:before="0" w:after="0"/>
              <w:ind w:left="0" w:right="16" w:hanging="0"/>
              <w:jc w:val="both"/>
              <w:rPr>
                <w:rFonts w:ascii="helvetica" w:hAnsi="helvetica"/>
                <w:sz w:val="20"/>
              </w:rPr>
            </w:pPr>
            <w:r>
              <w:rPr>
                <w:rFonts w:ascii="helvetica" w:hAnsi="helvetica"/>
                <w:sz w:val="20"/>
              </w:rPr>
              <w:t>Opinion of Morrison &amp; Foerster LLP</w:t>
            </w:r>
          </w:p>
        </w:tc>
      </w:tr>
      <w:tr>
        <w:trPr/>
        <w:tc>
          <w:tcPr>
            <w:tcW w:w="1095" w:type="dxa"/>
            <w:tcBorders/>
            <w:shd w:fill="FFFFFF" w:val="clear"/>
            <w:tcMar>
              <w:bottom w:w="0" w:type="dxa"/>
            </w:tcMar>
          </w:tcPr>
          <w:p>
            <w:pPr>
              <w:pStyle w:val="TableContents"/>
              <w:spacing w:before="0" w:after="283"/>
              <w:jc w:val="both"/>
              <w:rPr/>
            </w:pPr>
            <w:r>
              <w:rPr/>
              <w:t> </w:t>
            </w:r>
          </w:p>
        </w:tc>
        <w:tc>
          <w:tcPr>
            <w:tcW w:w="205" w:type="dxa"/>
            <w:tcBorders/>
            <w:shd w:fill="FFFFFF" w:val="clear"/>
            <w:tcMar>
              <w:bottom w:w="0" w:type="dxa"/>
            </w:tcMar>
          </w:tcPr>
          <w:p>
            <w:pPr>
              <w:pStyle w:val="TableContents"/>
              <w:spacing w:before="0" w:after="283"/>
              <w:jc w:val="both"/>
              <w:rPr/>
            </w:pPr>
            <w:r>
              <w:rPr/>
              <w:t> </w:t>
            </w:r>
          </w:p>
        </w:tc>
        <w:tc>
          <w:tcPr>
            <w:tcW w:w="8905" w:type="dxa"/>
            <w:tcBorders/>
            <w:shd w:fill="FFFFFF" w:val="clear"/>
            <w:tcMar>
              <w:bottom w:w="0" w:type="dxa"/>
            </w:tcMar>
          </w:tcPr>
          <w:p>
            <w:pPr>
              <w:pStyle w:val="TableContents"/>
              <w:spacing w:before="0" w:after="283"/>
              <w:jc w:val="both"/>
              <w:rPr/>
            </w:pPr>
            <w:r>
              <w:rPr/>
              <w:t> </w:t>
            </w:r>
          </w:p>
        </w:tc>
      </w:tr>
      <w:tr>
        <w:trPr/>
        <w:tc>
          <w:tcPr>
            <w:tcW w:w="1095" w:type="dxa"/>
            <w:tcBorders/>
            <w:shd w:fill="CCEEFF" w:val="clear"/>
            <w:tcMar>
              <w:bottom w:w="0" w:type="dxa"/>
            </w:tcMar>
          </w:tcPr>
          <w:p>
            <w:pPr>
              <w:pStyle w:val="TableContents"/>
              <w:spacing w:before="0" w:after="0"/>
              <w:ind w:left="0" w:right="16" w:hanging="0"/>
              <w:jc w:val="both"/>
              <w:rPr>
                <w:rFonts w:ascii="helvetica" w:hAnsi="helvetica"/>
                <w:sz w:val="20"/>
              </w:rPr>
            </w:pPr>
            <w:r>
              <w:rPr>
                <w:rFonts w:ascii="helvetica" w:hAnsi="helvetica"/>
                <w:sz w:val="20"/>
              </w:rPr>
              <w:t>10.1</w:t>
            </w:r>
          </w:p>
        </w:tc>
        <w:tc>
          <w:tcPr>
            <w:tcW w:w="205" w:type="dxa"/>
            <w:tcBorders/>
            <w:shd w:fill="CCEEFF" w:val="clear"/>
            <w:tcMar>
              <w:bottom w:w="0" w:type="dxa"/>
            </w:tcMar>
          </w:tcPr>
          <w:p>
            <w:pPr>
              <w:pStyle w:val="TableContents"/>
              <w:spacing w:before="0" w:after="283"/>
              <w:jc w:val="both"/>
              <w:rPr/>
            </w:pPr>
            <w:r>
              <w:rPr/>
              <w:t xml:space="preserve">  </w:t>
            </w:r>
          </w:p>
        </w:tc>
        <w:tc>
          <w:tcPr>
            <w:tcW w:w="8905" w:type="dxa"/>
            <w:tcBorders/>
            <w:shd w:fill="CCEEFF" w:val="clear"/>
            <w:tcMar>
              <w:bottom w:w="0" w:type="dxa"/>
            </w:tcMar>
          </w:tcPr>
          <w:p>
            <w:pPr>
              <w:pStyle w:val="TableContents"/>
              <w:spacing w:before="0" w:after="0"/>
              <w:ind w:left="0" w:right="16" w:hanging="0"/>
              <w:jc w:val="both"/>
              <w:rPr>
                <w:rFonts w:ascii="helvetica" w:hAnsi="helvetica"/>
                <w:sz w:val="20"/>
              </w:rPr>
            </w:pPr>
            <w:r>
              <w:rPr>
                <w:rFonts w:ascii="helvetica" w:hAnsi="helvetica"/>
                <w:sz w:val="20"/>
              </w:rPr>
              <w:t>Form of Warrant to purchase Common Stock (incorporated herein by reference to Exhibit 10.2 to the Current Report on Form 8-K of Transdel Pharmaceuticals, Inc. filed with the Securities and Exchange Commission on September 21, 2007)</w:t>
            </w:r>
          </w:p>
        </w:tc>
      </w:tr>
      <w:tr>
        <w:trPr/>
        <w:tc>
          <w:tcPr>
            <w:tcW w:w="1095" w:type="dxa"/>
            <w:tcBorders/>
            <w:shd w:fill="FFFFFF" w:val="clear"/>
            <w:tcMar>
              <w:bottom w:w="0" w:type="dxa"/>
            </w:tcMar>
          </w:tcPr>
          <w:p>
            <w:pPr>
              <w:pStyle w:val="TableContents"/>
              <w:spacing w:before="0" w:after="283"/>
              <w:jc w:val="both"/>
              <w:rPr/>
            </w:pPr>
            <w:r>
              <w:rPr/>
              <w:t> </w:t>
            </w:r>
          </w:p>
        </w:tc>
        <w:tc>
          <w:tcPr>
            <w:tcW w:w="205" w:type="dxa"/>
            <w:tcBorders/>
            <w:shd w:fill="FFFFFF" w:val="clear"/>
            <w:tcMar>
              <w:bottom w:w="0" w:type="dxa"/>
            </w:tcMar>
          </w:tcPr>
          <w:p>
            <w:pPr>
              <w:pStyle w:val="TableContents"/>
              <w:spacing w:before="0" w:after="283"/>
              <w:jc w:val="both"/>
              <w:rPr/>
            </w:pPr>
            <w:r>
              <w:rPr/>
              <w:t> </w:t>
            </w:r>
          </w:p>
        </w:tc>
        <w:tc>
          <w:tcPr>
            <w:tcW w:w="8905" w:type="dxa"/>
            <w:tcBorders/>
            <w:shd w:fill="FFFFFF" w:val="clear"/>
            <w:tcMar>
              <w:bottom w:w="0" w:type="dxa"/>
            </w:tcMar>
          </w:tcPr>
          <w:p>
            <w:pPr>
              <w:pStyle w:val="TableContents"/>
              <w:spacing w:before="0" w:after="283"/>
              <w:jc w:val="both"/>
              <w:rPr/>
            </w:pPr>
            <w:r>
              <w:rPr/>
              <w:t> </w:t>
            </w:r>
          </w:p>
        </w:tc>
      </w:tr>
      <w:tr>
        <w:trPr/>
        <w:tc>
          <w:tcPr>
            <w:tcW w:w="1095" w:type="dxa"/>
            <w:tcBorders/>
            <w:shd w:fill="CCEEFF" w:val="clear"/>
            <w:tcMar>
              <w:bottom w:w="0" w:type="dxa"/>
            </w:tcMar>
          </w:tcPr>
          <w:p>
            <w:pPr>
              <w:pStyle w:val="TableContents"/>
              <w:spacing w:before="0" w:after="0"/>
              <w:ind w:left="0" w:right="16" w:hanging="0"/>
              <w:jc w:val="both"/>
              <w:rPr>
                <w:rFonts w:ascii="helvetica" w:hAnsi="helvetica"/>
                <w:sz w:val="20"/>
              </w:rPr>
            </w:pPr>
            <w:r>
              <w:rPr>
                <w:rFonts w:ascii="helvetica" w:hAnsi="helvetica"/>
                <w:sz w:val="20"/>
              </w:rPr>
              <w:t>10.2</w:t>
            </w:r>
          </w:p>
        </w:tc>
        <w:tc>
          <w:tcPr>
            <w:tcW w:w="205" w:type="dxa"/>
            <w:tcBorders/>
            <w:shd w:fill="CCEEFF" w:val="clear"/>
            <w:tcMar>
              <w:bottom w:w="0" w:type="dxa"/>
            </w:tcMar>
          </w:tcPr>
          <w:p>
            <w:pPr>
              <w:pStyle w:val="TableContents"/>
              <w:spacing w:before="0" w:after="283"/>
              <w:jc w:val="both"/>
              <w:rPr/>
            </w:pPr>
            <w:r>
              <w:rPr/>
              <w:t xml:space="preserve">  </w:t>
            </w:r>
          </w:p>
        </w:tc>
        <w:tc>
          <w:tcPr>
            <w:tcW w:w="8905" w:type="dxa"/>
            <w:tcBorders/>
            <w:shd w:fill="CCEEFF" w:val="clear"/>
            <w:tcMar>
              <w:bottom w:w="0" w:type="dxa"/>
            </w:tcMar>
          </w:tcPr>
          <w:p>
            <w:pPr>
              <w:pStyle w:val="TableContents"/>
              <w:spacing w:before="0" w:after="0"/>
              <w:ind w:left="0" w:right="16" w:hanging="0"/>
              <w:jc w:val="both"/>
              <w:rPr>
                <w:rFonts w:ascii="helvetica" w:hAnsi="helvetica"/>
                <w:sz w:val="20"/>
              </w:rPr>
            </w:pPr>
            <w:r>
              <w:rPr>
                <w:rFonts w:ascii="helvetica" w:hAnsi="helvetica"/>
                <w:sz w:val="20"/>
              </w:rPr>
              <w:t>Form of Directors and Officers Indemnification Agreement (incorporated herein by reference to Exhibit 10.8 to the Current Report on Form 8-K of Transdel Pharmaceuticals, Inc. filed with the Securities and Exchange Commission on September 21, 2007) </w:t>
            </w:r>
          </w:p>
        </w:tc>
      </w:tr>
      <w:tr>
        <w:trPr/>
        <w:tc>
          <w:tcPr>
            <w:tcW w:w="1095" w:type="dxa"/>
            <w:tcBorders/>
            <w:shd w:fill="FFFFFF" w:val="clear"/>
            <w:tcMar>
              <w:bottom w:w="0" w:type="dxa"/>
            </w:tcMar>
          </w:tcPr>
          <w:p>
            <w:pPr>
              <w:pStyle w:val="TableContents"/>
              <w:spacing w:before="0" w:after="283"/>
              <w:jc w:val="both"/>
              <w:rPr/>
            </w:pPr>
            <w:r>
              <w:rPr/>
              <w:t> </w:t>
            </w:r>
          </w:p>
        </w:tc>
        <w:tc>
          <w:tcPr>
            <w:tcW w:w="205" w:type="dxa"/>
            <w:tcBorders/>
            <w:shd w:fill="FFFFFF" w:val="clear"/>
            <w:tcMar>
              <w:bottom w:w="0" w:type="dxa"/>
            </w:tcMar>
          </w:tcPr>
          <w:p>
            <w:pPr>
              <w:pStyle w:val="TableContents"/>
              <w:spacing w:before="0" w:after="283"/>
              <w:jc w:val="both"/>
              <w:rPr/>
            </w:pPr>
            <w:r>
              <w:rPr/>
              <w:t> </w:t>
            </w:r>
          </w:p>
        </w:tc>
        <w:tc>
          <w:tcPr>
            <w:tcW w:w="8905" w:type="dxa"/>
            <w:tcBorders/>
            <w:shd w:fill="FFFFFF" w:val="clear"/>
            <w:tcMar>
              <w:bottom w:w="0" w:type="dxa"/>
            </w:tcMar>
          </w:tcPr>
          <w:p>
            <w:pPr>
              <w:pStyle w:val="TableContents"/>
              <w:spacing w:before="0" w:after="283"/>
              <w:jc w:val="both"/>
              <w:rPr/>
            </w:pPr>
            <w:r>
              <w:rPr/>
              <w:t> </w:t>
            </w:r>
          </w:p>
        </w:tc>
      </w:tr>
      <w:tr>
        <w:trPr/>
        <w:tc>
          <w:tcPr>
            <w:tcW w:w="1095" w:type="dxa"/>
            <w:tcBorders/>
            <w:shd w:fill="CCEEFF" w:val="clear"/>
            <w:tcMar>
              <w:bottom w:w="0" w:type="dxa"/>
            </w:tcMar>
          </w:tcPr>
          <w:p>
            <w:pPr>
              <w:pStyle w:val="TableContents"/>
              <w:spacing w:before="0" w:after="0"/>
              <w:ind w:left="0" w:right="16" w:hanging="0"/>
              <w:jc w:val="both"/>
              <w:rPr>
                <w:rFonts w:ascii="helvetica" w:hAnsi="helvetica"/>
                <w:sz w:val="20"/>
              </w:rPr>
            </w:pPr>
            <w:r>
              <w:rPr>
                <w:rFonts w:ascii="helvetica" w:hAnsi="helvetica"/>
                <w:sz w:val="20"/>
              </w:rPr>
              <w:t>10.3#</w:t>
            </w:r>
          </w:p>
        </w:tc>
        <w:tc>
          <w:tcPr>
            <w:tcW w:w="205" w:type="dxa"/>
            <w:tcBorders/>
            <w:shd w:fill="CCEEFF" w:val="clear"/>
            <w:tcMar>
              <w:bottom w:w="0" w:type="dxa"/>
            </w:tcMar>
          </w:tcPr>
          <w:p>
            <w:pPr>
              <w:pStyle w:val="TableContents"/>
              <w:spacing w:before="0" w:after="283"/>
              <w:jc w:val="both"/>
              <w:rPr/>
            </w:pPr>
            <w:r>
              <w:rPr/>
              <w:t xml:space="preserve">  </w:t>
            </w:r>
          </w:p>
        </w:tc>
        <w:tc>
          <w:tcPr>
            <w:tcW w:w="8905" w:type="dxa"/>
            <w:tcBorders/>
            <w:shd w:fill="CCEEFF" w:val="clear"/>
            <w:tcMar>
              <w:bottom w:w="0" w:type="dxa"/>
            </w:tcMar>
          </w:tcPr>
          <w:p>
            <w:pPr>
              <w:pStyle w:val="TableContents"/>
              <w:spacing w:before="0" w:after="0"/>
              <w:ind w:left="0" w:right="16" w:hanging="0"/>
              <w:jc w:val="both"/>
              <w:rPr>
                <w:rFonts w:ascii="helvetica" w:hAnsi="helvetica"/>
                <w:sz w:val="20"/>
              </w:rPr>
            </w:pPr>
            <w:r>
              <w:rPr>
                <w:rFonts w:ascii="helvetica" w:hAnsi="helvetica"/>
                <w:sz w:val="20"/>
              </w:rPr>
              <w:t>Transdel Pharmaceuticals, Inc. 2007 Incentive Stock and Awards Plan (incorporated herein by reference to Exhibit 10.11 to the Current Report on Form 8-K of Transdel Pharmaceuticals, Inc. filed with the Securities and Exchange Commission on September 21, 2007) </w:t>
            </w:r>
          </w:p>
        </w:tc>
      </w:tr>
      <w:tr>
        <w:trPr/>
        <w:tc>
          <w:tcPr>
            <w:tcW w:w="1095" w:type="dxa"/>
            <w:tcBorders/>
            <w:shd w:fill="FFFFFF" w:val="clear"/>
            <w:tcMar>
              <w:bottom w:w="0" w:type="dxa"/>
            </w:tcMar>
          </w:tcPr>
          <w:p>
            <w:pPr>
              <w:pStyle w:val="TableContents"/>
              <w:spacing w:before="0" w:after="283"/>
              <w:jc w:val="both"/>
              <w:rPr/>
            </w:pPr>
            <w:r>
              <w:rPr/>
              <w:t> </w:t>
            </w:r>
          </w:p>
        </w:tc>
        <w:tc>
          <w:tcPr>
            <w:tcW w:w="205" w:type="dxa"/>
            <w:tcBorders/>
            <w:shd w:fill="FFFFFF" w:val="clear"/>
            <w:tcMar>
              <w:bottom w:w="0" w:type="dxa"/>
            </w:tcMar>
          </w:tcPr>
          <w:p>
            <w:pPr>
              <w:pStyle w:val="TableContents"/>
              <w:spacing w:before="0" w:after="283"/>
              <w:jc w:val="both"/>
              <w:rPr/>
            </w:pPr>
            <w:r>
              <w:rPr/>
              <w:t> </w:t>
            </w:r>
          </w:p>
        </w:tc>
        <w:tc>
          <w:tcPr>
            <w:tcW w:w="8905" w:type="dxa"/>
            <w:tcBorders/>
            <w:shd w:fill="FFFFFF" w:val="clear"/>
            <w:tcMar>
              <w:bottom w:w="0" w:type="dxa"/>
            </w:tcMar>
          </w:tcPr>
          <w:p>
            <w:pPr>
              <w:pStyle w:val="TableContents"/>
              <w:spacing w:before="0" w:after="283"/>
              <w:jc w:val="both"/>
              <w:rPr/>
            </w:pPr>
            <w:r>
              <w:rPr/>
              <w:t> </w:t>
            </w:r>
          </w:p>
        </w:tc>
      </w:tr>
      <w:tr>
        <w:trPr/>
        <w:tc>
          <w:tcPr>
            <w:tcW w:w="1095" w:type="dxa"/>
            <w:tcBorders/>
            <w:shd w:fill="CCEEFF" w:val="clear"/>
            <w:tcMar>
              <w:bottom w:w="0" w:type="dxa"/>
            </w:tcMar>
          </w:tcPr>
          <w:p>
            <w:pPr>
              <w:pStyle w:val="TableContents"/>
              <w:spacing w:before="0" w:after="0"/>
              <w:ind w:left="0" w:right="16" w:hanging="0"/>
              <w:jc w:val="both"/>
              <w:rPr>
                <w:rFonts w:ascii="helvetica" w:hAnsi="helvetica"/>
                <w:sz w:val="20"/>
              </w:rPr>
            </w:pPr>
            <w:r>
              <w:rPr>
                <w:rFonts w:ascii="helvetica" w:hAnsi="helvetica"/>
                <w:sz w:val="20"/>
              </w:rPr>
              <w:t>10.4#</w:t>
            </w:r>
          </w:p>
        </w:tc>
        <w:tc>
          <w:tcPr>
            <w:tcW w:w="205" w:type="dxa"/>
            <w:tcBorders/>
            <w:shd w:fill="CCEEFF" w:val="clear"/>
            <w:tcMar>
              <w:bottom w:w="0" w:type="dxa"/>
            </w:tcMar>
          </w:tcPr>
          <w:p>
            <w:pPr>
              <w:pStyle w:val="TableContents"/>
              <w:spacing w:before="0" w:after="283"/>
              <w:jc w:val="both"/>
              <w:rPr/>
            </w:pPr>
            <w:r>
              <w:rPr/>
              <w:t xml:space="preserve">  </w:t>
            </w:r>
          </w:p>
        </w:tc>
        <w:tc>
          <w:tcPr>
            <w:tcW w:w="8905" w:type="dxa"/>
            <w:tcBorders/>
            <w:shd w:fill="CCEEFF" w:val="clear"/>
            <w:tcMar>
              <w:bottom w:w="0" w:type="dxa"/>
            </w:tcMar>
          </w:tcPr>
          <w:p>
            <w:pPr>
              <w:pStyle w:val="TableContents"/>
              <w:spacing w:before="0" w:after="0"/>
              <w:ind w:left="0" w:right="16" w:hanging="0"/>
              <w:jc w:val="both"/>
              <w:rPr>
                <w:rFonts w:ascii="helvetica" w:hAnsi="helvetica"/>
                <w:sz w:val="20"/>
              </w:rPr>
            </w:pPr>
            <w:r>
              <w:rPr>
                <w:rFonts w:ascii="helvetica" w:hAnsi="helvetica"/>
                <w:sz w:val="20"/>
              </w:rPr>
              <w:t>Transdel Pharmaceuticals, Inc. 2007 Incentive Stock and Awards Plan — Amendment No. 1 (incorporated herein by reference to Exhibit A to the Definitive Proxy Statement on Schedule 14A of Transdel Pharmaceuticals, Inc. filed with the Securities and Exchange Commission on October 1, 2008)</w:t>
            </w:r>
          </w:p>
        </w:tc>
      </w:tr>
      <w:tr>
        <w:trPr/>
        <w:tc>
          <w:tcPr>
            <w:tcW w:w="1095" w:type="dxa"/>
            <w:tcBorders/>
            <w:shd w:fill="FFFFFF" w:val="clear"/>
            <w:tcMar>
              <w:bottom w:w="0" w:type="dxa"/>
            </w:tcMar>
          </w:tcPr>
          <w:p>
            <w:pPr>
              <w:pStyle w:val="TableContents"/>
              <w:spacing w:before="0" w:after="283"/>
              <w:jc w:val="both"/>
              <w:rPr/>
            </w:pPr>
            <w:r>
              <w:rPr/>
              <w:t> </w:t>
            </w:r>
          </w:p>
        </w:tc>
        <w:tc>
          <w:tcPr>
            <w:tcW w:w="205" w:type="dxa"/>
            <w:tcBorders/>
            <w:shd w:fill="FFFFFF" w:val="clear"/>
            <w:tcMar>
              <w:bottom w:w="0" w:type="dxa"/>
            </w:tcMar>
          </w:tcPr>
          <w:p>
            <w:pPr>
              <w:pStyle w:val="TableContents"/>
              <w:spacing w:before="0" w:after="283"/>
              <w:jc w:val="both"/>
              <w:rPr/>
            </w:pPr>
            <w:r>
              <w:rPr/>
              <w:t> </w:t>
            </w:r>
          </w:p>
        </w:tc>
        <w:tc>
          <w:tcPr>
            <w:tcW w:w="8905" w:type="dxa"/>
            <w:tcBorders/>
            <w:shd w:fill="FFFFFF" w:val="clear"/>
            <w:tcMar>
              <w:bottom w:w="0" w:type="dxa"/>
            </w:tcMar>
          </w:tcPr>
          <w:p>
            <w:pPr>
              <w:pStyle w:val="TableContents"/>
              <w:spacing w:before="0" w:after="283"/>
              <w:jc w:val="both"/>
              <w:rPr/>
            </w:pPr>
            <w:r>
              <w:rPr/>
              <w:t> </w:t>
            </w:r>
          </w:p>
        </w:tc>
      </w:tr>
      <w:tr>
        <w:trPr/>
        <w:tc>
          <w:tcPr>
            <w:tcW w:w="1095" w:type="dxa"/>
            <w:tcBorders/>
            <w:shd w:fill="CCEEFF" w:val="clear"/>
            <w:tcMar>
              <w:bottom w:w="0" w:type="dxa"/>
            </w:tcMar>
          </w:tcPr>
          <w:p>
            <w:pPr>
              <w:pStyle w:val="TableContents"/>
              <w:spacing w:before="0" w:after="0"/>
              <w:ind w:left="0" w:right="16" w:hanging="0"/>
              <w:jc w:val="both"/>
              <w:rPr>
                <w:rFonts w:ascii="helvetica" w:hAnsi="helvetica"/>
                <w:sz w:val="20"/>
              </w:rPr>
            </w:pPr>
            <w:r>
              <w:rPr>
                <w:rFonts w:ascii="helvetica" w:hAnsi="helvetica"/>
                <w:sz w:val="20"/>
              </w:rPr>
              <w:t>10.5#</w:t>
            </w:r>
          </w:p>
        </w:tc>
        <w:tc>
          <w:tcPr>
            <w:tcW w:w="205" w:type="dxa"/>
            <w:tcBorders/>
            <w:shd w:fill="CCEEFF" w:val="clear"/>
            <w:tcMar>
              <w:bottom w:w="0" w:type="dxa"/>
            </w:tcMar>
          </w:tcPr>
          <w:p>
            <w:pPr>
              <w:pStyle w:val="TableContents"/>
              <w:spacing w:before="0" w:after="283"/>
              <w:jc w:val="both"/>
              <w:rPr/>
            </w:pPr>
            <w:r>
              <w:rPr/>
              <w:t xml:space="preserve">  </w:t>
            </w:r>
          </w:p>
        </w:tc>
        <w:tc>
          <w:tcPr>
            <w:tcW w:w="8905" w:type="dxa"/>
            <w:tcBorders/>
            <w:shd w:fill="CCEEFF" w:val="clear"/>
            <w:tcMar>
              <w:bottom w:w="0" w:type="dxa"/>
            </w:tcMar>
          </w:tcPr>
          <w:p>
            <w:pPr>
              <w:pStyle w:val="TableContents"/>
              <w:spacing w:before="0" w:after="0"/>
              <w:ind w:left="0" w:right="16" w:hanging="0"/>
              <w:jc w:val="both"/>
              <w:rPr>
                <w:rFonts w:ascii="helvetica" w:hAnsi="helvetica"/>
                <w:sz w:val="20"/>
              </w:rPr>
            </w:pPr>
            <w:r>
              <w:rPr>
                <w:rFonts w:ascii="helvetica" w:hAnsi="helvetica"/>
                <w:sz w:val="20"/>
              </w:rPr>
              <w:t>Amendment No. 2 to Transdel Pharmaceuticals, Inc. 2007 Incentive Stock and Awards Plan (incorporated herein by reference to Annex B to the Information Statement on Schedule 14C of Transdel Pharmaceuticals, Inc. filed with the Securities and Exchange Commission on February 6, 2012)</w:t>
            </w:r>
          </w:p>
        </w:tc>
      </w:tr>
      <w:tr>
        <w:trPr/>
        <w:tc>
          <w:tcPr>
            <w:tcW w:w="1095" w:type="dxa"/>
            <w:tcBorders/>
            <w:shd w:fill="FFFFFF" w:val="clear"/>
            <w:tcMar>
              <w:bottom w:w="0" w:type="dxa"/>
            </w:tcMar>
          </w:tcPr>
          <w:p>
            <w:pPr>
              <w:pStyle w:val="TableContents"/>
              <w:spacing w:before="0" w:after="283"/>
              <w:jc w:val="both"/>
              <w:rPr/>
            </w:pPr>
            <w:r>
              <w:rPr/>
              <w:t> </w:t>
            </w:r>
          </w:p>
        </w:tc>
        <w:tc>
          <w:tcPr>
            <w:tcW w:w="205" w:type="dxa"/>
            <w:tcBorders/>
            <w:shd w:fill="FFFFFF" w:val="clear"/>
            <w:tcMar>
              <w:bottom w:w="0" w:type="dxa"/>
            </w:tcMar>
          </w:tcPr>
          <w:p>
            <w:pPr>
              <w:pStyle w:val="TableContents"/>
              <w:spacing w:before="0" w:after="283"/>
              <w:jc w:val="both"/>
              <w:rPr/>
            </w:pPr>
            <w:r>
              <w:rPr/>
              <w:t> </w:t>
            </w:r>
          </w:p>
        </w:tc>
        <w:tc>
          <w:tcPr>
            <w:tcW w:w="8905" w:type="dxa"/>
            <w:tcBorders/>
            <w:shd w:fill="FFFFFF" w:val="clear"/>
            <w:tcMar>
              <w:bottom w:w="0" w:type="dxa"/>
            </w:tcMar>
          </w:tcPr>
          <w:p>
            <w:pPr>
              <w:pStyle w:val="TableContents"/>
              <w:spacing w:before="0" w:after="283"/>
              <w:jc w:val="both"/>
              <w:rPr/>
            </w:pPr>
            <w:r>
              <w:rPr/>
              <w:t> </w:t>
            </w:r>
          </w:p>
        </w:tc>
      </w:tr>
      <w:tr>
        <w:trPr/>
        <w:tc>
          <w:tcPr>
            <w:tcW w:w="1095" w:type="dxa"/>
            <w:tcBorders/>
            <w:shd w:fill="CCEEFF" w:val="clear"/>
            <w:tcMar>
              <w:bottom w:w="0" w:type="dxa"/>
            </w:tcMar>
          </w:tcPr>
          <w:p>
            <w:pPr>
              <w:pStyle w:val="TableContents"/>
              <w:spacing w:before="0" w:after="0"/>
              <w:ind w:left="0" w:right="16" w:hanging="0"/>
              <w:jc w:val="both"/>
              <w:rPr>
                <w:rFonts w:ascii="helvetica" w:hAnsi="helvetica"/>
                <w:sz w:val="20"/>
              </w:rPr>
            </w:pPr>
            <w:r>
              <w:rPr>
                <w:rFonts w:ascii="helvetica" w:hAnsi="helvetica"/>
                <w:sz w:val="20"/>
              </w:rPr>
              <w:t>10.6#**</w:t>
            </w:r>
          </w:p>
        </w:tc>
        <w:tc>
          <w:tcPr>
            <w:tcW w:w="205" w:type="dxa"/>
            <w:tcBorders/>
            <w:shd w:fill="CCEEFF" w:val="clear"/>
            <w:tcMar>
              <w:bottom w:w="0" w:type="dxa"/>
            </w:tcMar>
          </w:tcPr>
          <w:p>
            <w:pPr>
              <w:pStyle w:val="TableContents"/>
              <w:spacing w:before="0" w:after="283"/>
              <w:jc w:val="both"/>
              <w:rPr/>
            </w:pPr>
            <w:r>
              <w:rPr/>
              <w:t xml:space="preserve">  </w:t>
            </w:r>
          </w:p>
        </w:tc>
        <w:tc>
          <w:tcPr>
            <w:tcW w:w="8905" w:type="dxa"/>
            <w:tcBorders/>
            <w:shd w:fill="CCEEFF" w:val="clear"/>
            <w:tcMar>
              <w:bottom w:w="0" w:type="dxa"/>
            </w:tcMar>
          </w:tcPr>
          <w:p>
            <w:pPr>
              <w:pStyle w:val="TableContents"/>
              <w:spacing w:before="0" w:after="0"/>
              <w:ind w:left="0" w:right="16" w:hanging="0"/>
              <w:jc w:val="both"/>
              <w:rPr>
                <w:rFonts w:ascii="helvetica" w:hAnsi="helvetica"/>
                <w:sz w:val="20"/>
              </w:rPr>
            </w:pPr>
            <w:r>
              <w:rPr>
                <w:rFonts w:ascii="helvetica" w:hAnsi="helvetica"/>
                <w:sz w:val="20"/>
              </w:rPr>
              <w:t>Amendment No. 3 to Imprimis Pharmaceuticals, Inc. 2007 Incentive Stock and Awards Plan</w:t>
            </w:r>
          </w:p>
        </w:tc>
      </w:tr>
      <w:tr>
        <w:trPr/>
        <w:tc>
          <w:tcPr>
            <w:tcW w:w="1095" w:type="dxa"/>
            <w:tcBorders/>
            <w:shd w:fill="FFFFFF" w:val="clear"/>
            <w:tcMar>
              <w:bottom w:w="0" w:type="dxa"/>
            </w:tcMar>
          </w:tcPr>
          <w:p>
            <w:pPr>
              <w:pStyle w:val="TableContents"/>
              <w:spacing w:before="0" w:after="283"/>
              <w:jc w:val="both"/>
              <w:rPr/>
            </w:pPr>
            <w:r>
              <w:rPr/>
              <w:t> </w:t>
            </w:r>
          </w:p>
        </w:tc>
        <w:tc>
          <w:tcPr>
            <w:tcW w:w="205" w:type="dxa"/>
            <w:tcBorders/>
            <w:shd w:fill="FFFFFF" w:val="clear"/>
            <w:tcMar>
              <w:bottom w:w="0" w:type="dxa"/>
            </w:tcMar>
          </w:tcPr>
          <w:p>
            <w:pPr>
              <w:pStyle w:val="TableContents"/>
              <w:spacing w:before="0" w:after="283"/>
              <w:jc w:val="both"/>
              <w:rPr/>
            </w:pPr>
            <w:r>
              <w:rPr/>
              <w:t> </w:t>
            </w:r>
          </w:p>
        </w:tc>
        <w:tc>
          <w:tcPr>
            <w:tcW w:w="8905" w:type="dxa"/>
            <w:tcBorders/>
            <w:shd w:fill="FFFFFF" w:val="clear"/>
            <w:tcMar>
              <w:bottom w:w="0" w:type="dxa"/>
            </w:tcMar>
          </w:tcPr>
          <w:p>
            <w:pPr>
              <w:pStyle w:val="TableContents"/>
              <w:spacing w:before="0" w:after="283"/>
              <w:jc w:val="both"/>
              <w:rPr/>
            </w:pPr>
            <w:r>
              <w:rPr/>
              <w:t> </w:t>
            </w:r>
          </w:p>
        </w:tc>
      </w:tr>
      <w:tr>
        <w:trPr/>
        <w:tc>
          <w:tcPr>
            <w:tcW w:w="1095" w:type="dxa"/>
            <w:tcBorders/>
            <w:shd w:fill="CCEEFF" w:val="clear"/>
            <w:tcMar>
              <w:bottom w:w="0" w:type="dxa"/>
            </w:tcMar>
          </w:tcPr>
          <w:p>
            <w:pPr>
              <w:pStyle w:val="TableContents"/>
              <w:spacing w:before="0" w:after="0"/>
              <w:ind w:left="0" w:right="16" w:hanging="0"/>
              <w:jc w:val="both"/>
              <w:rPr>
                <w:rFonts w:ascii="helvetica" w:hAnsi="helvetica"/>
                <w:sz w:val="20"/>
              </w:rPr>
            </w:pPr>
            <w:r>
              <w:rPr>
                <w:rFonts w:ascii="helvetica" w:hAnsi="helvetica"/>
                <w:sz w:val="20"/>
              </w:rPr>
              <w:t>10.7#</w:t>
            </w:r>
          </w:p>
        </w:tc>
        <w:tc>
          <w:tcPr>
            <w:tcW w:w="205" w:type="dxa"/>
            <w:tcBorders/>
            <w:shd w:fill="CCEEFF" w:val="clear"/>
            <w:tcMar>
              <w:bottom w:w="0" w:type="dxa"/>
            </w:tcMar>
          </w:tcPr>
          <w:p>
            <w:pPr>
              <w:pStyle w:val="TableContents"/>
              <w:spacing w:before="0" w:after="283"/>
              <w:jc w:val="both"/>
              <w:rPr/>
            </w:pPr>
            <w:r>
              <w:rPr/>
              <w:t xml:space="preserve">  </w:t>
            </w:r>
          </w:p>
        </w:tc>
        <w:tc>
          <w:tcPr>
            <w:tcW w:w="8905" w:type="dxa"/>
            <w:tcBorders/>
            <w:shd w:fill="CCEEFF" w:val="clear"/>
            <w:tcMar>
              <w:bottom w:w="0" w:type="dxa"/>
            </w:tcMar>
          </w:tcPr>
          <w:p>
            <w:pPr>
              <w:pStyle w:val="TableContents"/>
              <w:spacing w:before="0" w:after="0"/>
              <w:ind w:left="0" w:right="16" w:hanging="0"/>
              <w:jc w:val="both"/>
              <w:rPr>
                <w:rFonts w:ascii="helvetica" w:hAnsi="helvetica"/>
                <w:sz w:val="20"/>
              </w:rPr>
            </w:pPr>
            <w:r>
              <w:rPr>
                <w:rFonts w:ascii="helvetica" w:hAnsi="helvetica"/>
                <w:sz w:val="20"/>
              </w:rPr>
              <w:t>Form of 2007 Incentive Stock Option Agreement (incorporated herein by reference to Exhibit 10.12 to the Current Report on Form 8-K of Transdel Pharmaceuticals, Inc. filed with the Securities and Exchange Commission on September 21, 2007) </w:t>
            </w:r>
          </w:p>
        </w:tc>
      </w:tr>
      <w:tr>
        <w:trPr/>
        <w:tc>
          <w:tcPr>
            <w:tcW w:w="1095" w:type="dxa"/>
            <w:tcBorders/>
            <w:shd w:fill="FFFFFF" w:val="clear"/>
            <w:tcMar>
              <w:bottom w:w="0" w:type="dxa"/>
            </w:tcMar>
          </w:tcPr>
          <w:p>
            <w:pPr>
              <w:pStyle w:val="TableContents"/>
              <w:spacing w:before="0" w:after="283"/>
              <w:jc w:val="both"/>
              <w:rPr/>
            </w:pPr>
            <w:r>
              <w:rPr/>
              <w:t> </w:t>
            </w:r>
          </w:p>
        </w:tc>
        <w:tc>
          <w:tcPr>
            <w:tcW w:w="205" w:type="dxa"/>
            <w:tcBorders/>
            <w:shd w:fill="FFFFFF" w:val="clear"/>
            <w:tcMar>
              <w:bottom w:w="0" w:type="dxa"/>
            </w:tcMar>
          </w:tcPr>
          <w:p>
            <w:pPr>
              <w:pStyle w:val="TableContents"/>
              <w:spacing w:before="0" w:after="283"/>
              <w:jc w:val="both"/>
              <w:rPr/>
            </w:pPr>
            <w:r>
              <w:rPr/>
              <w:t> </w:t>
            </w:r>
          </w:p>
        </w:tc>
        <w:tc>
          <w:tcPr>
            <w:tcW w:w="8905" w:type="dxa"/>
            <w:tcBorders/>
            <w:shd w:fill="FFFFFF" w:val="clear"/>
            <w:tcMar>
              <w:bottom w:w="0" w:type="dxa"/>
            </w:tcMar>
          </w:tcPr>
          <w:p>
            <w:pPr>
              <w:pStyle w:val="TableContents"/>
              <w:spacing w:before="0" w:after="283"/>
              <w:jc w:val="both"/>
              <w:rPr/>
            </w:pPr>
            <w:r>
              <w:rPr/>
              <w:t> </w:t>
            </w:r>
          </w:p>
        </w:tc>
      </w:tr>
      <w:tr>
        <w:trPr/>
        <w:tc>
          <w:tcPr>
            <w:tcW w:w="1095" w:type="dxa"/>
            <w:tcBorders/>
            <w:shd w:fill="CCEEFF" w:val="clear"/>
            <w:tcMar>
              <w:bottom w:w="0" w:type="dxa"/>
            </w:tcMar>
          </w:tcPr>
          <w:p>
            <w:pPr>
              <w:pStyle w:val="TableContents"/>
              <w:spacing w:before="0" w:after="0"/>
              <w:ind w:left="0" w:right="16" w:hanging="0"/>
              <w:jc w:val="both"/>
              <w:rPr>
                <w:rFonts w:ascii="helvetica" w:hAnsi="helvetica"/>
                <w:sz w:val="20"/>
              </w:rPr>
            </w:pPr>
            <w:r>
              <w:rPr>
                <w:rFonts w:ascii="helvetica" w:hAnsi="helvetica"/>
                <w:sz w:val="20"/>
              </w:rPr>
              <w:t>10.8#</w:t>
            </w:r>
          </w:p>
        </w:tc>
        <w:tc>
          <w:tcPr>
            <w:tcW w:w="205" w:type="dxa"/>
            <w:tcBorders/>
            <w:shd w:fill="CCEEFF" w:val="clear"/>
            <w:tcMar>
              <w:bottom w:w="0" w:type="dxa"/>
            </w:tcMar>
          </w:tcPr>
          <w:p>
            <w:pPr>
              <w:pStyle w:val="TableContents"/>
              <w:spacing w:before="0" w:after="283"/>
              <w:jc w:val="both"/>
              <w:rPr/>
            </w:pPr>
            <w:r>
              <w:rPr/>
              <w:t xml:space="preserve">  </w:t>
            </w:r>
          </w:p>
        </w:tc>
        <w:tc>
          <w:tcPr>
            <w:tcW w:w="8905" w:type="dxa"/>
            <w:tcBorders/>
            <w:shd w:fill="CCEEFF" w:val="clear"/>
            <w:tcMar>
              <w:bottom w:w="0" w:type="dxa"/>
            </w:tcMar>
          </w:tcPr>
          <w:p>
            <w:pPr>
              <w:pStyle w:val="TableContents"/>
              <w:spacing w:before="0" w:after="0"/>
              <w:ind w:left="0" w:right="16" w:hanging="0"/>
              <w:jc w:val="both"/>
              <w:rPr>
                <w:rFonts w:ascii="helvetica" w:hAnsi="helvetica"/>
                <w:sz w:val="20"/>
              </w:rPr>
            </w:pPr>
            <w:r>
              <w:rPr>
                <w:rFonts w:ascii="helvetica" w:hAnsi="helvetica"/>
                <w:sz w:val="20"/>
              </w:rPr>
              <w:t>Form of 2007 Non-Qualified Stock Option Agreement (incorporated herein by reference to Exhibit 10.13 to the Current Report on Form 8-K of Transdel Pharmaceuticals, Inc. filed with the Securities and Exchange Commission on September 21, 2007) </w:t>
            </w:r>
          </w:p>
        </w:tc>
      </w:tr>
      <w:tr>
        <w:trPr/>
        <w:tc>
          <w:tcPr>
            <w:tcW w:w="1095" w:type="dxa"/>
            <w:tcBorders/>
            <w:shd w:fill="FFFFFF" w:val="clear"/>
            <w:tcMar>
              <w:bottom w:w="0" w:type="dxa"/>
            </w:tcMar>
          </w:tcPr>
          <w:p>
            <w:pPr>
              <w:pStyle w:val="TableContents"/>
              <w:spacing w:before="0" w:after="283"/>
              <w:jc w:val="both"/>
              <w:rPr/>
            </w:pPr>
            <w:r>
              <w:rPr/>
              <w:t> </w:t>
            </w:r>
          </w:p>
        </w:tc>
        <w:tc>
          <w:tcPr>
            <w:tcW w:w="205" w:type="dxa"/>
            <w:tcBorders/>
            <w:shd w:fill="FFFFFF" w:val="clear"/>
            <w:tcMar>
              <w:bottom w:w="0" w:type="dxa"/>
            </w:tcMar>
          </w:tcPr>
          <w:p>
            <w:pPr>
              <w:pStyle w:val="TableContents"/>
              <w:spacing w:before="0" w:after="283"/>
              <w:jc w:val="both"/>
              <w:rPr/>
            </w:pPr>
            <w:r>
              <w:rPr/>
              <w:t> </w:t>
            </w:r>
          </w:p>
        </w:tc>
        <w:tc>
          <w:tcPr>
            <w:tcW w:w="8905" w:type="dxa"/>
            <w:tcBorders/>
            <w:shd w:fill="FFFFFF" w:val="clear"/>
            <w:tcMar>
              <w:bottom w:w="0" w:type="dxa"/>
            </w:tcMar>
          </w:tcPr>
          <w:p>
            <w:pPr>
              <w:pStyle w:val="TableContents"/>
              <w:spacing w:before="0" w:after="283"/>
              <w:jc w:val="both"/>
              <w:rPr/>
            </w:pPr>
            <w:r>
              <w:rPr/>
              <w:t> </w:t>
            </w:r>
          </w:p>
        </w:tc>
      </w:tr>
      <w:tr>
        <w:trPr/>
        <w:tc>
          <w:tcPr>
            <w:tcW w:w="1095" w:type="dxa"/>
            <w:tcBorders/>
            <w:shd w:fill="CCEEFF" w:val="clear"/>
            <w:tcMar>
              <w:bottom w:w="0" w:type="dxa"/>
            </w:tcMar>
          </w:tcPr>
          <w:p>
            <w:pPr>
              <w:pStyle w:val="TableContents"/>
              <w:spacing w:before="0" w:after="0"/>
              <w:ind w:left="0" w:right="16" w:hanging="0"/>
              <w:jc w:val="both"/>
              <w:rPr>
                <w:rFonts w:ascii="helvetica" w:hAnsi="helvetica"/>
                <w:sz w:val="20"/>
              </w:rPr>
            </w:pPr>
            <w:r>
              <w:rPr>
                <w:rFonts w:ascii="helvetica" w:hAnsi="helvetica"/>
                <w:sz w:val="20"/>
              </w:rPr>
              <w:t>10.9</w:t>
            </w:r>
          </w:p>
        </w:tc>
        <w:tc>
          <w:tcPr>
            <w:tcW w:w="205" w:type="dxa"/>
            <w:tcBorders/>
            <w:shd w:fill="CCEEFF" w:val="clear"/>
            <w:tcMar>
              <w:bottom w:w="0" w:type="dxa"/>
            </w:tcMar>
          </w:tcPr>
          <w:p>
            <w:pPr>
              <w:pStyle w:val="TableContents"/>
              <w:spacing w:before="0" w:after="283"/>
              <w:jc w:val="both"/>
              <w:rPr/>
            </w:pPr>
            <w:r>
              <w:rPr/>
              <w:t xml:space="preserve">  </w:t>
            </w:r>
          </w:p>
        </w:tc>
        <w:tc>
          <w:tcPr>
            <w:tcW w:w="8905" w:type="dxa"/>
            <w:tcBorders/>
            <w:shd w:fill="CCEEFF" w:val="clear"/>
            <w:tcMar>
              <w:bottom w:w="0" w:type="dxa"/>
            </w:tcMar>
          </w:tcPr>
          <w:p>
            <w:pPr>
              <w:pStyle w:val="TableContents"/>
              <w:spacing w:before="0" w:after="0"/>
              <w:ind w:left="0" w:right="16" w:hanging="0"/>
              <w:jc w:val="both"/>
              <w:rPr>
                <w:rFonts w:ascii="helvetica" w:hAnsi="helvetica"/>
                <w:sz w:val="20"/>
              </w:rPr>
            </w:pPr>
            <w:r>
              <w:rPr>
                <w:rFonts w:ascii="helvetica" w:hAnsi="helvetica"/>
                <w:sz w:val="20"/>
              </w:rPr>
              <w:t>Agreement of Conveyance, Transfer and Assignment of Assets and Assumption of Obligations, dated as of September 17, 2007, by and between Transdel Pharmaceuticals, Inc. and Bywater Resources Holdings Inc. (incorporated herein by reference to Exhibit 10.15 to the Registration Statement on Form SB-2 of Transdel Pharmaceuticals, Inc. filed with the Securities and Exchange Commission on December 7, 2007) </w:t>
            </w:r>
          </w:p>
        </w:tc>
      </w:tr>
      <w:tr>
        <w:trPr/>
        <w:tc>
          <w:tcPr>
            <w:tcW w:w="1095" w:type="dxa"/>
            <w:tcBorders/>
            <w:shd w:fill="FFFFFF" w:val="clear"/>
            <w:tcMar>
              <w:bottom w:w="0" w:type="dxa"/>
            </w:tcMar>
          </w:tcPr>
          <w:p>
            <w:pPr>
              <w:pStyle w:val="TableContents"/>
              <w:spacing w:before="0" w:after="283"/>
              <w:jc w:val="both"/>
              <w:rPr/>
            </w:pPr>
            <w:r>
              <w:rPr/>
              <w:t> </w:t>
            </w:r>
          </w:p>
        </w:tc>
        <w:tc>
          <w:tcPr>
            <w:tcW w:w="205" w:type="dxa"/>
            <w:tcBorders/>
            <w:shd w:fill="FFFFFF" w:val="clear"/>
            <w:tcMar>
              <w:bottom w:w="0" w:type="dxa"/>
            </w:tcMar>
          </w:tcPr>
          <w:p>
            <w:pPr>
              <w:pStyle w:val="TableContents"/>
              <w:spacing w:before="0" w:after="283"/>
              <w:jc w:val="both"/>
              <w:rPr/>
            </w:pPr>
            <w:r>
              <w:rPr/>
              <w:t> </w:t>
            </w:r>
          </w:p>
        </w:tc>
        <w:tc>
          <w:tcPr>
            <w:tcW w:w="8905" w:type="dxa"/>
            <w:tcBorders/>
            <w:shd w:fill="FFFFFF" w:val="clear"/>
            <w:tcMar>
              <w:bottom w:w="0" w:type="dxa"/>
            </w:tcMar>
          </w:tcPr>
          <w:p>
            <w:pPr>
              <w:pStyle w:val="TableContents"/>
              <w:spacing w:before="0" w:after="283"/>
              <w:jc w:val="both"/>
              <w:rPr/>
            </w:pPr>
            <w:r>
              <w:rPr/>
              <w:t> </w:t>
            </w:r>
          </w:p>
        </w:tc>
      </w:tr>
      <w:tr>
        <w:trPr/>
        <w:tc>
          <w:tcPr>
            <w:tcW w:w="1095" w:type="dxa"/>
            <w:tcBorders/>
            <w:shd w:fill="CCEEFF" w:val="clear"/>
            <w:tcMar>
              <w:bottom w:w="0" w:type="dxa"/>
            </w:tcMar>
          </w:tcPr>
          <w:p>
            <w:pPr>
              <w:pStyle w:val="TableContents"/>
              <w:spacing w:before="0" w:after="0"/>
              <w:ind w:left="0" w:right="16" w:hanging="0"/>
              <w:jc w:val="both"/>
              <w:rPr>
                <w:rFonts w:ascii="helvetica" w:hAnsi="helvetica"/>
                <w:sz w:val="20"/>
              </w:rPr>
            </w:pPr>
            <w:r>
              <w:rPr>
                <w:rFonts w:ascii="helvetica" w:hAnsi="helvetica"/>
                <w:sz w:val="20"/>
              </w:rPr>
              <w:t>10.10 </w:t>
            </w:r>
          </w:p>
        </w:tc>
        <w:tc>
          <w:tcPr>
            <w:tcW w:w="205" w:type="dxa"/>
            <w:tcBorders/>
            <w:shd w:fill="CCEEFF" w:val="clear"/>
            <w:tcMar>
              <w:bottom w:w="0" w:type="dxa"/>
            </w:tcMar>
          </w:tcPr>
          <w:p>
            <w:pPr>
              <w:pStyle w:val="TableContents"/>
              <w:spacing w:before="0" w:after="283"/>
              <w:jc w:val="both"/>
              <w:rPr/>
            </w:pPr>
            <w:r>
              <w:rPr/>
              <w:t xml:space="preserve">  </w:t>
            </w:r>
          </w:p>
        </w:tc>
        <w:tc>
          <w:tcPr>
            <w:tcW w:w="8905" w:type="dxa"/>
            <w:tcBorders/>
            <w:shd w:fill="CCEEFF" w:val="clear"/>
            <w:tcMar>
              <w:bottom w:w="0" w:type="dxa"/>
            </w:tcMar>
          </w:tcPr>
          <w:p>
            <w:pPr>
              <w:pStyle w:val="TableContents"/>
              <w:spacing w:before="0" w:after="0"/>
              <w:ind w:left="0" w:right="16" w:hanging="0"/>
              <w:jc w:val="both"/>
              <w:rPr>
                <w:rFonts w:ascii="helvetica" w:hAnsi="helvetica"/>
                <w:sz w:val="20"/>
              </w:rPr>
            </w:pPr>
            <w:r>
              <w:rPr>
                <w:rFonts w:ascii="helvetica" w:hAnsi="helvetica"/>
                <w:sz w:val="20"/>
              </w:rPr>
              <w:t>Research and Development Services Agreement, dated as of October 11, 2007, by and between DPT Laboratories, Ltd. And Transdel Pharmaceuticals Holdings, Inc. (incorporated herein by reference to Exhibit 10.17 to the Registration Statement on Form SB-2 of Transdel Pharmaceuticals, Inc. filed with the Securities and Exchange Commission on December 7, 2007) (portions of this exhibit have been omitted pursuant to a request for confidential treatment) </w:t>
            </w:r>
          </w:p>
        </w:tc>
      </w:tr>
      <w:tr>
        <w:trPr/>
        <w:tc>
          <w:tcPr>
            <w:tcW w:w="1095" w:type="dxa"/>
            <w:tcBorders/>
            <w:shd w:fill="FFFFFF" w:val="clear"/>
            <w:tcMar>
              <w:bottom w:w="0" w:type="dxa"/>
            </w:tcMar>
          </w:tcPr>
          <w:p>
            <w:pPr>
              <w:pStyle w:val="TableContents"/>
              <w:spacing w:before="0" w:after="283"/>
              <w:jc w:val="both"/>
              <w:rPr/>
            </w:pPr>
            <w:r>
              <w:rPr/>
              <w:t> </w:t>
            </w:r>
          </w:p>
        </w:tc>
        <w:tc>
          <w:tcPr>
            <w:tcW w:w="205" w:type="dxa"/>
            <w:tcBorders/>
            <w:shd w:fill="FFFFFF" w:val="clear"/>
            <w:tcMar>
              <w:bottom w:w="0" w:type="dxa"/>
            </w:tcMar>
          </w:tcPr>
          <w:p>
            <w:pPr>
              <w:pStyle w:val="TableContents"/>
              <w:spacing w:before="0" w:after="283"/>
              <w:jc w:val="both"/>
              <w:rPr/>
            </w:pPr>
            <w:r>
              <w:rPr/>
              <w:t> </w:t>
            </w:r>
          </w:p>
        </w:tc>
        <w:tc>
          <w:tcPr>
            <w:tcW w:w="8905" w:type="dxa"/>
            <w:tcBorders/>
            <w:shd w:fill="FFFFFF" w:val="clear"/>
            <w:tcMar>
              <w:bottom w:w="0" w:type="dxa"/>
            </w:tcMar>
          </w:tcPr>
          <w:p>
            <w:pPr>
              <w:pStyle w:val="TableContents"/>
              <w:spacing w:before="0" w:after="283"/>
              <w:jc w:val="both"/>
              <w:rPr/>
            </w:pPr>
            <w:r>
              <w:rPr/>
              <w:t> </w:t>
            </w:r>
          </w:p>
        </w:tc>
      </w:tr>
      <w:tr>
        <w:trPr/>
        <w:tc>
          <w:tcPr>
            <w:tcW w:w="1095" w:type="dxa"/>
            <w:tcBorders/>
            <w:shd w:fill="CCEEFF" w:val="clear"/>
            <w:tcMar>
              <w:bottom w:w="0" w:type="dxa"/>
            </w:tcMar>
          </w:tcPr>
          <w:p>
            <w:pPr>
              <w:pStyle w:val="TableContents"/>
              <w:spacing w:before="0" w:after="0"/>
              <w:ind w:left="0" w:right="16" w:hanging="0"/>
              <w:jc w:val="both"/>
              <w:rPr>
                <w:rFonts w:ascii="helvetica" w:hAnsi="helvetica"/>
                <w:sz w:val="20"/>
              </w:rPr>
            </w:pPr>
            <w:r>
              <w:rPr>
                <w:rFonts w:ascii="helvetica" w:hAnsi="helvetica"/>
                <w:sz w:val="20"/>
              </w:rPr>
              <w:t>10.11</w:t>
            </w:r>
          </w:p>
        </w:tc>
        <w:tc>
          <w:tcPr>
            <w:tcW w:w="205" w:type="dxa"/>
            <w:tcBorders/>
            <w:shd w:fill="CCEEFF" w:val="clear"/>
            <w:tcMar>
              <w:bottom w:w="0" w:type="dxa"/>
            </w:tcMar>
          </w:tcPr>
          <w:p>
            <w:pPr>
              <w:pStyle w:val="TableContents"/>
              <w:spacing w:before="0" w:after="283"/>
              <w:jc w:val="both"/>
              <w:rPr/>
            </w:pPr>
            <w:r>
              <w:rPr/>
              <w:t xml:space="preserve">  </w:t>
            </w:r>
          </w:p>
        </w:tc>
        <w:tc>
          <w:tcPr>
            <w:tcW w:w="8905" w:type="dxa"/>
            <w:tcBorders/>
            <w:shd w:fill="CCEEFF" w:val="clear"/>
            <w:tcMar>
              <w:bottom w:w="0" w:type="dxa"/>
            </w:tcMar>
          </w:tcPr>
          <w:p>
            <w:pPr>
              <w:pStyle w:val="TableContents"/>
              <w:spacing w:before="0" w:after="0"/>
              <w:ind w:left="0" w:right="16" w:hanging="0"/>
              <w:jc w:val="both"/>
              <w:rPr>
                <w:rFonts w:ascii="helvetica" w:hAnsi="helvetica"/>
                <w:sz w:val="20"/>
              </w:rPr>
            </w:pPr>
            <w:r>
              <w:rPr>
                <w:rFonts w:ascii="helvetica" w:hAnsi="helvetica"/>
                <w:sz w:val="20"/>
              </w:rPr>
              <w:t>Project Scope Document, effective as of May 30, 2007, by and between DPT Laboratories, Ltd. and Transdel Pharmaceuticals Holdings, Inc. (incorporated herein by reference to Exhibit 10.18 to the Registration Statement on Form SB-2 of Transdel Pharmaceuticals, Inc. filed with the Securities and Exchange Commission on December 27, 2007) (portions of this exhibit have been omitted pursuant to a request for confidential treatment)</w:t>
            </w:r>
          </w:p>
        </w:tc>
      </w:tr>
      <w:tr>
        <w:trPr/>
        <w:tc>
          <w:tcPr>
            <w:tcW w:w="1095" w:type="dxa"/>
            <w:tcBorders/>
            <w:shd w:fill="FFFFFF" w:val="clear"/>
            <w:tcMar>
              <w:bottom w:w="0" w:type="dxa"/>
            </w:tcMar>
          </w:tcPr>
          <w:p>
            <w:pPr>
              <w:pStyle w:val="TableContents"/>
              <w:spacing w:before="0" w:after="283"/>
              <w:jc w:val="both"/>
              <w:rPr/>
            </w:pPr>
            <w:r>
              <w:rPr/>
              <w:t> </w:t>
            </w:r>
          </w:p>
        </w:tc>
        <w:tc>
          <w:tcPr>
            <w:tcW w:w="205" w:type="dxa"/>
            <w:tcBorders/>
            <w:shd w:fill="FFFFFF" w:val="clear"/>
            <w:tcMar>
              <w:bottom w:w="0" w:type="dxa"/>
            </w:tcMar>
          </w:tcPr>
          <w:p>
            <w:pPr>
              <w:pStyle w:val="TableContents"/>
              <w:spacing w:before="0" w:after="283"/>
              <w:jc w:val="both"/>
              <w:rPr/>
            </w:pPr>
            <w:r>
              <w:rPr/>
              <w:t> </w:t>
            </w:r>
          </w:p>
        </w:tc>
        <w:tc>
          <w:tcPr>
            <w:tcW w:w="8905" w:type="dxa"/>
            <w:tcBorders/>
            <w:shd w:fill="FFFFFF" w:val="clear"/>
            <w:tcMar>
              <w:bottom w:w="0" w:type="dxa"/>
            </w:tcMar>
          </w:tcPr>
          <w:p>
            <w:pPr>
              <w:pStyle w:val="TableContents"/>
              <w:spacing w:before="0" w:after="283"/>
              <w:jc w:val="both"/>
              <w:rPr/>
            </w:pPr>
            <w:r>
              <w:rPr/>
              <w:t> </w:t>
            </w:r>
          </w:p>
        </w:tc>
      </w:tr>
      <w:tr>
        <w:trPr/>
        <w:tc>
          <w:tcPr>
            <w:tcW w:w="1095" w:type="dxa"/>
            <w:tcBorders/>
            <w:shd w:fill="CCEEFF" w:val="clear"/>
            <w:tcMar>
              <w:bottom w:w="0" w:type="dxa"/>
            </w:tcMar>
          </w:tcPr>
          <w:p>
            <w:pPr>
              <w:pStyle w:val="TableContents"/>
              <w:spacing w:before="0" w:after="0"/>
              <w:ind w:left="0" w:right="16" w:hanging="0"/>
              <w:jc w:val="both"/>
              <w:rPr>
                <w:rFonts w:ascii="helvetica" w:hAnsi="helvetica"/>
                <w:sz w:val="20"/>
              </w:rPr>
            </w:pPr>
            <w:r>
              <w:rPr>
                <w:rFonts w:ascii="helvetica" w:hAnsi="helvetica"/>
                <w:sz w:val="20"/>
              </w:rPr>
              <w:t>10.12</w:t>
            </w:r>
          </w:p>
        </w:tc>
        <w:tc>
          <w:tcPr>
            <w:tcW w:w="205" w:type="dxa"/>
            <w:tcBorders/>
            <w:shd w:fill="CCEEFF" w:val="clear"/>
            <w:tcMar>
              <w:bottom w:w="0" w:type="dxa"/>
            </w:tcMar>
          </w:tcPr>
          <w:p>
            <w:pPr>
              <w:pStyle w:val="TableContents"/>
              <w:spacing w:before="0" w:after="283"/>
              <w:jc w:val="both"/>
              <w:rPr/>
            </w:pPr>
            <w:r>
              <w:rPr/>
              <w:t xml:space="preserve">  </w:t>
            </w:r>
          </w:p>
        </w:tc>
        <w:tc>
          <w:tcPr>
            <w:tcW w:w="8905" w:type="dxa"/>
            <w:tcBorders/>
            <w:shd w:fill="CCEEFF" w:val="clear"/>
            <w:tcMar>
              <w:bottom w:w="0" w:type="dxa"/>
            </w:tcMar>
          </w:tcPr>
          <w:p>
            <w:pPr>
              <w:pStyle w:val="TableContents"/>
              <w:spacing w:before="0" w:after="0"/>
              <w:ind w:left="0" w:right="16" w:hanging="0"/>
              <w:jc w:val="both"/>
              <w:rPr>
                <w:rFonts w:ascii="helvetica" w:hAnsi="helvetica"/>
                <w:sz w:val="20"/>
              </w:rPr>
            </w:pPr>
            <w:r>
              <w:rPr>
                <w:rFonts w:ascii="helvetica" w:hAnsi="helvetica"/>
                <w:sz w:val="20"/>
              </w:rPr>
              <w:t>Form of Warrant to purchase Common Stock (incorporated herein by reference to Exhibit 10.2 the Current Report on Form 8-K of Transdel Pharmaceuticals, Inc. filed with the Securities and Exchange Commission on May 15, 2008).</w:t>
            </w:r>
          </w:p>
        </w:tc>
      </w:tr>
    </w:tbl>
    <w:p>
      <w:pPr>
        <w:pStyle w:val="TextBody"/>
        <w:spacing w:before="0" w:after="0"/>
        <w:jc w:val="both"/>
        <w:rPr/>
      </w:pPr>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pPr>
      <w:r>
        <w:rPr/>
      </w:r>
      <w:bookmarkStart w:id="1382" w:name="PGBRK120"/>
      <w:bookmarkStart w:id="1383" w:name="PGBRK120"/>
      <w:bookmarkEnd w:id="138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both"/>
        <w:rPr/>
      </w:pPr>
      <w:r>
        <w:rPr/>
      </w:r>
      <w:bookmarkStart w:id="1384" w:name="FTR120"/>
      <w:bookmarkStart w:id="1385" w:name="FTR120"/>
      <w:bookmarkEnd w:id="138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1386" w:name="GLFTR119"/>
      <w:bookmarkEnd w:id="1386"/>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helvetica" w:hAnsi="helvetica"/>
          <w:sz w:val="20"/>
        </w:rPr>
      </w:pPr>
      <w:bookmarkStart w:id="1387" w:name="PN119"/>
      <w:bookmarkEnd w:id="1387"/>
      <w:r>
        <w:rPr>
          <w:rFonts w:ascii="helvetica" w:hAnsi="helvetica"/>
          <w:sz w:val="20"/>
        </w:rPr>
        <w:t>II-5</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both"/>
        <w:rPr/>
      </w:pPr>
      <w:r>
        <w:rPr/>
      </w:r>
      <w:bookmarkStart w:id="1388" w:name="HDR119"/>
      <w:bookmarkStart w:id="1389" w:name="HDR119"/>
      <w:bookmarkEnd w:id="138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1390" w:name="GLHDR119"/>
      <w:bookmarkEnd w:id="1390"/>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both"/>
        <w:rPr/>
      </w:pPr>
      <w:r>
        <w:rPr/>
        <w:t> </w:t>
      </w:r>
    </w:p>
    <w:tbl>
      <w:tblPr>
        <w:tblW w:w="5000" w:type="pct"/>
        <w:jc w:val="left"/>
        <w:tblInd w:w="0" w:type="dxa"/>
        <w:tblCellMar>
          <w:top w:w="0" w:type="dxa"/>
          <w:left w:w="0" w:type="dxa"/>
          <w:bottom w:w="0" w:type="dxa"/>
          <w:right w:w="0" w:type="dxa"/>
        </w:tblCellMar>
      </w:tblPr>
      <w:tblGrid>
        <w:gridCol w:w="816"/>
        <w:gridCol w:w="203"/>
        <w:gridCol w:w="9186"/>
      </w:tblGrid>
      <w:tr>
        <w:trPr/>
        <w:tc>
          <w:tcPr>
            <w:tcW w:w="816" w:type="dxa"/>
            <w:tcBorders/>
            <w:shd w:fill="CCEEFF" w:val="clear"/>
          </w:tcPr>
          <w:p>
            <w:pPr>
              <w:pStyle w:val="TableContents"/>
              <w:spacing w:before="0" w:after="0"/>
              <w:ind w:left="540" w:right="0" w:hanging="540"/>
              <w:jc w:val="left"/>
              <w:rPr>
                <w:rFonts w:ascii="helvetica" w:hAnsi="helvetica"/>
                <w:sz w:val="20"/>
              </w:rPr>
            </w:pPr>
            <w:r>
              <w:rPr>
                <w:rFonts w:ascii="helvetica" w:hAnsi="helvetica"/>
                <w:sz w:val="20"/>
              </w:rPr>
              <w:t>10.13#</w:t>
            </w:r>
          </w:p>
        </w:tc>
        <w:tc>
          <w:tcPr>
            <w:tcW w:w="203" w:type="dxa"/>
            <w:tcBorders/>
            <w:shd w:fill="CCEEFF" w:val="clear"/>
          </w:tcPr>
          <w:p>
            <w:pPr>
              <w:pStyle w:val="TableContents"/>
              <w:spacing w:before="0" w:after="283"/>
              <w:jc w:val="left"/>
              <w:rPr/>
            </w:pPr>
            <w:r>
              <w:rPr/>
              <w:t> </w:t>
            </w:r>
          </w:p>
        </w:tc>
        <w:tc>
          <w:tcPr>
            <w:tcW w:w="9186" w:type="dxa"/>
            <w:tcBorders/>
            <w:shd w:fill="CCEEFF" w:val="clear"/>
          </w:tcPr>
          <w:p>
            <w:pPr>
              <w:pStyle w:val="TableContents"/>
              <w:spacing w:before="0" w:after="0"/>
              <w:ind w:left="0" w:right="0" w:hanging="0"/>
              <w:jc w:val="both"/>
              <w:rPr>
                <w:rFonts w:ascii="helvetica" w:hAnsi="helvetica"/>
                <w:sz w:val="20"/>
              </w:rPr>
            </w:pPr>
            <w:r>
              <w:rPr>
                <w:rFonts w:ascii="helvetica" w:hAnsi="helvetica"/>
                <w:sz w:val="20"/>
              </w:rPr>
              <w:t>Employment Agreement, dated as of October 18, 2010, between Transdel Pharmaceuticals, Inc. and John Bonfiglio, Ph.D. (incorporated herein by reference to Exhibit 10.1 to the Quarterly Report on Form 10-Q of Transdel Pharmaceuticals, Inc. filed with the Securities and Exchange Commission on November 14, 2010) </w:t>
            </w:r>
          </w:p>
        </w:tc>
      </w:tr>
      <w:tr>
        <w:trPr/>
        <w:tc>
          <w:tcPr>
            <w:tcW w:w="816" w:type="dxa"/>
            <w:tcBorders/>
            <w:shd w:fill="FFFFFF" w:val="clear"/>
          </w:tcPr>
          <w:p>
            <w:pPr>
              <w:pStyle w:val="TableContents"/>
              <w:spacing w:before="0" w:after="283"/>
              <w:jc w:val="both"/>
              <w:rPr/>
            </w:pPr>
            <w:r>
              <w:rPr/>
              <w:t> </w:t>
            </w:r>
          </w:p>
        </w:tc>
        <w:tc>
          <w:tcPr>
            <w:tcW w:w="203" w:type="dxa"/>
            <w:tcBorders/>
            <w:shd w:fill="FFFFFF" w:val="clear"/>
          </w:tcPr>
          <w:p>
            <w:pPr>
              <w:pStyle w:val="TableContents"/>
              <w:spacing w:before="0" w:after="283"/>
              <w:jc w:val="both"/>
              <w:rPr/>
            </w:pPr>
            <w:r>
              <w:rPr/>
              <w:t> </w:t>
            </w:r>
          </w:p>
        </w:tc>
        <w:tc>
          <w:tcPr>
            <w:tcW w:w="9186" w:type="dxa"/>
            <w:tcBorders/>
            <w:shd w:fill="FFFFFF" w:val="clear"/>
          </w:tcPr>
          <w:p>
            <w:pPr>
              <w:pStyle w:val="TableContents"/>
              <w:spacing w:before="0" w:after="283"/>
              <w:jc w:val="both"/>
              <w:rPr/>
            </w:pPr>
            <w:r>
              <w:rPr/>
              <w:t> </w:t>
            </w:r>
          </w:p>
        </w:tc>
      </w:tr>
      <w:tr>
        <w:trPr/>
        <w:tc>
          <w:tcPr>
            <w:tcW w:w="816" w:type="dxa"/>
            <w:tcBorders/>
            <w:shd w:fill="CCEEFF" w:val="clear"/>
          </w:tcPr>
          <w:p>
            <w:pPr>
              <w:pStyle w:val="TableContents"/>
              <w:spacing w:before="0" w:after="0"/>
              <w:ind w:left="540" w:right="0" w:hanging="540"/>
              <w:jc w:val="both"/>
              <w:rPr>
                <w:rFonts w:ascii="helvetica" w:hAnsi="helvetica"/>
                <w:sz w:val="20"/>
              </w:rPr>
            </w:pPr>
            <w:r>
              <w:rPr>
                <w:rFonts w:ascii="helvetica" w:hAnsi="helvetica"/>
                <w:sz w:val="20"/>
              </w:rPr>
              <w:t>10.14#</w:t>
            </w:r>
          </w:p>
        </w:tc>
        <w:tc>
          <w:tcPr>
            <w:tcW w:w="203" w:type="dxa"/>
            <w:tcBorders/>
            <w:shd w:fill="CCEEFF" w:val="clear"/>
          </w:tcPr>
          <w:p>
            <w:pPr>
              <w:pStyle w:val="TableContents"/>
              <w:spacing w:before="0" w:after="283"/>
              <w:jc w:val="both"/>
              <w:rPr/>
            </w:pPr>
            <w:r>
              <w:rPr/>
              <w:t> </w:t>
            </w:r>
          </w:p>
        </w:tc>
        <w:tc>
          <w:tcPr>
            <w:tcW w:w="9186" w:type="dxa"/>
            <w:tcBorders/>
            <w:shd w:fill="CCEEFF" w:val="clear"/>
          </w:tcPr>
          <w:p>
            <w:pPr>
              <w:pStyle w:val="TableContents"/>
              <w:spacing w:before="0" w:after="0"/>
              <w:ind w:left="0" w:right="0" w:hanging="0"/>
              <w:jc w:val="both"/>
              <w:rPr>
                <w:rFonts w:ascii="helvetica" w:hAnsi="helvetica"/>
                <w:sz w:val="20"/>
              </w:rPr>
            </w:pPr>
            <w:r>
              <w:rPr>
                <w:rFonts w:ascii="helvetica" w:hAnsi="helvetica"/>
                <w:sz w:val="20"/>
              </w:rPr>
              <w:t>Nonqualified Stock Option Agreement, dated as of October 20, 2010, between Transdel Pharmaceuticals, Inc., and Dr. John Bonfiglio (incorporated herein by reference to Exhibit 10.1 to the Quarterly Report on Form 10-Q of Transdel Pharmaceuticals, Inc. filed with the Securities and Exchange Commission on November 14, 2010) </w:t>
            </w:r>
          </w:p>
        </w:tc>
      </w:tr>
      <w:tr>
        <w:trPr/>
        <w:tc>
          <w:tcPr>
            <w:tcW w:w="816" w:type="dxa"/>
            <w:tcBorders/>
            <w:shd w:fill="FFFFFF" w:val="clear"/>
          </w:tcPr>
          <w:p>
            <w:pPr>
              <w:pStyle w:val="TableContents"/>
              <w:spacing w:before="0" w:after="283"/>
              <w:jc w:val="both"/>
              <w:rPr/>
            </w:pPr>
            <w:r>
              <w:rPr/>
              <w:t> </w:t>
            </w:r>
          </w:p>
        </w:tc>
        <w:tc>
          <w:tcPr>
            <w:tcW w:w="203" w:type="dxa"/>
            <w:tcBorders/>
            <w:shd w:fill="FFFFFF" w:val="clear"/>
          </w:tcPr>
          <w:p>
            <w:pPr>
              <w:pStyle w:val="TableContents"/>
              <w:spacing w:before="0" w:after="283"/>
              <w:jc w:val="both"/>
              <w:rPr/>
            </w:pPr>
            <w:r>
              <w:rPr/>
              <w:t> </w:t>
            </w:r>
          </w:p>
        </w:tc>
        <w:tc>
          <w:tcPr>
            <w:tcW w:w="9186" w:type="dxa"/>
            <w:tcBorders/>
            <w:shd w:fill="FFFFFF" w:val="clear"/>
          </w:tcPr>
          <w:p>
            <w:pPr>
              <w:pStyle w:val="TableContents"/>
              <w:spacing w:before="0" w:after="283"/>
              <w:jc w:val="both"/>
              <w:rPr/>
            </w:pPr>
            <w:r>
              <w:rPr/>
              <w:t> </w:t>
            </w:r>
          </w:p>
        </w:tc>
      </w:tr>
      <w:tr>
        <w:trPr/>
        <w:tc>
          <w:tcPr>
            <w:tcW w:w="816" w:type="dxa"/>
            <w:tcBorders/>
            <w:shd w:fill="CCEEFF" w:val="clear"/>
          </w:tcPr>
          <w:p>
            <w:pPr>
              <w:pStyle w:val="TableContents"/>
              <w:spacing w:before="0" w:after="0"/>
              <w:ind w:left="540" w:right="0" w:hanging="540"/>
              <w:jc w:val="both"/>
              <w:rPr>
                <w:rFonts w:ascii="helvetica" w:hAnsi="helvetica"/>
                <w:sz w:val="20"/>
              </w:rPr>
            </w:pPr>
            <w:r>
              <w:rPr>
                <w:rFonts w:ascii="helvetica" w:hAnsi="helvetica"/>
                <w:sz w:val="20"/>
              </w:rPr>
              <w:t>10.15#</w:t>
            </w:r>
          </w:p>
        </w:tc>
        <w:tc>
          <w:tcPr>
            <w:tcW w:w="203" w:type="dxa"/>
            <w:tcBorders/>
            <w:shd w:fill="CCEEFF" w:val="clear"/>
          </w:tcPr>
          <w:p>
            <w:pPr>
              <w:pStyle w:val="TableContents"/>
              <w:spacing w:before="0" w:after="283"/>
              <w:jc w:val="both"/>
              <w:rPr/>
            </w:pPr>
            <w:r>
              <w:rPr/>
              <w:t> </w:t>
            </w:r>
          </w:p>
        </w:tc>
        <w:tc>
          <w:tcPr>
            <w:tcW w:w="9186" w:type="dxa"/>
            <w:tcBorders/>
            <w:shd w:fill="CCEEFF" w:val="clear"/>
          </w:tcPr>
          <w:p>
            <w:pPr>
              <w:pStyle w:val="TableContents"/>
              <w:spacing w:before="0" w:after="0"/>
              <w:ind w:left="0" w:right="0" w:hanging="0"/>
              <w:jc w:val="both"/>
              <w:rPr>
                <w:rFonts w:ascii="helvetica" w:hAnsi="helvetica"/>
                <w:sz w:val="20"/>
              </w:rPr>
            </w:pPr>
            <w:r>
              <w:rPr>
                <w:rFonts w:ascii="helvetica" w:hAnsi="helvetica"/>
                <w:sz w:val="20"/>
              </w:rPr>
              <w:t>Restricted Stock Agreement, dated as of October 20, 2010, between Transdel Pharmaceuticals, Inc., and Dr. John Bonfiglio (incorporated herein by reference to Exhibit 10.1 to the Quarterly Report on Form 10-Q of Transdel Pharmaceuticals, Inc. filed with the Securities and Exchange Commission on November 14, 2010) </w:t>
            </w:r>
          </w:p>
        </w:tc>
      </w:tr>
      <w:tr>
        <w:trPr/>
        <w:tc>
          <w:tcPr>
            <w:tcW w:w="816" w:type="dxa"/>
            <w:tcBorders/>
            <w:shd w:fill="FFFFFF" w:val="clear"/>
          </w:tcPr>
          <w:p>
            <w:pPr>
              <w:pStyle w:val="TableContents"/>
              <w:spacing w:before="0" w:after="283"/>
              <w:jc w:val="both"/>
              <w:rPr/>
            </w:pPr>
            <w:r>
              <w:rPr/>
              <w:t> </w:t>
            </w:r>
          </w:p>
        </w:tc>
        <w:tc>
          <w:tcPr>
            <w:tcW w:w="203" w:type="dxa"/>
            <w:tcBorders/>
            <w:shd w:fill="FFFFFF" w:val="clear"/>
          </w:tcPr>
          <w:p>
            <w:pPr>
              <w:pStyle w:val="TableContents"/>
              <w:spacing w:before="0" w:after="283"/>
              <w:jc w:val="both"/>
              <w:rPr/>
            </w:pPr>
            <w:r>
              <w:rPr/>
              <w:t> </w:t>
            </w:r>
          </w:p>
        </w:tc>
        <w:tc>
          <w:tcPr>
            <w:tcW w:w="9186" w:type="dxa"/>
            <w:tcBorders/>
            <w:shd w:fill="FFFFFF" w:val="clear"/>
          </w:tcPr>
          <w:p>
            <w:pPr>
              <w:pStyle w:val="TableContents"/>
              <w:spacing w:before="0" w:after="283"/>
              <w:jc w:val="both"/>
              <w:rPr/>
            </w:pPr>
            <w:r>
              <w:rPr/>
              <w:t> </w:t>
            </w:r>
          </w:p>
        </w:tc>
      </w:tr>
      <w:tr>
        <w:trPr/>
        <w:tc>
          <w:tcPr>
            <w:tcW w:w="816" w:type="dxa"/>
            <w:tcBorders/>
            <w:shd w:fill="CCEEFF" w:val="clear"/>
          </w:tcPr>
          <w:p>
            <w:pPr>
              <w:pStyle w:val="TableContents"/>
              <w:spacing w:before="0" w:after="0"/>
              <w:ind w:left="0" w:right="16" w:hanging="0"/>
              <w:jc w:val="both"/>
              <w:rPr>
                <w:rFonts w:ascii="helvetica" w:hAnsi="helvetica"/>
                <w:sz w:val="20"/>
              </w:rPr>
            </w:pPr>
            <w:r>
              <w:rPr>
                <w:rFonts w:ascii="helvetica" w:hAnsi="helvetica"/>
                <w:sz w:val="20"/>
              </w:rPr>
              <w:t>10.16</w:t>
            </w:r>
          </w:p>
        </w:tc>
        <w:tc>
          <w:tcPr>
            <w:tcW w:w="203" w:type="dxa"/>
            <w:tcBorders/>
            <w:shd w:fill="CCEEFF" w:val="clear"/>
          </w:tcPr>
          <w:p>
            <w:pPr>
              <w:pStyle w:val="TableContents"/>
              <w:spacing w:before="0" w:after="283"/>
              <w:jc w:val="both"/>
              <w:rPr/>
            </w:pPr>
            <w:r>
              <w:rPr/>
              <w:t> </w:t>
            </w:r>
          </w:p>
        </w:tc>
        <w:tc>
          <w:tcPr>
            <w:tcW w:w="9186" w:type="dxa"/>
            <w:tcBorders/>
            <w:shd w:fill="CCEEFF" w:val="clear"/>
          </w:tcPr>
          <w:p>
            <w:pPr>
              <w:pStyle w:val="TableContents"/>
              <w:spacing w:before="0" w:after="0"/>
              <w:ind w:left="0" w:right="16" w:hanging="0"/>
              <w:jc w:val="both"/>
              <w:rPr>
                <w:rFonts w:ascii="helvetica" w:hAnsi="helvetica"/>
                <w:sz w:val="20"/>
              </w:rPr>
            </w:pPr>
            <w:r>
              <w:rPr>
                <w:rFonts w:ascii="helvetica" w:hAnsi="helvetica"/>
                <w:sz w:val="20"/>
              </w:rPr>
              <w:t>Form of Senior Convertible Note Purchase Agreement (incorporated herein by reference to Exhibit 10.1 to the Current Report on Form 8-K of Transdel Pharmaceuticals, Inc. filed with the Securities and Exchange Commission on April 8, 2011) </w:t>
            </w:r>
          </w:p>
        </w:tc>
      </w:tr>
      <w:tr>
        <w:trPr/>
        <w:tc>
          <w:tcPr>
            <w:tcW w:w="816" w:type="dxa"/>
            <w:tcBorders/>
            <w:shd w:fill="FFFFFF" w:val="clear"/>
          </w:tcPr>
          <w:p>
            <w:pPr>
              <w:pStyle w:val="TableContents"/>
              <w:spacing w:before="0" w:after="283"/>
              <w:jc w:val="both"/>
              <w:rPr/>
            </w:pPr>
            <w:r>
              <w:rPr/>
              <w:t> </w:t>
            </w:r>
          </w:p>
        </w:tc>
        <w:tc>
          <w:tcPr>
            <w:tcW w:w="203" w:type="dxa"/>
            <w:tcBorders/>
            <w:shd w:fill="FFFFFF" w:val="clear"/>
          </w:tcPr>
          <w:p>
            <w:pPr>
              <w:pStyle w:val="TableContents"/>
              <w:spacing w:before="0" w:after="283"/>
              <w:jc w:val="both"/>
              <w:rPr/>
            </w:pPr>
            <w:r>
              <w:rPr/>
              <w:t> </w:t>
            </w:r>
          </w:p>
        </w:tc>
        <w:tc>
          <w:tcPr>
            <w:tcW w:w="9186" w:type="dxa"/>
            <w:tcBorders/>
            <w:shd w:fill="FFFFFF" w:val="clear"/>
          </w:tcPr>
          <w:p>
            <w:pPr>
              <w:pStyle w:val="TableContents"/>
              <w:spacing w:before="0" w:after="283"/>
              <w:jc w:val="both"/>
              <w:rPr/>
            </w:pPr>
            <w:r>
              <w:rPr/>
              <w:t> </w:t>
            </w:r>
          </w:p>
        </w:tc>
      </w:tr>
      <w:tr>
        <w:trPr/>
        <w:tc>
          <w:tcPr>
            <w:tcW w:w="816" w:type="dxa"/>
            <w:tcBorders/>
            <w:shd w:fill="CCEEFF" w:val="clear"/>
          </w:tcPr>
          <w:p>
            <w:pPr>
              <w:pStyle w:val="TableContents"/>
              <w:spacing w:before="0" w:after="0"/>
              <w:ind w:left="0" w:right="16" w:hanging="0"/>
              <w:jc w:val="both"/>
              <w:rPr>
                <w:rFonts w:ascii="helvetica" w:hAnsi="helvetica"/>
                <w:sz w:val="20"/>
              </w:rPr>
            </w:pPr>
            <w:r>
              <w:rPr>
                <w:rFonts w:ascii="helvetica" w:hAnsi="helvetica"/>
                <w:sz w:val="20"/>
              </w:rPr>
              <w:t>10.17</w:t>
            </w:r>
          </w:p>
        </w:tc>
        <w:tc>
          <w:tcPr>
            <w:tcW w:w="203" w:type="dxa"/>
            <w:tcBorders/>
            <w:shd w:fill="CCEEFF" w:val="clear"/>
          </w:tcPr>
          <w:p>
            <w:pPr>
              <w:pStyle w:val="TableContents"/>
              <w:spacing w:before="0" w:after="283"/>
              <w:jc w:val="both"/>
              <w:rPr/>
            </w:pPr>
            <w:r>
              <w:rPr/>
              <w:t> </w:t>
            </w:r>
          </w:p>
        </w:tc>
        <w:tc>
          <w:tcPr>
            <w:tcW w:w="9186" w:type="dxa"/>
            <w:tcBorders/>
            <w:shd w:fill="CCEEFF" w:val="clear"/>
          </w:tcPr>
          <w:p>
            <w:pPr>
              <w:pStyle w:val="TableContents"/>
              <w:spacing w:before="0" w:after="0"/>
              <w:ind w:left="0" w:right="16" w:hanging="0"/>
              <w:jc w:val="both"/>
              <w:rPr>
                <w:rFonts w:ascii="helvetica" w:hAnsi="helvetica"/>
                <w:sz w:val="20"/>
              </w:rPr>
            </w:pPr>
            <w:r>
              <w:rPr>
                <w:rFonts w:ascii="helvetica" w:hAnsi="helvetica"/>
                <w:sz w:val="20"/>
              </w:rPr>
              <w:t>Form of Senior Convertible Promissory Note (incorporated herein by reference to Exhibit 10.2 to the Current Report on Form 8-K of Transdel Pharmaceuticals, Inc. filed with the Securities and Exchange Commission on April 8, 2011) </w:t>
            </w:r>
          </w:p>
        </w:tc>
      </w:tr>
      <w:tr>
        <w:trPr/>
        <w:tc>
          <w:tcPr>
            <w:tcW w:w="816" w:type="dxa"/>
            <w:tcBorders/>
            <w:shd w:fill="FFFFFF" w:val="clear"/>
          </w:tcPr>
          <w:p>
            <w:pPr>
              <w:pStyle w:val="TableContents"/>
              <w:spacing w:before="0" w:after="283"/>
              <w:jc w:val="both"/>
              <w:rPr/>
            </w:pPr>
            <w:r>
              <w:rPr/>
              <w:t> </w:t>
            </w:r>
          </w:p>
        </w:tc>
        <w:tc>
          <w:tcPr>
            <w:tcW w:w="203" w:type="dxa"/>
            <w:tcBorders/>
            <w:shd w:fill="FFFFFF" w:val="clear"/>
          </w:tcPr>
          <w:p>
            <w:pPr>
              <w:pStyle w:val="TableContents"/>
              <w:spacing w:before="0" w:after="283"/>
              <w:jc w:val="both"/>
              <w:rPr/>
            </w:pPr>
            <w:r>
              <w:rPr/>
              <w:t> </w:t>
            </w:r>
          </w:p>
        </w:tc>
        <w:tc>
          <w:tcPr>
            <w:tcW w:w="9186" w:type="dxa"/>
            <w:tcBorders/>
            <w:shd w:fill="FFFFFF" w:val="clear"/>
          </w:tcPr>
          <w:p>
            <w:pPr>
              <w:pStyle w:val="TableContents"/>
              <w:spacing w:before="0" w:after="283"/>
              <w:jc w:val="both"/>
              <w:rPr/>
            </w:pPr>
            <w:r>
              <w:rPr/>
              <w:t> </w:t>
            </w:r>
          </w:p>
        </w:tc>
      </w:tr>
      <w:tr>
        <w:trPr/>
        <w:tc>
          <w:tcPr>
            <w:tcW w:w="816" w:type="dxa"/>
            <w:tcBorders/>
            <w:shd w:fill="CCEEFF" w:val="clear"/>
          </w:tcPr>
          <w:p>
            <w:pPr>
              <w:pStyle w:val="TableContents"/>
              <w:spacing w:before="0" w:after="0"/>
              <w:ind w:left="0" w:right="16" w:hanging="0"/>
              <w:jc w:val="both"/>
              <w:rPr>
                <w:rFonts w:ascii="helvetica" w:hAnsi="helvetica"/>
                <w:sz w:val="20"/>
              </w:rPr>
            </w:pPr>
            <w:r>
              <w:rPr>
                <w:rFonts w:ascii="helvetica" w:hAnsi="helvetica"/>
                <w:sz w:val="20"/>
              </w:rPr>
              <w:t>10.18</w:t>
            </w:r>
          </w:p>
        </w:tc>
        <w:tc>
          <w:tcPr>
            <w:tcW w:w="203" w:type="dxa"/>
            <w:tcBorders/>
            <w:shd w:fill="CCEEFF" w:val="clear"/>
          </w:tcPr>
          <w:p>
            <w:pPr>
              <w:pStyle w:val="TableContents"/>
              <w:spacing w:before="0" w:after="283"/>
              <w:jc w:val="both"/>
              <w:rPr/>
            </w:pPr>
            <w:r>
              <w:rPr/>
              <w:t> </w:t>
            </w:r>
          </w:p>
        </w:tc>
        <w:tc>
          <w:tcPr>
            <w:tcW w:w="9186" w:type="dxa"/>
            <w:tcBorders/>
            <w:shd w:fill="CCEEFF" w:val="clear"/>
          </w:tcPr>
          <w:p>
            <w:pPr>
              <w:pStyle w:val="TableContents"/>
              <w:spacing w:before="0" w:after="0"/>
              <w:ind w:left="0" w:right="16" w:hanging="0"/>
              <w:jc w:val="both"/>
              <w:rPr>
                <w:rFonts w:ascii="helvetica" w:hAnsi="helvetica"/>
                <w:sz w:val="20"/>
              </w:rPr>
            </w:pPr>
            <w:r>
              <w:rPr>
                <w:rFonts w:ascii="helvetica" w:hAnsi="helvetica"/>
                <w:sz w:val="20"/>
              </w:rPr>
              <w:t>Asset Purchase Agreement, dated as of June 23, 2011, by and among Transdel Pharmaceuticals, Inc. and Cardium Healthcare, Inc. (incorporated herein by reference to Exhibit 2.1 to the Current Report on Form 8-K of Transdel Pharmaceuticals, Inc. filed with the Securities and Exchange Commission on June 26, 2011) </w:t>
            </w:r>
          </w:p>
        </w:tc>
      </w:tr>
      <w:tr>
        <w:trPr/>
        <w:tc>
          <w:tcPr>
            <w:tcW w:w="816" w:type="dxa"/>
            <w:tcBorders/>
            <w:shd w:fill="FFFFFF" w:val="clear"/>
          </w:tcPr>
          <w:p>
            <w:pPr>
              <w:pStyle w:val="TableContents"/>
              <w:spacing w:before="0" w:after="283"/>
              <w:jc w:val="both"/>
              <w:rPr/>
            </w:pPr>
            <w:r>
              <w:rPr/>
              <w:t> </w:t>
            </w:r>
          </w:p>
        </w:tc>
        <w:tc>
          <w:tcPr>
            <w:tcW w:w="203" w:type="dxa"/>
            <w:tcBorders/>
            <w:shd w:fill="FFFFFF" w:val="clear"/>
          </w:tcPr>
          <w:p>
            <w:pPr>
              <w:pStyle w:val="TableContents"/>
              <w:spacing w:before="0" w:after="283"/>
              <w:jc w:val="both"/>
              <w:rPr/>
            </w:pPr>
            <w:r>
              <w:rPr/>
              <w:t> </w:t>
            </w:r>
          </w:p>
        </w:tc>
        <w:tc>
          <w:tcPr>
            <w:tcW w:w="9186" w:type="dxa"/>
            <w:tcBorders/>
            <w:shd w:fill="FFFFFF" w:val="clear"/>
          </w:tcPr>
          <w:p>
            <w:pPr>
              <w:pStyle w:val="TableContents"/>
              <w:spacing w:before="0" w:after="283"/>
              <w:jc w:val="both"/>
              <w:rPr/>
            </w:pPr>
            <w:r>
              <w:rPr/>
              <w:t> </w:t>
            </w:r>
          </w:p>
        </w:tc>
      </w:tr>
      <w:tr>
        <w:trPr/>
        <w:tc>
          <w:tcPr>
            <w:tcW w:w="816" w:type="dxa"/>
            <w:tcBorders/>
            <w:shd w:fill="CCEEFF" w:val="clear"/>
          </w:tcPr>
          <w:p>
            <w:pPr>
              <w:pStyle w:val="TableContents"/>
              <w:spacing w:before="0" w:after="0"/>
              <w:ind w:left="0" w:right="16" w:hanging="0"/>
              <w:jc w:val="both"/>
              <w:rPr>
                <w:rFonts w:ascii="helvetica" w:hAnsi="helvetica"/>
                <w:sz w:val="20"/>
              </w:rPr>
            </w:pPr>
            <w:r>
              <w:rPr>
                <w:rFonts w:ascii="helvetica" w:hAnsi="helvetica"/>
                <w:sz w:val="20"/>
              </w:rPr>
              <w:t>10.19</w:t>
            </w:r>
          </w:p>
        </w:tc>
        <w:tc>
          <w:tcPr>
            <w:tcW w:w="203" w:type="dxa"/>
            <w:tcBorders/>
            <w:shd w:fill="CCEEFF" w:val="clear"/>
          </w:tcPr>
          <w:p>
            <w:pPr>
              <w:pStyle w:val="TableContents"/>
              <w:spacing w:before="0" w:after="283"/>
              <w:jc w:val="both"/>
              <w:rPr/>
            </w:pPr>
            <w:r>
              <w:rPr/>
              <w:t> </w:t>
            </w:r>
          </w:p>
        </w:tc>
        <w:tc>
          <w:tcPr>
            <w:tcW w:w="9186" w:type="dxa"/>
            <w:tcBorders/>
            <w:shd w:fill="CCEEFF" w:val="clear"/>
          </w:tcPr>
          <w:p>
            <w:pPr>
              <w:pStyle w:val="TableContents"/>
              <w:spacing w:before="0" w:after="0"/>
              <w:ind w:left="0" w:right="16" w:hanging="0"/>
              <w:jc w:val="both"/>
              <w:rPr>
                <w:rFonts w:ascii="helvetica" w:hAnsi="helvetica"/>
                <w:sz w:val="20"/>
              </w:rPr>
            </w:pPr>
            <w:r>
              <w:rPr>
                <w:rFonts w:ascii="helvetica" w:hAnsi="helvetica"/>
                <w:sz w:val="20"/>
              </w:rPr>
              <w:t>Secured Line of Credit Letter Agreement, dated November 21, 2011 and effective as of December 9, 2011, by and between Transdel Pharmaceuticals, Inc. and DermaStar International, LLC. (incorporated herein by reference to Exhibit 10.1 to the Current Report on Form 8-K of Transdel Pharmaceuticals, Inc. filed with the Securities and Exchange Commission on December 20, 2011) </w:t>
            </w:r>
          </w:p>
        </w:tc>
      </w:tr>
      <w:tr>
        <w:trPr/>
        <w:tc>
          <w:tcPr>
            <w:tcW w:w="816" w:type="dxa"/>
            <w:tcBorders/>
            <w:shd w:fill="FFFFFF" w:val="clear"/>
          </w:tcPr>
          <w:p>
            <w:pPr>
              <w:pStyle w:val="TableContents"/>
              <w:spacing w:before="0" w:after="283"/>
              <w:jc w:val="both"/>
              <w:rPr/>
            </w:pPr>
            <w:r>
              <w:rPr/>
              <w:t> </w:t>
            </w:r>
          </w:p>
        </w:tc>
        <w:tc>
          <w:tcPr>
            <w:tcW w:w="203" w:type="dxa"/>
            <w:tcBorders/>
            <w:shd w:fill="FFFFFF" w:val="clear"/>
          </w:tcPr>
          <w:p>
            <w:pPr>
              <w:pStyle w:val="TableContents"/>
              <w:spacing w:before="0" w:after="283"/>
              <w:jc w:val="both"/>
              <w:rPr/>
            </w:pPr>
            <w:r>
              <w:rPr/>
              <w:t> </w:t>
            </w:r>
          </w:p>
        </w:tc>
        <w:tc>
          <w:tcPr>
            <w:tcW w:w="9186" w:type="dxa"/>
            <w:tcBorders/>
            <w:shd w:fill="FFFFFF" w:val="clear"/>
          </w:tcPr>
          <w:p>
            <w:pPr>
              <w:pStyle w:val="TableContents"/>
              <w:spacing w:before="0" w:after="283"/>
              <w:jc w:val="both"/>
              <w:rPr/>
            </w:pPr>
            <w:r>
              <w:rPr/>
              <w:t> </w:t>
            </w:r>
          </w:p>
        </w:tc>
      </w:tr>
      <w:tr>
        <w:trPr/>
        <w:tc>
          <w:tcPr>
            <w:tcW w:w="816" w:type="dxa"/>
            <w:tcBorders/>
            <w:shd w:fill="CCEEFF" w:val="clear"/>
          </w:tcPr>
          <w:p>
            <w:pPr>
              <w:pStyle w:val="TableContents"/>
              <w:spacing w:before="0" w:after="0"/>
              <w:ind w:left="0" w:right="16" w:hanging="0"/>
              <w:jc w:val="both"/>
              <w:rPr>
                <w:rFonts w:ascii="helvetica" w:hAnsi="helvetica"/>
                <w:sz w:val="20"/>
              </w:rPr>
            </w:pPr>
            <w:r>
              <w:rPr>
                <w:rFonts w:ascii="helvetica" w:hAnsi="helvetica"/>
                <w:sz w:val="20"/>
              </w:rPr>
              <w:t>10.20</w:t>
            </w:r>
          </w:p>
        </w:tc>
        <w:tc>
          <w:tcPr>
            <w:tcW w:w="203" w:type="dxa"/>
            <w:tcBorders/>
            <w:shd w:fill="CCEEFF" w:val="clear"/>
          </w:tcPr>
          <w:p>
            <w:pPr>
              <w:pStyle w:val="TableContents"/>
              <w:spacing w:before="0" w:after="283"/>
              <w:jc w:val="both"/>
              <w:rPr/>
            </w:pPr>
            <w:r>
              <w:rPr/>
              <w:t> </w:t>
            </w:r>
          </w:p>
        </w:tc>
        <w:tc>
          <w:tcPr>
            <w:tcW w:w="9186" w:type="dxa"/>
            <w:tcBorders/>
            <w:shd w:fill="CCEEFF" w:val="clear"/>
          </w:tcPr>
          <w:p>
            <w:pPr>
              <w:pStyle w:val="TableContents"/>
              <w:spacing w:before="0" w:after="0"/>
              <w:ind w:left="0" w:right="16" w:hanging="0"/>
              <w:jc w:val="both"/>
              <w:rPr>
                <w:rFonts w:ascii="helvetica" w:hAnsi="helvetica"/>
                <w:sz w:val="20"/>
              </w:rPr>
            </w:pPr>
            <w:r>
              <w:rPr>
                <w:rFonts w:ascii="helvetica" w:hAnsi="helvetica"/>
                <w:sz w:val="20"/>
              </w:rPr>
              <w:t>Security Agreement, dated as of December 9, 2011, by and between Transdel Pharmaceuticals, Inc. and DermaStar International, LLC. (incorporated herein by reference to Exhibit 10.2 to the Current Report on Form 8-K of Transdel Pharmaceuticals, Inc. filed with the Securities and Exchange Commission on December 20, 2011) </w:t>
            </w:r>
          </w:p>
        </w:tc>
      </w:tr>
      <w:tr>
        <w:trPr/>
        <w:tc>
          <w:tcPr>
            <w:tcW w:w="816" w:type="dxa"/>
            <w:tcBorders/>
            <w:shd w:fill="FFFFFF" w:val="clear"/>
          </w:tcPr>
          <w:p>
            <w:pPr>
              <w:pStyle w:val="TableContents"/>
              <w:spacing w:before="0" w:after="283"/>
              <w:jc w:val="both"/>
              <w:rPr/>
            </w:pPr>
            <w:r>
              <w:rPr/>
              <w:t> </w:t>
            </w:r>
          </w:p>
        </w:tc>
        <w:tc>
          <w:tcPr>
            <w:tcW w:w="203" w:type="dxa"/>
            <w:tcBorders/>
            <w:shd w:fill="FFFFFF" w:val="clear"/>
          </w:tcPr>
          <w:p>
            <w:pPr>
              <w:pStyle w:val="TableContents"/>
              <w:spacing w:before="0" w:after="283"/>
              <w:jc w:val="both"/>
              <w:rPr/>
            </w:pPr>
            <w:r>
              <w:rPr/>
              <w:t> </w:t>
            </w:r>
          </w:p>
        </w:tc>
        <w:tc>
          <w:tcPr>
            <w:tcW w:w="9186" w:type="dxa"/>
            <w:tcBorders/>
            <w:shd w:fill="FFFFFF" w:val="clear"/>
          </w:tcPr>
          <w:p>
            <w:pPr>
              <w:pStyle w:val="TableContents"/>
              <w:spacing w:before="0" w:after="283"/>
              <w:jc w:val="both"/>
              <w:rPr/>
            </w:pPr>
            <w:r>
              <w:rPr/>
              <w:t> </w:t>
            </w:r>
          </w:p>
        </w:tc>
      </w:tr>
      <w:tr>
        <w:trPr/>
        <w:tc>
          <w:tcPr>
            <w:tcW w:w="816" w:type="dxa"/>
            <w:tcBorders/>
            <w:shd w:fill="CCEEFF" w:val="clear"/>
          </w:tcPr>
          <w:p>
            <w:pPr>
              <w:pStyle w:val="TableContents"/>
              <w:spacing w:before="0" w:after="0"/>
              <w:ind w:left="0" w:right="16" w:hanging="0"/>
              <w:jc w:val="both"/>
              <w:rPr>
                <w:rFonts w:ascii="helvetica" w:hAnsi="helvetica"/>
                <w:sz w:val="20"/>
              </w:rPr>
            </w:pPr>
            <w:r>
              <w:rPr>
                <w:rFonts w:ascii="helvetica" w:hAnsi="helvetica"/>
                <w:sz w:val="20"/>
              </w:rPr>
              <w:t>10.21</w:t>
            </w:r>
          </w:p>
        </w:tc>
        <w:tc>
          <w:tcPr>
            <w:tcW w:w="203" w:type="dxa"/>
            <w:tcBorders/>
            <w:shd w:fill="CCEEFF" w:val="clear"/>
          </w:tcPr>
          <w:p>
            <w:pPr>
              <w:pStyle w:val="TableContents"/>
              <w:spacing w:before="0" w:after="283"/>
              <w:jc w:val="both"/>
              <w:rPr/>
            </w:pPr>
            <w:r>
              <w:rPr/>
              <w:t> </w:t>
            </w:r>
          </w:p>
        </w:tc>
        <w:tc>
          <w:tcPr>
            <w:tcW w:w="9186" w:type="dxa"/>
            <w:tcBorders/>
            <w:shd w:fill="CCEEFF" w:val="clear"/>
          </w:tcPr>
          <w:p>
            <w:pPr>
              <w:pStyle w:val="TableContents"/>
              <w:spacing w:before="0" w:after="0"/>
              <w:ind w:left="0" w:right="16" w:hanging="0"/>
              <w:jc w:val="both"/>
              <w:rPr>
                <w:rFonts w:ascii="helvetica" w:hAnsi="helvetica"/>
                <w:sz w:val="20"/>
              </w:rPr>
            </w:pPr>
            <w:r>
              <w:rPr>
                <w:rFonts w:ascii="helvetica" w:hAnsi="helvetica"/>
                <w:sz w:val="20"/>
              </w:rPr>
              <w:t>Intellectual Property Security Agreement, dated as of December 9, 2011, by and between Transdel Pharmaceuticals, Inc. and DermaStar International, LLC. (incorporated herein by reference to Exhibit 10.3 to the Current Report on Form 8-K of Transdel Pharmaceuticals, Inc. filed with the Securities and Exchange Commission on December 20, 2011) </w:t>
            </w:r>
          </w:p>
        </w:tc>
      </w:tr>
      <w:tr>
        <w:trPr/>
        <w:tc>
          <w:tcPr>
            <w:tcW w:w="816" w:type="dxa"/>
            <w:tcBorders/>
            <w:shd w:fill="FFFFFF" w:val="clear"/>
          </w:tcPr>
          <w:p>
            <w:pPr>
              <w:pStyle w:val="TableContents"/>
              <w:spacing w:before="0" w:after="283"/>
              <w:jc w:val="both"/>
              <w:rPr/>
            </w:pPr>
            <w:r>
              <w:rPr/>
              <w:t> </w:t>
            </w:r>
          </w:p>
        </w:tc>
        <w:tc>
          <w:tcPr>
            <w:tcW w:w="203" w:type="dxa"/>
            <w:tcBorders/>
            <w:shd w:fill="FFFFFF" w:val="clear"/>
          </w:tcPr>
          <w:p>
            <w:pPr>
              <w:pStyle w:val="TableContents"/>
              <w:spacing w:before="0" w:after="283"/>
              <w:jc w:val="both"/>
              <w:rPr/>
            </w:pPr>
            <w:r>
              <w:rPr/>
              <w:t> </w:t>
            </w:r>
          </w:p>
        </w:tc>
        <w:tc>
          <w:tcPr>
            <w:tcW w:w="9186" w:type="dxa"/>
            <w:tcBorders/>
            <w:shd w:fill="FFFFFF" w:val="clear"/>
          </w:tcPr>
          <w:p>
            <w:pPr>
              <w:pStyle w:val="TableContents"/>
              <w:spacing w:before="0" w:after="283"/>
              <w:jc w:val="both"/>
              <w:rPr/>
            </w:pPr>
            <w:r>
              <w:rPr/>
              <w:t> </w:t>
            </w:r>
          </w:p>
        </w:tc>
      </w:tr>
      <w:tr>
        <w:trPr/>
        <w:tc>
          <w:tcPr>
            <w:tcW w:w="816" w:type="dxa"/>
            <w:tcBorders/>
            <w:shd w:fill="CCEEFF" w:val="clear"/>
          </w:tcPr>
          <w:p>
            <w:pPr>
              <w:pStyle w:val="TableContents"/>
              <w:spacing w:before="0" w:after="0"/>
              <w:ind w:left="0" w:right="16" w:hanging="0"/>
              <w:jc w:val="both"/>
              <w:rPr>
                <w:rFonts w:ascii="helvetica" w:hAnsi="helvetica"/>
                <w:sz w:val="20"/>
              </w:rPr>
            </w:pPr>
            <w:r>
              <w:rPr>
                <w:rFonts w:ascii="helvetica" w:hAnsi="helvetica"/>
                <w:sz w:val="20"/>
              </w:rPr>
              <w:t>10.22</w:t>
            </w:r>
          </w:p>
        </w:tc>
        <w:tc>
          <w:tcPr>
            <w:tcW w:w="203" w:type="dxa"/>
            <w:tcBorders/>
            <w:shd w:fill="CCEEFF" w:val="clear"/>
          </w:tcPr>
          <w:p>
            <w:pPr>
              <w:pStyle w:val="TableContents"/>
              <w:spacing w:before="0" w:after="283"/>
              <w:jc w:val="both"/>
              <w:rPr/>
            </w:pPr>
            <w:r>
              <w:rPr/>
              <w:t> </w:t>
            </w:r>
          </w:p>
        </w:tc>
        <w:tc>
          <w:tcPr>
            <w:tcW w:w="9186" w:type="dxa"/>
            <w:tcBorders/>
            <w:shd w:fill="CCEEFF" w:val="clear"/>
          </w:tcPr>
          <w:p>
            <w:pPr>
              <w:pStyle w:val="TableContents"/>
              <w:spacing w:before="0" w:after="0"/>
              <w:ind w:left="0" w:right="16" w:hanging="0"/>
              <w:jc w:val="both"/>
              <w:rPr>
                <w:rFonts w:ascii="helvetica" w:hAnsi="helvetica"/>
                <w:sz w:val="20"/>
              </w:rPr>
            </w:pPr>
            <w:r>
              <w:rPr>
                <w:rFonts w:ascii="helvetica" w:hAnsi="helvetica"/>
                <w:sz w:val="20"/>
              </w:rPr>
              <w:t>Securities Purchase Agreement, dated November 21, 2011 and effective as of December 9, 2011, by and between Transdel Pharmaceuticals, Inc. and DermaStar International, LLC. (incorporated herein by reference to Exhibit 10.3 to the Current Report on Form 8-K of Transdel Pharmaceuticals, Inc. filed with the Securities and Exchange Commission on December 20, 2011) </w:t>
            </w:r>
          </w:p>
        </w:tc>
      </w:tr>
      <w:tr>
        <w:trPr/>
        <w:tc>
          <w:tcPr>
            <w:tcW w:w="816" w:type="dxa"/>
            <w:tcBorders/>
            <w:shd w:fill="FFFFFF" w:val="clear"/>
          </w:tcPr>
          <w:p>
            <w:pPr>
              <w:pStyle w:val="TableContents"/>
              <w:spacing w:before="0" w:after="283"/>
              <w:jc w:val="both"/>
              <w:rPr/>
            </w:pPr>
            <w:r>
              <w:rPr/>
              <w:t> </w:t>
            </w:r>
          </w:p>
        </w:tc>
        <w:tc>
          <w:tcPr>
            <w:tcW w:w="203" w:type="dxa"/>
            <w:tcBorders/>
            <w:shd w:fill="FFFFFF" w:val="clear"/>
          </w:tcPr>
          <w:p>
            <w:pPr>
              <w:pStyle w:val="TableContents"/>
              <w:spacing w:before="0" w:after="283"/>
              <w:jc w:val="both"/>
              <w:rPr/>
            </w:pPr>
            <w:r>
              <w:rPr/>
              <w:t> </w:t>
            </w:r>
          </w:p>
        </w:tc>
        <w:tc>
          <w:tcPr>
            <w:tcW w:w="9186" w:type="dxa"/>
            <w:tcBorders/>
            <w:shd w:fill="FFFFFF" w:val="clear"/>
          </w:tcPr>
          <w:p>
            <w:pPr>
              <w:pStyle w:val="TableContents"/>
              <w:spacing w:before="0" w:after="283"/>
              <w:jc w:val="both"/>
              <w:rPr/>
            </w:pPr>
            <w:r>
              <w:rPr/>
              <w:t> </w:t>
            </w:r>
          </w:p>
        </w:tc>
      </w:tr>
      <w:tr>
        <w:trPr/>
        <w:tc>
          <w:tcPr>
            <w:tcW w:w="816" w:type="dxa"/>
            <w:tcBorders/>
            <w:shd w:fill="CCEEFF" w:val="clear"/>
          </w:tcPr>
          <w:p>
            <w:pPr>
              <w:pStyle w:val="TableContents"/>
              <w:spacing w:before="0" w:after="0"/>
              <w:ind w:left="0" w:right="16" w:hanging="0"/>
              <w:jc w:val="both"/>
              <w:rPr>
                <w:rFonts w:ascii="helvetica" w:hAnsi="helvetica"/>
                <w:sz w:val="20"/>
              </w:rPr>
            </w:pPr>
            <w:r>
              <w:rPr>
                <w:rFonts w:ascii="helvetica" w:hAnsi="helvetica"/>
                <w:sz w:val="20"/>
              </w:rPr>
              <w:t>10.23**</w:t>
            </w:r>
          </w:p>
        </w:tc>
        <w:tc>
          <w:tcPr>
            <w:tcW w:w="203" w:type="dxa"/>
            <w:tcBorders/>
            <w:shd w:fill="CCEEFF" w:val="clear"/>
          </w:tcPr>
          <w:p>
            <w:pPr>
              <w:pStyle w:val="TableContents"/>
              <w:spacing w:before="0" w:after="283"/>
              <w:jc w:val="both"/>
              <w:rPr/>
            </w:pPr>
            <w:r>
              <w:rPr/>
              <w:t> </w:t>
            </w:r>
          </w:p>
        </w:tc>
        <w:tc>
          <w:tcPr>
            <w:tcW w:w="9186" w:type="dxa"/>
            <w:tcBorders/>
            <w:shd w:fill="CCEEFF" w:val="clear"/>
          </w:tcPr>
          <w:p>
            <w:pPr>
              <w:pStyle w:val="TableContents"/>
              <w:spacing w:before="0" w:after="0"/>
              <w:ind w:left="0" w:right="16" w:hanging="0"/>
              <w:jc w:val="both"/>
              <w:rPr>
                <w:rFonts w:ascii="helvetica" w:hAnsi="helvetica"/>
                <w:sz w:val="20"/>
              </w:rPr>
            </w:pPr>
            <w:r>
              <w:rPr>
                <w:rFonts w:ascii="helvetica" w:hAnsi="helvetica"/>
                <w:sz w:val="20"/>
              </w:rPr>
              <w:t>First Amendment to Securities Purchase Agreement, effective as of December 31, 2011, by and between Transdel Pharmaceuticals, Inc. and DermaStar International, LLC</w:t>
            </w:r>
          </w:p>
        </w:tc>
      </w:tr>
      <w:tr>
        <w:trPr/>
        <w:tc>
          <w:tcPr>
            <w:tcW w:w="816" w:type="dxa"/>
            <w:tcBorders/>
            <w:shd w:fill="FFFFFF" w:val="clear"/>
          </w:tcPr>
          <w:p>
            <w:pPr>
              <w:pStyle w:val="TableContents"/>
              <w:spacing w:before="0" w:after="283"/>
              <w:jc w:val="both"/>
              <w:rPr/>
            </w:pPr>
            <w:r>
              <w:rPr/>
              <w:t> </w:t>
            </w:r>
          </w:p>
        </w:tc>
        <w:tc>
          <w:tcPr>
            <w:tcW w:w="203" w:type="dxa"/>
            <w:tcBorders/>
            <w:shd w:fill="FFFFFF" w:val="clear"/>
          </w:tcPr>
          <w:p>
            <w:pPr>
              <w:pStyle w:val="TableContents"/>
              <w:spacing w:before="0" w:after="283"/>
              <w:jc w:val="both"/>
              <w:rPr/>
            </w:pPr>
            <w:r>
              <w:rPr/>
              <w:t> </w:t>
            </w:r>
          </w:p>
        </w:tc>
        <w:tc>
          <w:tcPr>
            <w:tcW w:w="9186" w:type="dxa"/>
            <w:tcBorders/>
            <w:shd w:fill="FFFFFF" w:val="clear"/>
          </w:tcPr>
          <w:p>
            <w:pPr>
              <w:pStyle w:val="TableContents"/>
              <w:spacing w:before="0" w:after="283"/>
              <w:jc w:val="both"/>
              <w:rPr/>
            </w:pPr>
            <w:r>
              <w:rPr/>
              <w:t> </w:t>
            </w:r>
          </w:p>
        </w:tc>
      </w:tr>
      <w:tr>
        <w:trPr/>
        <w:tc>
          <w:tcPr>
            <w:tcW w:w="816" w:type="dxa"/>
            <w:tcBorders/>
            <w:shd w:fill="CCEEFF" w:val="clear"/>
          </w:tcPr>
          <w:p>
            <w:pPr>
              <w:pStyle w:val="TableContents"/>
              <w:spacing w:before="0" w:after="0"/>
              <w:ind w:left="0" w:right="16" w:hanging="0"/>
              <w:jc w:val="both"/>
              <w:rPr>
                <w:rFonts w:ascii="helvetica" w:hAnsi="helvetica"/>
                <w:sz w:val="20"/>
              </w:rPr>
            </w:pPr>
            <w:r>
              <w:rPr>
                <w:rFonts w:ascii="helvetica" w:hAnsi="helvetica"/>
                <w:sz w:val="20"/>
              </w:rPr>
              <w:t>10.24</w:t>
            </w:r>
          </w:p>
        </w:tc>
        <w:tc>
          <w:tcPr>
            <w:tcW w:w="203" w:type="dxa"/>
            <w:tcBorders/>
            <w:shd w:fill="CCEEFF" w:val="clear"/>
          </w:tcPr>
          <w:p>
            <w:pPr>
              <w:pStyle w:val="TableContents"/>
              <w:spacing w:before="0" w:after="283"/>
              <w:jc w:val="both"/>
              <w:rPr/>
            </w:pPr>
            <w:r>
              <w:rPr/>
              <w:t> </w:t>
            </w:r>
          </w:p>
        </w:tc>
        <w:tc>
          <w:tcPr>
            <w:tcW w:w="9186" w:type="dxa"/>
            <w:tcBorders/>
            <w:shd w:fill="CCEEFF" w:val="clear"/>
          </w:tcPr>
          <w:p>
            <w:pPr>
              <w:pStyle w:val="TableContents"/>
              <w:spacing w:before="0" w:after="0"/>
              <w:ind w:left="0" w:right="16" w:hanging="0"/>
              <w:jc w:val="both"/>
              <w:rPr>
                <w:rFonts w:ascii="helvetica" w:hAnsi="helvetica"/>
                <w:sz w:val="20"/>
              </w:rPr>
            </w:pPr>
            <w:r>
              <w:rPr>
                <w:rFonts w:ascii="helvetica" w:hAnsi="helvetica"/>
                <w:sz w:val="20"/>
              </w:rPr>
              <w:t>Mutual General Release Agreement, dated as of December 13, 2011, by and between Transdel Pharmaceuticals, Inc. and the other signatories thereto. (incorporated herein by reference to Exhibit 10.4 to the Current Report on Form 8-K of Transdel Pharmaceuticals, Inc. filed with the Securities and Exchange Commission on December 20, 2011) </w:t>
            </w:r>
          </w:p>
        </w:tc>
      </w:tr>
      <w:tr>
        <w:trPr/>
        <w:tc>
          <w:tcPr>
            <w:tcW w:w="816" w:type="dxa"/>
            <w:tcBorders/>
            <w:shd w:fill="FFFFFF" w:val="clear"/>
          </w:tcPr>
          <w:p>
            <w:pPr>
              <w:pStyle w:val="TableContents"/>
              <w:spacing w:before="0" w:after="283"/>
              <w:jc w:val="both"/>
              <w:rPr/>
            </w:pPr>
            <w:r>
              <w:rPr/>
              <w:t> </w:t>
            </w:r>
          </w:p>
        </w:tc>
        <w:tc>
          <w:tcPr>
            <w:tcW w:w="203" w:type="dxa"/>
            <w:tcBorders/>
            <w:shd w:fill="FFFFFF" w:val="clear"/>
          </w:tcPr>
          <w:p>
            <w:pPr>
              <w:pStyle w:val="TableContents"/>
              <w:spacing w:before="0" w:after="283"/>
              <w:jc w:val="both"/>
              <w:rPr/>
            </w:pPr>
            <w:r>
              <w:rPr/>
              <w:t> </w:t>
            </w:r>
          </w:p>
        </w:tc>
        <w:tc>
          <w:tcPr>
            <w:tcW w:w="9186" w:type="dxa"/>
            <w:tcBorders/>
            <w:shd w:fill="FFFFFF" w:val="clear"/>
          </w:tcPr>
          <w:p>
            <w:pPr>
              <w:pStyle w:val="TableContents"/>
              <w:spacing w:before="0" w:after="283"/>
              <w:jc w:val="both"/>
              <w:rPr/>
            </w:pPr>
            <w:r>
              <w:rPr/>
              <w:t> </w:t>
            </w:r>
          </w:p>
        </w:tc>
      </w:tr>
      <w:tr>
        <w:trPr/>
        <w:tc>
          <w:tcPr>
            <w:tcW w:w="816" w:type="dxa"/>
            <w:tcBorders/>
            <w:shd w:fill="CCEEFF" w:val="clear"/>
          </w:tcPr>
          <w:p>
            <w:pPr>
              <w:pStyle w:val="TableContents"/>
              <w:spacing w:before="0" w:after="0"/>
              <w:ind w:left="0" w:right="16" w:hanging="0"/>
              <w:jc w:val="both"/>
              <w:rPr>
                <w:rFonts w:ascii="helvetica" w:hAnsi="helvetica"/>
                <w:sz w:val="20"/>
              </w:rPr>
            </w:pPr>
            <w:r>
              <w:rPr>
                <w:rFonts w:ascii="helvetica" w:hAnsi="helvetica"/>
                <w:sz w:val="20"/>
              </w:rPr>
              <w:t>10.25</w:t>
            </w:r>
          </w:p>
        </w:tc>
        <w:tc>
          <w:tcPr>
            <w:tcW w:w="203" w:type="dxa"/>
            <w:tcBorders/>
            <w:shd w:fill="CCEEFF" w:val="clear"/>
          </w:tcPr>
          <w:p>
            <w:pPr>
              <w:pStyle w:val="TableContents"/>
              <w:spacing w:before="0" w:after="283"/>
              <w:jc w:val="both"/>
              <w:rPr/>
            </w:pPr>
            <w:r>
              <w:rPr/>
              <w:t> </w:t>
            </w:r>
          </w:p>
        </w:tc>
        <w:tc>
          <w:tcPr>
            <w:tcW w:w="9186" w:type="dxa"/>
            <w:tcBorders/>
            <w:shd w:fill="CCEEFF" w:val="clear"/>
          </w:tcPr>
          <w:p>
            <w:pPr>
              <w:pStyle w:val="TableContents"/>
              <w:spacing w:before="0" w:after="0"/>
              <w:ind w:left="0" w:right="16" w:hanging="0"/>
              <w:jc w:val="both"/>
              <w:rPr>
                <w:rFonts w:ascii="helvetica" w:hAnsi="helvetica"/>
                <w:sz w:val="20"/>
              </w:rPr>
            </w:pPr>
            <w:r>
              <w:rPr>
                <w:rFonts w:ascii="helvetica" w:hAnsi="helvetica"/>
                <w:sz w:val="20"/>
              </w:rPr>
              <w:t>Waiver and Settlement Agreement, effective as of January 25, 2012, by and between Transdel Pharmaceuticals, Inc. and DermaStar International, LLC (incorporated by reference to Exhibit 10.11 to the Company’s Quarterly Report on 10-Q filed with the Securities and Exchange Commission on May 10, 2012)</w:t>
            </w:r>
          </w:p>
        </w:tc>
      </w:tr>
      <w:tr>
        <w:trPr/>
        <w:tc>
          <w:tcPr>
            <w:tcW w:w="816" w:type="dxa"/>
            <w:tcBorders/>
            <w:shd w:fill="FFFFFF" w:val="clear"/>
          </w:tcPr>
          <w:p>
            <w:pPr>
              <w:pStyle w:val="TableContents"/>
              <w:spacing w:before="0" w:after="283"/>
              <w:jc w:val="both"/>
              <w:rPr/>
            </w:pPr>
            <w:r>
              <w:rPr/>
              <w:t> </w:t>
            </w:r>
          </w:p>
        </w:tc>
        <w:tc>
          <w:tcPr>
            <w:tcW w:w="203" w:type="dxa"/>
            <w:tcBorders/>
            <w:shd w:fill="FFFFFF" w:val="clear"/>
          </w:tcPr>
          <w:p>
            <w:pPr>
              <w:pStyle w:val="TableContents"/>
              <w:spacing w:before="0" w:after="283"/>
              <w:jc w:val="both"/>
              <w:rPr/>
            </w:pPr>
            <w:r>
              <w:rPr/>
              <w:t> </w:t>
            </w:r>
          </w:p>
        </w:tc>
        <w:tc>
          <w:tcPr>
            <w:tcW w:w="9186" w:type="dxa"/>
            <w:tcBorders/>
            <w:shd w:fill="FFFFFF" w:val="clear"/>
          </w:tcPr>
          <w:p>
            <w:pPr>
              <w:pStyle w:val="TableContents"/>
              <w:spacing w:before="0" w:after="283"/>
              <w:jc w:val="both"/>
              <w:rPr/>
            </w:pPr>
            <w:r>
              <w:rPr/>
              <w:t> </w:t>
            </w:r>
          </w:p>
        </w:tc>
      </w:tr>
      <w:tr>
        <w:trPr/>
        <w:tc>
          <w:tcPr>
            <w:tcW w:w="816" w:type="dxa"/>
            <w:tcBorders/>
            <w:shd w:fill="CCEEFF" w:val="clear"/>
          </w:tcPr>
          <w:p>
            <w:pPr>
              <w:pStyle w:val="TableContents"/>
              <w:spacing w:before="0" w:after="0"/>
              <w:ind w:left="0" w:right="16" w:hanging="0"/>
              <w:jc w:val="both"/>
              <w:rPr>
                <w:rFonts w:ascii="helvetica" w:hAnsi="helvetica"/>
                <w:sz w:val="20"/>
              </w:rPr>
            </w:pPr>
            <w:r>
              <w:rPr>
                <w:rFonts w:ascii="helvetica" w:hAnsi="helvetica"/>
                <w:sz w:val="20"/>
              </w:rPr>
              <w:t>10.26</w:t>
            </w:r>
          </w:p>
        </w:tc>
        <w:tc>
          <w:tcPr>
            <w:tcW w:w="203" w:type="dxa"/>
            <w:tcBorders/>
            <w:shd w:fill="CCEEFF" w:val="clear"/>
          </w:tcPr>
          <w:p>
            <w:pPr>
              <w:pStyle w:val="TableContents"/>
              <w:spacing w:before="0" w:after="283"/>
              <w:jc w:val="both"/>
              <w:rPr/>
            </w:pPr>
            <w:r>
              <w:rPr/>
              <w:t> </w:t>
            </w:r>
          </w:p>
        </w:tc>
        <w:tc>
          <w:tcPr>
            <w:tcW w:w="9186" w:type="dxa"/>
            <w:tcBorders/>
            <w:shd w:fill="CCEEFF" w:val="clear"/>
          </w:tcPr>
          <w:p>
            <w:pPr>
              <w:pStyle w:val="TableContents"/>
              <w:spacing w:before="0" w:after="0"/>
              <w:ind w:left="0" w:right="16" w:hanging="0"/>
              <w:jc w:val="both"/>
              <w:rPr>
                <w:rFonts w:ascii="helvetica" w:hAnsi="helvetica"/>
                <w:sz w:val="20"/>
              </w:rPr>
            </w:pPr>
            <w:r>
              <w:rPr>
                <w:rFonts w:ascii="helvetica" w:hAnsi="helvetica"/>
                <w:sz w:val="20"/>
              </w:rPr>
              <w:t>Waiver and Settlement Agreement, effective as of January 25, 2012, by and between Transdel Pharmaceuticals, Inc. and Alexej Ladonnikov (incorporated by reference to Exhibit 10.1 to the Company’s Quarterly Report on 10-Q filed with the Securities and Exchange Commission on May 10, 2012)</w:t>
            </w:r>
          </w:p>
        </w:tc>
      </w:tr>
      <w:tr>
        <w:trPr/>
        <w:tc>
          <w:tcPr>
            <w:tcW w:w="816" w:type="dxa"/>
            <w:tcBorders/>
            <w:shd w:fill="FFFFFF" w:val="clear"/>
          </w:tcPr>
          <w:p>
            <w:pPr>
              <w:pStyle w:val="TableContents"/>
              <w:spacing w:before="0" w:after="283"/>
              <w:jc w:val="both"/>
              <w:rPr/>
            </w:pPr>
            <w:r>
              <w:rPr/>
              <w:t> </w:t>
            </w:r>
          </w:p>
        </w:tc>
        <w:tc>
          <w:tcPr>
            <w:tcW w:w="203" w:type="dxa"/>
            <w:tcBorders/>
            <w:shd w:fill="FFFFFF" w:val="clear"/>
          </w:tcPr>
          <w:p>
            <w:pPr>
              <w:pStyle w:val="TableContents"/>
              <w:spacing w:before="0" w:after="283"/>
              <w:jc w:val="both"/>
              <w:rPr/>
            </w:pPr>
            <w:r>
              <w:rPr/>
              <w:t> </w:t>
            </w:r>
          </w:p>
        </w:tc>
        <w:tc>
          <w:tcPr>
            <w:tcW w:w="9186" w:type="dxa"/>
            <w:tcBorders/>
            <w:shd w:fill="FFFFFF" w:val="clear"/>
          </w:tcPr>
          <w:p>
            <w:pPr>
              <w:pStyle w:val="TableContents"/>
              <w:spacing w:before="0" w:after="283"/>
              <w:jc w:val="both"/>
              <w:rPr/>
            </w:pPr>
            <w:r>
              <w:rPr/>
              <w:t> </w:t>
            </w:r>
          </w:p>
        </w:tc>
      </w:tr>
      <w:tr>
        <w:trPr/>
        <w:tc>
          <w:tcPr>
            <w:tcW w:w="816" w:type="dxa"/>
            <w:tcBorders/>
            <w:shd w:fill="CCEEFF" w:val="clear"/>
          </w:tcPr>
          <w:p>
            <w:pPr>
              <w:pStyle w:val="TableContents"/>
              <w:spacing w:before="0" w:after="0"/>
              <w:ind w:left="0" w:right="16" w:hanging="0"/>
              <w:jc w:val="both"/>
              <w:rPr>
                <w:rFonts w:ascii="helvetica" w:hAnsi="helvetica"/>
                <w:sz w:val="20"/>
              </w:rPr>
            </w:pPr>
            <w:r>
              <w:rPr>
                <w:rFonts w:ascii="helvetica" w:hAnsi="helvetica"/>
                <w:sz w:val="20"/>
              </w:rPr>
              <w:t>10.27#</w:t>
            </w:r>
          </w:p>
        </w:tc>
        <w:tc>
          <w:tcPr>
            <w:tcW w:w="203" w:type="dxa"/>
            <w:tcBorders/>
            <w:shd w:fill="CCEEFF" w:val="clear"/>
          </w:tcPr>
          <w:p>
            <w:pPr>
              <w:pStyle w:val="TableContents"/>
              <w:spacing w:before="0" w:after="283"/>
              <w:jc w:val="both"/>
              <w:rPr/>
            </w:pPr>
            <w:r>
              <w:rPr/>
              <w:t> </w:t>
            </w:r>
          </w:p>
        </w:tc>
        <w:tc>
          <w:tcPr>
            <w:tcW w:w="9186" w:type="dxa"/>
            <w:tcBorders/>
            <w:shd w:fill="CCEEFF" w:val="clear"/>
          </w:tcPr>
          <w:p>
            <w:pPr>
              <w:pStyle w:val="TableContents"/>
              <w:spacing w:before="0" w:after="0"/>
              <w:ind w:left="0" w:right="16" w:hanging="0"/>
              <w:jc w:val="both"/>
              <w:rPr>
                <w:rFonts w:ascii="helvetica" w:hAnsi="helvetica"/>
                <w:sz w:val="20"/>
              </w:rPr>
            </w:pPr>
            <w:r>
              <w:rPr>
                <w:rFonts w:ascii="helvetica" w:hAnsi="helvetica"/>
                <w:sz w:val="20"/>
              </w:rPr>
              <w:t>Employment Agreement, effective as of January as of 1, 2012, by and between Transdel Pharmaceuticals, Inc. and Balbir Brar, D.V.M., Ph.D. (incorporated by reference to Exhibit 10.3 to the Company’s Quarterly Report on 10-Q filed with the Securities and Exchange Commission on May 10, 2012)</w:t>
            </w:r>
          </w:p>
        </w:tc>
      </w:tr>
      <w:tr>
        <w:trPr/>
        <w:tc>
          <w:tcPr>
            <w:tcW w:w="816" w:type="dxa"/>
            <w:tcBorders/>
            <w:shd w:fill="FFFFFF" w:val="clear"/>
          </w:tcPr>
          <w:p>
            <w:pPr>
              <w:pStyle w:val="TableContents"/>
              <w:spacing w:before="0" w:after="283"/>
              <w:jc w:val="both"/>
              <w:rPr/>
            </w:pPr>
            <w:r>
              <w:rPr/>
              <w:t> </w:t>
            </w:r>
          </w:p>
        </w:tc>
        <w:tc>
          <w:tcPr>
            <w:tcW w:w="203" w:type="dxa"/>
            <w:tcBorders/>
            <w:shd w:fill="FFFFFF" w:val="clear"/>
          </w:tcPr>
          <w:p>
            <w:pPr>
              <w:pStyle w:val="TableContents"/>
              <w:spacing w:before="0" w:after="283"/>
              <w:jc w:val="both"/>
              <w:rPr/>
            </w:pPr>
            <w:r>
              <w:rPr/>
              <w:t> </w:t>
            </w:r>
          </w:p>
        </w:tc>
        <w:tc>
          <w:tcPr>
            <w:tcW w:w="9186" w:type="dxa"/>
            <w:tcBorders/>
            <w:shd w:fill="FFFFFF" w:val="clear"/>
          </w:tcPr>
          <w:p>
            <w:pPr>
              <w:pStyle w:val="TableContents"/>
              <w:spacing w:before="0" w:after="283"/>
              <w:jc w:val="both"/>
              <w:rPr/>
            </w:pPr>
            <w:r>
              <w:rPr/>
              <w:t> </w:t>
            </w:r>
          </w:p>
        </w:tc>
      </w:tr>
      <w:tr>
        <w:trPr/>
        <w:tc>
          <w:tcPr>
            <w:tcW w:w="816" w:type="dxa"/>
            <w:tcBorders/>
            <w:shd w:fill="CCEEFF" w:val="clear"/>
          </w:tcPr>
          <w:p>
            <w:pPr>
              <w:pStyle w:val="TableContents"/>
              <w:spacing w:before="0" w:after="0"/>
              <w:ind w:left="0" w:right="16" w:hanging="0"/>
              <w:jc w:val="both"/>
              <w:rPr>
                <w:rFonts w:ascii="helvetica" w:hAnsi="helvetica"/>
                <w:sz w:val="20"/>
              </w:rPr>
            </w:pPr>
            <w:r>
              <w:rPr>
                <w:rFonts w:ascii="helvetica" w:hAnsi="helvetica"/>
                <w:sz w:val="20"/>
              </w:rPr>
              <w:t>10.28#</w:t>
            </w:r>
          </w:p>
        </w:tc>
        <w:tc>
          <w:tcPr>
            <w:tcW w:w="203" w:type="dxa"/>
            <w:tcBorders/>
            <w:shd w:fill="CCEEFF" w:val="clear"/>
          </w:tcPr>
          <w:p>
            <w:pPr>
              <w:pStyle w:val="TableContents"/>
              <w:spacing w:before="0" w:after="283"/>
              <w:jc w:val="both"/>
              <w:rPr/>
            </w:pPr>
            <w:r>
              <w:rPr/>
              <w:t> </w:t>
            </w:r>
          </w:p>
        </w:tc>
        <w:tc>
          <w:tcPr>
            <w:tcW w:w="9186" w:type="dxa"/>
            <w:tcBorders/>
            <w:shd w:fill="CCEEFF" w:val="clear"/>
          </w:tcPr>
          <w:p>
            <w:pPr>
              <w:pStyle w:val="TableContents"/>
              <w:spacing w:before="0" w:after="0"/>
              <w:ind w:left="0" w:right="16" w:hanging="0"/>
              <w:jc w:val="both"/>
              <w:rPr>
                <w:rFonts w:ascii="helvetica" w:hAnsi="helvetica"/>
                <w:sz w:val="20"/>
              </w:rPr>
            </w:pPr>
            <w:r>
              <w:rPr>
                <w:rFonts w:ascii="helvetica" w:hAnsi="helvetica"/>
                <w:sz w:val="20"/>
              </w:rPr>
              <w:t>Employment Agreement, effective as of February 1, 2012, by and between Transdel Pharmaceuticals, Inc. and Andrew Boll (incorporated by reference to Exhibit 10.4 to the Company’s Quarterly Report on 10-Q filed with the Securities and Exchange Commission on May 10, 2012)</w:t>
            </w:r>
          </w:p>
        </w:tc>
      </w:tr>
    </w:tbl>
    <w:p>
      <w:pPr>
        <w:pStyle w:val="TextBody"/>
        <w:spacing w:before="0" w:after="0"/>
        <w:jc w:val="both"/>
        <w:rPr/>
      </w:pPr>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pPr>
      <w:r>
        <w:rPr/>
      </w:r>
      <w:bookmarkStart w:id="1391" w:name="PGBRK121"/>
      <w:bookmarkStart w:id="1392" w:name="PGBRK121"/>
      <w:bookmarkEnd w:id="139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both"/>
        <w:rPr/>
      </w:pPr>
      <w:r>
        <w:rPr/>
      </w:r>
      <w:bookmarkStart w:id="1393" w:name="FTR121"/>
      <w:bookmarkStart w:id="1394" w:name="FTR121"/>
      <w:bookmarkEnd w:id="139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1395" w:name="GLFTR120"/>
      <w:bookmarkEnd w:id="1395"/>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helvetica" w:hAnsi="helvetica"/>
          <w:sz w:val="20"/>
        </w:rPr>
      </w:pPr>
      <w:bookmarkStart w:id="1396" w:name="PN120"/>
      <w:bookmarkEnd w:id="1396"/>
      <w:r>
        <w:rPr>
          <w:rFonts w:ascii="helvetica" w:hAnsi="helvetica"/>
          <w:sz w:val="20"/>
        </w:rPr>
        <w:t>II-6</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both"/>
        <w:rPr/>
      </w:pPr>
      <w:r>
        <w:rPr/>
      </w:r>
      <w:bookmarkStart w:id="1397" w:name="HDR120"/>
      <w:bookmarkStart w:id="1398" w:name="HDR120"/>
      <w:bookmarkEnd w:id="139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1399" w:name="GLHDR120"/>
      <w:bookmarkEnd w:id="1399"/>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both"/>
        <w:rPr/>
      </w:pPr>
      <w:r>
        <w:rPr/>
        <w:t> </w:t>
      </w:r>
    </w:p>
    <w:tbl>
      <w:tblPr>
        <w:tblW w:w="5000" w:type="pct"/>
        <w:jc w:val="left"/>
        <w:tblInd w:w="0" w:type="dxa"/>
        <w:tblCellMar>
          <w:top w:w="0" w:type="dxa"/>
          <w:left w:w="0" w:type="dxa"/>
          <w:bottom w:w="0" w:type="dxa"/>
          <w:right w:w="0" w:type="dxa"/>
        </w:tblCellMar>
      </w:tblPr>
      <w:tblGrid>
        <w:gridCol w:w="816"/>
        <w:gridCol w:w="203"/>
        <w:gridCol w:w="9186"/>
      </w:tblGrid>
      <w:tr>
        <w:trPr/>
        <w:tc>
          <w:tcPr>
            <w:tcW w:w="816" w:type="dxa"/>
            <w:tcBorders/>
            <w:shd w:fill="CCEEFF" w:val="clear"/>
          </w:tcPr>
          <w:p>
            <w:pPr>
              <w:pStyle w:val="TableContents"/>
              <w:spacing w:before="0" w:after="0"/>
              <w:ind w:left="0" w:right="16" w:hanging="0"/>
              <w:jc w:val="both"/>
              <w:rPr>
                <w:rFonts w:ascii="helvetica" w:hAnsi="helvetica"/>
                <w:sz w:val="20"/>
              </w:rPr>
            </w:pPr>
            <w:r>
              <w:rPr>
                <w:rFonts w:ascii="helvetica" w:hAnsi="helvetica"/>
                <w:sz w:val="20"/>
              </w:rPr>
              <w:t>10.29#</w:t>
            </w:r>
          </w:p>
        </w:tc>
        <w:tc>
          <w:tcPr>
            <w:tcW w:w="203" w:type="dxa"/>
            <w:tcBorders/>
            <w:shd w:fill="CCEEFF" w:val="clear"/>
          </w:tcPr>
          <w:p>
            <w:pPr>
              <w:pStyle w:val="TableContents"/>
              <w:spacing w:before="0" w:after="283"/>
              <w:jc w:val="both"/>
              <w:rPr/>
            </w:pPr>
            <w:r>
              <w:rPr/>
              <w:t> </w:t>
            </w:r>
          </w:p>
        </w:tc>
        <w:tc>
          <w:tcPr>
            <w:tcW w:w="9186" w:type="dxa"/>
            <w:tcBorders/>
            <w:shd w:fill="CCEEFF" w:val="clear"/>
          </w:tcPr>
          <w:p>
            <w:pPr>
              <w:pStyle w:val="TableContents"/>
              <w:spacing w:before="0" w:after="0"/>
              <w:ind w:left="0" w:right="16" w:hanging="0"/>
              <w:jc w:val="both"/>
              <w:rPr>
                <w:rFonts w:ascii="helvetica" w:hAnsi="helvetica"/>
                <w:sz w:val="20"/>
              </w:rPr>
            </w:pPr>
            <w:r>
              <w:rPr>
                <w:rFonts w:ascii="helvetica" w:hAnsi="helvetica"/>
                <w:sz w:val="20"/>
              </w:rPr>
              <w:t>Employment Agreement, effective as of February 15, 2012, by and between Transdel Pharmaceuticals, Inc. and Joachim Schupp, M.D. (incorporated by reference to Exhibit 10.5 to the Company’s Quarterly Report on 10-Q filed with the Securities and Exchange Commission on May 10, 2012)</w:t>
            </w:r>
          </w:p>
        </w:tc>
      </w:tr>
      <w:tr>
        <w:trPr/>
        <w:tc>
          <w:tcPr>
            <w:tcW w:w="816" w:type="dxa"/>
            <w:tcBorders/>
            <w:shd w:fill="FFFFFF" w:val="clear"/>
          </w:tcPr>
          <w:p>
            <w:pPr>
              <w:pStyle w:val="TableContents"/>
              <w:spacing w:before="0" w:after="283"/>
              <w:jc w:val="both"/>
              <w:rPr/>
            </w:pPr>
            <w:r>
              <w:rPr/>
              <w:t> </w:t>
            </w:r>
          </w:p>
        </w:tc>
        <w:tc>
          <w:tcPr>
            <w:tcW w:w="203" w:type="dxa"/>
            <w:tcBorders/>
            <w:shd w:fill="FFFFFF" w:val="clear"/>
          </w:tcPr>
          <w:p>
            <w:pPr>
              <w:pStyle w:val="TableContents"/>
              <w:spacing w:before="0" w:after="283"/>
              <w:jc w:val="both"/>
              <w:rPr/>
            </w:pPr>
            <w:r>
              <w:rPr/>
              <w:t> </w:t>
            </w:r>
          </w:p>
        </w:tc>
        <w:tc>
          <w:tcPr>
            <w:tcW w:w="9186" w:type="dxa"/>
            <w:tcBorders/>
            <w:shd w:fill="FFFFFF" w:val="clear"/>
          </w:tcPr>
          <w:p>
            <w:pPr>
              <w:pStyle w:val="TableContents"/>
              <w:spacing w:before="0" w:after="283"/>
              <w:jc w:val="both"/>
              <w:rPr/>
            </w:pPr>
            <w:r>
              <w:rPr/>
              <w:t> </w:t>
            </w:r>
          </w:p>
        </w:tc>
      </w:tr>
      <w:tr>
        <w:trPr/>
        <w:tc>
          <w:tcPr>
            <w:tcW w:w="816" w:type="dxa"/>
            <w:tcBorders/>
            <w:shd w:fill="CCEEFF" w:val="clear"/>
          </w:tcPr>
          <w:p>
            <w:pPr>
              <w:pStyle w:val="TableContents"/>
              <w:spacing w:before="0" w:after="0"/>
              <w:ind w:left="0" w:right="16" w:hanging="0"/>
              <w:jc w:val="both"/>
              <w:rPr>
                <w:rFonts w:ascii="helvetica" w:hAnsi="helvetica"/>
                <w:sz w:val="20"/>
              </w:rPr>
            </w:pPr>
            <w:r>
              <w:rPr>
                <w:rFonts w:ascii="helvetica" w:hAnsi="helvetica"/>
                <w:sz w:val="20"/>
              </w:rPr>
              <w:t>10.30#**</w:t>
            </w:r>
          </w:p>
        </w:tc>
        <w:tc>
          <w:tcPr>
            <w:tcW w:w="203" w:type="dxa"/>
            <w:tcBorders/>
            <w:shd w:fill="CCEEFF" w:val="clear"/>
          </w:tcPr>
          <w:p>
            <w:pPr>
              <w:pStyle w:val="TableContents"/>
              <w:spacing w:before="0" w:after="283"/>
              <w:jc w:val="both"/>
              <w:rPr/>
            </w:pPr>
            <w:r>
              <w:rPr/>
              <w:t> </w:t>
            </w:r>
          </w:p>
        </w:tc>
        <w:tc>
          <w:tcPr>
            <w:tcW w:w="9186" w:type="dxa"/>
            <w:tcBorders/>
            <w:shd w:fill="CCEEFF" w:val="clear"/>
          </w:tcPr>
          <w:p>
            <w:pPr>
              <w:pStyle w:val="TableContents"/>
              <w:spacing w:before="0" w:after="0"/>
              <w:ind w:left="0" w:right="16" w:hanging="0"/>
              <w:jc w:val="both"/>
              <w:rPr>
                <w:rFonts w:ascii="helvetica" w:hAnsi="helvetica"/>
                <w:sz w:val="20"/>
              </w:rPr>
            </w:pPr>
            <w:r>
              <w:rPr>
                <w:rFonts w:ascii="helvetica" w:hAnsi="helvetica"/>
                <w:sz w:val="20"/>
              </w:rPr>
              <w:t>Amended and Restated Employment Agreement, dated July 24, 2012, by and between Imprimis Pharmaceuticals, Inc. and Mark L. Baum, Esq.</w:t>
            </w:r>
          </w:p>
        </w:tc>
      </w:tr>
      <w:tr>
        <w:trPr/>
        <w:tc>
          <w:tcPr>
            <w:tcW w:w="816" w:type="dxa"/>
            <w:tcBorders/>
            <w:shd w:fill="FFFFFF" w:val="clear"/>
          </w:tcPr>
          <w:p>
            <w:pPr>
              <w:pStyle w:val="TableContents"/>
              <w:spacing w:before="0" w:after="283"/>
              <w:jc w:val="both"/>
              <w:rPr/>
            </w:pPr>
            <w:r>
              <w:rPr/>
              <w:t> </w:t>
            </w:r>
          </w:p>
        </w:tc>
        <w:tc>
          <w:tcPr>
            <w:tcW w:w="203" w:type="dxa"/>
            <w:tcBorders/>
            <w:shd w:fill="FFFFFF" w:val="clear"/>
          </w:tcPr>
          <w:p>
            <w:pPr>
              <w:pStyle w:val="TableContents"/>
              <w:spacing w:before="0" w:after="283"/>
              <w:jc w:val="both"/>
              <w:rPr/>
            </w:pPr>
            <w:r>
              <w:rPr/>
              <w:t> </w:t>
            </w:r>
          </w:p>
        </w:tc>
        <w:tc>
          <w:tcPr>
            <w:tcW w:w="9186" w:type="dxa"/>
            <w:tcBorders/>
            <w:shd w:fill="FFFFFF" w:val="clear"/>
          </w:tcPr>
          <w:p>
            <w:pPr>
              <w:pStyle w:val="TableContents"/>
              <w:spacing w:before="0" w:after="283"/>
              <w:jc w:val="both"/>
              <w:rPr/>
            </w:pPr>
            <w:r>
              <w:rPr/>
              <w:t> </w:t>
            </w:r>
          </w:p>
        </w:tc>
      </w:tr>
      <w:tr>
        <w:trPr/>
        <w:tc>
          <w:tcPr>
            <w:tcW w:w="816" w:type="dxa"/>
            <w:tcBorders/>
            <w:shd w:fill="CCEEFF" w:val="clear"/>
          </w:tcPr>
          <w:p>
            <w:pPr>
              <w:pStyle w:val="TableContents"/>
              <w:spacing w:before="0" w:after="0"/>
              <w:ind w:left="0" w:right="16" w:hanging="0"/>
              <w:jc w:val="both"/>
              <w:rPr>
                <w:rFonts w:ascii="helvetica" w:hAnsi="helvetica"/>
                <w:sz w:val="20"/>
              </w:rPr>
            </w:pPr>
            <w:r>
              <w:rPr>
                <w:rFonts w:ascii="helvetica" w:hAnsi="helvetica"/>
                <w:sz w:val="20"/>
              </w:rPr>
              <w:t>10.31#</w:t>
            </w:r>
          </w:p>
        </w:tc>
        <w:tc>
          <w:tcPr>
            <w:tcW w:w="203" w:type="dxa"/>
            <w:tcBorders/>
            <w:shd w:fill="CCEEFF" w:val="clear"/>
          </w:tcPr>
          <w:p>
            <w:pPr>
              <w:pStyle w:val="TableContents"/>
              <w:spacing w:before="0" w:after="283"/>
              <w:jc w:val="both"/>
              <w:rPr/>
            </w:pPr>
            <w:r>
              <w:rPr/>
              <w:t> </w:t>
            </w:r>
          </w:p>
        </w:tc>
        <w:tc>
          <w:tcPr>
            <w:tcW w:w="9186" w:type="dxa"/>
            <w:tcBorders/>
            <w:shd w:fill="CCEEFF" w:val="clear"/>
          </w:tcPr>
          <w:p>
            <w:pPr>
              <w:pStyle w:val="TableContents"/>
              <w:spacing w:before="0" w:after="0"/>
              <w:ind w:left="0" w:right="16" w:hanging="0"/>
              <w:jc w:val="both"/>
              <w:rPr>
                <w:rFonts w:ascii="helvetica" w:hAnsi="helvetica"/>
                <w:sz w:val="20"/>
              </w:rPr>
            </w:pPr>
            <w:r>
              <w:rPr>
                <w:rFonts w:ascii="helvetica" w:hAnsi="helvetica"/>
                <w:sz w:val="20"/>
              </w:rPr>
              <w:t>Advisory Agreement, effective as of April 1, 2012, by and between Imprimis Pharmaceuticals, Inc. and Dr. Robert Kammer (incorporated by reference to Exhibit 10.4 to the Company’s Current Report on 8-K filed with the Securities and Exchange Commission on April 27, 2012)</w:t>
            </w:r>
          </w:p>
        </w:tc>
      </w:tr>
      <w:tr>
        <w:trPr/>
        <w:tc>
          <w:tcPr>
            <w:tcW w:w="816" w:type="dxa"/>
            <w:tcBorders/>
            <w:shd w:fill="FFFFFF" w:val="clear"/>
          </w:tcPr>
          <w:p>
            <w:pPr>
              <w:pStyle w:val="TableContents"/>
              <w:spacing w:before="0" w:after="283"/>
              <w:jc w:val="both"/>
              <w:rPr/>
            </w:pPr>
            <w:r>
              <w:rPr/>
              <w:t> </w:t>
            </w:r>
          </w:p>
        </w:tc>
        <w:tc>
          <w:tcPr>
            <w:tcW w:w="203" w:type="dxa"/>
            <w:tcBorders/>
            <w:shd w:fill="FFFFFF" w:val="clear"/>
          </w:tcPr>
          <w:p>
            <w:pPr>
              <w:pStyle w:val="TableContents"/>
              <w:spacing w:before="0" w:after="283"/>
              <w:jc w:val="both"/>
              <w:rPr/>
            </w:pPr>
            <w:r>
              <w:rPr/>
              <w:t> </w:t>
            </w:r>
          </w:p>
        </w:tc>
        <w:tc>
          <w:tcPr>
            <w:tcW w:w="9186" w:type="dxa"/>
            <w:tcBorders/>
            <w:shd w:fill="FFFFFF" w:val="clear"/>
          </w:tcPr>
          <w:p>
            <w:pPr>
              <w:pStyle w:val="TableContents"/>
              <w:spacing w:before="0" w:after="283"/>
              <w:jc w:val="both"/>
              <w:rPr/>
            </w:pPr>
            <w:r>
              <w:rPr/>
              <w:t> </w:t>
            </w:r>
          </w:p>
        </w:tc>
      </w:tr>
      <w:tr>
        <w:trPr/>
        <w:tc>
          <w:tcPr>
            <w:tcW w:w="816" w:type="dxa"/>
            <w:tcBorders/>
            <w:shd w:fill="CCEEFF" w:val="clear"/>
          </w:tcPr>
          <w:p>
            <w:pPr>
              <w:pStyle w:val="TableContents"/>
              <w:spacing w:before="0" w:after="0"/>
              <w:ind w:left="0" w:right="16" w:hanging="0"/>
              <w:jc w:val="both"/>
              <w:rPr>
                <w:rFonts w:ascii="helvetica" w:hAnsi="helvetica"/>
                <w:sz w:val="20"/>
              </w:rPr>
            </w:pPr>
            <w:r>
              <w:rPr>
                <w:rFonts w:ascii="helvetica" w:hAnsi="helvetica"/>
                <w:sz w:val="20"/>
              </w:rPr>
              <w:t>10.32#**</w:t>
            </w:r>
          </w:p>
        </w:tc>
        <w:tc>
          <w:tcPr>
            <w:tcW w:w="203" w:type="dxa"/>
            <w:tcBorders/>
            <w:shd w:fill="CCEEFF" w:val="clear"/>
          </w:tcPr>
          <w:p>
            <w:pPr>
              <w:pStyle w:val="TableContents"/>
              <w:spacing w:before="0" w:after="283"/>
              <w:jc w:val="both"/>
              <w:rPr/>
            </w:pPr>
            <w:r>
              <w:rPr/>
              <w:t> </w:t>
            </w:r>
          </w:p>
        </w:tc>
        <w:tc>
          <w:tcPr>
            <w:tcW w:w="9186" w:type="dxa"/>
            <w:tcBorders/>
            <w:shd w:fill="CCEEFF" w:val="clear"/>
          </w:tcPr>
          <w:p>
            <w:pPr>
              <w:pStyle w:val="TableContents"/>
              <w:spacing w:before="0" w:after="0"/>
              <w:ind w:left="0" w:right="16" w:hanging="0"/>
              <w:jc w:val="both"/>
              <w:rPr>
                <w:rFonts w:ascii="helvetica" w:hAnsi="helvetica"/>
                <w:sz w:val="20"/>
              </w:rPr>
            </w:pPr>
            <w:r>
              <w:rPr>
                <w:rFonts w:ascii="helvetica" w:hAnsi="helvetica"/>
                <w:sz w:val="20"/>
              </w:rPr>
              <w:t xml:space="preserve">Amendment to Advisory Agreement, dated July 24, 2012, by and between Imprimis Pharmaceuticals, Inc. and Dr. Robert Kammer </w:t>
            </w:r>
          </w:p>
        </w:tc>
      </w:tr>
      <w:tr>
        <w:trPr/>
        <w:tc>
          <w:tcPr>
            <w:tcW w:w="816" w:type="dxa"/>
            <w:tcBorders/>
            <w:shd w:fill="FFFFFF" w:val="clear"/>
          </w:tcPr>
          <w:p>
            <w:pPr>
              <w:pStyle w:val="TableContents"/>
              <w:spacing w:before="0" w:after="283"/>
              <w:jc w:val="both"/>
              <w:rPr/>
            </w:pPr>
            <w:r>
              <w:rPr/>
              <w:t> </w:t>
            </w:r>
          </w:p>
        </w:tc>
        <w:tc>
          <w:tcPr>
            <w:tcW w:w="203" w:type="dxa"/>
            <w:tcBorders/>
            <w:shd w:fill="FFFFFF" w:val="clear"/>
          </w:tcPr>
          <w:p>
            <w:pPr>
              <w:pStyle w:val="TableContents"/>
              <w:spacing w:before="0" w:after="283"/>
              <w:jc w:val="both"/>
              <w:rPr/>
            </w:pPr>
            <w:r>
              <w:rPr/>
              <w:t> </w:t>
            </w:r>
          </w:p>
        </w:tc>
        <w:tc>
          <w:tcPr>
            <w:tcW w:w="9186" w:type="dxa"/>
            <w:tcBorders/>
            <w:shd w:fill="FFFFFF" w:val="clear"/>
          </w:tcPr>
          <w:p>
            <w:pPr>
              <w:pStyle w:val="TableContents"/>
              <w:spacing w:before="0" w:after="283"/>
              <w:jc w:val="both"/>
              <w:rPr/>
            </w:pPr>
            <w:r>
              <w:rPr/>
              <w:t> </w:t>
            </w:r>
          </w:p>
        </w:tc>
      </w:tr>
      <w:tr>
        <w:trPr/>
        <w:tc>
          <w:tcPr>
            <w:tcW w:w="816" w:type="dxa"/>
            <w:tcBorders/>
            <w:shd w:fill="CCEEFF" w:val="clear"/>
          </w:tcPr>
          <w:p>
            <w:pPr>
              <w:pStyle w:val="TableContents"/>
              <w:spacing w:before="0" w:after="0"/>
              <w:ind w:left="0" w:right="16" w:hanging="0"/>
              <w:jc w:val="both"/>
              <w:rPr>
                <w:rFonts w:ascii="helvetica" w:hAnsi="helvetica"/>
                <w:sz w:val="20"/>
              </w:rPr>
            </w:pPr>
            <w:r>
              <w:rPr>
                <w:rFonts w:ascii="helvetica" w:hAnsi="helvetica"/>
                <w:sz w:val="20"/>
              </w:rPr>
              <w:t>10.33#</w:t>
            </w:r>
          </w:p>
        </w:tc>
        <w:tc>
          <w:tcPr>
            <w:tcW w:w="203" w:type="dxa"/>
            <w:tcBorders/>
            <w:shd w:fill="CCEEFF" w:val="clear"/>
          </w:tcPr>
          <w:p>
            <w:pPr>
              <w:pStyle w:val="TableContents"/>
              <w:spacing w:before="0" w:after="283"/>
              <w:jc w:val="both"/>
              <w:rPr/>
            </w:pPr>
            <w:r>
              <w:rPr/>
              <w:t> </w:t>
            </w:r>
          </w:p>
        </w:tc>
        <w:tc>
          <w:tcPr>
            <w:tcW w:w="9186" w:type="dxa"/>
            <w:tcBorders/>
            <w:shd w:fill="CCEEFF" w:val="clear"/>
          </w:tcPr>
          <w:p>
            <w:pPr>
              <w:pStyle w:val="TableContents"/>
              <w:spacing w:before="0" w:after="0"/>
              <w:ind w:left="0" w:right="16" w:hanging="0"/>
              <w:jc w:val="both"/>
              <w:rPr>
                <w:rFonts w:ascii="helvetica" w:hAnsi="helvetica"/>
                <w:sz w:val="20"/>
              </w:rPr>
            </w:pPr>
            <w:r>
              <w:rPr>
                <w:rFonts w:ascii="helvetica" w:hAnsi="helvetica"/>
                <w:sz w:val="20"/>
              </w:rPr>
              <w:t>Senior Advisory Agreement, effective as of January 17, 2012, by and between Transdel Pharmaceuticals, Inc. and Paul Finnegan, M.D. (incorporated by reference to Exhibit 10.2 to the Company’s Quarterly Report on 10-Q filed with the Securities and Exchange Commission on May 10, 2012)</w:t>
            </w:r>
          </w:p>
        </w:tc>
      </w:tr>
      <w:tr>
        <w:trPr/>
        <w:tc>
          <w:tcPr>
            <w:tcW w:w="816" w:type="dxa"/>
            <w:tcBorders/>
            <w:shd w:fill="FFFFFF" w:val="clear"/>
          </w:tcPr>
          <w:p>
            <w:pPr>
              <w:pStyle w:val="TableContents"/>
              <w:spacing w:before="0" w:after="283"/>
              <w:jc w:val="both"/>
              <w:rPr/>
            </w:pPr>
            <w:r>
              <w:rPr/>
              <w:t> </w:t>
            </w:r>
          </w:p>
        </w:tc>
        <w:tc>
          <w:tcPr>
            <w:tcW w:w="203" w:type="dxa"/>
            <w:tcBorders/>
            <w:shd w:fill="FFFFFF" w:val="clear"/>
          </w:tcPr>
          <w:p>
            <w:pPr>
              <w:pStyle w:val="TableContents"/>
              <w:spacing w:before="0" w:after="283"/>
              <w:jc w:val="both"/>
              <w:rPr/>
            </w:pPr>
            <w:r>
              <w:rPr/>
              <w:t> </w:t>
            </w:r>
          </w:p>
        </w:tc>
        <w:tc>
          <w:tcPr>
            <w:tcW w:w="9186" w:type="dxa"/>
            <w:tcBorders/>
            <w:shd w:fill="FFFFFF" w:val="clear"/>
          </w:tcPr>
          <w:p>
            <w:pPr>
              <w:pStyle w:val="TableContents"/>
              <w:spacing w:before="0" w:after="283"/>
              <w:jc w:val="both"/>
              <w:rPr/>
            </w:pPr>
            <w:r>
              <w:rPr/>
              <w:t> </w:t>
            </w:r>
          </w:p>
        </w:tc>
      </w:tr>
      <w:tr>
        <w:trPr/>
        <w:tc>
          <w:tcPr>
            <w:tcW w:w="816" w:type="dxa"/>
            <w:tcBorders/>
            <w:shd w:fill="CCEEFF" w:val="clear"/>
          </w:tcPr>
          <w:p>
            <w:pPr>
              <w:pStyle w:val="TableContents"/>
              <w:spacing w:before="0" w:after="0"/>
              <w:ind w:left="0" w:right="16" w:hanging="0"/>
              <w:jc w:val="both"/>
              <w:rPr>
                <w:rFonts w:ascii="helvetica" w:hAnsi="helvetica"/>
                <w:sz w:val="20"/>
              </w:rPr>
            </w:pPr>
            <w:r>
              <w:rPr>
                <w:rFonts w:ascii="helvetica" w:hAnsi="helvetica"/>
                <w:sz w:val="20"/>
              </w:rPr>
              <w:t>10.34#**</w:t>
            </w:r>
          </w:p>
        </w:tc>
        <w:tc>
          <w:tcPr>
            <w:tcW w:w="203" w:type="dxa"/>
            <w:tcBorders/>
            <w:shd w:fill="CCEEFF" w:val="clear"/>
          </w:tcPr>
          <w:p>
            <w:pPr>
              <w:pStyle w:val="TableContents"/>
              <w:spacing w:before="0" w:after="283"/>
              <w:jc w:val="both"/>
              <w:rPr/>
            </w:pPr>
            <w:r>
              <w:rPr/>
              <w:t> </w:t>
            </w:r>
          </w:p>
        </w:tc>
        <w:tc>
          <w:tcPr>
            <w:tcW w:w="9186" w:type="dxa"/>
            <w:tcBorders/>
            <w:shd w:fill="CCEEFF" w:val="clear"/>
          </w:tcPr>
          <w:p>
            <w:pPr>
              <w:pStyle w:val="TableContents"/>
              <w:spacing w:before="0" w:after="0"/>
              <w:ind w:left="0" w:right="16" w:hanging="0"/>
              <w:jc w:val="both"/>
              <w:rPr>
                <w:rFonts w:ascii="helvetica" w:hAnsi="helvetica"/>
                <w:sz w:val="20"/>
              </w:rPr>
            </w:pPr>
            <w:r>
              <w:rPr>
                <w:rFonts w:ascii="helvetica" w:hAnsi="helvetica"/>
                <w:sz w:val="20"/>
              </w:rPr>
              <w:t>Termination Agreement, effective as of May 9, 2012, by and between Imprimis Pharmaceuticals, Inc. and Paul Finnegan, M.D.</w:t>
            </w:r>
          </w:p>
        </w:tc>
      </w:tr>
      <w:tr>
        <w:trPr/>
        <w:tc>
          <w:tcPr>
            <w:tcW w:w="816" w:type="dxa"/>
            <w:tcBorders/>
            <w:shd w:fill="FFFFFF" w:val="clear"/>
          </w:tcPr>
          <w:p>
            <w:pPr>
              <w:pStyle w:val="TableContents"/>
              <w:spacing w:before="0" w:after="283"/>
              <w:jc w:val="both"/>
              <w:rPr/>
            </w:pPr>
            <w:r>
              <w:rPr/>
              <w:t> </w:t>
            </w:r>
          </w:p>
        </w:tc>
        <w:tc>
          <w:tcPr>
            <w:tcW w:w="203" w:type="dxa"/>
            <w:tcBorders/>
            <w:shd w:fill="FFFFFF" w:val="clear"/>
          </w:tcPr>
          <w:p>
            <w:pPr>
              <w:pStyle w:val="TableContents"/>
              <w:spacing w:before="0" w:after="283"/>
              <w:jc w:val="both"/>
              <w:rPr/>
            </w:pPr>
            <w:r>
              <w:rPr/>
              <w:t> </w:t>
            </w:r>
          </w:p>
        </w:tc>
        <w:tc>
          <w:tcPr>
            <w:tcW w:w="9186" w:type="dxa"/>
            <w:tcBorders/>
            <w:shd w:fill="FFFFFF" w:val="clear"/>
          </w:tcPr>
          <w:p>
            <w:pPr>
              <w:pStyle w:val="TableContents"/>
              <w:spacing w:before="0" w:after="283"/>
              <w:jc w:val="both"/>
              <w:rPr/>
            </w:pPr>
            <w:r>
              <w:rPr/>
              <w:t> </w:t>
            </w:r>
          </w:p>
        </w:tc>
      </w:tr>
      <w:tr>
        <w:trPr/>
        <w:tc>
          <w:tcPr>
            <w:tcW w:w="816" w:type="dxa"/>
            <w:tcBorders/>
            <w:shd w:fill="CCEEFF" w:val="clear"/>
          </w:tcPr>
          <w:p>
            <w:pPr>
              <w:pStyle w:val="TableContents"/>
              <w:spacing w:before="0" w:after="0"/>
              <w:ind w:left="0" w:right="16" w:hanging="0"/>
              <w:jc w:val="both"/>
              <w:rPr>
                <w:rFonts w:ascii="helvetica" w:hAnsi="helvetica"/>
                <w:sz w:val="20"/>
              </w:rPr>
            </w:pPr>
            <w:r>
              <w:rPr>
                <w:rFonts w:ascii="helvetica" w:hAnsi="helvetica"/>
                <w:sz w:val="20"/>
              </w:rPr>
              <w:t>10.35</w:t>
            </w:r>
          </w:p>
        </w:tc>
        <w:tc>
          <w:tcPr>
            <w:tcW w:w="203" w:type="dxa"/>
            <w:tcBorders/>
            <w:shd w:fill="CCEEFF" w:val="clear"/>
          </w:tcPr>
          <w:p>
            <w:pPr>
              <w:pStyle w:val="TableContents"/>
              <w:spacing w:before="0" w:after="283"/>
              <w:jc w:val="both"/>
              <w:rPr/>
            </w:pPr>
            <w:r>
              <w:rPr/>
              <w:t> </w:t>
            </w:r>
          </w:p>
        </w:tc>
        <w:tc>
          <w:tcPr>
            <w:tcW w:w="9186" w:type="dxa"/>
            <w:tcBorders/>
            <w:shd w:fill="CCEEFF" w:val="clear"/>
          </w:tcPr>
          <w:p>
            <w:pPr>
              <w:pStyle w:val="TableContents"/>
              <w:spacing w:before="0" w:after="0"/>
              <w:ind w:left="0" w:right="16" w:hanging="0"/>
              <w:jc w:val="both"/>
              <w:rPr>
                <w:rFonts w:ascii="helvetica" w:hAnsi="helvetica"/>
                <w:sz w:val="20"/>
              </w:rPr>
            </w:pPr>
            <w:r>
              <w:rPr>
                <w:rFonts w:ascii="helvetica" w:hAnsi="helvetica"/>
                <w:sz w:val="20"/>
              </w:rPr>
              <w:t>Promissory Note Conversion Agreement, dated as of April 20, 2012, by and between Imprimis Pharmaceuticals, Inc. and DermaStar International, LLC (incorporated herein by reference to the Current Report on Form 8-K of Imprimis Pharmaceuticals, Inc. filed with the Securities and Exchange Commission on April 27, 2012)</w:t>
            </w:r>
          </w:p>
        </w:tc>
      </w:tr>
      <w:tr>
        <w:trPr/>
        <w:tc>
          <w:tcPr>
            <w:tcW w:w="816" w:type="dxa"/>
            <w:tcBorders/>
            <w:shd w:fill="FFFFFF" w:val="clear"/>
          </w:tcPr>
          <w:p>
            <w:pPr>
              <w:pStyle w:val="TableContents"/>
              <w:spacing w:before="0" w:after="283"/>
              <w:jc w:val="both"/>
              <w:rPr/>
            </w:pPr>
            <w:r>
              <w:rPr/>
              <w:t> </w:t>
            </w:r>
          </w:p>
        </w:tc>
        <w:tc>
          <w:tcPr>
            <w:tcW w:w="203" w:type="dxa"/>
            <w:tcBorders/>
            <w:shd w:fill="FFFFFF" w:val="clear"/>
          </w:tcPr>
          <w:p>
            <w:pPr>
              <w:pStyle w:val="TableContents"/>
              <w:spacing w:before="0" w:after="283"/>
              <w:jc w:val="both"/>
              <w:rPr/>
            </w:pPr>
            <w:r>
              <w:rPr/>
              <w:t> </w:t>
            </w:r>
          </w:p>
        </w:tc>
        <w:tc>
          <w:tcPr>
            <w:tcW w:w="9186" w:type="dxa"/>
            <w:tcBorders/>
            <w:shd w:fill="FFFFFF" w:val="clear"/>
          </w:tcPr>
          <w:p>
            <w:pPr>
              <w:pStyle w:val="TableContents"/>
              <w:spacing w:before="0" w:after="283"/>
              <w:jc w:val="both"/>
              <w:rPr/>
            </w:pPr>
            <w:r>
              <w:rPr/>
              <w:t> </w:t>
            </w:r>
          </w:p>
        </w:tc>
      </w:tr>
      <w:tr>
        <w:trPr/>
        <w:tc>
          <w:tcPr>
            <w:tcW w:w="816" w:type="dxa"/>
            <w:tcBorders/>
            <w:shd w:fill="CCEEFF" w:val="clear"/>
          </w:tcPr>
          <w:p>
            <w:pPr>
              <w:pStyle w:val="TableContents"/>
              <w:spacing w:before="0" w:after="0"/>
              <w:ind w:left="0" w:right="16" w:hanging="0"/>
              <w:jc w:val="both"/>
              <w:rPr>
                <w:rFonts w:ascii="helvetica" w:hAnsi="helvetica"/>
                <w:sz w:val="20"/>
              </w:rPr>
            </w:pPr>
            <w:r>
              <w:rPr>
                <w:rFonts w:ascii="helvetica" w:hAnsi="helvetica"/>
                <w:sz w:val="20"/>
              </w:rPr>
              <w:t>10.36</w:t>
            </w:r>
          </w:p>
        </w:tc>
        <w:tc>
          <w:tcPr>
            <w:tcW w:w="203" w:type="dxa"/>
            <w:tcBorders/>
            <w:shd w:fill="CCEEFF" w:val="clear"/>
          </w:tcPr>
          <w:p>
            <w:pPr>
              <w:pStyle w:val="TableContents"/>
              <w:spacing w:before="0" w:after="283"/>
              <w:jc w:val="both"/>
              <w:rPr/>
            </w:pPr>
            <w:r>
              <w:rPr/>
              <w:t> </w:t>
            </w:r>
          </w:p>
        </w:tc>
        <w:tc>
          <w:tcPr>
            <w:tcW w:w="9186" w:type="dxa"/>
            <w:tcBorders/>
            <w:shd w:fill="CCEEFF" w:val="clear"/>
          </w:tcPr>
          <w:p>
            <w:pPr>
              <w:pStyle w:val="TableContents"/>
              <w:spacing w:before="0" w:after="0"/>
              <w:ind w:left="0" w:right="16" w:hanging="0"/>
              <w:jc w:val="both"/>
              <w:rPr>
                <w:rFonts w:ascii="helvetica" w:hAnsi="helvetica"/>
                <w:sz w:val="20"/>
              </w:rPr>
            </w:pPr>
            <w:r>
              <w:rPr>
                <w:rFonts w:ascii="helvetica" w:hAnsi="helvetica"/>
                <w:sz w:val="20"/>
              </w:rPr>
              <w:t>Securities Purchase Agreement, dated as of April 20, 2012, by and between Imprimis Pharmaceuticals, Inc. and the investors signatory thereto (incorporated by reference to Exhibit 10.1 to the Company’s Current Report on 8-K filed with the Securities and Exchange Commission on April 27, 2012)</w:t>
            </w:r>
          </w:p>
        </w:tc>
      </w:tr>
      <w:tr>
        <w:trPr/>
        <w:tc>
          <w:tcPr>
            <w:tcW w:w="816" w:type="dxa"/>
            <w:tcBorders/>
            <w:shd w:fill="FFFFFF" w:val="clear"/>
          </w:tcPr>
          <w:p>
            <w:pPr>
              <w:pStyle w:val="TableContents"/>
              <w:spacing w:before="0" w:after="283"/>
              <w:jc w:val="both"/>
              <w:rPr/>
            </w:pPr>
            <w:r>
              <w:rPr/>
              <w:t> </w:t>
            </w:r>
          </w:p>
        </w:tc>
        <w:tc>
          <w:tcPr>
            <w:tcW w:w="203" w:type="dxa"/>
            <w:tcBorders/>
            <w:shd w:fill="FFFFFF" w:val="clear"/>
          </w:tcPr>
          <w:p>
            <w:pPr>
              <w:pStyle w:val="TableContents"/>
              <w:spacing w:before="0" w:after="283"/>
              <w:jc w:val="both"/>
              <w:rPr/>
            </w:pPr>
            <w:r>
              <w:rPr/>
              <w:t> </w:t>
            </w:r>
          </w:p>
        </w:tc>
        <w:tc>
          <w:tcPr>
            <w:tcW w:w="9186" w:type="dxa"/>
            <w:tcBorders/>
            <w:shd w:fill="FFFFFF" w:val="clear"/>
          </w:tcPr>
          <w:p>
            <w:pPr>
              <w:pStyle w:val="TableContents"/>
              <w:spacing w:before="0" w:after="283"/>
              <w:jc w:val="both"/>
              <w:rPr/>
            </w:pPr>
            <w:r>
              <w:rPr/>
              <w:t> </w:t>
            </w:r>
          </w:p>
        </w:tc>
      </w:tr>
      <w:tr>
        <w:trPr/>
        <w:tc>
          <w:tcPr>
            <w:tcW w:w="816" w:type="dxa"/>
            <w:tcBorders/>
            <w:shd w:fill="CCEEFF" w:val="clear"/>
          </w:tcPr>
          <w:p>
            <w:pPr>
              <w:pStyle w:val="TableContents"/>
              <w:spacing w:before="0" w:after="0"/>
              <w:ind w:left="0" w:right="16" w:hanging="0"/>
              <w:jc w:val="both"/>
              <w:rPr>
                <w:rFonts w:ascii="helvetica" w:hAnsi="helvetica"/>
                <w:sz w:val="20"/>
              </w:rPr>
            </w:pPr>
            <w:r>
              <w:rPr>
                <w:rFonts w:ascii="helvetica" w:hAnsi="helvetica"/>
                <w:sz w:val="20"/>
              </w:rPr>
              <w:t>10.37</w:t>
            </w:r>
          </w:p>
        </w:tc>
        <w:tc>
          <w:tcPr>
            <w:tcW w:w="203" w:type="dxa"/>
            <w:tcBorders/>
            <w:shd w:fill="CCEEFF" w:val="clear"/>
          </w:tcPr>
          <w:p>
            <w:pPr>
              <w:pStyle w:val="TableContents"/>
              <w:spacing w:before="0" w:after="283"/>
              <w:jc w:val="both"/>
              <w:rPr/>
            </w:pPr>
            <w:r>
              <w:rPr/>
              <w:t> </w:t>
            </w:r>
          </w:p>
        </w:tc>
        <w:tc>
          <w:tcPr>
            <w:tcW w:w="9186" w:type="dxa"/>
            <w:tcBorders/>
            <w:shd w:fill="CCEEFF" w:val="clear"/>
          </w:tcPr>
          <w:p>
            <w:pPr>
              <w:pStyle w:val="TableContents"/>
              <w:spacing w:before="0" w:after="0"/>
              <w:ind w:left="0" w:right="0" w:hanging="0"/>
              <w:jc w:val="both"/>
              <w:rPr>
                <w:rFonts w:ascii="helvetica" w:hAnsi="helvetica"/>
                <w:sz w:val="20"/>
              </w:rPr>
            </w:pPr>
            <w:r>
              <w:rPr>
                <w:rFonts w:ascii="helvetica" w:hAnsi="helvetica"/>
                <w:sz w:val="20"/>
              </w:rPr>
              <w:t>Form of Warrant dated as of April 25, 2012 (incorporated by reference to Exhibit 10.2 to the Company’s Current Report on 8-K filed with the Securities and Exchange Commission on April 27, 2012)</w:t>
            </w:r>
          </w:p>
        </w:tc>
      </w:tr>
      <w:tr>
        <w:trPr/>
        <w:tc>
          <w:tcPr>
            <w:tcW w:w="816" w:type="dxa"/>
            <w:tcBorders/>
            <w:shd w:fill="FFFFFF" w:val="clear"/>
          </w:tcPr>
          <w:p>
            <w:pPr>
              <w:pStyle w:val="TableContents"/>
              <w:spacing w:before="0" w:after="283"/>
              <w:jc w:val="both"/>
              <w:rPr/>
            </w:pPr>
            <w:r>
              <w:rPr/>
              <w:t> </w:t>
            </w:r>
          </w:p>
        </w:tc>
        <w:tc>
          <w:tcPr>
            <w:tcW w:w="203" w:type="dxa"/>
            <w:tcBorders/>
            <w:shd w:fill="FFFFFF" w:val="clear"/>
          </w:tcPr>
          <w:p>
            <w:pPr>
              <w:pStyle w:val="TableContents"/>
              <w:spacing w:before="0" w:after="283"/>
              <w:jc w:val="both"/>
              <w:rPr/>
            </w:pPr>
            <w:r>
              <w:rPr/>
              <w:t> </w:t>
            </w:r>
          </w:p>
        </w:tc>
        <w:tc>
          <w:tcPr>
            <w:tcW w:w="9186" w:type="dxa"/>
            <w:tcBorders/>
            <w:shd w:fill="FFFFFF" w:val="clear"/>
          </w:tcPr>
          <w:p>
            <w:pPr>
              <w:pStyle w:val="TableContents"/>
              <w:spacing w:before="0" w:after="283"/>
              <w:jc w:val="both"/>
              <w:rPr/>
            </w:pPr>
            <w:r>
              <w:rPr/>
              <w:t> </w:t>
            </w:r>
          </w:p>
        </w:tc>
      </w:tr>
      <w:tr>
        <w:trPr/>
        <w:tc>
          <w:tcPr>
            <w:tcW w:w="816" w:type="dxa"/>
            <w:tcBorders/>
            <w:shd w:fill="CCEEFF" w:val="clear"/>
          </w:tcPr>
          <w:p>
            <w:pPr>
              <w:pStyle w:val="TableContents"/>
              <w:spacing w:before="0" w:after="0"/>
              <w:ind w:left="0" w:right="16" w:hanging="0"/>
              <w:jc w:val="both"/>
              <w:rPr>
                <w:rFonts w:ascii="helvetica" w:hAnsi="helvetica"/>
                <w:sz w:val="20"/>
              </w:rPr>
            </w:pPr>
            <w:r>
              <w:rPr>
                <w:rFonts w:ascii="helvetica" w:hAnsi="helvetica"/>
                <w:sz w:val="20"/>
              </w:rPr>
              <w:t>10.39**</w:t>
            </w:r>
          </w:p>
        </w:tc>
        <w:tc>
          <w:tcPr>
            <w:tcW w:w="203" w:type="dxa"/>
            <w:tcBorders/>
            <w:shd w:fill="CCEEFF" w:val="clear"/>
          </w:tcPr>
          <w:p>
            <w:pPr>
              <w:pStyle w:val="TableContents"/>
              <w:spacing w:before="0" w:after="283"/>
              <w:jc w:val="both"/>
              <w:rPr/>
            </w:pPr>
            <w:r>
              <w:rPr/>
              <w:t> </w:t>
            </w:r>
          </w:p>
        </w:tc>
        <w:tc>
          <w:tcPr>
            <w:tcW w:w="9186" w:type="dxa"/>
            <w:tcBorders/>
            <w:shd w:fill="CCEEFF" w:val="clear"/>
          </w:tcPr>
          <w:p>
            <w:pPr>
              <w:pStyle w:val="TableContents"/>
              <w:spacing w:before="0" w:after="0"/>
              <w:ind w:left="0" w:right="0" w:hanging="0"/>
              <w:jc w:val="both"/>
              <w:rPr>
                <w:rFonts w:ascii="helvetica" w:hAnsi="helvetica"/>
                <w:sz w:val="20"/>
              </w:rPr>
            </w:pPr>
            <w:r>
              <w:rPr>
                <w:rFonts w:ascii="helvetica" w:hAnsi="helvetica"/>
                <w:sz w:val="20"/>
              </w:rPr>
              <w:t>Conversion Agreement, dated June 29, 2012, by and between Imprimis Pharmaceuticals, Inc. and DermaStar, LLC</w:t>
            </w:r>
          </w:p>
        </w:tc>
      </w:tr>
      <w:tr>
        <w:trPr/>
        <w:tc>
          <w:tcPr>
            <w:tcW w:w="816" w:type="dxa"/>
            <w:tcBorders/>
            <w:shd w:fill="FFFFFF" w:val="clear"/>
          </w:tcPr>
          <w:p>
            <w:pPr>
              <w:pStyle w:val="TableContents"/>
              <w:spacing w:before="0" w:after="283"/>
              <w:jc w:val="both"/>
              <w:rPr/>
            </w:pPr>
            <w:r>
              <w:rPr/>
              <w:t> </w:t>
            </w:r>
          </w:p>
        </w:tc>
        <w:tc>
          <w:tcPr>
            <w:tcW w:w="203" w:type="dxa"/>
            <w:tcBorders/>
            <w:shd w:fill="FFFFFF" w:val="clear"/>
          </w:tcPr>
          <w:p>
            <w:pPr>
              <w:pStyle w:val="TableContents"/>
              <w:spacing w:before="0" w:after="283"/>
              <w:jc w:val="both"/>
              <w:rPr/>
            </w:pPr>
            <w:r>
              <w:rPr/>
              <w:t> </w:t>
            </w:r>
          </w:p>
        </w:tc>
        <w:tc>
          <w:tcPr>
            <w:tcW w:w="9186" w:type="dxa"/>
            <w:tcBorders/>
            <w:shd w:fill="FFFFFF" w:val="clear"/>
          </w:tcPr>
          <w:p>
            <w:pPr>
              <w:pStyle w:val="TableContents"/>
              <w:spacing w:before="0" w:after="283"/>
              <w:jc w:val="both"/>
              <w:rPr/>
            </w:pPr>
            <w:r>
              <w:rPr/>
              <w:t> </w:t>
            </w:r>
          </w:p>
        </w:tc>
      </w:tr>
      <w:tr>
        <w:trPr/>
        <w:tc>
          <w:tcPr>
            <w:tcW w:w="816" w:type="dxa"/>
            <w:tcBorders/>
            <w:shd w:fill="CCEEFF" w:val="clear"/>
          </w:tcPr>
          <w:p>
            <w:pPr>
              <w:pStyle w:val="TableContents"/>
              <w:spacing w:before="0" w:after="0"/>
              <w:ind w:left="0" w:right="16" w:hanging="0"/>
              <w:jc w:val="both"/>
              <w:rPr>
                <w:rFonts w:ascii="helvetica" w:hAnsi="helvetica"/>
                <w:sz w:val="20"/>
              </w:rPr>
            </w:pPr>
            <w:r>
              <w:rPr>
                <w:rFonts w:ascii="helvetica" w:hAnsi="helvetica"/>
                <w:sz w:val="20"/>
              </w:rPr>
              <w:t>10.40#**</w:t>
            </w:r>
          </w:p>
        </w:tc>
        <w:tc>
          <w:tcPr>
            <w:tcW w:w="203" w:type="dxa"/>
            <w:tcBorders/>
            <w:shd w:fill="CCEEFF" w:val="clear"/>
          </w:tcPr>
          <w:p>
            <w:pPr>
              <w:pStyle w:val="TableContents"/>
              <w:spacing w:before="0" w:after="283"/>
              <w:jc w:val="both"/>
              <w:rPr/>
            </w:pPr>
            <w:r>
              <w:rPr/>
              <w:t> </w:t>
            </w:r>
          </w:p>
        </w:tc>
        <w:tc>
          <w:tcPr>
            <w:tcW w:w="9186" w:type="dxa"/>
            <w:tcBorders/>
            <w:shd w:fill="CCEEFF" w:val="clear"/>
          </w:tcPr>
          <w:p>
            <w:pPr>
              <w:pStyle w:val="TableContents"/>
              <w:spacing w:before="0" w:after="0"/>
              <w:ind w:left="0" w:right="0" w:hanging="0"/>
              <w:jc w:val="both"/>
              <w:rPr>
                <w:rFonts w:ascii="helvetica" w:hAnsi="helvetica"/>
                <w:sz w:val="20"/>
              </w:rPr>
            </w:pPr>
            <w:r>
              <w:rPr>
                <w:rFonts w:ascii="helvetica" w:hAnsi="helvetica"/>
                <w:sz w:val="20"/>
              </w:rPr>
              <w:t>Stand-alone Restricted Stock Unit Agreement, dated July 18, 2012, granted by Imprimis Pharmaceuticals, Inc. to Mark L. Baum</w:t>
            </w:r>
          </w:p>
        </w:tc>
      </w:tr>
      <w:tr>
        <w:trPr/>
        <w:tc>
          <w:tcPr>
            <w:tcW w:w="816" w:type="dxa"/>
            <w:tcBorders/>
            <w:shd w:fill="FFFFFF" w:val="clear"/>
          </w:tcPr>
          <w:p>
            <w:pPr>
              <w:pStyle w:val="TableContents"/>
              <w:spacing w:before="0" w:after="283"/>
              <w:jc w:val="both"/>
              <w:rPr/>
            </w:pPr>
            <w:r>
              <w:rPr/>
              <w:t> </w:t>
            </w:r>
          </w:p>
        </w:tc>
        <w:tc>
          <w:tcPr>
            <w:tcW w:w="203" w:type="dxa"/>
            <w:tcBorders/>
            <w:shd w:fill="FFFFFF" w:val="clear"/>
          </w:tcPr>
          <w:p>
            <w:pPr>
              <w:pStyle w:val="TableContents"/>
              <w:spacing w:before="0" w:after="283"/>
              <w:jc w:val="both"/>
              <w:rPr/>
            </w:pPr>
            <w:r>
              <w:rPr/>
              <w:t> </w:t>
            </w:r>
          </w:p>
        </w:tc>
        <w:tc>
          <w:tcPr>
            <w:tcW w:w="9186" w:type="dxa"/>
            <w:tcBorders/>
            <w:shd w:fill="FFFFFF" w:val="clear"/>
          </w:tcPr>
          <w:p>
            <w:pPr>
              <w:pStyle w:val="TableContents"/>
              <w:spacing w:before="0" w:after="283"/>
              <w:jc w:val="both"/>
              <w:rPr/>
            </w:pPr>
            <w:r>
              <w:rPr/>
              <w:t> </w:t>
            </w:r>
          </w:p>
        </w:tc>
      </w:tr>
      <w:tr>
        <w:trPr/>
        <w:tc>
          <w:tcPr>
            <w:tcW w:w="816" w:type="dxa"/>
            <w:tcBorders/>
            <w:shd w:fill="CCEEFF" w:val="clear"/>
          </w:tcPr>
          <w:p>
            <w:pPr>
              <w:pStyle w:val="TableContents"/>
              <w:spacing w:before="0" w:after="283"/>
              <w:jc w:val="both"/>
              <w:rPr>
                <w:rFonts w:ascii="helvetica" w:hAnsi="helvetica"/>
                <w:sz w:val="20"/>
              </w:rPr>
            </w:pPr>
            <w:r>
              <w:rPr>
                <w:rFonts w:ascii="helvetica" w:hAnsi="helvetica"/>
                <w:sz w:val="20"/>
              </w:rPr>
              <w:t>10.41#**</w:t>
            </w:r>
          </w:p>
        </w:tc>
        <w:tc>
          <w:tcPr>
            <w:tcW w:w="203" w:type="dxa"/>
            <w:tcBorders/>
            <w:shd w:fill="CCEEFF" w:val="clear"/>
          </w:tcPr>
          <w:p>
            <w:pPr>
              <w:pStyle w:val="TableContents"/>
              <w:spacing w:before="0" w:after="283"/>
              <w:jc w:val="both"/>
              <w:rPr/>
            </w:pPr>
            <w:r>
              <w:rPr/>
              <w:t> </w:t>
            </w:r>
          </w:p>
        </w:tc>
        <w:tc>
          <w:tcPr>
            <w:tcW w:w="9186" w:type="dxa"/>
            <w:tcBorders/>
            <w:shd w:fill="CCEEFF" w:val="clear"/>
          </w:tcPr>
          <w:p>
            <w:pPr>
              <w:pStyle w:val="TableContents"/>
              <w:spacing w:before="0" w:after="0"/>
              <w:ind w:left="0" w:right="0" w:hanging="0"/>
              <w:jc w:val="left"/>
              <w:rPr>
                <w:rFonts w:ascii="helvetica" w:hAnsi="helvetica"/>
                <w:sz w:val="20"/>
              </w:rPr>
            </w:pPr>
            <w:r>
              <w:rPr>
                <w:rFonts w:ascii="helvetica" w:hAnsi="helvetica"/>
                <w:sz w:val="20"/>
              </w:rPr>
              <w:t>Stand-alone Restricted Stock Unit Agreement, dated July 18, 2012, granted by Imprimis Pharmaceuticals, Inc. to Robert J. Kammer</w:t>
            </w:r>
          </w:p>
        </w:tc>
      </w:tr>
      <w:tr>
        <w:trPr/>
        <w:tc>
          <w:tcPr>
            <w:tcW w:w="816" w:type="dxa"/>
            <w:tcBorders/>
            <w:shd w:fill="FFFFFF" w:val="clear"/>
          </w:tcPr>
          <w:p>
            <w:pPr>
              <w:pStyle w:val="TableContents"/>
              <w:spacing w:before="0" w:after="283"/>
              <w:jc w:val="left"/>
              <w:rPr/>
            </w:pPr>
            <w:r>
              <w:rPr/>
              <w:t> </w:t>
            </w:r>
          </w:p>
        </w:tc>
        <w:tc>
          <w:tcPr>
            <w:tcW w:w="203" w:type="dxa"/>
            <w:tcBorders/>
            <w:shd w:fill="FFFFFF" w:val="clear"/>
          </w:tcPr>
          <w:p>
            <w:pPr>
              <w:pStyle w:val="TableContents"/>
              <w:spacing w:before="0" w:after="283"/>
              <w:jc w:val="left"/>
              <w:rPr/>
            </w:pPr>
            <w:r>
              <w:rPr/>
              <w:t> </w:t>
            </w:r>
          </w:p>
        </w:tc>
        <w:tc>
          <w:tcPr>
            <w:tcW w:w="9186" w:type="dxa"/>
            <w:tcBorders/>
            <w:shd w:fill="FFFFFF" w:val="clear"/>
          </w:tcPr>
          <w:p>
            <w:pPr>
              <w:pStyle w:val="TableContents"/>
              <w:spacing w:before="0" w:after="283"/>
              <w:jc w:val="left"/>
              <w:rPr/>
            </w:pPr>
            <w:r>
              <w:rPr/>
              <w:t> </w:t>
            </w:r>
          </w:p>
        </w:tc>
      </w:tr>
      <w:tr>
        <w:trPr/>
        <w:tc>
          <w:tcPr>
            <w:tcW w:w="816" w:type="dxa"/>
            <w:tcBorders/>
            <w:shd w:fill="CCEEFF" w:val="clear"/>
          </w:tcPr>
          <w:p>
            <w:pPr>
              <w:pStyle w:val="TableContents"/>
              <w:spacing w:before="0" w:after="283"/>
              <w:jc w:val="left"/>
              <w:rPr/>
            </w:pPr>
            <w:r>
              <w:rPr>
                <w:rFonts w:ascii="helvetica" w:hAnsi="helvetica"/>
                <w:sz w:val="20"/>
              </w:rPr>
              <w:t>10.42</w:t>
            </w:r>
            <w:r>
              <w:rPr/>
              <w:t xml:space="preserve"> </w:t>
            </w:r>
          </w:p>
        </w:tc>
        <w:tc>
          <w:tcPr>
            <w:tcW w:w="203" w:type="dxa"/>
            <w:tcBorders/>
            <w:shd w:fill="CCEEFF" w:val="clear"/>
          </w:tcPr>
          <w:p>
            <w:pPr>
              <w:pStyle w:val="TableContents"/>
              <w:spacing w:before="0" w:after="283"/>
              <w:jc w:val="left"/>
              <w:rPr/>
            </w:pPr>
            <w:r>
              <w:rPr/>
              <w:t xml:space="preserve">  </w:t>
            </w:r>
          </w:p>
        </w:tc>
        <w:tc>
          <w:tcPr>
            <w:tcW w:w="9186" w:type="dxa"/>
            <w:tcBorders/>
            <w:shd w:fill="CCEEFF" w:val="clear"/>
          </w:tcPr>
          <w:p>
            <w:pPr>
              <w:pStyle w:val="TableContents"/>
              <w:spacing w:before="0" w:after="0"/>
              <w:ind w:left="0" w:right="0" w:hanging="0"/>
              <w:jc w:val="left"/>
              <w:rPr/>
            </w:pPr>
            <w:r>
              <w:rPr>
                <w:rFonts w:ascii="helvetica" w:hAnsi="helvetica"/>
                <w:sz w:val="20"/>
              </w:rPr>
              <w:t>License Agreement, dated as of August 30, 2012, by and between Imprimis Pharmaceuticals, Inc. and Professional Compounding Centers of America, Inc. (incorporated herein by reference to Exhibit 10.1 to the Current Report on Form 8-K of Imprimis Pharmaceuticals, Inc. filed with the Securities and Exchange Commission on August 31, 2012)</w:t>
            </w:r>
            <w:r>
              <w:rPr/>
              <w:t xml:space="preserve"> </w:t>
            </w:r>
          </w:p>
        </w:tc>
      </w:tr>
      <w:tr>
        <w:trPr/>
        <w:tc>
          <w:tcPr>
            <w:tcW w:w="816" w:type="dxa"/>
            <w:tcBorders/>
            <w:shd w:fill="FFFFFF" w:val="clear"/>
          </w:tcPr>
          <w:p>
            <w:pPr>
              <w:pStyle w:val="TableContents"/>
              <w:spacing w:before="0" w:after="283"/>
              <w:jc w:val="left"/>
              <w:rPr/>
            </w:pPr>
            <w:r>
              <w:rPr/>
              <w:t xml:space="preserve">  </w:t>
            </w:r>
          </w:p>
        </w:tc>
        <w:tc>
          <w:tcPr>
            <w:tcW w:w="203" w:type="dxa"/>
            <w:tcBorders/>
            <w:shd w:fill="FFFFFF" w:val="clear"/>
          </w:tcPr>
          <w:p>
            <w:pPr>
              <w:pStyle w:val="TableContents"/>
              <w:spacing w:before="0" w:after="283"/>
              <w:jc w:val="left"/>
              <w:rPr/>
            </w:pPr>
            <w:r>
              <w:rPr/>
              <w:t xml:space="preserve">  </w:t>
            </w:r>
          </w:p>
        </w:tc>
        <w:tc>
          <w:tcPr>
            <w:tcW w:w="9186" w:type="dxa"/>
            <w:tcBorders/>
            <w:shd w:fill="FFFFFF" w:val="clear"/>
          </w:tcPr>
          <w:p>
            <w:pPr>
              <w:pStyle w:val="TableContents"/>
              <w:spacing w:before="0" w:after="283"/>
              <w:jc w:val="left"/>
              <w:rPr/>
            </w:pPr>
            <w:r>
              <w:rPr/>
              <w:t xml:space="preserve">  </w:t>
            </w:r>
          </w:p>
        </w:tc>
      </w:tr>
      <w:tr>
        <w:trPr/>
        <w:tc>
          <w:tcPr>
            <w:tcW w:w="816" w:type="dxa"/>
            <w:tcBorders/>
            <w:shd w:fill="CCEEFF" w:val="clear"/>
          </w:tcPr>
          <w:p>
            <w:pPr>
              <w:pStyle w:val="TableContents"/>
              <w:spacing w:before="0" w:after="283"/>
              <w:jc w:val="left"/>
              <w:rPr/>
            </w:pPr>
            <w:r>
              <w:rPr>
                <w:rFonts w:ascii="helvetica" w:hAnsi="helvetica"/>
                <w:sz w:val="20"/>
              </w:rPr>
              <w:t>10.43</w:t>
            </w:r>
            <w:r>
              <w:rPr/>
              <w:t xml:space="preserve"> </w:t>
            </w:r>
          </w:p>
        </w:tc>
        <w:tc>
          <w:tcPr>
            <w:tcW w:w="203" w:type="dxa"/>
            <w:tcBorders/>
            <w:shd w:fill="CCEEFF" w:val="clear"/>
          </w:tcPr>
          <w:p>
            <w:pPr>
              <w:pStyle w:val="TableContents"/>
              <w:spacing w:before="0" w:after="283"/>
              <w:jc w:val="left"/>
              <w:rPr/>
            </w:pPr>
            <w:r>
              <w:rPr/>
              <w:t xml:space="preserve">  </w:t>
            </w:r>
          </w:p>
        </w:tc>
        <w:tc>
          <w:tcPr>
            <w:tcW w:w="9186" w:type="dxa"/>
            <w:tcBorders/>
            <w:shd w:fill="CCEEFF" w:val="clear"/>
          </w:tcPr>
          <w:p>
            <w:pPr>
              <w:pStyle w:val="TableContents"/>
              <w:spacing w:before="0" w:after="0"/>
              <w:ind w:left="0" w:right="0" w:hanging="0"/>
              <w:jc w:val="left"/>
              <w:rPr/>
            </w:pPr>
            <w:r>
              <w:rPr>
                <w:rFonts w:ascii="helvetica" w:hAnsi="helvetica"/>
                <w:sz w:val="20"/>
              </w:rPr>
              <w:t>Stock Purchase Agreement, dated as of August 30, 2012, by and between Imprimis Pharmaceuticals, Inc. and Professional Compounding Centers of America, Inc. (incorporated herein by reference to Exhibit 10.2 to the Current Report on Form 8-K of Imprimis Pharmaceuticals, Inc. filed with the Securities and Exchange Commission on August 31, 2012)</w:t>
            </w:r>
            <w:r>
              <w:rPr/>
              <w:t xml:space="preserve"> </w:t>
            </w:r>
          </w:p>
        </w:tc>
      </w:tr>
      <w:tr>
        <w:trPr/>
        <w:tc>
          <w:tcPr>
            <w:tcW w:w="816" w:type="dxa"/>
            <w:tcBorders/>
            <w:shd w:fill="FFFFFF" w:val="clear"/>
          </w:tcPr>
          <w:p>
            <w:pPr>
              <w:pStyle w:val="TableContents"/>
              <w:spacing w:before="0" w:after="283"/>
              <w:jc w:val="left"/>
              <w:rPr/>
            </w:pPr>
            <w:r>
              <w:rPr/>
              <w:t xml:space="preserve">  </w:t>
            </w:r>
          </w:p>
        </w:tc>
        <w:tc>
          <w:tcPr>
            <w:tcW w:w="203" w:type="dxa"/>
            <w:tcBorders/>
            <w:shd w:fill="FFFFFF" w:val="clear"/>
          </w:tcPr>
          <w:p>
            <w:pPr>
              <w:pStyle w:val="TableContents"/>
              <w:spacing w:before="0" w:after="283"/>
              <w:jc w:val="left"/>
              <w:rPr/>
            </w:pPr>
            <w:r>
              <w:rPr/>
              <w:t xml:space="preserve">  </w:t>
            </w:r>
          </w:p>
        </w:tc>
        <w:tc>
          <w:tcPr>
            <w:tcW w:w="9186" w:type="dxa"/>
            <w:tcBorders/>
            <w:shd w:fill="FFFFFF" w:val="clear"/>
          </w:tcPr>
          <w:p>
            <w:pPr>
              <w:pStyle w:val="TableContents"/>
              <w:spacing w:before="0" w:after="283"/>
              <w:jc w:val="left"/>
              <w:rPr/>
            </w:pPr>
            <w:r>
              <w:rPr/>
              <w:t xml:space="preserve">  </w:t>
            </w:r>
          </w:p>
        </w:tc>
      </w:tr>
      <w:tr>
        <w:trPr/>
        <w:tc>
          <w:tcPr>
            <w:tcW w:w="816" w:type="dxa"/>
            <w:tcBorders/>
            <w:shd w:fill="CCEEFF" w:val="clear"/>
          </w:tcPr>
          <w:p>
            <w:pPr>
              <w:pStyle w:val="TableContents"/>
              <w:spacing w:before="0" w:after="283"/>
              <w:jc w:val="left"/>
              <w:rPr/>
            </w:pPr>
            <w:r>
              <w:rPr>
                <w:rFonts w:ascii="helvetica" w:hAnsi="helvetica"/>
                <w:sz w:val="20"/>
              </w:rPr>
              <w:t>10.44†</w:t>
            </w:r>
            <w:r>
              <w:rPr/>
              <w:t xml:space="preserve"> </w:t>
            </w:r>
          </w:p>
        </w:tc>
        <w:tc>
          <w:tcPr>
            <w:tcW w:w="203" w:type="dxa"/>
            <w:tcBorders/>
            <w:shd w:fill="CCEEFF" w:val="clear"/>
          </w:tcPr>
          <w:p>
            <w:pPr>
              <w:pStyle w:val="TableContents"/>
              <w:spacing w:before="0" w:after="283"/>
              <w:jc w:val="left"/>
              <w:rPr/>
            </w:pPr>
            <w:r>
              <w:rPr/>
              <w:t xml:space="preserve">  </w:t>
            </w:r>
          </w:p>
        </w:tc>
        <w:tc>
          <w:tcPr>
            <w:tcW w:w="9186" w:type="dxa"/>
            <w:tcBorders/>
            <w:shd w:fill="CCEEFF" w:val="clear"/>
          </w:tcPr>
          <w:p>
            <w:pPr>
              <w:pStyle w:val="TableContents"/>
              <w:spacing w:before="0" w:after="0"/>
              <w:ind w:left="0" w:right="0" w:hanging="0"/>
              <w:jc w:val="left"/>
              <w:rPr/>
            </w:pPr>
            <w:r>
              <w:rPr>
                <w:rFonts w:ascii="helvetica" w:hAnsi="helvetica"/>
                <w:sz w:val="20"/>
              </w:rPr>
              <w:t>Form of Underwriter’s Warrant</w:t>
            </w:r>
            <w:r>
              <w:rPr/>
              <w:t xml:space="preserve"> </w:t>
            </w:r>
          </w:p>
        </w:tc>
      </w:tr>
      <w:tr>
        <w:trPr/>
        <w:tc>
          <w:tcPr>
            <w:tcW w:w="816" w:type="dxa"/>
            <w:tcBorders/>
            <w:shd w:fill="FFFFFF" w:val="clear"/>
          </w:tcPr>
          <w:p>
            <w:pPr>
              <w:pStyle w:val="TableContents"/>
              <w:spacing w:before="0" w:after="283"/>
              <w:jc w:val="left"/>
              <w:rPr/>
            </w:pPr>
            <w:r>
              <w:rPr/>
              <w:t> </w:t>
            </w:r>
          </w:p>
        </w:tc>
        <w:tc>
          <w:tcPr>
            <w:tcW w:w="203" w:type="dxa"/>
            <w:tcBorders/>
            <w:shd w:fill="FFFFFF" w:val="clear"/>
          </w:tcPr>
          <w:p>
            <w:pPr>
              <w:pStyle w:val="TableContents"/>
              <w:spacing w:before="0" w:after="283"/>
              <w:jc w:val="left"/>
              <w:rPr/>
            </w:pPr>
            <w:r>
              <w:rPr/>
              <w:t> </w:t>
            </w:r>
          </w:p>
        </w:tc>
        <w:tc>
          <w:tcPr>
            <w:tcW w:w="9186" w:type="dxa"/>
            <w:tcBorders/>
            <w:shd w:fill="FFFFFF" w:val="clear"/>
          </w:tcPr>
          <w:p>
            <w:pPr>
              <w:pStyle w:val="TableContents"/>
              <w:spacing w:before="0" w:after="283"/>
              <w:jc w:val="left"/>
              <w:rPr/>
            </w:pPr>
            <w:r>
              <w:rPr/>
              <w:t> </w:t>
            </w:r>
          </w:p>
        </w:tc>
      </w:tr>
      <w:tr>
        <w:trPr/>
        <w:tc>
          <w:tcPr>
            <w:tcW w:w="816" w:type="dxa"/>
            <w:tcBorders/>
            <w:shd w:fill="CCEEFF" w:val="clear"/>
          </w:tcPr>
          <w:p>
            <w:pPr>
              <w:pStyle w:val="TableContents"/>
              <w:spacing w:before="0" w:after="0"/>
              <w:ind w:left="0" w:right="16" w:hanging="0"/>
              <w:jc w:val="left"/>
              <w:rPr>
                <w:rFonts w:ascii="helvetica" w:hAnsi="helvetica"/>
                <w:sz w:val="20"/>
              </w:rPr>
            </w:pPr>
            <w:r>
              <w:rPr>
                <w:rFonts w:ascii="helvetica" w:hAnsi="helvetica"/>
                <w:sz w:val="20"/>
              </w:rPr>
              <w:t>23.1*</w:t>
            </w:r>
          </w:p>
        </w:tc>
        <w:tc>
          <w:tcPr>
            <w:tcW w:w="203" w:type="dxa"/>
            <w:tcBorders/>
            <w:shd w:fill="CCEEFF" w:val="clear"/>
          </w:tcPr>
          <w:p>
            <w:pPr>
              <w:pStyle w:val="TableContents"/>
              <w:spacing w:before="0" w:after="283"/>
              <w:jc w:val="left"/>
              <w:rPr/>
            </w:pPr>
            <w:r>
              <w:rPr/>
              <w:t> </w:t>
            </w:r>
          </w:p>
        </w:tc>
        <w:tc>
          <w:tcPr>
            <w:tcW w:w="9186" w:type="dxa"/>
            <w:tcBorders/>
            <w:shd w:fill="CCEEFF" w:val="clear"/>
          </w:tcPr>
          <w:p>
            <w:pPr>
              <w:pStyle w:val="TableContents"/>
              <w:spacing w:before="0" w:after="0"/>
              <w:ind w:left="0" w:right="16" w:hanging="0"/>
              <w:jc w:val="left"/>
              <w:rPr>
                <w:rFonts w:ascii="helvetica" w:hAnsi="helvetica"/>
                <w:sz w:val="20"/>
              </w:rPr>
            </w:pPr>
            <w:r>
              <w:rPr>
                <w:rFonts w:ascii="helvetica" w:hAnsi="helvetica"/>
                <w:sz w:val="20"/>
              </w:rPr>
              <w:t>Consent of KMJ Corbin &amp; Company LLP</w:t>
            </w:r>
          </w:p>
        </w:tc>
      </w:tr>
      <w:tr>
        <w:trPr/>
        <w:tc>
          <w:tcPr>
            <w:tcW w:w="816" w:type="dxa"/>
            <w:tcBorders/>
            <w:shd w:fill="FFFFFF" w:val="clear"/>
          </w:tcPr>
          <w:p>
            <w:pPr>
              <w:pStyle w:val="TableContents"/>
              <w:spacing w:before="0" w:after="283"/>
              <w:jc w:val="left"/>
              <w:rPr/>
            </w:pPr>
            <w:r>
              <w:rPr/>
              <w:t> </w:t>
            </w:r>
          </w:p>
        </w:tc>
        <w:tc>
          <w:tcPr>
            <w:tcW w:w="203" w:type="dxa"/>
            <w:tcBorders/>
            <w:shd w:fill="FFFFFF" w:val="clear"/>
          </w:tcPr>
          <w:p>
            <w:pPr>
              <w:pStyle w:val="TableContents"/>
              <w:spacing w:before="0" w:after="283"/>
              <w:jc w:val="left"/>
              <w:rPr/>
            </w:pPr>
            <w:r>
              <w:rPr/>
              <w:t> </w:t>
            </w:r>
          </w:p>
        </w:tc>
        <w:tc>
          <w:tcPr>
            <w:tcW w:w="9186" w:type="dxa"/>
            <w:tcBorders/>
            <w:shd w:fill="FFFFFF" w:val="clear"/>
          </w:tcPr>
          <w:p>
            <w:pPr>
              <w:pStyle w:val="TableContents"/>
              <w:spacing w:before="0" w:after="283"/>
              <w:jc w:val="left"/>
              <w:rPr/>
            </w:pPr>
            <w:r>
              <w:rPr/>
              <w:t> </w:t>
            </w:r>
          </w:p>
        </w:tc>
      </w:tr>
      <w:tr>
        <w:trPr/>
        <w:tc>
          <w:tcPr>
            <w:tcW w:w="816" w:type="dxa"/>
            <w:tcBorders/>
            <w:shd w:fill="CCEEFF" w:val="clear"/>
          </w:tcPr>
          <w:p>
            <w:pPr>
              <w:pStyle w:val="TableContents"/>
              <w:spacing w:before="0" w:after="0"/>
              <w:ind w:left="720" w:right="0" w:hanging="720"/>
              <w:jc w:val="left"/>
              <w:rPr>
                <w:rFonts w:ascii="helvetica" w:hAnsi="helvetica"/>
                <w:sz w:val="20"/>
              </w:rPr>
            </w:pPr>
            <w:r>
              <w:rPr>
                <w:rFonts w:ascii="helvetica" w:hAnsi="helvetica"/>
                <w:sz w:val="20"/>
              </w:rPr>
              <w:t xml:space="preserve">23.2 * </w:t>
            </w:r>
          </w:p>
        </w:tc>
        <w:tc>
          <w:tcPr>
            <w:tcW w:w="203" w:type="dxa"/>
            <w:tcBorders/>
            <w:shd w:fill="CCEEFF" w:val="clear"/>
          </w:tcPr>
          <w:p>
            <w:pPr>
              <w:pStyle w:val="TableContents"/>
              <w:spacing w:before="0" w:after="283"/>
              <w:ind w:left="0" w:right="0" w:hanging="0"/>
              <w:jc w:val="left"/>
              <w:rPr/>
            </w:pPr>
            <w:r>
              <w:rPr/>
              <w:t> </w:t>
            </w:r>
          </w:p>
        </w:tc>
        <w:tc>
          <w:tcPr>
            <w:tcW w:w="9186" w:type="dxa"/>
            <w:tcBorders/>
            <w:shd w:fill="CCEEFF" w:val="clear"/>
          </w:tcPr>
          <w:p>
            <w:pPr>
              <w:pStyle w:val="TableContents"/>
              <w:spacing w:before="0" w:after="0"/>
              <w:ind w:left="0" w:right="0" w:hanging="0"/>
              <w:jc w:val="left"/>
              <w:rPr>
                <w:rFonts w:ascii="helvetica" w:hAnsi="helvetica"/>
                <w:sz w:val="20"/>
              </w:rPr>
            </w:pPr>
            <w:r>
              <w:rPr>
                <w:rFonts w:ascii="helvetica" w:hAnsi="helvetica"/>
                <w:sz w:val="20"/>
              </w:rPr>
              <w:t>Consent of Morrison &amp; Foerster LLP (contained in Exhibit 5.1)</w:t>
            </w:r>
          </w:p>
        </w:tc>
      </w:tr>
      <w:tr>
        <w:trPr/>
        <w:tc>
          <w:tcPr>
            <w:tcW w:w="816" w:type="dxa"/>
            <w:tcBorders/>
            <w:shd w:fill="FFFFFF" w:val="clear"/>
          </w:tcPr>
          <w:p>
            <w:pPr>
              <w:pStyle w:val="TableContents"/>
              <w:spacing w:before="0" w:after="283"/>
              <w:jc w:val="left"/>
              <w:rPr/>
            </w:pPr>
            <w:r>
              <w:rPr/>
              <w:t> </w:t>
            </w:r>
          </w:p>
        </w:tc>
        <w:tc>
          <w:tcPr>
            <w:tcW w:w="203" w:type="dxa"/>
            <w:tcBorders/>
            <w:shd w:fill="FFFFFF" w:val="clear"/>
          </w:tcPr>
          <w:p>
            <w:pPr>
              <w:pStyle w:val="TableContents"/>
              <w:spacing w:before="0" w:after="283"/>
              <w:ind w:left="0" w:right="0" w:hanging="0"/>
              <w:jc w:val="left"/>
              <w:rPr/>
            </w:pPr>
            <w:r>
              <w:rPr/>
              <w:t> </w:t>
            </w:r>
          </w:p>
        </w:tc>
        <w:tc>
          <w:tcPr>
            <w:tcW w:w="9186" w:type="dxa"/>
            <w:tcBorders/>
            <w:shd w:fill="FFFFFF" w:val="clear"/>
          </w:tcPr>
          <w:p>
            <w:pPr>
              <w:pStyle w:val="TableContents"/>
              <w:spacing w:before="0" w:after="283"/>
              <w:ind w:left="0" w:right="0" w:hanging="0"/>
              <w:jc w:val="left"/>
              <w:rPr/>
            </w:pPr>
            <w:r>
              <w:rPr/>
              <w:t> </w:t>
            </w:r>
          </w:p>
        </w:tc>
      </w:tr>
      <w:tr>
        <w:trPr/>
        <w:tc>
          <w:tcPr>
            <w:tcW w:w="816" w:type="dxa"/>
            <w:tcBorders/>
            <w:shd w:fill="CCEEFF" w:val="clear"/>
          </w:tcPr>
          <w:p>
            <w:pPr>
              <w:pStyle w:val="TableContents"/>
              <w:spacing w:before="0" w:after="0"/>
              <w:ind w:left="0" w:right="0" w:hanging="0"/>
              <w:jc w:val="left"/>
              <w:rPr>
                <w:rFonts w:ascii="helvetica" w:hAnsi="helvetica"/>
                <w:sz w:val="20"/>
              </w:rPr>
            </w:pPr>
            <w:r>
              <w:rPr>
                <w:rFonts w:ascii="helvetica" w:hAnsi="helvetica"/>
                <w:sz w:val="20"/>
              </w:rPr>
              <w:t>24.1**</w:t>
            </w:r>
          </w:p>
        </w:tc>
        <w:tc>
          <w:tcPr>
            <w:tcW w:w="203" w:type="dxa"/>
            <w:tcBorders/>
            <w:shd w:fill="CCEEFF" w:val="clear"/>
          </w:tcPr>
          <w:p>
            <w:pPr>
              <w:pStyle w:val="TableContents"/>
              <w:spacing w:before="0" w:after="283"/>
              <w:ind w:left="0" w:right="0" w:hanging="0"/>
              <w:jc w:val="left"/>
              <w:rPr/>
            </w:pPr>
            <w:r>
              <w:rPr/>
              <w:t> </w:t>
            </w:r>
          </w:p>
        </w:tc>
        <w:tc>
          <w:tcPr>
            <w:tcW w:w="9186" w:type="dxa"/>
            <w:tcBorders/>
            <w:shd w:fill="CCEEFF" w:val="clear"/>
          </w:tcPr>
          <w:p>
            <w:pPr>
              <w:pStyle w:val="TableContents"/>
              <w:spacing w:before="0" w:after="0"/>
              <w:ind w:left="0" w:right="0" w:hanging="0"/>
              <w:jc w:val="left"/>
              <w:rPr>
                <w:rFonts w:ascii="helvetica" w:hAnsi="helvetica"/>
                <w:sz w:val="20"/>
              </w:rPr>
            </w:pPr>
            <w:r>
              <w:rPr>
                <w:rFonts w:ascii="helvetica" w:hAnsi="helvetica"/>
                <w:sz w:val="20"/>
              </w:rPr>
              <w:t>Power of Attorney (contained on the signature page)</w:t>
            </w:r>
          </w:p>
        </w:tc>
      </w:tr>
    </w:tbl>
    <w:p>
      <w:pPr>
        <w:pStyle w:val="TextBody"/>
        <w:spacing w:before="0" w:after="0"/>
        <w:jc w:val="both"/>
        <w:rPr/>
      </w:pPr>
      <w:r>
        <w:rPr/>
        <w:t> </w:t>
      </w:r>
    </w:p>
    <w:tbl>
      <w:tblPr>
        <w:tblW w:w="5000" w:type="pct"/>
        <w:jc w:val="center"/>
        <w:tblInd w:w="0" w:type="dxa"/>
        <w:tblCellMar>
          <w:top w:w="0" w:type="dxa"/>
          <w:left w:w="0" w:type="dxa"/>
          <w:bottom w:w="0" w:type="dxa"/>
          <w:right w:w="0" w:type="dxa"/>
        </w:tblCellMar>
      </w:tblPr>
      <w:tblGrid>
        <w:gridCol w:w="815"/>
        <w:gridCol w:w="203"/>
        <w:gridCol w:w="9187"/>
      </w:tblGrid>
      <w:tr>
        <w:trPr/>
        <w:tc>
          <w:tcPr>
            <w:tcW w:w="815" w:type="dxa"/>
            <w:tcBorders/>
            <w:shd w:fill="CCEEFF" w:val="clear"/>
          </w:tcPr>
          <w:p>
            <w:pPr>
              <w:pStyle w:val="TableContents"/>
              <w:spacing w:before="0" w:after="0"/>
              <w:ind w:left="0" w:right="0" w:hanging="0"/>
              <w:jc w:val="left"/>
              <w:rPr>
                <w:rFonts w:ascii="helvetica" w:hAnsi="helvetica"/>
                <w:sz w:val="20"/>
              </w:rPr>
            </w:pPr>
            <w:r>
              <w:rPr>
                <w:rFonts w:ascii="helvetica" w:hAnsi="helvetica"/>
                <w:sz w:val="20"/>
              </w:rPr>
              <w:t>101.INS++*</w:t>
            </w:r>
          </w:p>
        </w:tc>
        <w:tc>
          <w:tcPr>
            <w:tcW w:w="203" w:type="dxa"/>
            <w:tcBorders/>
            <w:shd w:fill="CCEEFF" w:val="clear"/>
            <w:vAlign w:val="bottom"/>
          </w:tcPr>
          <w:p>
            <w:pPr>
              <w:pStyle w:val="TableContents"/>
              <w:spacing w:before="0" w:after="283"/>
              <w:ind w:left="0" w:right="0" w:hanging="0"/>
              <w:rPr/>
            </w:pPr>
            <w:r>
              <w:rPr/>
              <w:t xml:space="preserve">  </w:t>
            </w:r>
          </w:p>
        </w:tc>
        <w:tc>
          <w:tcPr>
            <w:tcW w:w="9187" w:type="dxa"/>
            <w:tcBorders/>
            <w:shd w:fill="CCEEFF" w:val="clear"/>
          </w:tcPr>
          <w:p>
            <w:pPr>
              <w:pStyle w:val="TableContents"/>
              <w:spacing w:before="0" w:after="0"/>
              <w:ind w:left="0" w:right="0" w:hanging="0"/>
              <w:jc w:val="left"/>
              <w:rPr>
                <w:rFonts w:ascii="helvetica" w:hAnsi="helvetica"/>
                <w:sz w:val="20"/>
              </w:rPr>
            </w:pPr>
            <w:r>
              <w:rPr>
                <w:rFonts w:ascii="helvetica" w:hAnsi="helvetica"/>
                <w:sz w:val="20"/>
              </w:rPr>
              <w:t>XBRL Instant Document</w:t>
            </w:r>
          </w:p>
        </w:tc>
      </w:tr>
      <w:tr>
        <w:trPr/>
        <w:tc>
          <w:tcPr>
            <w:tcW w:w="815" w:type="dxa"/>
            <w:tcBorders/>
            <w:shd w:fill="FFFFFF" w:val="clear"/>
          </w:tcPr>
          <w:p>
            <w:pPr>
              <w:pStyle w:val="TableContents"/>
              <w:spacing w:before="0" w:after="283"/>
              <w:ind w:left="0" w:right="0" w:hanging="0"/>
              <w:jc w:val="left"/>
              <w:rPr/>
            </w:pPr>
            <w:r>
              <w:rPr/>
              <w:t> </w:t>
            </w:r>
          </w:p>
        </w:tc>
        <w:tc>
          <w:tcPr>
            <w:tcW w:w="203" w:type="dxa"/>
            <w:tcBorders/>
            <w:shd w:fill="FFFFFF" w:val="clear"/>
            <w:vAlign w:val="bottom"/>
          </w:tcPr>
          <w:p>
            <w:pPr>
              <w:pStyle w:val="TableContents"/>
              <w:spacing w:before="0" w:after="283"/>
              <w:jc w:val="left"/>
              <w:rPr/>
            </w:pPr>
            <w:r>
              <w:rPr/>
              <w:t> </w:t>
            </w:r>
          </w:p>
        </w:tc>
        <w:tc>
          <w:tcPr>
            <w:tcW w:w="9187" w:type="dxa"/>
            <w:tcBorders/>
            <w:shd w:fill="FFFFFF" w:val="clear"/>
          </w:tcPr>
          <w:p>
            <w:pPr>
              <w:pStyle w:val="TableContents"/>
              <w:spacing w:before="0" w:after="283"/>
              <w:jc w:val="left"/>
              <w:rPr/>
            </w:pPr>
            <w:r>
              <w:rPr/>
              <w:t> </w:t>
            </w:r>
          </w:p>
        </w:tc>
      </w:tr>
      <w:tr>
        <w:trPr/>
        <w:tc>
          <w:tcPr>
            <w:tcW w:w="815" w:type="dxa"/>
            <w:tcBorders/>
            <w:shd w:fill="CCEEFF" w:val="clear"/>
          </w:tcPr>
          <w:p>
            <w:pPr>
              <w:pStyle w:val="TableContents"/>
              <w:spacing w:before="0" w:after="0"/>
              <w:ind w:left="0" w:right="0" w:hanging="0"/>
              <w:jc w:val="left"/>
              <w:rPr>
                <w:rFonts w:ascii="helvetica" w:hAnsi="helvetica"/>
                <w:sz w:val="20"/>
              </w:rPr>
            </w:pPr>
            <w:r>
              <w:rPr>
                <w:rFonts w:ascii="helvetica" w:hAnsi="helvetica"/>
                <w:sz w:val="20"/>
              </w:rPr>
              <w:t>101.SCH++*</w:t>
            </w:r>
          </w:p>
        </w:tc>
        <w:tc>
          <w:tcPr>
            <w:tcW w:w="203" w:type="dxa"/>
            <w:tcBorders/>
            <w:shd w:fill="CCEEFF" w:val="clear"/>
            <w:vAlign w:val="bottom"/>
          </w:tcPr>
          <w:p>
            <w:pPr>
              <w:pStyle w:val="TableContents"/>
              <w:spacing w:before="0" w:after="283"/>
              <w:ind w:left="0" w:right="0" w:hanging="0"/>
              <w:jc w:val="left"/>
              <w:rPr/>
            </w:pPr>
            <w:r>
              <w:rPr/>
              <w:t xml:space="preserve">  </w:t>
            </w:r>
          </w:p>
        </w:tc>
        <w:tc>
          <w:tcPr>
            <w:tcW w:w="9187" w:type="dxa"/>
            <w:tcBorders/>
            <w:shd w:fill="CCEEFF" w:val="clear"/>
          </w:tcPr>
          <w:p>
            <w:pPr>
              <w:pStyle w:val="TableContents"/>
              <w:spacing w:before="0" w:after="0"/>
              <w:ind w:left="0" w:right="0" w:hanging="0"/>
              <w:jc w:val="left"/>
              <w:rPr>
                <w:rFonts w:ascii="helvetica" w:hAnsi="helvetica"/>
                <w:sz w:val="20"/>
              </w:rPr>
            </w:pPr>
            <w:r>
              <w:rPr>
                <w:rFonts w:ascii="helvetica" w:hAnsi="helvetica"/>
                <w:sz w:val="20"/>
              </w:rPr>
              <w:t>XBRL Taxonomy Extension Schema Document</w:t>
            </w:r>
          </w:p>
        </w:tc>
      </w:tr>
      <w:tr>
        <w:trPr/>
        <w:tc>
          <w:tcPr>
            <w:tcW w:w="815" w:type="dxa"/>
            <w:tcBorders/>
            <w:shd w:fill="FFFFFF" w:val="clear"/>
          </w:tcPr>
          <w:p>
            <w:pPr>
              <w:pStyle w:val="TableContents"/>
              <w:spacing w:before="0" w:after="283"/>
              <w:ind w:left="0" w:right="0" w:hanging="0"/>
              <w:jc w:val="left"/>
              <w:rPr/>
            </w:pPr>
            <w:r>
              <w:rPr/>
              <w:t> </w:t>
            </w:r>
          </w:p>
        </w:tc>
        <w:tc>
          <w:tcPr>
            <w:tcW w:w="203" w:type="dxa"/>
            <w:tcBorders/>
            <w:shd w:fill="FFFFFF" w:val="clear"/>
            <w:vAlign w:val="bottom"/>
          </w:tcPr>
          <w:p>
            <w:pPr>
              <w:pStyle w:val="TableContents"/>
              <w:spacing w:before="0" w:after="283"/>
              <w:jc w:val="left"/>
              <w:rPr/>
            </w:pPr>
            <w:r>
              <w:rPr/>
              <w:t> </w:t>
            </w:r>
          </w:p>
        </w:tc>
        <w:tc>
          <w:tcPr>
            <w:tcW w:w="9187" w:type="dxa"/>
            <w:tcBorders/>
            <w:shd w:fill="FFFFFF" w:val="clear"/>
          </w:tcPr>
          <w:p>
            <w:pPr>
              <w:pStyle w:val="TableContents"/>
              <w:spacing w:before="0" w:after="283"/>
              <w:jc w:val="left"/>
              <w:rPr/>
            </w:pPr>
            <w:r>
              <w:rPr/>
              <w:t> </w:t>
            </w:r>
          </w:p>
        </w:tc>
      </w:tr>
      <w:tr>
        <w:trPr/>
        <w:tc>
          <w:tcPr>
            <w:tcW w:w="815" w:type="dxa"/>
            <w:tcBorders/>
            <w:shd w:fill="CCEEFF" w:val="clear"/>
          </w:tcPr>
          <w:p>
            <w:pPr>
              <w:pStyle w:val="TableContents"/>
              <w:spacing w:before="0" w:after="0"/>
              <w:ind w:left="0" w:right="0" w:hanging="0"/>
              <w:jc w:val="left"/>
              <w:rPr>
                <w:rFonts w:ascii="helvetica" w:hAnsi="helvetica"/>
                <w:sz w:val="20"/>
              </w:rPr>
            </w:pPr>
            <w:r>
              <w:rPr>
                <w:rFonts w:ascii="helvetica" w:hAnsi="helvetica"/>
                <w:sz w:val="20"/>
              </w:rPr>
              <w:t>101.CAL++*</w:t>
            </w:r>
          </w:p>
        </w:tc>
        <w:tc>
          <w:tcPr>
            <w:tcW w:w="203" w:type="dxa"/>
            <w:tcBorders/>
            <w:shd w:fill="CCEEFF" w:val="clear"/>
            <w:vAlign w:val="bottom"/>
          </w:tcPr>
          <w:p>
            <w:pPr>
              <w:pStyle w:val="TableContents"/>
              <w:spacing w:before="0" w:after="283"/>
              <w:ind w:left="0" w:right="0" w:hanging="0"/>
              <w:rPr/>
            </w:pPr>
            <w:r>
              <w:rPr/>
              <w:t xml:space="preserve">  </w:t>
            </w:r>
          </w:p>
        </w:tc>
        <w:tc>
          <w:tcPr>
            <w:tcW w:w="9187" w:type="dxa"/>
            <w:tcBorders/>
            <w:shd w:fill="CCEEFF" w:val="clear"/>
          </w:tcPr>
          <w:p>
            <w:pPr>
              <w:pStyle w:val="TableContents"/>
              <w:spacing w:before="0" w:after="0"/>
              <w:ind w:left="0" w:right="0" w:hanging="0"/>
              <w:jc w:val="left"/>
              <w:rPr>
                <w:rFonts w:ascii="helvetica" w:hAnsi="helvetica"/>
                <w:sz w:val="20"/>
              </w:rPr>
            </w:pPr>
            <w:r>
              <w:rPr>
                <w:rFonts w:ascii="helvetica" w:hAnsi="helvetica"/>
                <w:sz w:val="20"/>
              </w:rPr>
              <w:t>XBRL Taxonomy Extension Calculation Linkbase Document</w:t>
            </w:r>
          </w:p>
        </w:tc>
      </w:tr>
      <w:tr>
        <w:trPr/>
        <w:tc>
          <w:tcPr>
            <w:tcW w:w="815" w:type="dxa"/>
            <w:tcBorders/>
            <w:shd w:fill="FFFFFF" w:val="clear"/>
          </w:tcPr>
          <w:p>
            <w:pPr>
              <w:pStyle w:val="TableContents"/>
              <w:spacing w:before="0" w:after="283"/>
              <w:jc w:val="left"/>
              <w:rPr/>
            </w:pPr>
            <w:r>
              <w:rPr/>
              <w:t> </w:t>
            </w:r>
          </w:p>
        </w:tc>
        <w:tc>
          <w:tcPr>
            <w:tcW w:w="203" w:type="dxa"/>
            <w:tcBorders/>
            <w:shd w:fill="FFFFFF" w:val="clear"/>
            <w:vAlign w:val="bottom"/>
          </w:tcPr>
          <w:p>
            <w:pPr>
              <w:pStyle w:val="TableContents"/>
              <w:spacing w:before="0" w:after="283"/>
              <w:rPr/>
            </w:pPr>
            <w:r>
              <w:rPr/>
              <w:t> </w:t>
            </w:r>
          </w:p>
        </w:tc>
        <w:tc>
          <w:tcPr>
            <w:tcW w:w="9187" w:type="dxa"/>
            <w:tcBorders/>
            <w:shd w:fill="FFFFFF" w:val="clear"/>
          </w:tcPr>
          <w:p>
            <w:pPr>
              <w:pStyle w:val="TableContents"/>
              <w:spacing w:before="0" w:after="283"/>
              <w:jc w:val="left"/>
              <w:rPr/>
            </w:pPr>
            <w:r>
              <w:rPr/>
              <w:t> </w:t>
            </w:r>
          </w:p>
        </w:tc>
      </w:tr>
      <w:tr>
        <w:trPr/>
        <w:tc>
          <w:tcPr>
            <w:tcW w:w="815" w:type="dxa"/>
            <w:tcBorders/>
            <w:shd w:fill="CCEEFF" w:val="clear"/>
          </w:tcPr>
          <w:p>
            <w:pPr>
              <w:pStyle w:val="TableContents"/>
              <w:spacing w:before="0" w:after="0"/>
              <w:ind w:left="0" w:right="0" w:hanging="0"/>
              <w:jc w:val="left"/>
              <w:rPr>
                <w:rFonts w:ascii="helvetica" w:hAnsi="helvetica"/>
                <w:sz w:val="20"/>
              </w:rPr>
            </w:pPr>
            <w:r>
              <w:rPr>
                <w:rFonts w:ascii="helvetica" w:hAnsi="helvetica"/>
                <w:sz w:val="20"/>
              </w:rPr>
              <w:t>101.DEF++*</w:t>
            </w:r>
          </w:p>
        </w:tc>
        <w:tc>
          <w:tcPr>
            <w:tcW w:w="203" w:type="dxa"/>
            <w:tcBorders/>
            <w:shd w:fill="CCEEFF" w:val="clear"/>
            <w:vAlign w:val="bottom"/>
          </w:tcPr>
          <w:p>
            <w:pPr>
              <w:pStyle w:val="TableContents"/>
              <w:spacing w:before="0" w:after="283"/>
              <w:ind w:left="0" w:right="0" w:hanging="0"/>
              <w:rPr/>
            </w:pPr>
            <w:r>
              <w:rPr/>
              <w:t xml:space="preserve">  </w:t>
            </w:r>
          </w:p>
        </w:tc>
        <w:tc>
          <w:tcPr>
            <w:tcW w:w="9187" w:type="dxa"/>
            <w:tcBorders/>
            <w:shd w:fill="CCEEFF" w:val="clear"/>
          </w:tcPr>
          <w:p>
            <w:pPr>
              <w:pStyle w:val="TableContents"/>
              <w:spacing w:before="0" w:after="0"/>
              <w:ind w:left="0" w:right="0" w:hanging="0"/>
              <w:jc w:val="left"/>
              <w:rPr>
                <w:rFonts w:ascii="helvetica" w:hAnsi="helvetica"/>
                <w:sz w:val="20"/>
              </w:rPr>
            </w:pPr>
            <w:r>
              <w:rPr>
                <w:rFonts w:ascii="helvetica" w:hAnsi="helvetica"/>
                <w:sz w:val="20"/>
              </w:rPr>
              <w:t>XBRL Taxonomy Extension Definition Linkbase Document</w:t>
            </w:r>
          </w:p>
        </w:tc>
      </w:tr>
      <w:tr>
        <w:trPr/>
        <w:tc>
          <w:tcPr>
            <w:tcW w:w="815" w:type="dxa"/>
            <w:tcBorders/>
            <w:shd w:fill="FFFFFF" w:val="clear"/>
          </w:tcPr>
          <w:p>
            <w:pPr>
              <w:pStyle w:val="TableContents"/>
              <w:spacing w:before="0" w:after="283"/>
              <w:jc w:val="left"/>
              <w:rPr/>
            </w:pPr>
            <w:r>
              <w:rPr/>
              <w:t> </w:t>
            </w:r>
          </w:p>
        </w:tc>
        <w:tc>
          <w:tcPr>
            <w:tcW w:w="203" w:type="dxa"/>
            <w:tcBorders/>
            <w:shd w:fill="FFFFFF" w:val="clear"/>
            <w:vAlign w:val="bottom"/>
          </w:tcPr>
          <w:p>
            <w:pPr>
              <w:pStyle w:val="TableContents"/>
              <w:spacing w:before="0" w:after="283"/>
              <w:rPr/>
            </w:pPr>
            <w:r>
              <w:rPr/>
              <w:t> </w:t>
            </w:r>
          </w:p>
        </w:tc>
        <w:tc>
          <w:tcPr>
            <w:tcW w:w="9187" w:type="dxa"/>
            <w:tcBorders/>
            <w:shd w:fill="FFFFFF" w:val="clear"/>
          </w:tcPr>
          <w:p>
            <w:pPr>
              <w:pStyle w:val="TableContents"/>
              <w:spacing w:before="0" w:after="283"/>
              <w:jc w:val="left"/>
              <w:rPr/>
            </w:pPr>
            <w:r>
              <w:rPr/>
              <w:t> </w:t>
            </w:r>
          </w:p>
        </w:tc>
      </w:tr>
      <w:tr>
        <w:trPr/>
        <w:tc>
          <w:tcPr>
            <w:tcW w:w="815" w:type="dxa"/>
            <w:tcBorders/>
            <w:shd w:fill="CCEEFF" w:val="clear"/>
          </w:tcPr>
          <w:p>
            <w:pPr>
              <w:pStyle w:val="TableContents"/>
              <w:spacing w:before="0" w:after="0"/>
              <w:ind w:left="0" w:right="0" w:hanging="0"/>
              <w:jc w:val="left"/>
              <w:rPr>
                <w:rFonts w:ascii="helvetica" w:hAnsi="helvetica"/>
                <w:sz w:val="20"/>
              </w:rPr>
            </w:pPr>
            <w:r>
              <w:rPr>
                <w:rFonts w:ascii="helvetica" w:hAnsi="helvetica"/>
                <w:sz w:val="20"/>
              </w:rPr>
              <w:t>101.LAB++*</w:t>
            </w:r>
          </w:p>
        </w:tc>
        <w:tc>
          <w:tcPr>
            <w:tcW w:w="203" w:type="dxa"/>
            <w:tcBorders/>
            <w:shd w:fill="CCEEFF" w:val="clear"/>
            <w:vAlign w:val="bottom"/>
          </w:tcPr>
          <w:p>
            <w:pPr>
              <w:pStyle w:val="TableContents"/>
              <w:spacing w:before="0" w:after="283"/>
              <w:ind w:left="0" w:right="0" w:hanging="0"/>
              <w:rPr/>
            </w:pPr>
            <w:r>
              <w:rPr/>
              <w:t xml:space="preserve">  </w:t>
            </w:r>
          </w:p>
        </w:tc>
        <w:tc>
          <w:tcPr>
            <w:tcW w:w="9187" w:type="dxa"/>
            <w:tcBorders/>
            <w:shd w:fill="CCEEFF" w:val="clear"/>
          </w:tcPr>
          <w:p>
            <w:pPr>
              <w:pStyle w:val="TableContents"/>
              <w:spacing w:before="0" w:after="0"/>
              <w:ind w:left="0" w:right="0" w:hanging="0"/>
              <w:jc w:val="left"/>
              <w:rPr>
                <w:rFonts w:ascii="helvetica" w:hAnsi="helvetica"/>
                <w:sz w:val="20"/>
              </w:rPr>
            </w:pPr>
            <w:r>
              <w:rPr>
                <w:rFonts w:ascii="helvetica" w:hAnsi="helvetica"/>
                <w:sz w:val="20"/>
              </w:rPr>
              <w:t>XBRL Taxonomy Extension Label Linkbase Document</w:t>
            </w:r>
          </w:p>
        </w:tc>
      </w:tr>
      <w:tr>
        <w:trPr/>
        <w:tc>
          <w:tcPr>
            <w:tcW w:w="815" w:type="dxa"/>
            <w:tcBorders/>
            <w:shd w:fill="FFFFFF" w:val="clear"/>
          </w:tcPr>
          <w:p>
            <w:pPr>
              <w:pStyle w:val="TableContents"/>
              <w:spacing w:before="0" w:after="283"/>
              <w:jc w:val="left"/>
              <w:rPr/>
            </w:pPr>
            <w:r>
              <w:rPr/>
              <w:t> </w:t>
            </w:r>
          </w:p>
        </w:tc>
        <w:tc>
          <w:tcPr>
            <w:tcW w:w="203" w:type="dxa"/>
            <w:tcBorders/>
            <w:shd w:fill="FFFFFF" w:val="clear"/>
            <w:vAlign w:val="bottom"/>
          </w:tcPr>
          <w:p>
            <w:pPr>
              <w:pStyle w:val="TableContents"/>
              <w:spacing w:before="0" w:after="283"/>
              <w:rPr/>
            </w:pPr>
            <w:r>
              <w:rPr/>
              <w:t> </w:t>
            </w:r>
          </w:p>
        </w:tc>
        <w:tc>
          <w:tcPr>
            <w:tcW w:w="9187" w:type="dxa"/>
            <w:tcBorders/>
            <w:shd w:fill="FFFFFF" w:val="clear"/>
          </w:tcPr>
          <w:p>
            <w:pPr>
              <w:pStyle w:val="TableContents"/>
              <w:spacing w:before="0" w:after="283"/>
              <w:jc w:val="left"/>
              <w:rPr/>
            </w:pPr>
            <w:r>
              <w:rPr/>
              <w:t> </w:t>
            </w:r>
          </w:p>
        </w:tc>
      </w:tr>
      <w:tr>
        <w:trPr/>
        <w:tc>
          <w:tcPr>
            <w:tcW w:w="815" w:type="dxa"/>
            <w:tcBorders/>
            <w:shd w:fill="CCEEFF" w:val="clear"/>
          </w:tcPr>
          <w:p>
            <w:pPr>
              <w:pStyle w:val="TableContents"/>
              <w:spacing w:before="0" w:after="0"/>
              <w:ind w:left="0" w:right="0" w:hanging="0"/>
              <w:jc w:val="left"/>
              <w:rPr>
                <w:rFonts w:ascii="helvetica" w:hAnsi="helvetica"/>
                <w:sz w:val="20"/>
              </w:rPr>
            </w:pPr>
            <w:r>
              <w:rPr>
                <w:rFonts w:ascii="helvetica" w:hAnsi="helvetica"/>
                <w:sz w:val="20"/>
              </w:rPr>
              <w:t>101.PRE++*</w:t>
            </w:r>
          </w:p>
        </w:tc>
        <w:tc>
          <w:tcPr>
            <w:tcW w:w="203" w:type="dxa"/>
            <w:tcBorders/>
            <w:shd w:fill="CCEEFF" w:val="clear"/>
            <w:vAlign w:val="bottom"/>
          </w:tcPr>
          <w:p>
            <w:pPr>
              <w:pStyle w:val="TableContents"/>
              <w:spacing w:before="0" w:after="283"/>
              <w:ind w:left="0" w:right="0" w:hanging="0"/>
              <w:rPr/>
            </w:pPr>
            <w:r>
              <w:rPr/>
              <w:t xml:space="preserve">  </w:t>
            </w:r>
          </w:p>
        </w:tc>
        <w:tc>
          <w:tcPr>
            <w:tcW w:w="9187" w:type="dxa"/>
            <w:tcBorders/>
            <w:shd w:fill="CCEEFF" w:val="clear"/>
          </w:tcPr>
          <w:p>
            <w:pPr>
              <w:pStyle w:val="TableContents"/>
              <w:spacing w:before="0" w:after="0"/>
              <w:ind w:left="0" w:right="0" w:hanging="0"/>
              <w:jc w:val="left"/>
              <w:rPr>
                <w:rFonts w:ascii="helvetica" w:hAnsi="helvetica"/>
                <w:sz w:val="20"/>
              </w:rPr>
            </w:pPr>
            <w:r>
              <w:rPr>
                <w:rFonts w:ascii="helvetica" w:hAnsi="helvetica"/>
                <w:sz w:val="20"/>
              </w:rPr>
              <w:t>XBRL Taxonomy Extension Presentation Linkbase Document</w:t>
            </w:r>
          </w:p>
        </w:tc>
      </w:tr>
    </w:tbl>
    <w:p>
      <w:pPr>
        <w:pStyle w:val="TextBody"/>
        <w:spacing w:before="0" w:after="0"/>
        <w:jc w:val="both"/>
        <w:rPr/>
      </w:pPr>
      <w:r>
        <w:rPr/>
        <w:t> </w:t>
      </w:r>
    </w:p>
    <w:tbl>
      <w:tblPr>
        <w:tblW w:w="5000" w:type="pct"/>
        <w:jc w:val="left"/>
        <w:tblInd w:w="0" w:type="dxa"/>
        <w:tblCellMar>
          <w:top w:w="0" w:type="dxa"/>
          <w:left w:w="0" w:type="dxa"/>
          <w:bottom w:w="0" w:type="dxa"/>
          <w:right w:w="0" w:type="dxa"/>
        </w:tblCellMar>
      </w:tblPr>
      <w:tblGrid>
        <w:gridCol w:w="210"/>
        <w:gridCol w:w="9574"/>
        <w:gridCol w:w="421"/>
      </w:tblGrid>
      <w:tr>
        <w:trPr/>
        <w:tc>
          <w:tcPr>
            <w:tcW w:w="210" w:type="dxa"/>
            <w:tcBorders/>
            <w:shd w:fill="auto" w:val="clear"/>
          </w:tcPr>
          <w:p>
            <w:pPr>
              <w:pStyle w:val="TableContents"/>
              <w:spacing w:before="0" w:after="0"/>
              <w:ind w:left="720" w:right="0" w:hanging="720"/>
              <w:jc w:val="left"/>
              <w:rPr/>
            </w:pPr>
            <w:r>
              <w:rPr/>
              <w:t>†</w:t>
            </w:r>
          </w:p>
        </w:tc>
        <w:tc>
          <w:tcPr>
            <w:tcW w:w="9574" w:type="dxa"/>
            <w:tcBorders/>
            <w:shd w:fill="auto" w:val="clear"/>
          </w:tcPr>
          <w:p>
            <w:pPr>
              <w:pStyle w:val="TableContents"/>
              <w:spacing w:before="0" w:after="0"/>
              <w:ind w:left="180" w:right="0" w:hanging="0"/>
              <w:jc w:val="left"/>
              <w:rPr>
                <w:rFonts w:ascii="helvetica" w:hAnsi="helvetica"/>
                <w:sz w:val="20"/>
              </w:rPr>
            </w:pPr>
            <w:r>
              <w:rPr>
                <w:rFonts w:ascii="helvetica" w:hAnsi="helvetica"/>
                <w:sz w:val="20"/>
              </w:rPr>
              <w:t>To be filed by amendment.</w:t>
            </w:r>
          </w:p>
        </w:tc>
        <w:tc>
          <w:tcPr>
            <w:tcW w:w="421" w:type="dxa"/>
            <w:tcBorders/>
            <w:shd w:fill="auto" w:val="clear"/>
          </w:tcPr>
          <w:p>
            <w:pPr>
              <w:pStyle w:val="TableContents"/>
              <w:spacing w:before="0" w:after="283"/>
              <w:rPr/>
            </w:pPr>
            <w:r>
              <w:rPr/>
              <w:t xml:space="preserve">  </w:t>
            </w:r>
          </w:p>
        </w:tc>
      </w:tr>
      <w:tr>
        <w:trPr/>
        <w:tc>
          <w:tcPr>
            <w:tcW w:w="210" w:type="dxa"/>
            <w:tcBorders/>
            <w:shd w:fill="auto" w:val="clear"/>
          </w:tcPr>
          <w:p>
            <w:pPr>
              <w:pStyle w:val="TableContents"/>
              <w:spacing w:before="0" w:after="0"/>
              <w:ind w:left="720" w:right="0" w:hanging="720"/>
              <w:jc w:val="left"/>
              <w:rPr>
                <w:rFonts w:ascii="helvetica" w:hAnsi="helvetica"/>
                <w:sz w:val="20"/>
              </w:rPr>
            </w:pPr>
            <w:r>
              <w:rPr>
                <w:rFonts w:ascii="helvetica" w:hAnsi="helvetica"/>
                <w:sz w:val="20"/>
              </w:rPr>
              <w:t>*</w:t>
            </w:r>
          </w:p>
        </w:tc>
        <w:tc>
          <w:tcPr>
            <w:tcW w:w="9995" w:type="dxa"/>
            <w:gridSpan w:val="2"/>
            <w:tcBorders/>
            <w:shd w:fill="auto" w:val="clear"/>
          </w:tcPr>
          <w:p>
            <w:pPr>
              <w:pStyle w:val="TableContents"/>
              <w:spacing w:before="0" w:after="0"/>
              <w:ind w:left="180" w:right="0" w:hanging="0"/>
              <w:jc w:val="left"/>
              <w:rPr>
                <w:rFonts w:ascii="helvetica" w:hAnsi="helvetica"/>
                <w:sz w:val="20"/>
              </w:rPr>
            </w:pPr>
            <w:r>
              <w:rPr>
                <w:rFonts w:ascii="helvetica" w:hAnsi="helvetica"/>
                <w:sz w:val="20"/>
              </w:rPr>
              <w:t>Filed herewith</w:t>
            </w:r>
          </w:p>
        </w:tc>
      </w:tr>
      <w:tr>
        <w:trPr/>
        <w:tc>
          <w:tcPr>
            <w:tcW w:w="210" w:type="dxa"/>
            <w:tcBorders/>
            <w:shd w:fill="auto" w:val="clear"/>
          </w:tcPr>
          <w:p>
            <w:pPr>
              <w:pStyle w:val="TableContents"/>
              <w:spacing w:before="0" w:after="0"/>
              <w:ind w:left="720" w:right="0" w:hanging="720"/>
              <w:jc w:val="left"/>
              <w:rPr>
                <w:rFonts w:ascii="helvetica" w:hAnsi="helvetica"/>
                <w:sz w:val="20"/>
              </w:rPr>
            </w:pPr>
            <w:r>
              <w:rPr>
                <w:rFonts w:ascii="helvetica" w:hAnsi="helvetica"/>
                <w:sz w:val="20"/>
              </w:rPr>
              <w:t>#</w:t>
            </w:r>
          </w:p>
        </w:tc>
        <w:tc>
          <w:tcPr>
            <w:tcW w:w="9995" w:type="dxa"/>
            <w:gridSpan w:val="2"/>
            <w:tcBorders/>
            <w:shd w:fill="auto" w:val="clear"/>
          </w:tcPr>
          <w:p>
            <w:pPr>
              <w:pStyle w:val="TableContents"/>
              <w:spacing w:before="0" w:after="0"/>
              <w:ind w:left="180" w:right="0" w:hanging="0"/>
              <w:jc w:val="left"/>
              <w:rPr>
                <w:rFonts w:ascii="helvetica" w:hAnsi="helvetica"/>
                <w:sz w:val="20"/>
              </w:rPr>
            </w:pPr>
            <w:r>
              <w:rPr>
                <w:rFonts w:ascii="helvetica" w:hAnsi="helvetica"/>
                <w:sz w:val="20"/>
              </w:rPr>
              <w:t>Management contract or compensatory plan or arrangement.</w:t>
            </w:r>
          </w:p>
        </w:tc>
      </w:tr>
      <w:tr>
        <w:trPr/>
        <w:tc>
          <w:tcPr>
            <w:tcW w:w="210" w:type="dxa"/>
            <w:tcBorders/>
            <w:shd w:fill="auto" w:val="clear"/>
          </w:tcPr>
          <w:p>
            <w:pPr>
              <w:pStyle w:val="TableContents"/>
              <w:spacing w:before="0" w:after="0"/>
              <w:ind w:left="720" w:right="0" w:hanging="720"/>
              <w:jc w:val="left"/>
              <w:rPr>
                <w:rFonts w:ascii="helvetica" w:hAnsi="helvetica"/>
                <w:sz w:val="20"/>
              </w:rPr>
            </w:pPr>
            <w:r>
              <w:rPr>
                <w:rFonts w:ascii="helvetica" w:hAnsi="helvetica"/>
                <w:sz w:val="20"/>
              </w:rPr>
              <w:t>++</w:t>
            </w:r>
          </w:p>
        </w:tc>
        <w:tc>
          <w:tcPr>
            <w:tcW w:w="9995" w:type="dxa"/>
            <w:gridSpan w:val="2"/>
            <w:tcBorders/>
            <w:shd w:fill="auto" w:val="clear"/>
          </w:tcPr>
          <w:p>
            <w:pPr>
              <w:pStyle w:val="TableContents"/>
              <w:spacing w:before="0" w:after="0"/>
              <w:ind w:left="180" w:right="0" w:hanging="0"/>
              <w:jc w:val="both"/>
              <w:rPr>
                <w:rFonts w:ascii="helvetica" w:hAnsi="helvetica"/>
                <w:sz w:val="20"/>
              </w:rPr>
            </w:pPr>
            <w:r>
              <w:rPr>
                <w:rFonts w:ascii="helvetica" w:hAnsi="helvetica"/>
                <w:sz w:val="20"/>
              </w:rPr>
              <w:t>XBRL (Extensible Business Reporting Language) information is furnished and not filed or a part of a registration statement or prospectus for purposes of Sections 11 or 12 of the Securities Act of 1933, as amended, is deemed not filed for purposes of Section 18 of the Securities Exchange Act of 1934, as amended, and is not otherwise subject to liability under these Sections.</w:t>
            </w:r>
          </w:p>
        </w:tc>
      </w:tr>
      <w:tr>
        <w:trPr/>
        <w:tc>
          <w:tcPr>
            <w:tcW w:w="210" w:type="dxa"/>
            <w:tcBorders/>
            <w:shd w:fill="auto" w:val="clear"/>
          </w:tcPr>
          <w:p>
            <w:pPr>
              <w:pStyle w:val="TableContents"/>
              <w:spacing w:before="0" w:after="283"/>
              <w:jc w:val="left"/>
              <w:rPr>
                <w:rFonts w:ascii="helvetica" w:hAnsi="helvetica"/>
                <w:sz w:val="20"/>
              </w:rPr>
            </w:pPr>
            <w:r>
              <w:rPr>
                <w:rFonts w:ascii="helvetica" w:hAnsi="helvetica"/>
                <w:sz w:val="20"/>
              </w:rPr>
              <w:t xml:space="preserve">** </w:t>
            </w:r>
          </w:p>
        </w:tc>
        <w:tc>
          <w:tcPr>
            <w:tcW w:w="9995" w:type="dxa"/>
            <w:gridSpan w:val="2"/>
            <w:tcBorders/>
            <w:shd w:fill="auto" w:val="clear"/>
          </w:tcPr>
          <w:p>
            <w:pPr>
              <w:pStyle w:val="TableContents"/>
              <w:spacing w:before="0" w:after="283"/>
              <w:jc w:val="both"/>
              <w:rPr/>
            </w:pPr>
            <w:r>
              <w:rPr/>
              <w:t>   </w:t>
            </w:r>
            <w:r>
              <w:rPr>
                <w:rFonts w:ascii="helvetica" w:hAnsi="helvetica"/>
                <w:sz w:val="20"/>
              </w:rPr>
              <w:t>Previously Filed</w:t>
            </w:r>
          </w:p>
        </w:tc>
      </w:tr>
    </w:tbl>
    <w:p>
      <w:pPr>
        <w:pStyle w:val="TextBody"/>
        <w:spacing w:before="0" w:after="0"/>
        <w:ind w:left="0" w:right="0" w:hanging="0"/>
        <w:jc w:val="both"/>
        <w:rPr/>
      </w:pPr>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r>
      <w:bookmarkStart w:id="1400" w:name="PGBRK122"/>
      <w:bookmarkStart w:id="1401" w:name="PGBRK122"/>
      <w:bookmarkEnd w:id="140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402" w:name="FTR122"/>
      <w:bookmarkStart w:id="1403" w:name="FTR122"/>
      <w:bookmarkEnd w:id="140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1404" w:name="GLFTR121"/>
      <w:bookmarkEnd w:id="1404"/>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helvetica" w:hAnsi="helvetica"/>
          <w:sz w:val="20"/>
        </w:rPr>
      </w:pPr>
      <w:bookmarkStart w:id="1405" w:name="PN121"/>
      <w:bookmarkEnd w:id="1405"/>
      <w:r>
        <w:rPr>
          <w:rFonts w:ascii="helvetica" w:hAnsi="helvetica"/>
          <w:sz w:val="20"/>
        </w:rPr>
        <w:t>II-7</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406" w:name="HDR121"/>
      <w:bookmarkStart w:id="1407" w:name="HDR121"/>
      <w:bookmarkEnd w:id="140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1408" w:name="GLHDR121"/>
      <w:bookmarkEnd w:id="1408"/>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t> </w:t>
      </w:r>
    </w:p>
    <w:p>
      <w:pPr>
        <w:pStyle w:val="TextBody"/>
        <w:spacing w:before="0" w:after="0"/>
        <w:ind w:left="0" w:right="0" w:hanging="0"/>
        <w:rPr>
          <w:rFonts w:ascii="helvetica" w:hAnsi="helvetica"/>
          <w:b/>
          <w:sz w:val="20"/>
        </w:rPr>
      </w:pPr>
      <w:r>
        <w:rPr>
          <w:rFonts w:ascii="helvetica" w:hAnsi="helvetica"/>
          <w:b/>
          <w:sz w:val="20"/>
        </w:rPr>
        <w:t>ITEM 17. UNDERTAKINGS.</w:t>
      </w:r>
    </w:p>
    <w:p>
      <w:pPr>
        <w:pStyle w:val="TextBody"/>
        <w:spacing w:before="0" w:after="0"/>
        <w:ind w:left="0" w:right="0" w:hanging="0"/>
        <w:jc w:val="both"/>
        <w:rPr/>
      </w:pPr>
      <w:r>
        <w:rPr/>
        <w:t> </w:t>
      </w:r>
    </w:p>
    <w:p>
      <w:pPr>
        <w:pStyle w:val="TextBody"/>
        <w:spacing w:before="0" w:after="0"/>
        <w:ind w:left="0" w:right="0" w:firstLine="720"/>
        <w:jc w:val="both"/>
        <w:rPr>
          <w:rFonts w:ascii="helvetica" w:hAnsi="helvetica"/>
          <w:sz w:val="20"/>
        </w:rPr>
      </w:pPr>
      <w:r>
        <w:rPr>
          <w:rFonts w:ascii="helvetica" w:hAnsi="helvetica"/>
          <w:sz w:val="20"/>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Act and will be governed by the final adjudication of such issue.</w:t>
      </w:r>
    </w:p>
    <w:p>
      <w:pPr>
        <w:pStyle w:val="TextBody"/>
        <w:spacing w:before="0" w:after="0"/>
        <w:ind w:left="0" w:right="0" w:hanging="0"/>
        <w:jc w:val="both"/>
        <w:rPr/>
      </w:pPr>
      <w:r>
        <w:rPr/>
        <w:t> </w:t>
      </w:r>
    </w:p>
    <w:p>
      <w:pPr>
        <w:pStyle w:val="TextBody"/>
        <w:spacing w:before="0" w:after="0"/>
        <w:ind w:left="0" w:right="0" w:firstLine="720"/>
        <w:jc w:val="both"/>
        <w:rPr>
          <w:rFonts w:ascii="helvetica" w:hAnsi="helvetica"/>
          <w:sz w:val="20"/>
        </w:rPr>
      </w:pPr>
      <w:r>
        <w:rPr>
          <w:rFonts w:ascii="helvetica" w:hAnsi="helvetica"/>
          <w:sz w:val="20"/>
        </w:rPr>
        <w:t>The undersigned registrant hereby undertakes that:</w:t>
      </w:r>
    </w:p>
    <w:p>
      <w:pPr>
        <w:pStyle w:val="TextBody"/>
        <w:spacing w:before="0" w:after="0"/>
        <w:ind w:left="0" w:right="0" w:hanging="0"/>
        <w:jc w:val="both"/>
        <w:rPr/>
      </w:pPr>
      <w:r>
        <w:rPr/>
        <w:t> </w:t>
      </w:r>
    </w:p>
    <w:p>
      <w:pPr>
        <w:pStyle w:val="TextBody"/>
        <w:spacing w:before="0" w:after="0"/>
        <w:ind w:left="0" w:right="0" w:firstLine="720"/>
        <w:jc w:val="both"/>
        <w:rPr>
          <w:rFonts w:ascii="helvetica" w:hAnsi="helvetica"/>
          <w:sz w:val="20"/>
        </w:rPr>
      </w:pPr>
      <w:r>
        <w:rPr>
          <w:rFonts w:ascii="helvetica" w:hAnsi="helvetica"/>
          <w:sz w:val="20"/>
        </w:rPr>
        <w:t>(1) For purposes of determining any liability under the Securities Act of 1933, the information omitted from the form of prospectus filed as part of this registration statement in reliance upon Rule 430A and contained in a form of prospectus filed by the registrant pursuant to Rule 424(b)(1) or (4) or 497(h) under the Securities Act shall be deemed to be part of this registration statement as of the time it was declared effective.</w:t>
      </w:r>
    </w:p>
    <w:p>
      <w:pPr>
        <w:pStyle w:val="TextBody"/>
        <w:spacing w:before="0" w:after="0"/>
        <w:ind w:left="0" w:right="0" w:hanging="0"/>
        <w:jc w:val="both"/>
        <w:rPr/>
      </w:pPr>
      <w:r>
        <w:rPr/>
        <w:t> </w:t>
      </w:r>
    </w:p>
    <w:p>
      <w:pPr>
        <w:pStyle w:val="TextBody"/>
        <w:spacing w:before="0" w:after="0"/>
        <w:ind w:left="0" w:right="0" w:firstLine="720"/>
        <w:jc w:val="both"/>
        <w:rPr>
          <w:rFonts w:ascii="helvetica" w:hAnsi="helvetica"/>
          <w:sz w:val="20"/>
        </w:rPr>
      </w:pPr>
      <w:r>
        <w:rPr>
          <w:rFonts w:ascii="helvetica" w:hAnsi="helvetica"/>
          <w:sz w:val="20"/>
        </w:rPr>
        <w:t xml:space="preserve">(2) For the purpose of determining any liability under the Securities Act of 1933, each post-effective amendment that contains a form of prospectus shall be deemed to be a new registration statement relating to the securities offered therein, and the offering of such securities at that time shall be deemed to be the initial </w:t>
      </w:r>
      <w:r>
        <w:rPr>
          <w:rFonts w:ascii="helvetica" w:hAnsi="helvetica"/>
          <w:i/>
          <w:sz w:val="20"/>
        </w:rPr>
        <w:t>bona fide</w:t>
      </w:r>
      <w:r>
        <w:rPr>
          <w:rFonts w:ascii="helvetica" w:hAnsi="helvetica"/>
          <w:sz w:val="20"/>
        </w:rPr>
        <w:t xml:space="preserve"> offering thereof.</w:t>
      </w:r>
    </w:p>
    <w:p>
      <w:pPr>
        <w:pStyle w:val="TextBody"/>
        <w:spacing w:before="0" w:after="0"/>
        <w:ind w:left="0" w:right="0" w:firstLine="720"/>
        <w:jc w:val="both"/>
        <w:rPr/>
      </w:pPr>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r>
      <w:bookmarkStart w:id="1409" w:name="PGBRK123"/>
      <w:bookmarkStart w:id="1410" w:name="PGBRK123"/>
      <w:bookmarkEnd w:id="141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411" w:name="FTR123"/>
      <w:bookmarkStart w:id="1412" w:name="FTR123"/>
      <w:bookmarkEnd w:id="141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1413" w:name="GLFTR122"/>
      <w:bookmarkEnd w:id="1413"/>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helvetica" w:hAnsi="helvetica"/>
          <w:sz w:val="20"/>
        </w:rPr>
      </w:pPr>
      <w:bookmarkStart w:id="1414" w:name="PN122"/>
      <w:bookmarkEnd w:id="1414"/>
      <w:r>
        <w:rPr>
          <w:rFonts w:ascii="helvetica" w:hAnsi="helvetica"/>
          <w:sz w:val="20"/>
        </w:rPr>
        <w:t>II-8</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415" w:name="HDR122"/>
      <w:bookmarkStart w:id="1416" w:name="HDR122"/>
      <w:bookmarkEnd w:id="141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1417" w:name="GLHDR122"/>
      <w:bookmarkEnd w:id="1417"/>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t> </w:t>
      </w:r>
    </w:p>
    <w:p>
      <w:pPr>
        <w:pStyle w:val="TextBody"/>
        <w:spacing w:before="0" w:after="0"/>
        <w:ind w:left="0" w:right="0" w:hanging="0"/>
        <w:jc w:val="center"/>
        <w:rPr>
          <w:rFonts w:ascii="helvetica" w:hAnsi="helvetica"/>
          <w:b/>
          <w:sz w:val="20"/>
        </w:rPr>
      </w:pPr>
      <w:r>
        <w:rPr>
          <w:rFonts w:ascii="helvetica" w:hAnsi="helvetica"/>
          <w:b/>
          <w:sz w:val="20"/>
        </w:rPr>
        <w:t>SIGNATURES</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r>
        <w:rPr>
          <w:rFonts w:ascii="helvetica" w:hAnsi="helvetica"/>
          <w:sz w:val="20"/>
        </w:rPr>
        <w:t>Pursuant to the requirements of the Securities Act of 1933, the registrant has duly caused this registration statement to be signed on its behalf by the undersigned, thereunto duly authorized in the City of Solana Beach, State of California, on September 4, 2012.</w:t>
      </w:r>
    </w:p>
    <w:p>
      <w:pPr>
        <w:pStyle w:val="TextBody"/>
        <w:spacing w:before="0" w:after="0"/>
        <w:ind w:left="0" w:right="0" w:hanging="0"/>
        <w:jc w:val="both"/>
        <w:rPr/>
      </w:pPr>
      <w:r>
        <w:rPr/>
        <w:t> </w:t>
      </w:r>
    </w:p>
    <w:tbl>
      <w:tblPr>
        <w:tblW w:w="5000" w:type="pct"/>
        <w:jc w:val="left"/>
        <w:tblInd w:w="0" w:type="dxa"/>
        <w:tblCellMar>
          <w:top w:w="0" w:type="dxa"/>
          <w:left w:w="0" w:type="dxa"/>
          <w:bottom w:w="0" w:type="dxa"/>
          <w:right w:w="0" w:type="dxa"/>
        </w:tblCellMar>
      </w:tblPr>
      <w:tblGrid>
        <w:gridCol w:w="5039"/>
        <w:gridCol w:w="324"/>
        <w:gridCol w:w="3634"/>
        <w:gridCol w:w="1208"/>
      </w:tblGrid>
      <w:tr>
        <w:trPr/>
        <w:tc>
          <w:tcPr>
            <w:tcW w:w="5039" w:type="dxa"/>
            <w:tcBorders/>
            <w:shd w:fill="auto" w:val="clear"/>
          </w:tcPr>
          <w:p>
            <w:pPr>
              <w:pStyle w:val="TableContents"/>
              <w:spacing w:before="0" w:after="283"/>
              <w:rPr/>
            </w:pPr>
            <w:r>
              <w:rPr/>
              <w:t xml:space="preserve">  </w:t>
            </w:r>
          </w:p>
        </w:tc>
        <w:tc>
          <w:tcPr>
            <w:tcW w:w="3958" w:type="dxa"/>
            <w:gridSpan w:val="2"/>
            <w:tcBorders/>
            <w:shd w:fill="auto" w:val="clear"/>
          </w:tcPr>
          <w:p>
            <w:pPr>
              <w:pStyle w:val="TableContents"/>
              <w:spacing w:before="0" w:after="283"/>
              <w:rPr>
                <w:rFonts w:ascii="helvetica" w:hAnsi="helvetica"/>
                <w:b/>
                <w:sz w:val="20"/>
              </w:rPr>
            </w:pPr>
            <w:r>
              <w:rPr>
                <w:rFonts w:ascii="helvetica" w:hAnsi="helvetica"/>
                <w:b/>
                <w:sz w:val="20"/>
              </w:rPr>
              <w:t>IMPRIMIS PHARMACEUTICALS, INC.</w:t>
            </w:r>
          </w:p>
        </w:tc>
        <w:tc>
          <w:tcPr>
            <w:tcW w:w="1208" w:type="dxa"/>
            <w:tcBorders/>
            <w:shd w:fill="auto" w:val="clear"/>
          </w:tcPr>
          <w:p>
            <w:pPr>
              <w:pStyle w:val="TableContents"/>
              <w:spacing w:before="0" w:after="283"/>
              <w:jc w:val="left"/>
              <w:rPr/>
            </w:pPr>
            <w:r>
              <w:rPr/>
              <w:t> </w:t>
            </w:r>
          </w:p>
        </w:tc>
      </w:tr>
      <w:tr>
        <w:trPr/>
        <w:tc>
          <w:tcPr>
            <w:tcW w:w="5039" w:type="dxa"/>
            <w:tcBorders/>
            <w:shd w:fill="auto" w:val="clear"/>
          </w:tcPr>
          <w:p>
            <w:pPr>
              <w:pStyle w:val="TableContents"/>
              <w:spacing w:before="0" w:after="283"/>
              <w:rPr/>
            </w:pPr>
            <w:r>
              <w:rPr/>
              <w:t xml:space="preserve">  </w:t>
            </w:r>
          </w:p>
        </w:tc>
        <w:tc>
          <w:tcPr>
            <w:tcW w:w="324" w:type="dxa"/>
            <w:tcBorders/>
            <w:shd w:fill="auto" w:val="clear"/>
          </w:tcPr>
          <w:p>
            <w:pPr>
              <w:pStyle w:val="TableContents"/>
              <w:spacing w:before="0" w:after="283"/>
              <w:rPr/>
            </w:pPr>
            <w:r>
              <w:rPr/>
              <w:t xml:space="preserve">  </w:t>
            </w:r>
          </w:p>
        </w:tc>
        <w:tc>
          <w:tcPr>
            <w:tcW w:w="3634" w:type="dxa"/>
            <w:tcBorders/>
            <w:shd w:fill="auto" w:val="clear"/>
          </w:tcPr>
          <w:p>
            <w:pPr>
              <w:pStyle w:val="TableContents"/>
              <w:spacing w:before="0" w:after="283"/>
              <w:rPr/>
            </w:pPr>
            <w:r>
              <w:rPr/>
              <w:t xml:space="preserve">  </w:t>
            </w:r>
          </w:p>
        </w:tc>
        <w:tc>
          <w:tcPr>
            <w:tcW w:w="1208" w:type="dxa"/>
            <w:tcBorders/>
            <w:shd w:fill="auto" w:val="clear"/>
          </w:tcPr>
          <w:p>
            <w:pPr>
              <w:pStyle w:val="TableContents"/>
              <w:spacing w:before="0" w:after="283"/>
              <w:rPr/>
            </w:pPr>
            <w:r>
              <w:rPr/>
              <w:t> </w:t>
            </w:r>
          </w:p>
        </w:tc>
      </w:tr>
      <w:tr>
        <w:trPr/>
        <w:tc>
          <w:tcPr>
            <w:tcW w:w="5039" w:type="dxa"/>
            <w:tcBorders/>
            <w:shd w:fill="auto" w:val="clear"/>
          </w:tcPr>
          <w:p>
            <w:pPr>
              <w:pStyle w:val="TableContents"/>
              <w:spacing w:before="0" w:after="283"/>
              <w:rPr/>
            </w:pPr>
            <w:r>
              <w:rPr/>
              <w:t xml:space="preserve">  </w:t>
            </w:r>
          </w:p>
        </w:tc>
        <w:tc>
          <w:tcPr>
            <w:tcW w:w="324" w:type="dxa"/>
            <w:tcBorders/>
            <w:shd w:fill="auto" w:val="clear"/>
          </w:tcPr>
          <w:p>
            <w:pPr>
              <w:pStyle w:val="TableContents"/>
              <w:spacing w:before="0" w:after="0"/>
              <w:ind w:left="0" w:right="0" w:hanging="0"/>
              <w:jc w:val="left"/>
              <w:rPr>
                <w:rFonts w:ascii="helvetica" w:hAnsi="helvetica"/>
                <w:sz w:val="20"/>
              </w:rPr>
            </w:pPr>
            <w:r>
              <w:rPr>
                <w:rFonts w:ascii="helvetica" w:hAnsi="helvetica"/>
                <w:sz w:val="20"/>
              </w:rPr>
              <w:t>By:</w:t>
            </w:r>
          </w:p>
        </w:tc>
        <w:tc>
          <w:tcPr>
            <w:tcW w:w="3634" w:type="dxa"/>
            <w:tcBorders>
              <w:bottom w:val="single" w:sz="12" w:space="0" w:color="000000"/>
            </w:tcBorders>
            <w:shd w:fill="auto" w:val="clear"/>
            <w:tcMar>
              <w:bottom w:w="28" w:type="dxa"/>
            </w:tcMar>
          </w:tcPr>
          <w:p>
            <w:pPr>
              <w:pStyle w:val="TableContents"/>
              <w:spacing w:before="0" w:after="0"/>
              <w:ind w:left="0" w:right="0" w:hanging="0"/>
              <w:jc w:val="left"/>
              <w:rPr>
                <w:rFonts w:ascii="helvetica" w:hAnsi="helvetica"/>
                <w:sz w:val="20"/>
              </w:rPr>
            </w:pPr>
            <w:r>
              <w:rPr>
                <w:rFonts w:ascii="helvetica" w:hAnsi="helvetica"/>
                <w:sz w:val="20"/>
              </w:rPr>
              <w:t>/s/ Mark L. Baum</w:t>
            </w:r>
          </w:p>
        </w:tc>
        <w:tc>
          <w:tcPr>
            <w:tcW w:w="1208" w:type="dxa"/>
            <w:tcBorders/>
            <w:shd w:fill="auto" w:val="clear"/>
          </w:tcPr>
          <w:p>
            <w:pPr>
              <w:pStyle w:val="TableContents"/>
              <w:spacing w:before="0" w:after="283"/>
              <w:jc w:val="left"/>
              <w:rPr/>
            </w:pPr>
            <w:r>
              <w:rPr/>
              <w:t> </w:t>
            </w:r>
          </w:p>
        </w:tc>
      </w:tr>
      <w:tr>
        <w:trPr/>
        <w:tc>
          <w:tcPr>
            <w:tcW w:w="5039" w:type="dxa"/>
            <w:tcBorders/>
            <w:shd w:fill="auto" w:val="clear"/>
          </w:tcPr>
          <w:p>
            <w:pPr>
              <w:pStyle w:val="TableContents"/>
              <w:spacing w:before="0" w:after="0"/>
              <w:ind w:left="0" w:right="0" w:hanging="0"/>
              <w:jc w:val="left"/>
              <w:rPr>
                <w:rFonts w:ascii="helvetica" w:hAnsi="helvetica"/>
                <w:sz w:val="20"/>
              </w:rPr>
            </w:pPr>
            <w:r>
              <w:rPr>
                <w:rFonts w:ascii="helvetica" w:hAnsi="helvetica"/>
                <w:sz w:val="20"/>
              </w:rPr>
              <w:t>Date: September 4, 2012</w:t>
            </w:r>
          </w:p>
        </w:tc>
        <w:tc>
          <w:tcPr>
            <w:tcW w:w="324" w:type="dxa"/>
            <w:tcBorders/>
            <w:shd w:fill="auto" w:val="clear"/>
          </w:tcPr>
          <w:p>
            <w:pPr>
              <w:pStyle w:val="TableContents"/>
              <w:spacing w:before="0" w:after="283"/>
              <w:rPr/>
            </w:pPr>
            <w:r>
              <w:rPr/>
              <w:t xml:space="preserve">  </w:t>
            </w:r>
          </w:p>
        </w:tc>
        <w:tc>
          <w:tcPr>
            <w:tcW w:w="3634" w:type="dxa"/>
            <w:tcBorders/>
            <w:shd w:fill="auto" w:val="clear"/>
          </w:tcPr>
          <w:p>
            <w:pPr>
              <w:pStyle w:val="TableContents"/>
              <w:spacing w:before="0" w:after="0"/>
              <w:ind w:left="0" w:right="0" w:hanging="0"/>
              <w:jc w:val="left"/>
              <w:rPr>
                <w:rFonts w:ascii="helvetica" w:hAnsi="helvetica"/>
                <w:sz w:val="20"/>
              </w:rPr>
            </w:pPr>
            <w:r>
              <w:rPr>
                <w:rFonts w:ascii="helvetica" w:hAnsi="helvetica"/>
                <w:sz w:val="20"/>
              </w:rPr>
              <w:t>Mark L. Baum, Chief Executive Officer</w:t>
            </w:r>
          </w:p>
          <w:p>
            <w:pPr>
              <w:pStyle w:val="TableContents"/>
              <w:spacing w:before="0" w:after="0"/>
              <w:ind w:left="0" w:right="0" w:hanging="0"/>
              <w:jc w:val="left"/>
              <w:rPr>
                <w:rFonts w:ascii="helvetica" w:hAnsi="helvetica"/>
                <w:i/>
                <w:sz w:val="20"/>
              </w:rPr>
            </w:pPr>
            <w:r>
              <w:rPr>
                <w:rFonts w:ascii="helvetica" w:hAnsi="helvetica"/>
                <w:i/>
                <w:sz w:val="20"/>
              </w:rPr>
              <w:t>(Principal Executive Officer)</w:t>
            </w:r>
          </w:p>
        </w:tc>
        <w:tc>
          <w:tcPr>
            <w:tcW w:w="1208" w:type="dxa"/>
            <w:tcBorders/>
            <w:shd w:fill="auto" w:val="clear"/>
          </w:tcPr>
          <w:p>
            <w:pPr>
              <w:pStyle w:val="TableContents"/>
              <w:spacing w:before="0" w:after="283"/>
              <w:jc w:val="left"/>
              <w:rPr/>
            </w:pPr>
            <w:r>
              <w:rPr/>
              <w:t> </w:t>
            </w:r>
          </w:p>
        </w:tc>
      </w:tr>
    </w:tbl>
    <w:p>
      <w:pPr>
        <w:pStyle w:val="TextBody"/>
        <w:spacing w:before="0" w:after="0"/>
        <w:ind w:left="0" w:right="0" w:hanging="0"/>
        <w:rPr/>
      </w:pPr>
      <w:r>
        <w:rPr/>
        <w:t> </w:t>
      </w:r>
    </w:p>
    <w:p>
      <w:pPr>
        <w:pStyle w:val="TextBody"/>
        <w:spacing w:before="0" w:after="0"/>
        <w:ind w:left="0" w:right="0" w:firstLine="720"/>
        <w:jc w:val="left"/>
        <w:rPr>
          <w:rFonts w:ascii="helvetica" w:hAnsi="helvetica"/>
          <w:sz w:val="20"/>
        </w:rPr>
      </w:pPr>
      <w:r>
        <w:rPr>
          <w:rFonts w:ascii="helvetica" w:hAnsi="helvetica"/>
          <w:sz w:val="20"/>
        </w:rPr>
        <w:t>Pursuant to the requirements of the Securities Act of 1933, this registration statement has been signed by the following persons in the capacities and on the dates indicated.</w:t>
      </w:r>
    </w:p>
    <w:p>
      <w:pPr>
        <w:pStyle w:val="TextBody"/>
        <w:spacing w:before="0" w:after="0"/>
        <w:ind w:left="0" w:right="0" w:firstLine="720"/>
        <w:jc w:val="left"/>
        <w:rPr/>
      </w:pPr>
      <w:r>
        <w:rPr/>
        <w:t> </w:t>
      </w:r>
    </w:p>
    <w:tbl>
      <w:tblPr>
        <w:tblW w:w="5000" w:type="pct"/>
        <w:jc w:val="center"/>
        <w:tblInd w:w="0" w:type="dxa"/>
        <w:tblCellMar>
          <w:top w:w="0" w:type="dxa"/>
          <w:left w:w="0" w:type="dxa"/>
          <w:bottom w:w="28" w:type="dxa"/>
          <w:right w:w="0" w:type="dxa"/>
        </w:tblCellMar>
      </w:tblPr>
      <w:tblGrid>
        <w:gridCol w:w="543"/>
        <w:gridCol w:w="2947"/>
        <w:gridCol w:w="427"/>
        <w:gridCol w:w="3798"/>
        <w:gridCol w:w="349"/>
        <w:gridCol w:w="2141"/>
      </w:tblGrid>
      <w:tr>
        <w:trPr/>
        <w:tc>
          <w:tcPr>
            <w:tcW w:w="3490" w:type="dxa"/>
            <w:gridSpan w:val="2"/>
            <w:tcBorders>
              <w:bottom w:val="single" w:sz="12" w:space="0" w:color="000000"/>
            </w:tcBorders>
            <w:shd w:fill="auto" w:val="clear"/>
          </w:tcPr>
          <w:p>
            <w:pPr>
              <w:pStyle w:val="TableContents"/>
              <w:spacing w:before="0" w:after="0"/>
              <w:ind w:left="0" w:right="0" w:hanging="0"/>
              <w:jc w:val="left"/>
              <w:rPr>
                <w:rFonts w:ascii="helvetica" w:hAnsi="helvetica"/>
                <w:b/>
                <w:sz w:val="20"/>
              </w:rPr>
            </w:pPr>
            <w:r>
              <w:rPr>
                <w:rFonts w:ascii="helvetica" w:hAnsi="helvetica"/>
                <w:b/>
                <w:sz w:val="20"/>
              </w:rPr>
              <w:t>SIGNATURE</w:t>
            </w:r>
          </w:p>
        </w:tc>
        <w:tc>
          <w:tcPr>
            <w:tcW w:w="427" w:type="dxa"/>
            <w:tcBorders/>
            <w:shd w:fill="auto" w:val="clear"/>
            <w:tcMar>
              <w:bottom w:w="0" w:type="dxa"/>
            </w:tcMar>
            <w:vAlign w:val="bottom"/>
          </w:tcPr>
          <w:p>
            <w:pPr>
              <w:pStyle w:val="TableContents"/>
              <w:spacing w:before="0" w:after="283"/>
              <w:rPr/>
            </w:pPr>
            <w:r>
              <w:rPr/>
              <w:t xml:space="preserve">  </w:t>
            </w:r>
          </w:p>
        </w:tc>
        <w:tc>
          <w:tcPr>
            <w:tcW w:w="3798" w:type="dxa"/>
            <w:tcBorders>
              <w:bottom w:val="single" w:sz="12" w:space="0" w:color="000000"/>
            </w:tcBorders>
            <w:shd w:fill="auto" w:val="clear"/>
          </w:tcPr>
          <w:p>
            <w:pPr>
              <w:pStyle w:val="TableContents"/>
              <w:spacing w:before="0" w:after="0"/>
              <w:ind w:left="0" w:right="0" w:hanging="0"/>
              <w:jc w:val="center"/>
              <w:rPr>
                <w:rFonts w:ascii="helvetica" w:hAnsi="helvetica"/>
                <w:b/>
                <w:sz w:val="20"/>
              </w:rPr>
            </w:pPr>
            <w:r>
              <w:rPr>
                <w:rFonts w:ascii="helvetica" w:hAnsi="helvetica"/>
                <w:b/>
                <w:sz w:val="20"/>
              </w:rPr>
              <w:t>TITLE</w:t>
            </w:r>
          </w:p>
        </w:tc>
        <w:tc>
          <w:tcPr>
            <w:tcW w:w="349" w:type="dxa"/>
            <w:tcBorders/>
            <w:shd w:fill="auto" w:val="clear"/>
            <w:tcMar>
              <w:bottom w:w="0" w:type="dxa"/>
            </w:tcMar>
            <w:vAlign w:val="bottom"/>
          </w:tcPr>
          <w:p>
            <w:pPr>
              <w:pStyle w:val="TableContents"/>
              <w:spacing w:before="0" w:after="283"/>
              <w:rPr/>
            </w:pPr>
            <w:r>
              <w:rPr/>
              <w:t xml:space="preserve">  </w:t>
            </w:r>
          </w:p>
        </w:tc>
        <w:tc>
          <w:tcPr>
            <w:tcW w:w="2141" w:type="dxa"/>
            <w:tcBorders>
              <w:bottom w:val="single" w:sz="12" w:space="0" w:color="000000"/>
            </w:tcBorders>
            <w:shd w:fill="auto" w:val="clear"/>
          </w:tcPr>
          <w:p>
            <w:pPr>
              <w:pStyle w:val="TableContents"/>
              <w:spacing w:before="0" w:after="0"/>
              <w:ind w:left="0" w:right="0" w:hanging="0"/>
              <w:jc w:val="center"/>
              <w:rPr>
                <w:rFonts w:ascii="helvetica" w:hAnsi="helvetica"/>
                <w:b/>
                <w:sz w:val="20"/>
              </w:rPr>
            </w:pPr>
            <w:r>
              <w:rPr>
                <w:rFonts w:ascii="helvetica" w:hAnsi="helvetica"/>
                <w:b/>
                <w:sz w:val="20"/>
              </w:rPr>
              <w:t>DATE</w:t>
            </w:r>
          </w:p>
        </w:tc>
      </w:tr>
      <w:tr>
        <w:trPr/>
        <w:tc>
          <w:tcPr>
            <w:tcW w:w="3490" w:type="dxa"/>
            <w:gridSpan w:val="2"/>
            <w:tcBorders/>
            <w:shd w:fill="auto" w:val="clear"/>
            <w:tcMar>
              <w:bottom w:w="0" w:type="dxa"/>
            </w:tcMar>
          </w:tcPr>
          <w:p>
            <w:pPr>
              <w:pStyle w:val="TableContents"/>
              <w:spacing w:before="0" w:after="283"/>
              <w:rPr/>
            </w:pPr>
            <w:r>
              <w:rPr/>
              <w:t xml:space="preserve">  </w:t>
            </w:r>
          </w:p>
        </w:tc>
        <w:tc>
          <w:tcPr>
            <w:tcW w:w="427" w:type="dxa"/>
            <w:tcBorders/>
            <w:shd w:fill="auto" w:val="clear"/>
            <w:tcMar>
              <w:bottom w:w="0" w:type="dxa"/>
            </w:tcMar>
            <w:vAlign w:val="bottom"/>
          </w:tcPr>
          <w:p>
            <w:pPr>
              <w:pStyle w:val="TableContents"/>
              <w:spacing w:before="0" w:after="283"/>
              <w:rPr/>
            </w:pPr>
            <w:r>
              <w:rPr/>
              <w:t xml:space="preserve">  </w:t>
            </w:r>
          </w:p>
        </w:tc>
        <w:tc>
          <w:tcPr>
            <w:tcW w:w="3798" w:type="dxa"/>
            <w:tcBorders/>
            <w:shd w:fill="auto" w:val="clear"/>
            <w:tcMar>
              <w:bottom w:w="0" w:type="dxa"/>
            </w:tcMar>
          </w:tcPr>
          <w:p>
            <w:pPr>
              <w:pStyle w:val="TableContents"/>
              <w:spacing w:before="0" w:after="283"/>
              <w:rPr/>
            </w:pPr>
            <w:r>
              <w:rPr/>
              <w:t xml:space="preserve">  </w:t>
            </w:r>
          </w:p>
        </w:tc>
        <w:tc>
          <w:tcPr>
            <w:tcW w:w="349" w:type="dxa"/>
            <w:tcBorders/>
            <w:shd w:fill="auto" w:val="clear"/>
            <w:tcMar>
              <w:bottom w:w="0" w:type="dxa"/>
            </w:tcMar>
            <w:vAlign w:val="bottom"/>
          </w:tcPr>
          <w:p>
            <w:pPr>
              <w:pStyle w:val="TableContents"/>
              <w:spacing w:before="0" w:after="283"/>
              <w:rPr/>
            </w:pPr>
            <w:r>
              <w:rPr/>
              <w:t xml:space="preserve">  </w:t>
            </w:r>
          </w:p>
        </w:tc>
        <w:tc>
          <w:tcPr>
            <w:tcW w:w="2141" w:type="dxa"/>
            <w:tcBorders/>
            <w:shd w:fill="auto" w:val="clear"/>
            <w:tcMar>
              <w:bottom w:w="0" w:type="dxa"/>
            </w:tcMar>
          </w:tcPr>
          <w:p>
            <w:pPr>
              <w:pStyle w:val="TableContents"/>
              <w:spacing w:before="0" w:after="283"/>
              <w:ind w:left="0" w:right="0" w:hanging="0"/>
              <w:rPr/>
            </w:pPr>
            <w:r>
              <w:rPr/>
              <w:t xml:space="preserve">  </w:t>
            </w:r>
          </w:p>
        </w:tc>
      </w:tr>
      <w:tr>
        <w:trPr/>
        <w:tc>
          <w:tcPr>
            <w:tcW w:w="3490" w:type="dxa"/>
            <w:gridSpan w:val="2"/>
            <w:tcBorders>
              <w:bottom w:val="single" w:sz="12" w:space="0" w:color="000000"/>
            </w:tcBorders>
            <w:shd w:fill="auto" w:val="clear"/>
            <w:vAlign w:val="bottom"/>
          </w:tcPr>
          <w:p>
            <w:pPr>
              <w:pStyle w:val="TableContents"/>
              <w:spacing w:before="0" w:after="0"/>
              <w:ind w:left="0" w:right="0" w:hanging="0"/>
              <w:jc w:val="left"/>
              <w:rPr>
                <w:rFonts w:ascii="helvetica" w:hAnsi="helvetica"/>
                <w:sz w:val="20"/>
              </w:rPr>
            </w:pPr>
            <w:r>
              <w:rPr>
                <w:rFonts w:ascii="helvetica" w:hAnsi="helvetica"/>
                <w:sz w:val="20"/>
              </w:rPr>
              <w:t>/s/ Mark L. Baum</w:t>
            </w:r>
          </w:p>
        </w:tc>
        <w:tc>
          <w:tcPr>
            <w:tcW w:w="427" w:type="dxa"/>
            <w:tcBorders/>
            <w:shd w:fill="auto" w:val="clear"/>
            <w:tcMar>
              <w:bottom w:w="0" w:type="dxa"/>
            </w:tcMar>
            <w:vAlign w:val="bottom"/>
          </w:tcPr>
          <w:p>
            <w:pPr>
              <w:pStyle w:val="TableContents"/>
              <w:spacing w:before="0" w:after="283"/>
              <w:rPr/>
            </w:pPr>
            <w:r>
              <w:rPr/>
              <w:t xml:space="preserve">  </w:t>
            </w:r>
          </w:p>
        </w:tc>
        <w:tc>
          <w:tcPr>
            <w:tcW w:w="3798" w:type="dxa"/>
            <w:tcBorders/>
            <w:shd w:fill="auto" w:val="clear"/>
            <w:tcMar>
              <w:bottom w:w="0" w:type="dxa"/>
            </w:tcMar>
            <w:vAlign w:val="bottom"/>
          </w:tcPr>
          <w:p>
            <w:pPr>
              <w:pStyle w:val="TableContents"/>
              <w:spacing w:before="0" w:after="0"/>
              <w:ind w:left="0" w:right="0" w:hanging="0"/>
              <w:jc w:val="center"/>
              <w:rPr>
                <w:rFonts w:ascii="helvetica" w:hAnsi="helvetica"/>
                <w:sz w:val="20"/>
              </w:rPr>
            </w:pPr>
            <w:r>
              <w:rPr>
                <w:rFonts w:ascii="helvetica" w:hAnsi="helvetica"/>
                <w:sz w:val="20"/>
              </w:rPr>
              <w:t>Chief Executive Officer and Director</w:t>
            </w:r>
          </w:p>
        </w:tc>
        <w:tc>
          <w:tcPr>
            <w:tcW w:w="349" w:type="dxa"/>
            <w:tcBorders/>
            <w:shd w:fill="auto" w:val="clear"/>
            <w:tcMar>
              <w:bottom w:w="0" w:type="dxa"/>
            </w:tcMar>
            <w:vAlign w:val="bottom"/>
          </w:tcPr>
          <w:p>
            <w:pPr>
              <w:pStyle w:val="TableContents"/>
              <w:spacing w:before="0" w:after="283"/>
              <w:rPr/>
            </w:pPr>
            <w:r>
              <w:rPr/>
              <w:t xml:space="preserve">  </w:t>
            </w:r>
          </w:p>
        </w:tc>
        <w:tc>
          <w:tcPr>
            <w:tcW w:w="2141" w:type="dxa"/>
            <w:tcBorders/>
            <w:shd w:fill="auto" w:val="clear"/>
            <w:tcMar>
              <w:bottom w:w="0" w:type="dxa"/>
            </w:tcMar>
            <w:vAlign w:val="bottom"/>
          </w:tcPr>
          <w:p>
            <w:pPr>
              <w:pStyle w:val="TableContents"/>
              <w:spacing w:before="0" w:after="0"/>
              <w:ind w:left="0" w:right="0" w:hanging="0"/>
              <w:jc w:val="center"/>
              <w:rPr>
                <w:rFonts w:ascii="helvetica" w:hAnsi="helvetica"/>
                <w:sz w:val="20"/>
              </w:rPr>
            </w:pPr>
            <w:r>
              <w:rPr>
                <w:rFonts w:ascii="helvetica" w:hAnsi="helvetica"/>
                <w:sz w:val="20"/>
              </w:rPr>
              <w:t>September 4, 2012</w:t>
            </w:r>
          </w:p>
        </w:tc>
      </w:tr>
      <w:tr>
        <w:trPr/>
        <w:tc>
          <w:tcPr>
            <w:tcW w:w="3490" w:type="dxa"/>
            <w:gridSpan w:val="2"/>
            <w:tcBorders/>
            <w:shd w:fill="auto" w:val="clear"/>
            <w:tcMar>
              <w:bottom w:w="0" w:type="dxa"/>
            </w:tcMar>
          </w:tcPr>
          <w:p>
            <w:pPr>
              <w:pStyle w:val="TableContents"/>
              <w:spacing w:before="0" w:after="0"/>
              <w:ind w:left="0" w:right="0" w:hanging="0"/>
              <w:jc w:val="left"/>
              <w:rPr>
                <w:rFonts w:ascii="helvetica" w:hAnsi="helvetica"/>
                <w:sz w:val="20"/>
              </w:rPr>
            </w:pPr>
            <w:r>
              <w:rPr>
                <w:rFonts w:ascii="helvetica" w:hAnsi="helvetica"/>
                <w:sz w:val="20"/>
              </w:rPr>
              <w:t>Mark L. Baum, Esq.</w:t>
            </w:r>
          </w:p>
        </w:tc>
        <w:tc>
          <w:tcPr>
            <w:tcW w:w="427" w:type="dxa"/>
            <w:tcBorders/>
            <w:shd w:fill="auto" w:val="clear"/>
            <w:tcMar>
              <w:bottom w:w="0" w:type="dxa"/>
            </w:tcMar>
            <w:vAlign w:val="bottom"/>
          </w:tcPr>
          <w:p>
            <w:pPr>
              <w:pStyle w:val="TableContents"/>
              <w:spacing w:before="0" w:after="283"/>
              <w:rPr/>
            </w:pPr>
            <w:r>
              <w:rPr/>
              <w:t xml:space="preserve">  </w:t>
            </w:r>
          </w:p>
        </w:tc>
        <w:tc>
          <w:tcPr>
            <w:tcW w:w="3798" w:type="dxa"/>
            <w:tcBorders/>
            <w:shd w:fill="auto" w:val="clear"/>
            <w:tcMar>
              <w:bottom w:w="0" w:type="dxa"/>
            </w:tcMar>
          </w:tcPr>
          <w:p>
            <w:pPr>
              <w:pStyle w:val="TableContents"/>
              <w:spacing w:before="0" w:after="283"/>
              <w:jc w:val="center"/>
              <w:rPr>
                <w:rFonts w:ascii="helvetica" w:hAnsi="helvetica"/>
                <w:sz w:val="20"/>
              </w:rPr>
            </w:pPr>
            <w:r>
              <w:rPr>
                <w:rFonts w:ascii="helvetica" w:hAnsi="helvetica"/>
                <w:sz w:val="20"/>
              </w:rPr>
              <w:t>(</w:t>
            </w:r>
            <w:r>
              <w:rPr>
                <w:rFonts w:ascii="helvetica" w:hAnsi="helvetica"/>
                <w:i/>
                <w:sz w:val="20"/>
              </w:rPr>
              <w:t>Principal Executive Officer</w:t>
            </w:r>
            <w:r>
              <w:rPr>
                <w:rFonts w:ascii="helvetica" w:hAnsi="helvetica"/>
                <w:sz w:val="20"/>
              </w:rPr>
              <w:t>)</w:t>
            </w:r>
          </w:p>
        </w:tc>
        <w:tc>
          <w:tcPr>
            <w:tcW w:w="349" w:type="dxa"/>
            <w:tcBorders/>
            <w:shd w:fill="auto" w:val="clear"/>
            <w:tcMar>
              <w:bottom w:w="0" w:type="dxa"/>
            </w:tcMar>
            <w:vAlign w:val="bottom"/>
          </w:tcPr>
          <w:p>
            <w:pPr>
              <w:pStyle w:val="TableContents"/>
              <w:spacing w:before="0" w:after="283"/>
              <w:rPr/>
            </w:pPr>
            <w:r>
              <w:rPr/>
              <w:t xml:space="preserve">  </w:t>
            </w:r>
          </w:p>
        </w:tc>
        <w:tc>
          <w:tcPr>
            <w:tcW w:w="2141" w:type="dxa"/>
            <w:tcBorders/>
            <w:shd w:fill="auto" w:val="clear"/>
            <w:tcMar>
              <w:bottom w:w="0" w:type="dxa"/>
            </w:tcMar>
          </w:tcPr>
          <w:p>
            <w:pPr>
              <w:pStyle w:val="TableContents"/>
              <w:spacing w:before="0" w:after="283"/>
              <w:ind w:left="0" w:right="0" w:hanging="0"/>
              <w:rPr/>
            </w:pPr>
            <w:r>
              <w:rPr/>
              <w:t xml:space="preserve">  </w:t>
            </w:r>
          </w:p>
        </w:tc>
      </w:tr>
      <w:tr>
        <w:trPr/>
        <w:tc>
          <w:tcPr>
            <w:tcW w:w="3490" w:type="dxa"/>
            <w:gridSpan w:val="2"/>
            <w:tcBorders/>
            <w:shd w:fill="auto" w:val="clear"/>
            <w:tcMar>
              <w:bottom w:w="0" w:type="dxa"/>
            </w:tcMar>
          </w:tcPr>
          <w:p>
            <w:pPr>
              <w:pStyle w:val="TableContents"/>
              <w:spacing w:before="0" w:after="283"/>
              <w:jc w:val="left"/>
              <w:rPr/>
            </w:pPr>
            <w:r>
              <w:rPr/>
              <w:t xml:space="preserve">  </w:t>
            </w:r>
          </w:p>
        </w:tc>
        <w:tc>
          <w:tcPr>
            <w:tcW w:w="427" w:type="dxa"/>
            <w:tcBorders/>
            <w:shd w:fill="auto" w:val="clear"/>
            <w:tcMar>
              <w:bottom w:w="0" w:type="dxa"/>
            </w:tcMar>
            <w:vAlign w:val="bottom"/>
          </w:tcPr>
          <w:p>
            <w:pPr>
              <w:pStyle w:val="TableContents"/>
              <w:spacing w:before="0" w:after="283"/>
              <w:rPr/>
            </w:pPr>
            <w:r>
              <w:rPr/>
              <w:t xml:space="preserve">  </w:t>
            </w:r>
          </w:p>
        </w:tc>
        <w:tc>
          <w:tcPr>
            <w:tcW w:w="3798" w:type="dxa"/>
            <w:tcBorders/>
            <w:shd w:fill="auto" w:val="clear"/>
            <w:tcMar>
              <w:bottom w:w="0" w:type="dxa"/>
            </w:tcMar>
          </w:tcPr>
          <w:p>
            <w:pPr>
              <w:pStyle w:val="TableContents"/>
              <w:spacing w:before="0" w:after="283"/>
              <w:rPr/>
            </w:pPr>
            <w:r>
              <w:rPr/>
              <w:t xml:space="preserve">  </w:t>
            </w:r>
          </w:p>
        </w:tc>
        <w:tc>
          <w:tcPr>
            <w:tcW w:w="349" w:type="dxa"/>
            <w:tcBorders/>
            <w:shd w:fill="auto" w:val="clear"/>
            <w:tcMar>
              <w:bottom w:w="0" w:type="dxa"/>
            </w:tcMar>
            <w:vAlign w:val="bottom"/>
          </w:tcPr>
          <w:p>
            <w:pPr>
              <w:pStyle w:val="TableContents"/>
              <w:spacing w:before="0" w:after="283"/>
              <w:rPr/>
            </w:pPr>
            <w:r>
              <w:rPr/>
              <w:t xml:space="preserve">  </w:t>
            </w:r>
          </w:p>
        </w:tc>
        <w:tc>
          <w:tcPr>
            <w:tcW w:w="2141" w:type="dxa"/>
            <w:tcBorders/>
            <w:shd w:fill="auto" w:val="clear"/>
            <w:tcMar>
              <w:bottom w:w="0" w:type="dxa"/>
            </w:tcMar>
          </w:tcPr>
          <w:p>
            <w:pPr>
              <w:pStyle w:val="TableContents"/>
              <w:spacing w:before="0" w:after="283"/>
              <w:ind w:left="0" w:right="0" w:hanging="0"/>
              <w:rPr/>
            </w:pPr>
            <w:r>
              <w:rPr/>
              <w:t xml:space="preserve">  </w:t>
            </w:r>
          </w:p>
        </w:tc>
      </w:tr>
      <w:tr>
        <w:trPr/>
        <w:tc>
          <w:tcPr>
            <w:tcW w:w="3490" w:type="dxa"/>
            <w:gridSpan w:val="2"/>
            <w:tcBorders>
              <w:bottom w:val="single" w:sz="12" w:space="0" w:color="000000"/>
            </w:tcBorders>
            <w:shd w:fill="auto" w:val="clear"/>
            <w:vAlign w:val="bottom"/>
          </w:tcPr>
          <w:p>
            <w:pPr>
              <w:pStyle w:val="TableContents"/>
              <w:spacing w:before="0" w:after="0"/>
              <w:ind w:left="0" w:right="0" w:hanging="0"/>
              <w:jc w:val="left"/>
              <w:rPr>
                <w:rFonts w:ascii="helvetica" w:hAnsi="helvetica"/>
                <w:sz w:val="20"/>
              </w:rPr>
            </w:pPr>
            <w:r>
              <w:rPr>
                <w:rFonts w:ascii="helvetica" w:hAnsi="helvetica"/>
                <w:sz w:val="20"/>
              </w:rPr>
              <w:t>/s/ Andrew R. Boll</w:t>
            </w:r>
          </w:p>
        </w:tc>
        <w:tc>
          <w:tcPr>
            <w:tcW w:w="427" w:type="dxa"/>
            <w:tcBorders/>
            <w:shd w:fill="auto" w:val="clear"/>
            <w:tcMar>
              <w:bottom w:w="0" w:type="dxa"/>
            </w:tcMar>
            <w:vAlign w:val="bottom"/>
          </w:tcPr>
          <w:p>
            <w:pPr>
              <w:pStyle w:val="TableContents"/>
              <w:spacing w:before="0" w:after="283"/>
              <w:rPr/>
            </w:pPr>
            <w:r>
              <w:rPr/>
              <w:t xml:space="preserve">  </w:t>
            </w:r>
          </w:p>
        </w:tc>
        <w:tc>
          <w:tcPr>
            <w:tcW w:w="3798" w:type="dxa"/>
            <w:tcBorders/>
            <w:shd w:fill="auto" w:val="clear"/>
            <w:tcMar>
              <w:bottom w:w="0" w:type="dxa"/>
            </w:tcMar>
            <w:vAlign w:val="bottom"/>
          </w:tcPr>
          <w:p>
            <w:pPr>
              <w:pStyle w:val="TableContents"/>
              <w:spacing w:before="0" w:after="0"/>
              <w:ind w:left="0" w:right="0" w:hanging="0"/>
              <w:jc w:val="center"/>
              <w:rPr>
                <w:rFonts w:ascii="helvetica" w:hAnsi="helvetica"/>
                <w:sz w:val="20"/>
              </w:rPr>
            </w:pPr>
            <w:r>
              <w:rPr>
                <w:rFonts w:ascii="helvetica" w:hAnsi="helvetica"/>
                <w:sz w:val="20"/>
              </w:rPr>
              <w:t xml:space="preserve">Vice President of Accounting and Public Reporting </w:t>
            </w:r>
          </w:p>
        </w:tc>
        <w:tc>
          <w:tcPr>
            <w:tcW w:w="349" w:type="dxa"/>
            <w:tcBorders/>
            <w:shd w:fill="auto" w:val="clear"/>
            <w:tcMar>
              <w:bottom w:w="0" w:type="dxa"/>
            </w:tcMar>
            <w:vAlign w:val="bottom"/>
          </w:tcPr>
          <w:p>
            <w:pPr>
              <w:pStyle w:val="TableContents"/>
              <w:spacing w:before="0" w:after="283"/>
              <w:rPr/>
            </w:pPr>
            <w:r>
              <w:rPr/>
              <w:t xml:space="preserve">  </w:t>
            </w:r>
          </w:p>
        </w:tc>
        <w:tc>
          <w:tcPr>
            <w:tcW w:w="2141" w:type="dxa"/>
            <w:tcBorders/>
            <w:shd w:fill="auto" w:val="clear"/>
            <w:tcMar>
              <w:bottom w:w="0" w:type="dxa"/>
            </w:tcMar>
            <w:vAlign w:val="bottom"/>
          </w:tcPr>
          <w:p>
            <w:pPr>
              <w:pStyle w:val="TableContents"/>
              <w:spacing w:before="0" w:after="0"/>
              <w:ind w:left="0" w:right="0" w:hanging="0"/>
              <w:jc w:val="center"/>
              <w:rPr>
                <w:rFonts w:ascii="helvetica" w:hAnsi="helvetica"/>
                <w:sz w:val="20"/>
              </w:rPr>
            </w:pPr>
            <w:r>
              <w:rPr>
                <w:rFonts w:ascii="helvetica" w:hAnsi="helvetica"/>
                <w:sz w:val="20"/>
              </w:rPr>
              <w:t>September 4, 2012</w:t>
            </w:r>
          </w:p>
        </w:tc>
      </w:tr>
      <w:tr>
        <w:trPr/>
        <w:tc>
          <w:tcPr>
            <w:tcW w:w="3490" w:type="dxa"/>
            <w:gridSpan w:val="2"/>
            <w:tcBorders/>
            <w:shd w:fill="auto" w:val="clear"/>
            <w:tcMar>
              <w:bottom w:w="0" w:type="dxa"/>
            </w:tcMar>
          </w:tcPr>
          <w:p>
            <w:pPr>
              <w:pStyle w:val="TableContents"/>
              <w:spacing w:before="0" w:after="0"/>
              <w:ind w:left="0" w:right="0" w:hanging="0"/>
              <w:jc w:val="left"/>
              <w:rPr>
                <w:rFonts w:ascii="helvetica" w:hAnsi="helvetica"/>
                <w:sz w:val="20"/>
              </w:rPr>
            </w:pPr>
            <w:r>
              <w:rPr>
                <w:rFonts w:ascii="helvetica" w:hAnsi="helvetica"/>
                <w:sz w:val="20"/>
              </w:rPr>
              <w:t>Andrew R. Boll</w:t>
            </w:r>
          </w:p>
        </w:tc>
        <w:tc>
          <w:tcPr>
            <w:tcW w:w="427" w:type="dxa"/>
            <w:tcBorders/>
            <w:shd w:fill="auto" w:val="clear"/>
            <w:tcMar>
              <w:bottom w:w="0" w:type="dxa"/>
            </w:tcMar>
            <w:vAlign w:val="bottom"/>
          </w:tcPr>
          <w:p>
            <w:pPr>
              <w:pStyle w:val="TableContents"/>
              <w:spacing w:before="0" w:after="283"/>
              <w:rPr/>
            </w:pPr>
            <w:r>
              <w:rPr/>
              <w:t xml:space="preserve">  </w:t>
            </w:r>
          </w:p>
        </w:tc>
        <w:tc>
          <w:tcPr>
            <w:tcW w:w="3798" w:type="dxa"/>
            <w:tcBorders/>
            <w:shd w:fill="auto" w:val="clear"/>
            <w:tcMar>
              <w:bottom w:w="0" w:type="dxa"/>
            </w:tcMar>
          </w:tcPr>
          <w:p>
            <w:pPr>
              <w:pStyle w:val="TableContents"/>
              <w:spacing w:before="0" w:after="283"/>
              <w:jc w:val="center"/>
              <w:rPr>
                <w:rFonts w:ascii="helvetica" w:hAnsi="helvetica"/>
                <w:sz w:val="20"/>
              </w:rPr>
            </w:pPr>
            <w:r>
              <w:rPr>
                <w:rFonts w:ascii="helvetica" w:hAnsi="helvetica"/>
                <w:sz w:val="20"/>
              </w:rPr>
              <w:t>(</w:t>
            </w:r>
            <w:r>
              <w:rPr>
                <w:rFonts w:ascii="helvetica" w:hAnsi="helvetica"/>
                <w:i/>
                <w:sz w:val="20"/>
              </w:rPr>
              <w:t>Principal Accounting &amp; Financial Officer</w:t>
            </w:r>
            <w:r>
              <w:rPr>
                <w:rFonts w:ascii="helvetica" w:hAnsi="helvetica"/>
                <w:sz w:val="20"/>
              </w:rPr>
              <w:t>)</w:t>
            </w:r>
          </w:p>
        </w:tc>
        <w:tc>
          <w:tcPr>
            <w:tcW w:w="349" w:type="dxa"/>
            <w:tcBorders/>
            <w:shd w:fill="auto" w:val="clear"/>
            <w:tcMar>
              <w:bottom w:w="0" w:type="dxa"/>
            </w:tcMar>
            <w:vAlign w:val="bottom"/>
          </w:tcPr>
          <w:p>
            <w:pPr>
              <w:pStyle w:val="TableContents"/>
              <w:spacing w:before="0" w:after="283"/>
              <w:rPr/>
            </w:pPr>
            <w:r>
              <w:rPr/>
              <w:t xml:space="preserve">  </w:t>
            </w:r>
          </w:p>
        </w:tc>
        <w:tc>
          <w:tcPr>
            <w:tcW w:w="2141" w:type="dxa"/>
            <w:tcBorders/>
            <w:shd w:fill="auto" w:val="clear"/>
            <w:tcMar>
              <w:bottom w:w="0" w:type="dxa"/>
            </w:tcMar>
          </w:tcPr>
          <w:p>
            <w:pPr>
              <w:pStyle w:val="TableContents"/>
              <w:spacing w:before="0" w:after="283"/>
              <w:rPr/>
            </w:pPr>
            <w:r>
              <w:rPr/>
              <w:t xml:space="preserve">  </w:t>
            </w:r>
          </w:p>
        </w:tc>
      </w:tr>
      <w:tr>
        <w:trPr/>
        <w:tc>
          <w:tcPr>
            <w:tcW w:w="3490" w:type="dxa"/>
            <w:gridSpan w:val="2"/>
            <w:tcBorders/>
            <w:shd w:fill="auto" w:val="clear"/>
            <w:tcMar>
              <w:bottom w:w="0" w:type="dxa"/>
            </w:tcMar>
          </w:tcPr>
          <w:p>
            <w:pPr>
              <w:pStyle w:val="TableContents"/>
              <w:spacing w:before="0" w:after="283"/>
              <w:rPr/>
            </w:pPr>
            <w:r>
              <w:rPr/>
              <w:t xml:space="preserve">  </w:t>
            </w:r>
          </w:p>
        </w:tc>
        <w:tc>
          <w:tcPr>
            <w:tcW w:w="427" w:type="dxa"/>
            <w:tcBorders/>
            <w:shd w:fill="auto" w:val="clear"/>
            <w:tcMar>
              <w:bottom w:w="0" w:type="dxa"/>
            </w:tcMar>
          </w:tcPr>
          <w:p>
            <w:pPr>
              <w:pStyle w:val="TableContents"/>
              <w:spacing w:before="0" w:after="283"/>
              <w:rPr/>
            </w:pPr>
            <w:r>
              <w:rPr/>
              <w:t xml:space="preserve">  </w:t>
            </w:r>
          </w:p>
        </w:tc>
        <w:tc>
          <w:tcPr>
            <w:tcW w:w="3798" w:type="dxa"/>
            <w:tcBorders/>
            <w:shd w:fill="auto" w:val="clear"/>
            <w:tcMar>
              <w:bottom w:w="0" w:type="dxa"/>
            </w:tcMar>
          </w:tcPr>
          <w:p>
            <w:pPr>
              <w:pStyle w:val="TableContents"/>
              <w:spacing w:before="0" w:after="283"/>
              <w:rPr/>
            </w:pPr>
            <w:r>
              <w:rPr/>
              <w:t xml:space="preserve">  </w:t>
            </w:r>
          </w:p>
        </w:tc>
        <w:tc>
          <w:tcPr>
            <w:tcW w:w="349" w:type="dxa"/>
            <w:tcBorders/>
            <w:shd w:fill="auto" w:val="clear"/>
            <w:tcMar>
              <w:bottom w:w="0" w:type="dxa"/>
            </w:tcMar>
          </w:tcPr>
          <w:p>
            <w:pPr>
              <w:pStyle w:val="TableContents"/>
              <w:spacing w:before="0" w:after="283"/>
              <w:rPr/>
            </w:pPr>
            <w:r>
              <w:rPr/>
              <w:t xml:space="preserve">  </w:t>
            </w:r>
          </w:p>
        </w:tc>
        <w:tc>
          <w:tcPr>
            <w:tcW w:w="2141" w:type="dxa"/>
            <w:tcBorders/>
            <w:shd w:fill="auto" w:val="clear"/>
            <w:tcMar>
              <w:bottom w:w="0" w:type="dxa"/>
            </w:tcMar>
          </w:tcPr>
          <w:p>
            <w:pPr>
              <w:pStyle w:val="TableContents"/>
              <w:spacing w:before="0" w:after="283"/>
              <w:ind w:left="0" w:right="0" w:hanging="0"/>
              <w:rPr/>
            </w:pPr>
            <w:r>
              <w:rPr/>
              <w:t xml:space="preserve">  </w:t>
            </w:r>
          </w:p>
        </w:tc>
      </w:tr>
      <w:tr>
        <w:trPr/>
        <w:tc>
          <w:tcPr>
            <w:tcW w:w="3490" w:type="dxa"/>
            <w:gridSpan w:val="2"/>
            <w:tcBorders>
              <w:bottom w:val="single" w:sz="12" w:space="0" w:color="000000"/>
            </w:tcBorders>
            <w:shd w:fill="auto" w:val="clear"/>
          </w:tcPr>
          <w:p>
            <w:pPr>
              <w:pStyle w:val="TableContents"/>
              <w:spacing w:before="0" w:after="0"/>
              <w:ind w:left="0" w:right="0" w:hanging="0"/>
              <w:jc w:val="left"/>
              <w:rPr>
                <w:rFonts w:ascii="helvetica" w:hAnsi="helvetica"/>
                <w:sz w:val="20"/>
              </w:rPr>
            </w:pPr>
            <w:r>
              <w:rPr>
                <w:rFonts w:ascii="helvetica" w:hAnsi="helvetica"/>
                <w:sz w:val="20"/>
              </w:rPr>
              <w:t>/s/  Jeffrey J. Abrams*</w:t>
            </w:r>
          </w:p>
        </w:tc>
        <w:tc>
          <w:tcPr>
            <w:tcW w:w="427" w:type="dxa"/>
            <w:tcBorders/>
            <w:shd w:fill="auto" w:val="clear"/>
            <w:tcMar>
              <w:bottom w:w="0" w:type="dxa"/>
            </w:tcMar>
          </w:tcPr>
          <w:p>
            <w:pPr>
              <w:pStyle w:val="TableContents"/>
              <w:spacing w:before="0" w:after="283"/>
              <w:rPr/>
            </w:pPr>
            <w:r>
              <w:rPr/>
              <w:t xml:space="preserve">  </w:t>
            </w:r>
          </w:p>
        </w:tc>
        <w:tc>
          <w:tcPr>
            <w:tcW w:w="3798" w:type="dxa"/>
            <w:tcBorders/>
            <w:shd w:fill="auto" w:val="clear"/>
            <w:tcMar>
              <w:bottom w:w="0" w:type="dxa"/>
            </w:tcMar>
          </w:tcPr>
          <w:p>
            <w:pPr>
              <w:pStyle w:val="TableContents"/>
              <w:spacing w:before="0" w:after="0"/>
              <w:ind w:left="0" w:right="0" w:hanging="0"/>
              <w:jc w:val="center"/>
              <w:rPr>
                <w:rFonts w:ascii="helvetica" w:hAnsi="helvetica"/>
                <w:sz w:val="20"/>
              </w:rPr>
            </w:pPr>
            <w:r>
              <w:rPr>
                <w:rFonts w:ascii="helvetica" w:hAnsi="helvetica"/>
                <w:sz w:val="20"/>
              </w:rPr>
              <w:t>Director</w:t>
            </w:r>
          </w:p>
        </w:tc>
        <w:tc>
          <w:tcPr>
            <w:tcW w:w="349" w:type="dxa"/>
            <w:tcBorders/>
            <w:shd w:fill="auto" w:val="clear"/>
            <w:tcMar>
              <w:bottom w:w="0" w:type="dxa"/>
            </w:tcMar>
          </w:tcPr>
          <w:p>
            <w:pPr>
              <w:pStyle w:val="TableContents"/>
              <w:spacing w:before="0" w:after="283"/>
              <w:rPr/>
            </w:pPr>
            <w:r>
              <w:rPr/>
              <w:t xml:space="preserve">  </w:t>
            </w:r>
          </w:p>
        </w:tc>
        <w:tc>
          <w:tcPr>
            <w:tcW w:w="2141" w:type="dxa"/>
            <w:tcBorders/>
            <w:shd w:fill="auto" w:val="clear"/>
            <w:tcMar>
              <w:bottom w:w="0" w:type="dxa"/>
            </w:tcMar>
            <w:vAlign w:val="bottom"/>
          </w:tcPr>
          <w:p>
            <w:pPr>
              <w:pStyle w:val="TableContents"/>
              <w:spacing w:before="0" w:after="0"/>
              <w:ind w:left="0" w:right="0" w:hanging="0"/>
              <w:jc w:val="center"/>
              <w:rPr>
                <w:rFonts w:ascii="helvetica" w:hAnsi="helvetica"/>
                <w:sz w:val="20"/>
              </w:rPr>
            </w:pPr>
            <w:r>
              <w:rPr>
                <w:rFonts w:ascii="helvetica" w:hAnsi="helvetica"/>
                <w:sz w:val="20"/>
              </w:rPr>
              <w:t>September 4, 2012</w:t>
            </w:r>
          </w:p>
        </w:tc>
      </w:tr>
      <w:tr>
        <w:trPr/>
        <w:tc>
          <w:tcPr>
            <w:tcW w:w="3490" w:type="dxa"/>
            <w:gridSpan w:val="2"/>
            <w:tcBorders/>
            <w:shd w:fill="auto" w:val="clear"/>
            <w:tcMar>
              <w:bottom w:w="0" w:type="dxa"/>
            </w:tcMar>
          </w:tcPr>
          <w:p>
            <w:pPr>
              <w:pStyle w:val="TableContents"/>
              <w:spacing w:before="0" w:after="0"/>
              <w:ind w:left="0" w:right="0" w:hanging="0"/>
              <w:jc w:val="left"/>
              <w:rPr>
                <w:rFonts w:ascii="helvetica" w:hAnsi="helvetica"/>
                <w:sz w:val="20"/>
              </w:rPr>
            </w:pPr>
            <w:r>
              <w:rPr>
                <w:rFonts w:ascii="helvetica" w:hAnsi="helvetica"/>
                <w:sz w:val="20"/>
              </w:rPr>
              <w:t>Jeffrey J. Abrams, M.D.</w:t>
            </w:r>
          </w:p>
        </w:tc>
        <w:tc>
          <w:tcPr>
            <w:tcW w:w="427" w:type="dxa"/>
            <w:tcBorders/>
            <w:shd w:fill="auto" w:val="clear"/>
            <w:tcMar>
              <w:bottom w:w="0" w:type="dxa"/>
            </w:tcMar>
            <w:vAlign w:val="bottom"/>
          </w:tcPr>
          <w:p>
            <w:pPr>
              <w:pStyle w:val="TableContents"/>
              <w:spacing w:before="0" w:after="283"/>
              <w:rPr/>
            </w:pPr>
            <w:r>
              <w:rPr/>
              <w:t xml:space="preserve">  </w:t>
            </w:r>
          </w:p>
        </w:tc>
        <w:tc>
          <w:tcPr>
            <w:tcW w:w="3798" w:type="dxa"/>
            <w:tcBorders/>
            <w:shd w:fill="auto" w:val="clear"/>
            <w:tcMar>
              <w:bottom w:w="0" w:type="dxa"/>
            </w:tcMar>
          </w:tcPr>
          <w:p>
            <w:pPr>
              <w:pStyle w:val="TableContents"/>
              <w:spacing w:before="0" w:after="283"/>
              <w:rPr/>
            </w:pPr>
            <w:r>
              <w:rPr/>
              <w:t xml:space="preserve">  </w:t>
            </w:r>
          </w:p>
        </w:tc>
        <w:tc>
          <w:tcPr>
            <w:tcW w:w="349" w:type="dxa"/>
            <w:tcBorders/>
            <w:shd w:fill="auto" w:val="clear"/>
            <w:tcMar>
              <w:bottom w:w="0" w:type="dxa"/>
            </w:tcMar>
            <w:vAlign w:val="bottom"/>
          </w:tcPr>
          <w:p>
            <w:pPr>
              <w:pStyle w:val="TableContents"/>
              <w:spacing w:before="0" w:after="283"/>
              <w:rPr/>
            </w:pPr>
            <w:r>
              <w:rPr/>
              <w:t xml:space="preserve">  </w:t>
            </w:r>
          </w:p>
        </w:tc>
        <w:tc>
          <w:tcPr>
            <w:tcW w:w="2141" w:type="dxa"/>
            <w:tcBorders/>
            <w:shd w:fill="auto" w:val="clear"/>
            <w:tcMar>
              <w:bottom w:w="0" w:type="dxa"/>
            </w:tcMar>
          </w:tcPr>
          <w:p>
            <w:pPr>
              <w:pStyle w:val="TableContents"/>
              <w:spacing w:before="0" w:after="283"/>
              <w:rPr/>
            </w:pPr>
            <w:r>
              <w:rPr/>
              <w:t xml:space="preserve">  </w:t>
            </w:r>
          </w:p>
        </w:tc>
      </w:tr>
      <w:tr>
        <w:trPr/>
        <w:tc>
          <w:tcPr>
            <w:tcW w:w="3490" w:type="dxa"/>
            <w:gridSpan w:val="2"/>
            <w:tcBorders/>
            <w:shd w:fill="auto" w:val="clear"/>
            <w:tcMar>
              <w:bottom w:w="0" w:type="dxa"/>
            </w:tcMar>
          </w:tcPr>
          <w:p>
            <w:pPr>
              <w:pStyle w:val="TableContents"/>
              <w:spacing w:before="0" w:after="283"/>
              <w:rPr/>
            </w:pPr>
            <w:r>
              <w:rPr/>
              <w:t xml:space="preserve">  </w:t>
            </w:r>
          </w:p>
        </w:tc>
        <w:tc>
          <w:tcPr>
            <w:tcW w:w="427" w:type="dxa"/>
            <w:tcBorders/>
            <w:shd w:fill="auto" w:val="clear"/>
            <w:tcMar>
              <w:bottom w:w="0" w:type="dxa"/>
            </w:tcMar>
            <w:vAlign w:val="bottom"/>
          </w:tcPr>
          <w:p>
            <w:pPr>
              <w:pStyle w:val="TableContents"/>
              <w:spacing w:before="0" w:after="283"/>
              <w:rPr/>
            </w:pPr>
            <w:r>
              <w:rPr/>
              <w:t xml:space="preserve">  </w:t>
            </w:r>
          </w:p>
        </w:tc>
        <w:tc>
          <w:tcPr>
            <w:tcW w:w="3798" w:type="dxa"/>
            <w:tcBorders/>
            <w:shd w:fill="auto" w:val="clear"/>
            <w:tcMar>
              <w:bottom w:w="0" w:type="dxa"/>
            </w:tcMar>
          </w:tcPr>
          <w:p>
            <w:pPr>
              <w:pStyle w:val="TableContents"/>
              <w:spacing w:before="0" w:after="283"/>
              <w:rPr/>
            </w:pPr>
            <w:r>
              <w:rPr/>
              <w:t xml:space="preserve">  </w:t>
            </w:r>
          </w:p>
        </w:tc>
        <w:tc>
          <w:tcPr>
            <w:tcW w:w="349" w:type="dxa"/>
            <w:tcBorders/>
            <w:shd w:fill="auto" w:val="clear"/>
            <w:tcMar>
              <w:bottom w:w="0" w:type="dxa"/>
            </w:tcMar>
            <w:vAlign w:val="bottom"/>
          </w:tcPr>
          <w:p>
            <w:pPr>
              <w:pStyle w:val="TableContents"/>
              <w:spacing w:before="0" w:after="283"/>
              <w:rPr/>
            </w:pPr>
            <w:r>
              <w:rPr/>
              <w:t xml:space="preserve">  </w:t>
            </w:r>
          </w:p>
        </w:tc>
        <w:tc>
          <w:tcPr>
            <w:tcW w:w="2141" w:type="dxa"/>
            <w:tcBorders/>
            <w:shd w:fill="auto" w:val="clear"/>
            <w:tcMar>
              <w:bottom w:w="0" w:type="dxa"/>
            </w:tcMar>
          </w:tcPr>
          <w:p>
            <w:pPr>
              <w:pStyle w:val="TableContents"/>
              <w:spacing w:before="0" w:after="283"/>
              <w:ind w:left="0" w:right="0" w:hanging="0"/>
              <w:rPr/>
            </w:pPr>
            <w:r>
              <w:rPr/>
              <w:t xml:space="preserve">  </w:t>
            </w:r>
          </w:p>
        </w:tc>
      </w:tr>
      <w:tr>
        <w:trPr/>
        <w:tc>
          <w:tcPr>
            <w:tcW w:w="3490" w:type="dxa"/>
            <w:gridSpan w:val="2"/>
            <w:tcBorders>
              <w:bottom w:val="single" w:sz="12" w:space="0" w:color="000000"/>
            </w:tcBorders>
            <w:shd w:fill="auto" w:val="clear"/>
          </w:tcPr>
          <w:p>
            <w:pPr>
              <w:pStyle w:val="TableContents"/>
              <w:spacing w:before="0" w:after="0"/>
              <w:ind w:left="0" w:right="0" w:hanging="0"/>
              <w:jc w:val="left"/>
              <w:rPr>
                <w:rFonts w:ascii="helvetica" w:hAnsi="helvetica"/>
                <w:sz w:val="20"/>
              </w:rPr>
            </w:pPr>
            <w:r>
              <w:rPr>
                <w:rFonts w:ascii="helvetica" w:hAnsi="helvetica"/>
                <w:sz w:val="20"/>
              </w:rPr>
              <w:t>/s/ Paul Finnegan*</w:t>
            </w:r>
          </w:p>
        </w:tc>
        <w:tc>
          <w:tcPr>
            <w:tcW w:w="427" w:type="dxa"/>
            <w:tcBorders/>
            <w:shd w:fill="auto" w:val="clear"/>
            <w:tcMar>
              <w:bottom w:w="0" w:type="dxa"/>
            </w:tcMar>
            <w:vAlign w:val="bottom"/>
          </w:tcPr>
          <w:p>
            <w:pPr>
              <w:pStyle w:val="TableContents"/>
              <w:spacing w:before="0" w:after="283"/>
              <w:rPr/>
            </w:pPr>
            <w:r>
              <w:rPr/>
              <w:t xml:space="preserve">  </w:t>
            </w:r>
          </w:p>
        </w:tc>
        <w:tc>
          <w:tcPr>
            <w:tcW w:w="3798" w:type="dxa"/>
            <w:tcBorders/>
            <w:shd w:fill="auto" w:val="clear"/>
            <w:tcMar>
              <w:bottom w:w="0" w:type="dxa"/>
            </w:tcMar>
          </w:tcPr>
          <w:p>
            <w:pPr>
              <w:pStyle w:val="TableContents"/>
              <w:spacing w:before="0" w:after="0"/>
              <w:ind w:left="0" w:right="0" w:hanging="0"/>
              <w:jc w:val="center"/>
              <w:rPr>
                <w:rFonts w:ascii="helvetica" w:hAnsi="helvetica"/>
                <w:sz w:val="20"/>
              </w:rPr>
            </w:pPr>
            <w:r>
              <w:rPr>
                <w:rFonts w:ascii="helvetica" w:hAnsi="helvetica"/>
                <w:sz w:val="20"/>
              </w:rPr>
              <w:t>Director</w:t>
            </w:r>
          </w:p>
        </w:tc>
        <w:tc>
          <w:tcPr>
            <w:tcW w:w="349" w:type="dxa"/>
            <w:tcBorders/>
            <w:shd w:fill="auto" w:val="clear"/>
            <w:tcMar>
              <w:bottom w:w="0" w:type="dxa"/>
            </w:tcMar>
            <w:vAlign w:val="center"/>
          </w:tcPr>
          <w:p>
            <w:pPr>
              <w:pStyle w:val="TableContents"/>
              <w:spacing w:before="0" w:after="283"/>
              <w:rPr/>
            </w:pPr>
            <w:r>
              <w:rPr/>
              <w:t xml:space="preserve">  </w:t>
            </w:r>
          </w:p>
        </w:tc>
        <w:tc>
          <w:tcPr>
            <w:tcW w:w="2141" w:type="dxa"/>
            <w:tcBorders/>
            <w:shd w:fill="auto" w:val="clear"/>
            <w:tcMar>
              <w:bottom w:w="0" w:type="dxa"/>
            </w:tcMar>
            <w:vAlign w:val="bottom"/>
          </w:tcPr>
          <w:p>
            <w:pPr>
              <w:pStyle w:val="TableContents"/>
              <w:spacing w:before="0" w:after="0"/>
              <w:ind w:left="0" w:right="0" w:hanging="0"/>
              <w:jc w:val="center"/>
              <w:rPr>
                <w:rFonts w:ascii="helvetica" w:hAnsi="helvetica"/>
                <w:sz w:val="20"/>
              </w:rPr>
            </w:pPr>
            <w:r>
              <w:rPr>
                <w:rFonts w:ascii="helvetica" w:hAnsi="helvetica"/>
                <w:sz w:val="20"/>
              </w:rPr>
              <w:t>September 4, 2012</w:t>
            </w:r>
          </w:p>
        </w:tc>
      </w:tr>
      <w:tr>
        <w:trPr/>
        <w:tc>
          <w:tcPr>
            <w:tcW w:w="3490" w:type="dxa"/>
            <w:gridSpan w:val="2"/>
            <w:tcBorders/>
            <w:shd w:fill="auto" w:val="clear"/>
            <w:tcMar>
              <w:bottom w:w="0" w:type="dxa"/>
            </w:tcMar>
          </w:tcPr>
          <w:p>
            <w:pPr>
              <w:pStyle w:val="TableContents"/>
              <w:spacing w:before="0" w:after="0"/>
              <w:ind w:left="0" w:right="0" w:hanging="0"/>
              <w:jc w:val="left"/>
              <w:rPr>
                <w:rFonts w:ascii="helvetica" w:hAnsi="helvetica"/>
                <w:sz w:val="20"/>
              </w:rPr>
            </w:pPr>
            <w:r>
              <w:rPr>
                <w:rFonts w:ascii="helvetica" w:hAnsi="helvetica"/>
                <w:sz w:val="20"/>
              </w:rPr>
              <w:t>Paul Finnegan, M.D., M.B.A.</w:t>
            </w:r>
          </w:p>
        </w:tc>
        <w:tc>
          <w:tcPr>
            <w:tcW w:w="427" w:type="dxa"/>
            <w:tcBorders/>
            <w:shd w:fill="auto" w:val="clear"/>
            <w:tcMar>
              <w:bottom w:w="0" w:type="dxa"/>
            </w:tcMar>
            <w:vAlign w:val="bottom"/>
          </w:tcPr>
          <w:p>
            <w:pPr>
              <w:pStyle w:val="TableContents"/>
              <w:spacing w:before="0" w:after="283"/>
              <w:rPr/>
            </w:pPr>
            <w:r>
              <w:rPr/>
              <w:t xml:space="preserve">  </w:t>
            </w:r>
          </w:p>
        </w:tc>
        <w:tc>
          <w:tcPr>
            <w:tcW w:w="3798" w:type="dxa"/>
            <w:tcBorders/>
            <w:shd w:fill="auto" w:val="clear"/>
            <w:tcMar>
              <w:bottom w:w="0" w:type="dxa"/>
            </w:tcMar>
          </w:tcPr>
          <w:p>
            <w:pPr>
              <w:pStyle w:val="TableContents"/>
              <w:spacing w:before="0" w:after="283"/>
              <w:rPr/>
            </w:pPr>
            <w:r>
              <w:rPr/>
              <w:t xml:space="preserve">  </w:t>
            </w:r>
          </w:p>
        </w:tc>
        <w:tc>
          <w:tcPr>
            <w:tcW w:w="349" w:type="dxa"/>
            <w:tcBorders/>
            <w:shd w:fill="auto" w:val="clear"/>
            <w:tcMar>
              <w:bottom w:w="0" w:type="dxa"/>
            </w:tcMar>
            <w:vAlign w:val="center"/>
          </w:tcPr>
          <w:p>
            <w:pPr>
              <w:pStyle w:val="TableContents"/>
              <w:spacing w:before="0" w:after="283"/>
              <w:rPr/>
            </w:pPr>
            <w:r>
              <w:rPr/>
              <w:t xml:space="preserve">  </w:t>
            </w:r>
          </w:p>
        </w:tc>
        <w:tc>
          <w:tcPr>
            <w:tcW w:w="2141" w:type="dxa"/>
            <w:tcBorders/>
            <w:shd w:fill="auto" w:val="clear"/>
            <w:tcMar>
              <w:bottom w:w="0" w:type="dxa"/>
            </w:tcMar>
            <w:vAlign w:val="center"/>
          </w:tcPr>
          <w:p>
            <w:pPr>
              <w:pStyle w:val="TableContents"/>
              <w:spacing w:before="0" w:after="283"/>
              <w:rPr/>
            </w:pPr>
            <w:r>
              <w:rPr/>
              <w:t xml:space="preserve">  </w:t>
            </w:r>
          </w:p>
        </w:tc>
      </w:tr>
      <w:tr>
        <w:trPr/>
        <w:tc>
          <w:tcPr>
            <w:tcW w:w="3490" w:type="dxa"/>
            <w:gridSpan w:val="2"/>
            <w:tcBorders/>
            <w:shd w:fill="auto" w:val="clear"/>
            <w:tcMar>
              <w:bottom w:w="0" w:type="dxa"/>
            </w:tcMar>
          </w:tcPr>
          <w:p>
            <w:pPr>
              <w:pStyle w:val="TableContents"/>
              <w:spacing w:before="0" w:after="283"/>
              <w:rPr/>
            </w:pPr>
            <w:r>
              <w:rPr/>
              <w:t xml:space="preserve">  </w:t>
            </w:r>
          </w:p>
        </w:tc>
        <w:tc>
          <w:tcPr>
            <w:tcW w:w="427" w:type="dxa"/>
            <w:tcBorders/>
            <w:shd w:fill="auto" w:val="clear"/>
            <w:tcMar>
              <w:bottom w:w="0" w:type="dxa"/>
            </w:tcMar>
            <w:vAlign w:val="bottom"/>
          </w:tcPr>
          <w:p>
            <w:pPr>
              <w:pStyle w:val="TableContents"/>
              <w:spacing w:before="0" w:after="283"/>
              <w:rPr/>
            </w:pPr>
            <w:r>
              <w:rPr/>
              <w:t xml:space="preserve">  </w:t>
            </w:r>
          </w:p>
        </w:tc>
        <w:tc>
          <w:tcPr>
            <w:tcW w:w="3798" w:type="dxa"/>
            <w:tcBorders/>
            <w:shd w:fill="auto" w:val="clear"/>
            <w:tcMar>
              <w:bottom w:w="0" w:type="dxa"/>
            </w:tcMar>
          </w:tcPr>
          <w:p>
            <w:pPr>
              <w:pStyle w:val="TableContents"/>
              <w:spacing w:before="0" w:after="283"/>
              <w:rPr/>
            </w:pPr>
            <w:r>
              <w:rPr/>
              <w:t xml:space="preserve">  </w:t>
            </w:r>
          </w:p>
        </w:tc>
        <w:tc>
          <w:tcPr>
            <w:tcW w:w="349" w:type="dxa"/>
            <w:tcBorders/>
            <w:shd w:fill="auto" w:val="clear"/>
            <w:tcMar>
              <w:bottom w:w="0" w:type="dxa"/>
            </w:tcMar>
            <w:vAlign w:val="center"/>
          </w:tcPr>
          <w:p>
            <w:pPr>
              <w:pStyle w:val="TableContents"/>
              <w:spacing w:before="0" w:after="283"/>
              <w:rPr/>
            </w:pPr>
            <w:r>
              <w:rPr/>
              <w:t xml:space="preserve">  </w:t>
            </w:r>
          </w:p>
        </w:tc>
        <w:tc>
          <w:tcPr>
            <w:tcW w:w="2141" w:type="dxa"/>
            <w:tcBorders/>
            <w:shd w:fill="auto" w:val="clear"/>
            <w:tcMar>
              <w:bottom w:w="0" w:type="dxa"/>
            </w:tcMar>
            <w:vAlign w:val="center"/>
          </w:tcPr>
          <w:p>
            <w:pPr>
              <w:pStyle w:val="TableContents"/>
              <w:spacing w:before="0" w:after="283"/>
              <w:ind w:left="0" w:right="0" w:hanging="0"/>
              <w:rPr/>
            </w:pPr>
            <w:r>
              <w:rPr/>
              <w:t xml:space="preserve">  </w:t>
            </w:r>
          </w:p>
        </w:tc>
      </w:tr>
      <w:tr>
        <w:trPr/>
        <w:tc>
          <w:tcPr>
            <w:tcW w:w="3490" w:type="dxa"/>
            <w:gridSpan w:val="2"/>
            <w:tcBorders>
              <w:bottom w:val="single" w:sz="12" w:space="0" w:color="000000"/>
            </w:tcBorders>
            <w:shd w:fill="auto" w:val="clear"/>
          </w:tcPr>
          <w:p>
            <w:pPr>
              <w:pStyle w:val="TableContents"/>
              <w:spacing w:before="0" w:after="0"/>
              <w:ind w:left="0" w:right="0" w:hanging="0"/>
              <w:jc w:val="left"/>
              <w:rPr>
                <w:rFonts w:ascii="helvetica" w:hAnsi="helvetica"/>
                <w:sz w:val="20"/>
              </w:rPr>
            </w:pPr>
            <w:r>
              <w:rPr>
                <w:rFonts w:ascii="helvetica" w:hAnsi="helvetica"/>
                <w:sz w:val="20"/>
              </w:rPr>
              <w:t>/s/ Robert J. Kammer*</w:t>
            </w:r>
          </w:p>
        </w:tc>
        <w:tc>
          <w:tcPr>
            <w:tcW w:w="427" w:type="dxa"/>
            <w:tcBorders/>
            <w:shd w:fill="auto" w:val="clear"/>
            <w:tcMar>
              <w:bottom w:w="0" w:type="dxa"/>
            </w:tcMar>
            <w:vAlign w:val="bottom"/>
          </w:tcPr>
          <w:p>
            <w:pPr>
              <w:pStyle w:val="TableContents"/>
              <w:spacing w:before="0" w:after="283"/>
              <w:rPr/>
            </w:pPr>
            <w:r>
              <w:rPr/>
              <w:t xml:space="preserve">  </w:t>
            </w:r>
          </w:p>
        </w:tc>
        <w:tc>
          <w:tcPr>
            <w:tcW w:w="3798" w:type="dxa"/>
            <w:tcBorders/>
            <w:shd w:fill="auto" w:val="clear"/>
            <w:tcMar>
              <w:bottom w:w="0" w:type="dxa"/>
            </w:tcMar>
          </w:tcPr>
          <w:p>
            <w:pPr>
              <w:pStyle w:val="TableContents"/>
              <w:spacing w:before="0" w:after="0"/>
              <w:ind w:left="0" w:right="0" w:hanging="0"/>
              <w:jc w:val="center"/>
              <w:rPr>
                <w:rFonts w:ascii="helvetica" w:hAnsi="helvetica"/>
                <w:sz w:val="20"/>
              </w:rPr>
            </w:pPr>
            <w:r>
              <w:rPr>
                <w:rFonts w:ascii="helvetica" w:hAnsi="helvetica"/>
                <w:sz w:val="20"/>
              </w:rPr>
              <w:t>Chairman of the Board of Directors</w:t>
            </w:r>
          </w:p>
        </w:tc>
        <w:tc>
          <w:tcPr>
            <w:tcW w:w="349" w:type="dxa"/>
            <w:tcBorders/>
            <w:shd w:fill="auto" w:val="clear"/>
            <w:tcMar>
              <w:bottom w:w="0" w:type="dxa"/>
            </w:tcMar>
            <w:vAlign w:val="center"/>
          </w:tcPr>
          <w:p>
            <w:pPr>
              <w:pStyle w:val="TableContents"/>
              <w:spacing w:before="0" w:after="283"/>
              <w:rPr/>
            </w:pPr>
            <w:r>
              <w:rPr/>
              <w:t xml:space="preserve">  </w:t>
            </w:r>
          </w:p>
        </w:tc>
        <w:tc>
          <w:tcPr>
            <w:tcW w:w="2141" w:type="dxa"/>
            <w:tcBorders/>
            <w:shd w:fill="auto" w:val="clear"/>
            <w:tcMar>
              <w:bottom w:w="0" w:type="dxa"/>
            </w:tcMar>
            <w:vAlign w:val="bottom"/>
          </w:tcPr>
          <w:p>
            <w:pPr>
              <w:pStyle w:val="TableContents"/>
              <w:spacing w:before="0" w:after="0"/>
              <w:ind w:left="0" w:right="0" w:hanging="0"/>
              <w:jc w:val="center"/>
              <w:rPr>
                <w:rFonts w:ascii="helvetica" w:hAnsi="helvetica"/>
                <w:sz w:val="20"/>
              </w:rPr>
            </w:pPr>
            <w:r>
              <w:rPr>
                <w:rFonts w:ascii="helvetica" w:hAnsi="helvetica"/>
                <w:sz w:val="20"/>
              </w:rPr>
              <w:t>September 4, 2012</w:t>
            </w:r>
          </w:p>
        </w:tc>
      </w:tr>
      <w:tr>
        <w:trPr/>
        <w:tc>
          <w:tcPr>
            <w:tcW w:w="3490" w:type="dxa"/>
            <w:gridSpan w:val="2"/>
            <w:tcBorders/>
            <w:shd w:fill="auto" w:val="clear"/>
            <w:tcMar>
              <w:bottom w:w="0" w:type="dxa"/>
            </w:tcMar>
          </w:tcPr>
          <w:p>
            <w:pPr>
              <w:pStyle w:val="TableContents"/>
              <w:spacing w:before="0" w:after="0"/>
              <w:ind w:left="0" w:right="0" w:hanging="0"/>
              <w:jc w:val="left"/>
              <w:rPr>
                <w:rFonts w:ascii="helvetica" w:hAnsi="helvetica"/>
                <w:sz w:val="20"/>
              </w:rPr>
            </w:pPr>
            <w:r>
              <w:rPr>
                <w:rFonts w:ascii="helvetica" w:hAnsi="helvetica"/>
                <w:sz w:val="20"/>
              </w:rPr>
              <w:t>Robert J. Kammer, D.D.S.</w:t>
            </w:r>
          </w:p>
        </w:tc>
        <w:tc>
          <w:tcPr>
            <w:tcW w:w="427" w:type="dxa"/>
            <w:tcBorders/>
            <w:shd w:fill="auto" w:val="clear"/>
            <w:tcMar>
              <w:bottom w:w="0" w:type="dxa"/>
            </w:tcMar>
            <w:vAlign w:val="bottom"/>
          </w:tcPr>
          <w:p>
            <w:pPr>
              <w:pStyle w:val="TableContents"/>
              <w:spacing w:before="0" w:after="283"/>
              <w:rPr/>
            </w:pPr>
            <w:r>
              <w:rPr/>
              <w:t xml:space="preserve">  </w:t>
            </w:r>
          </w:p>
        </w:tc>
        <w:tc>
          <w:tcPr>
            <w:tcW w:w="3798" w:type="dxa"/>
            <w:tcBorders/>
            <w:shd w:fill="auto" w:val="clear"/>
            <w:tcMar>
              <w:bottom w:w="0" w:type="dxa"/>
            </w:tcMar>
          </w:tcPr>
          <w:p>
            <w:pPr>
              <w:pStyle w:val="TableContents"/>
              <w:spacing w:before="0" w:after="283"/>
              <w:rPr/>
            </w:pPr>
            <w:r>
              <w:rPr/>
              <w:t xml:space="preserve">  </w:t>
            </w:r>
          </w:p>
        </w:tc>
        <w:tc>
          <w:tcPr>
            <w:tcW w:w="349" w:type="dxa"/>
            <w:tcBorders/>
            <w:shd w:fill="auto" w:val="clear"/>
            <w:tcMar>
              <w:bottom w:w="0" w:type="dxa"/>
            </w:tcMar>
            <w:vAlign w:val="center"/>
          </w:tcPr>
          <w:p>
            <w:pPr>
              <w:pStyle w:val="TableContents"/>
              <w:spacing w:before="0" w:after="283"/>
              <w:rPr/>
            </w:pPr>
            <w:r>
              <w:rPr/>
              <w:t xml:space="preserve">  </w:t>
            </w:r>
          </w:p>
        </w:tc>
        <w:tc>
          <w:tcPr>
            <w:tcW w:w="2141" w:type="dxa"/>
            <w:tcBorders/>
            <w:shd w:fill="auto" w:val="clear"/>
            <w:tcMar>
              <w:bottom w:w="0" w:type="dxa"/>
            </w:tcMar>
            <w:vAlign w:val="center"/>
          </w:tcPr>
          <w:p>
            <w:pPr>
              <w:pStyle w:val="TableContents"/>
              <w:spacing w:before="0" w:after="283"/>
              <w:ind w:left="0" w:right="0" w:hanging="0"/>
              <w:rPr/>
            </w:pPr>
            <w:r>
              <w:rPr/>
              <w:t xml:space="preserve">  </w:t>
            </w:r>
          </w:p>
        </w:tc>
      </w:tr>
      <w:tr>
        <w:trPr/>
        <w:tc>
          <w:tcPr>
            <w:tcW w:w="3490" w:type="dxa"/>
            <w:gridSpan w:val="2"/>
            <w:tcBorders/>
            <w:shd w:fill="auto" w:val="clear"/>
            <w:tcMar>
              <w:bottom w:w="0" w:type="dxa"/>
            </w:tcMar>
          </w:tcPr>
          <w:p>
            <w:pPr>
              <w:pStyle w:val="TableContents"/>
              <w:spacing w:before="0" w:after="283"/>
              <w:jc w:val="left"/>
              <w:rPr/>
            </w:pPr>
            <w:r>
              <w:rPr/>
              <w:t> </w:t>
            </w:r>
          </w:p>
        </w:tc>
        <w:tc>
          <w:tcPr>
            <w:tcW w:w="427" w:type="dxa"/>
            <w:tcBorders/>
            <w:shd w:fill="auto" w:val="clear"/>
            <w:tcMar>
              <w:bottom w:w="0" w:type="dxa"/>
            </w:tcMar>
            <w:vAlign w:val="bottom"/>
          </w:tcPr>
          <w:p>
            <w:pPr>
              <w:pStyle w:val="TableContents"/>
              <w:spacing w:before="0" w:after="283"/>
              <w:rPr/>
            </w:pPr>
            <w:r>
              <w:rPr/>
              <w:t> </w:t>
            </w:r>
          </w:p>
        </w:tc>
        <w:tc>
          <w:tcPr>
            <w:tcW w:w="3798" w:type="dxa"/>
            <w:tcBorders/>
            <w:shd w:fill="auto" w:val="clear"/>
            <w:tcMar>
              <w:bottom w:w="0" w:type="dxa"/>
            </w:tcMar>
          </w:tcPr>
          <w:p>
            <w:pPr>
              <w:pStyle w:val="TableContents"/>
              <w:spacing w:before="0" w:after="283"/>
              <w:rPr/>
            </w:pPr>
            <w:r>
              <w:rPr/>
              <w:t> </w:t>
            </w:r>
          </w:p>
        </w:tc>
        <w:tc>
          <w:tcPr>
            <w:tcW w:w="349" w:type="dxa"/>
            <w:tcBorders/>
            <w:shd w:fill="auto" w:val="clear"/>
            <w:tcMar>
              <w:bottom w:w="0" w:type="dxa"/>
            </w:tcMar>
            <w:vAlign w:val="center"/>
          </w:tcPr>
          <w:p>
            <w:pPr>
              <w:pStyle w:val="TableContents"/>
              <w:spacing w:before="0" w:after="283"/>
              <w:rPr/>
            </w:pPr>
            <w:r>
              <w:rPr/>
              <w:t> </w:t>
            </w:r>
          </w:p>
        </w:tc>
        <w:tc>
          <w:tcPr>
            <w:tcW w:w="2141" w:type="dxa"/>
            <w:tcBorders/>
            <w:shd w:fill="auto" w:val="clear"/>
            <w:tcMar>
              <w:bottom w:w="0" w:type="dxa"/>
            </w:tcMar>
            <w:vAlign w:val="center"/>
          </w:tcPr>
          <w:p>
            <w:pPr>
              <w:pStyle w:val="TableContents"/>
              <w:spacing w:before="0" w:after="283"/>
              <w:ind w:left="0" w:right="0" w:hanging="0"/>
              <w:rPr/>
            </w:pPr>
            <w:r>
              <w:rPr/>
              <w:t> </w:t>
            </w:r>
          </w:p>
        </w:tc>
      </w:tr>
      <w:tr>
        <w:trPr/>
        <w:tc>
          <w:tcPr>
            <w:tcW w:w="543" w:type="dxa"/>
            <w:tcBorders/>
            <w:shd w:fill="auto" w:val="clear"/>
            <w:tcMar>
              <w:bottom w:w="0" w:type="dxa"/>
            </w:tcMar>
          </w:tcPr>
          <w:p>
            <w:pPr>
              <w:pStyle w:val="TableContents"/>
              <w:spacing w:before="0" w:after="283"/>
              <w:ind w:left="0" w:right="0" w:hanging="0"/>
              <w:jc w:val="left"/>
              <w:rPr>
                <w:rFonts w:ascii="helvetica" w:hAnsi="helvetica"/>
                <w:sz w:val="20"/>
              </w:rPr>
            </w:pPr>
            <w:r>
              <w:rPr>
                <w:rFonts w:ascii="helvetica" w:hAnsi="helvetica"/>
                <w:sz w:val="20"/>
              </w:rPr>
              <w:t>*By:</w:t>
            </w:r>
          </w:p>
        </w:tc>
        <w:tc>
          <w:tcPr>
            <w:tcW w:w="2947" w:type="dxa"/>
            <w:tcBorders>
              <w:bottom w:val="single" w:sz="12" w:space="0" w:color="000000"/>
            </w:tcBorders>
            <w:shd w:fill="auto" w:val="clear"/>
          </w:tcPr>
          <w:p>
            <w:pPr>
              <w:pStyle w:val="TableContents"/>
              <w:spacing w:before="0" w:after="283"/>
              <w:jc w:val="left"/>
              <w:rPr>
                <w:rFonts w:ascii="helvetica" w:hAnsi="helvetica"/>
                <w:sz w:val="20"/>
              </w:rPr>
            </w:pPr>
            <w:r>
              <w:rPr>
                <w:rFonts w:ascii="helvetica" w:hAnsi="helvetica"/>
                <w:sz w:val="20"/>
              </w:rPr>
              <w:t>/s/ Mark L. Baum</w:t>
            </w:r>
          </w:p>
        </w:tc>
        <w:tc>
          <w:tcPr>
            <w:tcW w:w="427" w:type="dxa"/>
            <w:tcBorders/>
            <w:shd w:fill="auto" w:val="clear"/>
            <w:tcMar>
              <w:bottom w:w="0" w:type="dxa"/>
            </w:tcMar>
            <w:vAlign w:val="bottom"/>
          </w:tcPr>
          <w:p>
            <w:pPr>
              <w:pStyle w:val="TableContents"/>
              <w:spacing w:before="0" w:after="283"/>
              <w:rPr/>
            </w:pPr>
            <w:r>
              <w:rPr/>
              <w:t> </w:t>
            </w:r>
          </w:p>
        </w:tc>
        <w:tc>
          <w:tcPr>
            <w:tcW w:w="3798" w:type="dxa"/>
            <w:tcBorders/>
            <w:shd w:fill="auto" w:val="clear"/>
            <w:tcMar>
              <w:bottom w:w="0" w:type="dxa"/>
            </w:tcMar>
          </w:tcPr>
          <w:p>
            <w:pPr>
              <w:pStyle w:val="TableContents"/>
              <w:spacing w:before="0" w:after="283"/>
              <w:rPr/>
            </w:pPr>
            <w:r>
              <w:rPr/>
              <w:t> </w:t>
            </w:r>
          </w:p>
        </w:tc>
        <w:tc>
          <w:tcPr>
            <w:tcW w:w="349" w:type="dxa"/>
            <w:tcBorders/>
            <w:shd w:fill="auto" w:val="clear"/>
            <w:tcMar>
              <w:bottom w:w="0" w:type="dxa"/>
            </w:tcMar>
            <w:vAlign w:val="center"/>
          </w:tcPr>
          <w:p>
            <w:pPr>
              <w:pStyle w:val="TableContents"/>
              <w:spacing w:before="0" w:after="283"/>
              <w:rPr/>
            </w:pPr>
            <w:r>
              <w:rPr/>
              <w:t> </w:t>
            </w:r>
          </w:p>
        </w:tc>
        <w:tc>
          <w:tcPr>
            <w:tcW w:w="2141" w:type="dxa"/>
            <w:tcBorders/>
            <w:shd w:fill="auto" w:val="clear"/>
            <w:tcMar>
              <w:bottom w:w="0" w:type="dxa"/>
            </w:tcMar>
            <w:vAlign w:val="center"/>
          </w:tcPr>
          <w:p>
            <w:pPr>
              <w:pStyle w:val="TableContents"/>
              <w:spacing w:before="0" w:after="283"/>
              <w:ind w:left="0" w:right="0" w:hanging="0"/>
              <w:rPr/>
            </w:pPr>
            <w:r>
              <w:rPr/>
              <w:t> </w:t>
            </w:r>
          </w:p>
        </w:tc>
      </w:tr>
      <w:tr>
        <w:trPr/>
        <w:tc>
          <w:tcPr>
            <w:tcW w:w="3490" w:type="dxa"/>
            <w:gridSpan w:val="2"/>
            <w:tcBorders/>
            <w:shd w:fill="auto" w:val="clear"/>
            <w:tcMar>
              <w:bottom w:w="0" w:type="dxa"/>
            </w:tcMar>
          </w:tcPr>
          <w:p>
            <w:pPr>
              <w:pStyle w:val="TableContents"/>
              <w:spacing w:before="0" w:after="283"/>
              <w:jc w:val="left"/>
              <w:rPr/>
            </w:pPr>
            <w:r>
              <w:rPr/>
              <w:t>         </w:t>
            </w:r>
            <w:r>
              <w:rPr>
                <w:rFonts w:ascii="helvetica" w:hAnsi="helvetica"/>
                <w:sz w:val="20"/>
              </w:rPr>
              <w:t>Mark L. Baum</w:t>
            </w:r>
          </w:p>
        </w:tc>
        <w:tc>
          <w:tcPr>
            <w:tcW w:w="427" w:type="dxa"/>
            <w:tcBorders/>
            <w:shd w:fill="auto" w:val="clear"/>
            <w:tcMar>
              <w:bottom w:w="0" w:type="dxa"/>
            </w:tcMar>
            <w:vAlign w:val="bottom"/>
          </w:tcPr>
          <w:p>
            <w:pPr>
              <w:pStyle w:val="TableContents"/>
              <w:spacing w:before="0" w:after="283"/>
              <w:rPr/>
            </w:pPr>
            <w:r>
              <w:rPr/>
              <w:t> </w:t>
            </w:r>
          </w:p>
        </w:tc>
        <w:tc>
          <w:tcPr>
            <w:tcW w:w="3798" w:type="dxa"/>
            <w:tcBorders/>
            <w:shd w:fill="auto" w:val="clear"/>
            <w:tcMar>
              <w:bottom w:w="0" w:type="dxa"/>
            </w:tcMar>
          </w:tcPr>
          <w:p>
            <w:pPr>
              <w:pStyle w:val="TableContents"/>
              <w:spacing w:before="0" w:after="283"/>
              <w:rPr/>
            </w:pPr>
            <w:r>
              <w:rPr/>
              <w:t> </w:t>
            </w:r>
          </w:p>
        </w:tc>
        <w:tc>
          <w:tcPr>
            <w:tcW w:w="349" w:type="dxa"/>
            <w:tcBorders/>
            <w:shd w:fill="auto" w:val="clear"/>
            <w:tcMar>
              <w:bottom w:w="0" w:type="dxa"/>
            </w:tcMar>
            <w:vAlign w:val="center"/>
          </w:tcPr>
          <w:p>
            <w:pPr>
              <w:pStyle w:val="TableContents"/>
              <w:spacing w:before="0" w:after="283"/>
              <w:rPr/>
            </w:pPr>
            <w:r>
              <w:rPr/>
              <w:t> </w:t>
            </w:r>
          </w:p>
        </w:tc>
        <w:tc>
          <w:tcPr>
            <w:tcW w:w="2141" w:type="dxa"/>
            <w:tcBorders/>
            <w:shd w:fill="auto" w:val="clear"/>
            <w:tcMar>
              <w:bottom w:w="0" w:type="dxa"/>
            </w:tcMar>
            <w:vAlign w:val="center"/>
          </w:tcPr>
          <w:p>
            <w:pPr>
              <w:pStyle w:val="TableContents"/>
              <w:spacing w:before="0" w:after="283"/>
              <w:ind w:left="0" w:right="0" w:hanging="0"/>
              <w:rPr/>
            </w:pPr>
            <w:r>
              <w:rPr/>
              <w:t> </w:t>
            </w:r>
          </w:p>
        </w:tc>
      </w:tr>
      <w:tr>
        <w:trPr/>
        <w:tc>
          <w:tcPr>
            <w:tcW w:w="3490" w:type="dxa"/>
            <w:gridSpan w:val="2"/>
            <w:tcBorders/>
            <w:shd w:fill="auto" w:val="clear"/>
            <w:tcMar>
              <w:bottom w:w="0" w:type="dxa"/>
            </w:tcMar>
          </w:tcPr>
          <w:p>
            <w:pPr>
              <w:pStyle w:val="TableContents"/>
              <w:spacing w:before="0" w:after="283"/>
              <w:jc w:val="left"/>
              <w:rPr/>
            </w:pPr>
            <w:r>
              <w:rPr/>
              <w:t>         </w:t>
            </w:r>
            <w:r>
              <w:rPr>
                <w:rFonts w:ascii="helvetica" w:hAnsi="helvetica"/>
                <w:sz w:val="20"/>
              </w:rPr>
              <w:t>Attorney-in-Fact</w:t>
            </w:r>
          </w:p>
        </w:tc>
        <w:tc>
          <w:tcPr>
            <w:tcW w:w="427" w:type="dxa"/>
            <w:tcBorders/>
            <w:shd w:fill="auto" w:val="clear"/>
            <w:tcMar>
              <w:bottom w:w="0" w:type="dxa"/>
            </w:tcMar>
            <w:vAlign w:val="bottom"/>
          </w:tcPr>
          <w:p>
            <w:pPr>
              <w:pStyle w:val="TableContents"/>
              <w:spacing w:before="0" w:after="283"/>
              <w:rPr/>
            </w:pPr>
            <w:r>
              <w:rPr/>
              <w:t> </w:t>
            </w:r>
          </w:p>
        </w:tc>
        <w:tc>
          <w:tcPr>
            <w:tcW w:w="3798" w:type="dxa"/>
            <w:tcBorders/>
            <w:shd w:fill="auto" w:val="clear"/>
            <w:tcMar>
              <w:bottom w:w="0" w:type="dxa"/>
            </w:tcMar>
          </w:tcPr>
          <w:p>
            <w:pPr>
              <w:pStyle w:val="TableContents"/>
              <w:spacing w:before="0" w:after="283"/>
              <w:rPr/>
            </w:pPr>
            <w:r>
              <w:rPr/>
              <w:t> </w:t>
            </w:r>
          </w:p>
        </w:tc>
        <w:tc>
          <w:tcPr>
            <w:tcW w:w="349" w:type="dxa"/>
            <w:tcBorders/>
            <w:shd w:fill="auto" w:val="clear"/>
            <w:tcMar>
              <w:bottom w:w="0" w:type="dxa"/>
            </w:tcMar>
            <w:vAlign w:val="center"/>
          </w:tcPr>
          <w:p>
            <w:pPr>
              <w:pStyle w:val="TableContents"/>
              <w:spacing w:before="0" w:after="283"/>
              <w:rPr/>
            </w:pPr>
            <w:r>
              <w:rPr/>
              <w:t> </w:t>
            </w:r>
          </w:p>
        </w:tc>
        <w:tc>
          <w:tcPr>
            <w:tcW w:w="2141" w:type="dxa"/>
            <w:tcBorders/>
            <w:shd w:fill="auto" w:val="clear"/>
            <w:tcMar>
              <w:bottom w:w="0" w:type="dxa"/>
            </w:tcMar>
            <w:vAlign w:val="center"/>
          </w:tcPr>
          <w:p>
            <w:pPr>
              <w:pStyle w:val="TableContents"/>
              <w:spacing w:before="0" w:after="283"/>
              <w:rPr/>
            </w:pPr>
            <w:r>
              <w:rPr/>
              <w:t> </w:t>
            </w:r>
          </w:p>
        </w:tc>
      </w:tr>
    </w:tbl>
    <w:p>
      <w:pPr>
        <w:pStyle w:val="TextBody"/>
        <w:spacing w:before="0" w:after="0"/>
        <w:ind w:left="0" w:right="0" w:hanging="0"/>
        <w:jc w:val="center"/>
        <w:rPr/>
      </w:pPr>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r>
      <w:bookmarkStart w:id="1418" w:name="PGBRK124"/>
      <w:bookmarkStart w:id="1419" w:name="PGBRK124"/>
      <w:bookmarkEnd w:id="141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420" w:name="FTR124"/>
      <w:bookmarkStart w:id="1421" w:name="FTR124"/>
      <w:bookmarkEnd w:id="142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1422" w:name="GLFTR123"/>
      <w:bookmarkEnd w:id="1422"/>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helvetica" w:hAnsi="helvetica"/>
          <w:sz w:val="20"/>
        </w:rPr>
      </w:pPr>
      <w:bookmarkStart w:id="1423" w:name="PN123"/>
      <w:bookmarkEnd w:id="1423"/>
      <w:r>
        <w:rPr>
          <w:rFonts w:ascii="helvetica" w:hAnsi="helvetica"/>
          <w:sz w:val="20"/>
        </w:rPr>
        <w:t>II-9</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424" w:name="HDR123"/>
      <w:bookmarkStart w:id="1425" w:name="HDR123"/>
      <w:bookmarkEnd w:id="142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1426" w:name="GLHDR123"/>
      <w:bookmarkEnd w:id="1426"/>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center"/>
        <w:rPr/>
      </w:pPr>
      <w:r>
        <w:rPr/>
        <w:t> </w:t>
      </w:r>
    </w:p>
    <w:p>
      <w:pPr>
        <w:pStyle w:val="TextBody"/>
        <w:spacing w:before="0" w:after="0"/>
        <w:ind w:left="0" w:right="0" w:hanging="0"/>
        <w:jc w:val="center"/>
        <w:rPr>
          <w:rFonts w:ascii="helvetica" w:hAnsi="helvetica"/>
          <w:b/>
          <w:sz w:val="20"/>
        </w:rPr>
      </w:pPr>
      <w:r>
        <w:rPr>
          <w:rFonts w:ascii="helvetica" w:hAnsi="helvetica"/>
          <w:b/>
          <w:sz w:val="20"/>
        </w:rPr>
        <w:t>EXHIBIT INDEX</w:t>
      </w:r>
    </w:p>
    <w:p>
      <w:pPr>
        <w:pStyle w:val="TextBody"/>
        <w:spacing w:before="0" w:after="0"/>
        <w:ind w:left="0" w:right="0" w:hanging="0"/>
        <w:jc w:val="both"/>
        <w:rPr/>
      </w:pPr>
      <w:r>
        <w:rPr/>
        <w:t> </w:t>
      </w:r>
    </w:p>
    <w:tbl>
      <w:tblPr>
        <w:tblW w:w="5000" w:type="pct"/>
        <w:jc w:val="center"/>
        <w:tblInd w:w="0" w:type="dxa"/>
        <w:tblCellMar>
          <w:top w:w="0" w:type="dxa"/>
          <w:left w:w="0" w:type="dxa"/>
          <w:bottom w:w="28" w:type="dxa"/>
          <w:right w:w="0" w:type="dxa"/>
        </w:tblCellMar>
      </w:tblPr>
      <w:tblGrid>
        <w:gridCol w:w="1095"/>
        <w:gridCol w:w="205"/>
        <w:gridCol w:w="8905"/>
      </w:tblGrid>
      <w:tr>
        <w:trPr/>
        <w:tc>
          <w:tcPr>
            <w:tcW w:w="1095" w:type="dxa"/>
            <w:tcBorders>
              <w:bottom w:val="single" w:sz="12" w:space="0" w:color="000000"/>
            </w:tcBorders>
            <w:shd w:fill="auto" w:val="clear"/>
          </w:tcPr>
          <w:p>
            <w:pPr>
              <w:pStyle w:val="TableContents"/>
              <w:spacing w:before="0" w:after="0"/>
              <w:ind w:left="0" w:right="16" w:hanging="0"/>
              <w:jc w:val="both"/>
              <w:rPr>
                <w:rFonts w:ascii="helvetica" w:hAnsi="helvetica"/>
                <w:b/>
                <w:sz w:val="20"/>
              </w:rPr>
            </w:pPr>
            <w:r>
              <w:rPr>
                <w:rFonts w:ascii="helvetica" w:hAnsi="helvetica"/>
                <w:b/>
                <w:sz w:val="20"/>
              </w:rPr>
              <w:t>Exhibit No.</w:t>
            </w:r>
          </w:p>
        </w:tc>
        <w:tc>
          <w:tcPr>
            <w:tcW w:w="205" w:type="dxa"/>
            <w:tcBorders/>
            <w:shd w:fill="auto" w:val="clear"/>
            <w:tcMar>
              <w:bottom w:w="0" w:type="dxa"/>
            </w:tcMar>
          </w:tcPr>
          <w:p>
            <w:pPr>
              <w:pStyle w:val="TableContents"/>
              <w:spacing w:before="0" w:after="283"/>
              <w:jc w:val="both"/>
              <w:rPr/>
            </w:pPr>
            <w:r>
              <w:rPr/>
              <w:t xml:space="preserve">  </w:t>
            </w:r>
          </w:p>
        </w:tc>
        <w:tc>
          <w:tcPr>
            <w:tcW w:w="8905" w:type="dxa"/>
            <w:tcBorders>
              <w:bottom w:val="single" w:sz="12" w:space="0" w:color="000000"/>
            </w:tcBorders>
            <w:shd w:fill="auto" w:val="clear"/>
          </w:tcPr>
          <w:p>
            <w:pPr>
              <w:pStyle w:val="TableContents"/>
              <w:spacing w:before="0" w:after="0"/>
              <w:ind w:left="0" w:right="16" w:hanging="0"/>
              <w:jc w:val="both"/>
              <w:rPr>
                <w:rFonts w:ascii="helvetica" w:hAnsi="helvetica"/>
                <w:b/>
                <w:sz w:val="20"/>
              </w:rPr>
            </w:pPr>
            <w:r>
              <w:rPr>
                <w:rFonts w:ascii="helvetica" w:hAnsi="helvetica"/>
                <w:b/>
                <w:sz w:val="20"/>
              </w:rPr>
              <w:t>Description</w:t>
            </w:r>
          </w:p>
        </w:tc>
      </w:tr>
      <w:tr>
        <w:trPr/>
        <w:tc>
          <w:tcPr>
            <w:tcW w:w="1095" w:type="dxa"/>
            <w:tcBorders/>
            <w:shd w:fill="FFFFFF" w:val="clear"/>
            <w:tcMar>
              <w:bottom w:w="0" w:type="dxa"/>
            </w:tcMar>
          </w:tcPr>
          <w:p>
            <w:pPr>
              <w:pStyle w:val="TableContents"/>
              <w:spacing w:before="0" w:after="283"/>
              <w:jc w:val="both"/>
              <w:rPr/>
            </w:pPr>
            <w:r>
              <w:rPr/>
              <w:t> </w:t>
            </w:r>
          </w:p>
        </w:tc>
        <w:tc>
          <w:tcPr>
            <w:tcW w:w="205" w:type="dxa"/>
            <w:tcBorders/>
            <w:shd w:fill="FFFFFF" w:val="clear"/>
            <w:tcMar>
              <w:bottom w:w="0" w:type="dxa"/>
            </w:tcMar>
          </w:tcPr>
          <w:p>
            <w:pPr>
              <w:pStyle w:val="TableContents"/>
              <w:spacing w:before="0" w:after="283"/>
              <w:jc w:val="both"/>
              <w:rPr/>
            </w:pPr>
            <w:r>
              <w:rPr/>
              <w:t> </w:t>
            </w:r>
          </w:p>
        </w:tc>
        <w:tc>
          <w:tcPr>
            <w:tcW w:w="8905" w:type="dxa"/>
            <w:tcBorders/>
            <w:shd w:fill="FFFFFF" w:val="clear"/>
            <w:tcMar>
              <w:bottom w:w="0" w:type="dxa"/>
            </w:tcMar>
          </w:tcPr>
          <w:p>
            <w:pPr>
              <w:pStyle w:val="TableContents"/>
              <w:spacing w:before="0" w:after="283"/>
              <w:jc w:val="both"/>
              <w:rPr/>
            </w:pPr>
            <w:r>
              <w:rPr/>
              <w:t> </w:t>
            </w:r>
          </w:p>
        </w:tc>
      </w:tr>
      <w:tr>
        <w:trPr/>
        <w:tc>
          <w:tcPr>
            <w:tcW w:w="1095" w:type="dxa"/>
            <w:tcBorders/>
            <w:shd w:fill="CCEEFF" w:val="clear"/>
            <w:tcMar>
              <w:bottom w:w="0" w:type="dxa"/>
            </w:tcMar>
          </w:tcPr>
          <w:p>
            <w:pPr>
              <w:pStyle w:val="TableContents"/>
              <w:spacing w:before="0" w:after="0"/>
              <w:ind w:left="0" w:right="16" w:hanging="0"/>
              <w:jc w:val="both"/>
              <w:rPr>
                <w:rFonts w:ascii="helvetica" w:hAnsi="helvetica"/>
                <w:sz w:val="20"/>
              </w:rPr>
            </w:pPr>
            <w:r>
              <w:rPr>
                <w:rFonts w:ascii="helvetica" w:hAnsi="helvetica"/>
                <w:sz w:val="20"/>
              </w:rPr>
              <w:t xml:space="preserve">1.1 † </w:t>
            </w:r>
          </w:p>
        </w:tc>
        <w:tc>
          <w:tcPr>
            <w:tcW w:w="205" w:type="dxa"/>
            <w:tcBorders/>
            <w:shd w:fill="CCEEFF" w:val="clear"/>
            <w:tcMar>
              <w:bottom w:w="0" w:type="dxa"/>
            </w:tcMar>
          </w:tcPr>
          <w:p>
            <w:pPr>
              <w:pStyle w:val="TableContents"/>
              <w:spacing w:before="0" w:after="283"/>
              <w:jc w:val="both"/>
              <w:rPr/>
            </w:pPr>
            <w:r>
              <w:rPr/>
              <w:t xml:space="preserve">  </w:t>
            </w:r>
          </w:p>
        </w:tc>
        <w:tc>
          <w:tcPr>
            <w:tcW w:w="8905" w:type="dxa"/>
            <w:tcBorders/>
            <w:shd w:fill="CCEEFF" w:val="clear"/>
            <w:tcMar>
              <w:bottom w:w="0" w:type="dxa"/>
            </w:tcMar>
          </w:tcPr>
          <w:p>
            <w:pPr>
              <w:pStyle w:val="TableContents"/>
              <w:spacing w:before="0" w:after="0"/>
              <w:ind w:left="0" w:right="14" w:hanging="0"/>
              <w:jc w:val="both"/>
              <w:rPr>
                <w:rFonts w:ascii="helvetica" w:hAnsi="helvetica"/>
                <w:sz w:val="20"/>
              </w:rPr>
            </w:pPr>
            <w:r>
              <w:rPr>
                <w:rFonts w:ascii="helvetica" w:hAnsi="helvetica"/>
                <w:sz w:val="20"/>
              </w:rPr>
              <w:t>Form of Underwriting Agreement</w:t>
            </w:r>
          </w:p>
        </w:tc>
      </w:tr>
      <w:tr>
        <w:trPr/>
        <w:tc>
          <w:tcPr>
            <w:tcW w:w="1095" w:type="dxa"/>
            <w:tcBorders/>
            <w:shd w:fill="FFFFFF" w:val="clear"/>
            <w:tcMar>
              <w:bottom w:w="0" w:type="dxa"/>
            </w:tcMar>
          </w:tcPr>
          <w:p>
            <w:pPr>
              <w:pStyle w:val="TableContents"/>
              <w:spacing w:before="0" w:after="283"/>
              <w:jc w:val="both"/>
              <w:rPr/>
            </w:pPr>
            <w:r>
              <w:rPr/>
              <w:t> </w:t>
            </w:r>
          </w:p>
        </w:tc>
        <w:tc>
          <w:tcPr>
            <w:tcW w:w="205" w:type="dxa"/>
            <w:tcBorders/>
            <w:shd w:fill="FFFFFF" w:val="clear"/>
            <w:tcMar>
              <w:bottom w:w="0" w:type="dxa"/>
            </w:tcMar>
          </w:tcPr>
          <w:p>
            <w:pPr>
              <w:pStyle w:val="TableContents"/>
              <w:spacing w:before="0" w:after="283"/>
              <w:jc w:val="both"/>
              <w:rPr/>
            </w:pPr>
            <w:r>
              <w:rPr/>
              <w:t> </w:t>
            </w:r>
          </w:p>
        </w:tc>
        <w:tc>
          <w:tcPr>
            <w:tcW w:w="8905" w:type="dxa"/>
            <w:tcBorders/>
            <w:shd w:fill="FFFFFF" w:val="clear"/>
            <w:tcMar>
              <w:bottom w:w="0" w:type="dxa"/>
            </w:tcMar>
          </w:tcPr>
          <w:p>
            <w:pPr>
              <w:pStyle w:val="TableContents"/>
              <w:spacing w:before="0" w:after="283"/>
              <w:jc w:val="both"/>
              <w:rPr/>
            </w:pPr>
            <w:r>
              <w:rPr/>
              <w:t> </w:t>
            </w:r>
          </w:p>
        </w:tc>
      </w:tr>
      <w:tr>
        <w:trPr/>
        <w:tc>
          <w:tcPr>
            <w:tcW w:w="1095" w:type="dxa"/>
            <w:tcBorders/>
            <w:shd w:fill="CCEEFF" w:val="clear"/>
            <w:tcMar>
              <w:bottom w:w="0" w:type="dxa"/>
            </w:tcMar>
          </w:tcPr>
          <w:p>
            <w:pPr>
              <w:pStyle w:val="TableContents"/>
              <w:spacing w:before="0" w:after="0"/>
              <w:ind w:left="0" w:right="16" w:hanging="0"/>
              <w:jc w:val="both"/>
              <w:rPr>
                <w:rFonts w:ascii="helvetica" w:hAnsi="helvetica"/>
                <w:sz w:val="20"/>
              </w:rPr>
            </w:pPr>
            <w:r>
              <w:rPr>
                <w:rFonts w:ascii="helvetica" w:hAnsi="helvetica"/>
                <w:sz w:val="20"/>
              </w:rPr>
              <w:t>2.1</w:t>
            </w:r>
          </w:p>
        </w:tc>
        <w:tc>
          <w:tcPr>
            <w:tcW w:w="205" w:type="dxa"/>
            <w:tcBorders/>
            <w:shd w:fill="CCEEFF" w:val="clear"/>
            <w:tcMar>
              <w:bottom w:w="0" w:type="dxa"/>
            </w:tcMar>
          </w:tcPr>
          <w:p>
            <w:pPr>
              <w:pStyle w:val="TableContents"/>
              <w:spacing w:before="0" w:after="283"/>
              <w:jc w:val="both"/>
              <w:rPr/>
            </w:pPr>
            <w:r>
              <w:rPr/>
              <w:t xml:space="preserve">  </w:t>
            </w:r>
          </w:p>
        </w:tc>
        <w:tc>
          <w:tcPr>
            <w:tcW w:w="8905" w:type="dxa"/>
            <w:tcBorders/>
            <w:shd w:fill="CCEEFF" w:val="clear"/>
            <w:tcMar>
              <w:bottom w:w="0" w:type="dxa"/>
            </w:tcMar>
          </w:tcPr>
          <w:p>
            <w:pPr>
              <w:pStyle w:val="TableContents"/>
              <w:spacing w:before="0" w:after="0"/>
              <w:ind w:left="0" w:right="16" w:hanging="0"/>
              <w:jc w:val="both"/>
              <w:rPr>
                <w:rFonts w:ascii="helvetica" w:hAnsi="helvetica"/>
                <w:sz w:val="20"/>
              </w:rPr>
            </w:pPr>
            <w:r>
              <w:rPr>
                <w:rFonts w:ascii="helvetica" w:hAnsi="helvetica"/>
                <w:sz w:val="20"/>
              </w:rPr>
              <w:t>Agreement and Plan of Merger, dated as of September 17, 2007, by and among Transdel Pharmaceuticals, Inc., Transdel Pharmaceuticals Holdings, Inc. and Trans-Pharma Acquisition Corp. Incorporation (incorporated herein by reference to Exhibit 2.1 to the Current Report on Form 8-K of Transdel Pharmaceuticals, Inc. filed with the Securities and Exchange Commission on September 21, 2007)</w:t>
            </w:r>
          </w:p>
        </w:tc>
      </w:tr>
      <w:tr>
        <w:trPr/>
        <w:tc>
          <w:tcPr>
            <w:tcW w:w="1095" w:type="dxa"/>
            <w:tcBorders/>
            <w:shd w:fill="FFFFFF" w:val="clear"/>
            <w:tcMar>
              <w:bottom w:w="0" w:type="dxa"/>
            </w:tcMar>
          </w:tcPr>
          <w:p>
            <w:pPr>
              <w:pStyle w:val="TableContents"/>
              <w:spacing w:before="0" w:after="283"/>
              <w:jc w:val="both"/>
              <w:rPr/>
            </w:pPr>
            <w:r>
              <w:rPr/>
              <w:t> </w:t>
            </w:r>
          </w:p>
        </w:tc>
        <w:tc>
          <w:tcPr>
            <w:tcW w:w="205" w:type="dxa"/>
            <w:tcBorders/>
            <w:shd w:fill="FFFFFF" w:val="clear"/>
            <w:tcMar>
              <w:bottom w:w="0" w:type="dxa"/>
            </w:tcMar>
          </w:tcPr>
          <w:p>
            <w:pPr>
              <w:pStyle w:val="TableContents"/>
              <w:spacing w:before="0" w:after="283"/>
              <w:jc w:val="both"/>
              <w:rPr/>
            </w:pPr>
            <w:r>
              <w:rPr/>
              <w:t> </w:t>
            </w:r>
          </w:p>
        </w:tc>
        <w:tc>
          <w:tcPr>
            <w:tcW w:w="8905" w:type="dxa"/>
            <w:tcBorders/>
            <w:shd w:fill="FFFFFF" w:val="clear"/>
            <w:tcMar>
              <w:bottom w:w="0" w:type="dxa"/>
            </w:tcMar>
          </w:tcPr>
          <w:p>
            <w:pPr>
              <w:pStyle w:val="TableContents"/>
              <w:spacing w:before="0" w:after="283"/>
              <w:jc w:val="both"/>
              <w:rPr/>
            </w:pPr>
            <w:r>
              <w:rPr/>
              <w:t> </w:t>
            </w:r>
          </w:p>
        </w:tc>
      </w:tr>
      <w:tr>
        <w:trPr/>
        <w:tc>
          <w:tcPr>
            <w:tcW w:w="1095" w:type="dxa"/>
            <w:tcBorders/>
            <w:shd w:fill="CCEEFF" w:val="clear"/>
            <w:tcMar>
              <w:bottom w:w="0" w:type="dxa"/>
            </w:tcMar>
          </w:tcPr>
          <w:p>
            <w:pPr>
              <w:pStyle w:val="TableContents"/>
              <w:spacing w:before="0" w:after="0"/>
              <w:ind w:left="0" w:right="16" w:hanging="0"/>
              <w:jc w:val="both"/>
              <w:rPr>
                <w:rFonts w:ascii="helvetica" w:hAnsi="helvetica"/>
                <w:sz w:val="20"/>
              </w:rPr>
            </w:pPr>
            <w:r>
              <w:rPr>
                <w:rFonts w:ascii="helvetica" w:hAnsi="helvetica"/>
                <w:sz w:val="20"/>
              </w:rPr>
              <w:t>3.1</w:t>
            </w:r>
          </w:p>
        </w:tc>
        <w:tc>
          <w:tcPr>
            <w:tcW w:w="205" w:type="dxa"/>
            <w:tcBorders/>
            <w:shd w:fill="CCEEFF" w:val="clear"/>
            <w:tcMar>
              <w:bottom w:w="0" w:type="dxa"/>
            </w:tcMar>
          </w:tcPr>
          <w:p>
            <w:pPr>
              <w:pStyle w:val="TableContents"/>
              <w:spacing w:before="0" w:after="283"/>
              <w:jc w:val="both"/>
              <w:rPr/>
            </w:pPr>
            <w:r>
              <w:rPr/>
              <w:t xml:space="preserve">  </w:t>
            </w:r>
          </w:p>
        </w:tc>
        <w:tc>
          <w:tcPr>
            <w:tcW w:w="8905" w:type="dxa"/>
            <w:tcBorders/>
            <w:shd w:fill="CCEEFF" w:val="clear"/>
            <w:tcMar>
              <w:bottom w:w="0" w:type="dxa"/>
            </w:tcMar>
          </w:tcPr>
          <w:p>
            <w:pPr>
              <w:pStyle w:val="TableContents"/>
              <w:spacing w:before="0" w:after="0"/>
              <w:ind w:left="0" w:right="16" w:hanging="0"/>
              <w:jc w:val="both"/>
              <w:rPr>
                <w:rFonts w:ascii="helvetica" w:hAnsi="helvetica"/>
                <w:sz w:val="20"/>
              </w:rPr>
            </w:pPr>
            <w:r>
              <w:rPr>
                <w:rFonts w:ascii="helvetica" w:hAnsi="helvetica"/>
                <w:sz w:val="20"/>
              </w:rPr>
              <w:t>Amended and Restated Certificate of Incorporation (incorporated herein by reference to Exhibit 3.1 to the Company’s Current Report on Form 8-K filed with the Securities and Exchange Commission September 13, 2007)</w:t>
            </w:r>
          </w:p>
        </w:tc>
      </w:tr>
      <w:tr>
        <w:trPr/>
        <w:tc>
          <w:tcPr>
            <w:tcW w:w="1095" w:type="dxa"/>
            <w:tcBorders/>
            <w:shd w:fill="FFFFFF" w:val="clear"/>
            <w:tcMar>
              <w:bottom w:w="0" w:type="dxa"/>
            </w:tcMar>
          </w:tcPr>
          <w:p>
            <w:pPr>
              <w:pStyle w:val="TableContents"/>
              <w:spacing w:before="0" w:after="283"/>
              <w:jc w:val="both"/>
              <w:rPr/>
            </w:pPr>
            <w:r>
              <w:rPr/>
              <w:t> </w:t>
            </w:r>
          </w:p>
        </w:tc>
        <w:tc>
          <w:tcPr>
            <w:tcW w:w="205" w:type="dxa"/>
            <w:tcBorders/>
            <w:shd w:fill="FFFFFF" w:val="clear"/>
            <w:tcMar>
              <w:bottom w:w="0" w:type="dxa"/>
            </w:tcMar>
          </w:tcPr>
          <w:p>
            <w:pPr>
              <w:pStyle w:val="TableContents"/>
              <w:spacing w:before="0" w:after="283"/>
              <w:jc w:val="both"/>
              <w:rPr/>
            </w:pPr>
            <w:r>
              <w:rPr/>
              <w:t> </w:t>
            </w:r>
          </w:p>
        </w:tc>
        <w:tc>
          <w:tcPr>
            <w:tcW w:w="8905" w:type="dxa"/>
            <w:tcBorders/>
            <w:shd w:fill="FFFFFF" w:val="clear"/>
            <w:tcMar>
              <w:bottom w:w="0" w:type="dxa"/>
            </w:tcMar>
          </w:tcPr>
          <w:p>
            <w:pPr>
              <w:pStyle w:val="TableContents"/>
              <w:spacing w:before="0" w:after="283"/>
              <w:jc w:val="both"/>
              <w:rPr/>
            </w:pPr>
            <w:r>
              <w:rPr/>
              <w:t> </w:t>
            </w:r>
          </w:p>
        </w:tc>
      </w:tr>
      <w:tr>
        <w:trPr/>
        <w:tc>
          <w:tcPr>
            <w:tcW w:w="1095" w:type="dxa"/>
            <w:tcBorders/>
            <w:shd w:fill="CCEEFF" w:val="clear"/>
            <w:tcMar>
              <w:bottom w:w="0" w:type="dxa"/>
            </w:tcMar>
          </w:tcPr>
          <w:p>
            <w:pPr>
              <w:pStyle w:val="TableContents"/>
              <w:spacing w:before="0" w:after="0"/>
              <w:ind w:left="0" w:right="16" w:hanging="0"/>
              <w:jc w:val="both"/>
              <w:rPr>
                <w:rFonts w:ascii="helvetica" w:hAnsi="helvetica"/>
                <w:sz w:val="20"/>
              </w:rPr>
            </w:pPr>
            <w:r>
              <w:rPr>
                <w:rFonts w:ascii="helvetica" w:hAnsi="helvetica"/>
                <w:sz w:val="20"/>
              </w:rPr>
              <w:t>3.2</w:t>
            </w:r>
          </w:p>
        </w:tc>
        <w:tc>
          <w:tcPr>
            <w:tcW w:w="205" w:type="dxa"/>
            <w:tcBorders/>
            <w:shd w:fill="CCEEFF" w:val="clear"/>
            <w:tcMar>
              <w:bottom w:w="0" w:type="dxa"/>
            </w:tcMar>
          </w:tcPr>
          <w:p>
            <w:pPr>
              <w:pStyle w:val="TableContents"/>
              <w:spacing w:before="0" w:after="283"/>
              <w:jc w:val="both"/>
              <w:rPr/>
            </w:pPr>
            <w:r>
              <w:rPr/>
              <w:t xml:space="preserve">  </w:t>
            </w:r>
          </w:p>
        </w:tc>
        <w:tc>
          <w:tcPr>
            <w:tcW w:w="8905" w:type="dxa"/>
            <w:tcBorders/>
            <w:shd w:fill="CCEEFF" w:val="clear"/>
            <w:tcMar>
              <w:bottom w:w="0" w:type="dxa"/>
            </w:tcMar>
          </w:tcPr>
          <w:p>
            <w:pPr>
              <w:pStyle w:val="TableContents"/>
              <w:spacing w:before="0" w:after="0"/>
              <w:ind w:left="0" w:right="16" w:hanging="0"/>
              <w:jc w:val="both"/>
              <w:rPr>
                <w:rFonts w:ascii="helvetica" w:hAnsi="helvetica"/>
                <w:sz w:val="20"/>
              </w:rPr>
            </w:pPr>
            <w:r>
              <w:rPr>
                <w:rFonts w:ascii="helvetica" w:hAnsi="helvetica"/>
                <w:sz w:val="20"/>
              </w:rPr>
              <w:t>Amended and Restated Bylaws (incorporated herein by reference to Exhibit 3.2 to the Company’s Current Report on Form 8-K filed with the Securities and Exchange Commission September 13, 2007)</w:t>
            </w:r>
          </w:p>
        </w:tc>
      </w:tr>
      <w:tr>
        <w:trPr/>
        <w:tc>
          <w:tcPr>
            <w:tcW w:w="1095" w:type="dxa"/>
            <w:tcBorders/>
            <w:shd w:fill="FFFFFF" w:val="clear"/>
            <w:tcMar>
              <w:bottom w:w="0" w:type="dxa"/>
            </w:tcMar>
          </w:tcPr>
          <w:p>
            <w:pPr>
              <w:pStyle w:val="TableContents"/>
              <w:spacing w:before="0" w:after="283"/>
              <w:jc w:val="both"/>
              <w:rPr/>
            </w:pPr>
            <w:r>
              <w:rPr/>
              <w:t> </w:t>
            </w:r>
          </w:p>
        </w:tc>
        <w:tc>
          <w:tcPr>
            <w:tcW w:w="205" w:type="dxa"/>
            <w:tcBorders/>
            <w:shd w:fill="FFFFFF" w:val="clear"/>
            <w:tcMar>
              <w:bottom w:w="0" w:type="dxa"/>
            </w:tcMar>
          </w:tcPr>
          <w:p>
            <w:pPr>
              <w:pStyle w:val="TableContents"/>
              <w:spacing w:before="0" w:after="283"/>
              <w:jc w:val="both"/>
              <w:rPr/>
            </w:pPr>
            <w:r>
              <w:rPr/>
              <w:t> </w:t>
            </w:r>
          </w:p>
        </w:tc>
        <w:tc>
          <w:tcPr>
            <w:tcW w:w="8905" w:type="dxa"/>
            <w:tcBorders/>
            <w:shd w:fill="FFFFFF" w:val="clear"/>
            <w:tcMar>
              <w:bottom w:w="0" w:type="dxa"/>
            </w:tcMar>
          </w:tcPr>
          <w:p>
            <w:pPr>
              <w:pStyle w:val="TableContents"/>
              <w:spacing w:before="0" w:after="283"/>
              <w:jc w:val="both"/>
              <w:rPr/>
            </w:pPr>
            <w:r>
              <w:rPr/>
              <w:t> </w:t>
            </w:r>
          </w:p>
        </w:tc>
      </w:tr>
      <w:tr>
        <w:trPr/>
        <w:tc>
          <w:tcPr>
            <w:tcW w:w="1095" w:type="dxa"/>
            <w:tcBorders/>
            <w:shd w:fill="CCEEFF" w:val="clear"/>
            <w:tcMar>
              <w:bottom w:w="0" w:type="dxa"/>
            </w:tcMar>
          </w:tcPr>
          <w:p>
            <w:pPr>
              <w:pStyle w:val="TableContents"/>
              <w:spacing w:before="0" w:after="0"/>
              <w:ind w:left="0" w:right="16" w:hanging="0"/>
              <w:jc w:val="both"/>
              <w:rPr>
                <w:rFonts w:ascii="helvetica" w:hAnsi="helvetica"/>
                <w:sz w:val="20"/>
              </w:rPr>
            </w:pPr>
            <w:r>
              <w:rPr>
                <w:rFonts w:ascii="helvetica" w:hAnsi="helvetica"/>
                <w:sz w:val="20"/>
              </w:rPr>
              <w:t>3.3</w:t>
            </w:r>
          </w:p>
        </w:tc>
        <w:tc>
          <w:tcPr>
            <w:tcW w:w="205" w:type="dxa"/>
            <w:tcBorders/>
            <w:shd w:fill="CCEEFF" w:val="clear"/>
            <w:tcMar>
              <w:bottom w:w="0" w:type="dxa"/>
            </w:tcMar>
          </w:tcPr>
          <w:p>
            <w:pPr>
              <w:pStyle w:val="TableContents"/>
              <w:spacing w:before="0" w:after="283"/>
              <w:jc w:val="both"/>
              <w:rPr/>
            </w:pPr>
            <w:r>
              <w:rPr/>
              <w:t xml:space="preserve">  </w:t>
            </w:r>
          </w:p>
        </w:tc>
        <w:tc>
          <w:tcPr>
            <w:tcW w:w="8905" w:type="dxa"/>
            <w:tcBorders/>
            <w:shd w:fill="CCEEFF" w:val="clear"/>
            <w:tcMar>
              <w:bottom w:w="0" w:type="dxa"/>
            </w:tcMar>
          </w:tcPr>
          <w:p>
            <w:pPr>
              <w:pStyle w:val="TableContents"/>
              <w:spacing w:before="0" w:after="0"/>
              <w:ind w:left="0" w:right="16" w:hanging="0"/>
              <w:jc w:val="both"/>
              <w:rPr>
                <w:rFonts w:ascii="helvetica" w:hAnsi="helvetica"/>
                <w:sz w:val="20"/>
              </w:rPr>
            </w:pPr>
            <w:r>
              <w:rPr>
                <w:rFonts w:ascii="helvetica" w:hAnsi="helvetica"/>
                <w:sz w:val="20"/>
              </w:rPr>
              <w:t>Certificate of Designation of Series A Convertible Preferred Stock of Transdel Pharmaceuticals, Inc. (incorporated herein by reference to Exhibit 3.1 to the Current Report on Form 8-K of Transdel Pharmaceuticals, Inc. filed with the Securities and Exchange Commission on December 20, 2011) </w:t>
            </w:r>
          </w:p>
        </w:tc>
      </w:tr>
      <w:tr>
        <w:trPr/>
        <w:tc>
          <w:tcPr>
            <w:tcW w:w="1095" w:type="dxa"/>
            <w:tcBorders/>
            <w:shd w:fill="FFFFFF" w:val="clear"/>
            <w:tcMar>
              <w:bottom w:w="0" w:type="dxa"/>
            </w:tcMar>
          </w:tcPr>
          <w:p>
            <w:pPr>
              <w:pStyle w:val="TableContents"/>
              <w:spacing w:before="0" w:after="283"/>
              <w:jc w:val="both"/>
              <w:rPr/>
            </w:pPr>
            <w:r>
              <w:rPr/>
              <w:t> </w:t>
            </w:r>
          </w:p>
        </w:tc>
        <w:tc>
          <w:tcPr>
            <w:tcW w:w="205" w:type="dxa"/>
            <w:tcBorders/>
            <w:shd w:fill="FFFFFF" w:val="clear"/>
            <w:tcMar>
              <w:bottom w:w="0" w:type="dxa"/>
            </w:tcMar>
          </w:tcPr>
          <w:p>
            <w:pPr>
              <w:pStyle w:val="TableContents"/>
              <w:spacing w:before="0" w:after="283"/>
              <w:jc w:val="both"/>
              <w:rPr/>
            </w:pPr>
            <w:r>
              <w:rPr/>
              <w:t> </w:t>
            </w:r>
          </w:p>
        </w:tc>
        <w:tc>
          <w:tcPr>
            <w:tcW w:w="8905" w:type="dxa"/>
            <w:tcBorders/>
            <w:shd w:fill="FFFFFF" w:val="clear"/>
            <w:tcMar>
              <w:bottom w:w="0" w:type="dxa"/>
            </w:tcMar>
          </w:tcPr>
          <w:p>
            <w:pPr>
              <w:pStyle w:val="TableContents"/>
              <w:spacing w:before="0" w:after="283"/>
              <w:jc w:val="both"/>
              <w:rPr/>
            </w:pPr>
            <w:r>
              <w:rPr/>
              <w:t> </w:t>
            </w:r>
          </w:p>
        </w:tc>
      </w:tr>
      <w:tr>
        <w:trPr/>
        <w:tc>
          <w:tcPr>
            <w:tcW w:w="1095" w:type="dxa"/>
            <w:tcBorders/>
            <w:shd w:fill="CCEEFF" w:val="clear"/>
            <w:tcMar>
              <w:bottom w:w="0" w:type="dxa"/>
            </w:tcMar>
          </w:tcPr>
          <w:p>
            <w:pPr>
              <w:pStyle w:val="TableContents"/>
              <w:spacing w:before="0" w:after="0"/>
              <w:ind w:left="0" w:right="16" w:hanging="0"/>
              <w:jc w:val="both"/>
              <w:rPr>
                <w:rFonts w:ascii="helvetica" w:hAnsi="helvetica"/>
                <w:sz w:val="20"/>
              </w:rPr>
            </w:pPr>
            <w:r>
              <w:rPr>
                <w:rFonts w:ascii="helvetica" w:hAnsi="helvetica"/>
                <w:sz w:val="20"/>
              </w:rPr>
              <w:t>3.4</w:t>
            </w:r>
          </w:p>
        </w:tc>
        <w:tc>
          <w:tcPr>
            <w:tcW w:w="205" w:type="dxa"/>
            <w:tcBorders/>
            <w:shd w:fill="CCEEFF" w:val="clear"/>
            <w:tcMar>
              <w:bottom w:w="0" w:type="dxa"/>
            </w:tcMar>
          </w:tcPr>
          <w:p>
            <w:pPr>
              <w:pStyle w:val="TableContents"/>
              <w:spacing w:before="0" w:after="283"/>
              <w:jc w:val="both"/>
              <w:rPr/>
            </w:pPr>
            <w:r>
              <w:rPr/>
              <w:t xml:space="preserve">  </w:t>
            </w:r>
          </w:p>
        </w:tc>
        <w:tc>
          <w:tcPr>
            <w:tcW w:w="8905" w:type="dxa"/>
            <w:tcBorders/>
            <w:shd w:fill="CCEEFF" w:val="clear"/>
            <w:tcMar>
              <w:bottom w:w="0" w:type="dxa"/>
            </w:tcMar>
          </w:tcPr>
          <w:p>
            <w:pPr>
              <w:pStyle w:val="TableContents"/>
              <w:spacing w:before="0" w:after="0"/>
              <w:ind w:left="0" w:right="16" w:hanging="0"/>
              <w:jc w:val="both"/>
              <w:rPr>
                <w:rFonts w:ascii="helvetica" w:hAnsi="helvetica"/>
                <w:sz w:val="20"/>
              </w:rPr>
            </w:pPr>
            <w:r>
              <w:rPr>
                <w:rFonts w:ascii="helvetica" w:hAnsi="helvetica"/>
                <w:sz w:val="20"/>
              </w:rPr>
              <w:t>Certificate of Amendment to Amended and Restated Certificate of Incorporation (incorporated by reference to Exhibit 3.1 to the Company’s Quarterly Report on 10-Q filed with the Securities and Exchange Commission on May 10, 2012)</w:t>
            </w:r>
          </w:p>
        </w:tc>
      </w:tr>
      <w:tr>
        <w:trPr/>
        <w:tc>
          <w:tcPr>
            <w:tcW w:w="1095" w:type="dxa"/>
            <w:tcBorders/>
            <w:shd w:fill="FFFFFF" w:val="clear"/>
            <w:tcMar>
              <w:bottom w:w="0" w:type="dxa"/>
            </w:tcMar>
          </w:tcPr>
          <w:p>
            <w:pPr>
              <w:pStyle w:val="TableContents"/>
              <w:spacing w:before="0" w:after="283"/>
              <w:jc w:val="both"/>
              <w:rPr/>
            </w:pPr>
            <w:r>
              <w:rPr/>
              <w:t> </w:t>
            </w:r>
          </w:p>
        </w:tc>
        <w:tc>
          <w:tcPr>
            <w:tcW w:w="205" w:type="dxa"/>
            <w:tcBorders/>
            <w:shd w:fill="FFFFFF" w:val="clear"/>
            <w:tcMar>
              <w:bottom w:w="0" w:type="dxa"/>
            </w:tcMar>
          </w:tcPr>
          <w:p>
            <w:pPr>
              <w:pStyle w:val="TableContents"/>
              <w:spacing w:before="0" w:after="283"/>
              <w:jc w:val="both"/>
              <w:rPr/>
            </w:pPr>
            <w:r>
              <w:rPr/>
              <w:t> </w:t>
            </w:r>
          </w:p>
        </w:tc>
        <w:tc>
          <w:tcPr>
            <w:tcW w:w="8905" w:type="dxa"/>
            <w:tcBorders/>
            <w:shd w:fill="FFFFFF" w:val="clear"/>
            <w:tcMar>
              <w:bottom w:w="0" w:type="dxa"/>
            </w:tcMar>
          </w:tcPr>
          <w:p>
            <w:pPr>
              <w:pStyle w:val="TableContents"/>
              <w:spacing w:before="0" w:after="283"/>
              <w:jc w:val="both"/>
              <w:rPr/>
            </w:pPr>
            <w:r>
              <w:rPr/>
              <w:t> </w:t>
            </w:r>
          </w:p>
        </w:tc>
      </w:tr>
      <w:tr>
        <w:trPr/>
        <w:tc>
          <w:tcPr>
            <w:tcW w:w="1095" w:type="dxa"/>
            <w:tcBorders/>
            <w:shd w:fill="CCEEFF" w:val="clear"/>
            <w:tcMar>
              <w:bottom w:w="0" w:type="dxa"/>
            </w:tcMar>
          </w:tcPr>
          <w:p>
            <w:pPr>
              <w:pStyle w:val="TableContents"/>
              <w:spacing w:before="0" w:after="0"/>
              <w:ind w:left="0" w:right="16" w:hanging="0"/>
              <w:jc w:val="both"/>
              <w:rPr>
                <w:rFonts w:ascii="helvetica" w:hAnsi="helvetica"/>
                <w:sz w:val="20"/>
              </w:rPr>
            </w:pPr>
            <w:r>
              <w:rPr>
                <w:rFonts w:ascii="helvetica" w:hAnsi="helvetica"/>
                <w:sz w:val="20"/>
              </w:rPr>
              <w:t xml:space="preserve">5.1 * </w:t>
            </w:r>
          </w:p>
        </w:tc>
        <w:tc>
          <w:tcPr>
            <w:tcW w:w="205" w:type="dxa"/>
            <w:tcBorders/>
            <w:shd w:fill="CCEEFF" w:val="clear"/>
            <w:tcMar>
              <w:bottom w:w="0" w:type="dxa"/>
            </w:tcMar>
          </w:tcPr>
          <w:p>
            <w:pPr>
              <w:pStyle w:val="TableContents"/>
              <w:spacing w:before="0" w:after="283"/>
              <w:jc w:val="both"/>
              <w:rPr/>
            </w:pPr>
            <w:r>
              <w:rPr/>
              <w:t xml:space="preserve">  </w:t>
            </w:r>
          </w:p>
        </w:tc>
        <w:tc>
          <w:tcPr>
            <w:tcW w:w="8905" w:type="dxa"/>
            <w:tcBorders/>
            <w:shd w:fill="CCEEFF" w:val="clear"/>
            <w:tcMar>
              <w:bottom w:w="0" w:type="dxa"/>
            </w:tcMar>
          </w:tcPr>
          <w:p>
            <w:pPr>
              <w:pStyle w:val="TableContents"/>
              <w:spacing w:before="0" w:after="0"/>
              <w:ind w:left="0" w:right="16" w:hanging="0"/>
              <w:jc w:val="both"/>
              <w:rPr>
                <w:rFonts w:ascii="helvetica" w:hAnsi="helvetica"/>
                <w:sz w:val="20"/>
              </w:rPr>
            </w:pPr>
            <w:r>
              <w:rPr>
                <w:rFonts w:ascii="helvetica" w:hAnsi="helvetica"/>
                <w:sz w:val="20"/>
              </w:rPr>
              <w:t>Opinion of Morrison &amp; Foerster LLP</w:t>
            </w:r>
          </w:p>
        </w:tc>
      </w:tr>
      <w:tr>
        <w:trPr/>
        <w:tc>
          <w:tcPr>
            <w:tcW w:w="1095" w:type="dxa"/>
            <w:tcBorders/>
            <w:shd w:fill="FFFFFF" w:val="clear"/>
            <w:tcMar>
              <w:bottom w:w="0" w:type="dxa"/>
            </w:tcMar>
          </w:tcPr>
          <w:p>
            <w:pPr>
              <w:pStyle w:val="TableContents"/>
              <w:spacing w:before="0" w:after="283"/>
              <w:jc w:val="both"/>
              <w:rPr/>
            </w:pPr>
            <w:r>
              <w:rPr/>
              <w:t> </w:t>
            </w:r>
          </w:p>
        </w:tc>
        <w:tc>
          <w:tcPr>
            <w:tcW w:w="205" w:type="dxa"/>
            <w:tcBorders/>
            <w:shd w:fill="FFFFFF" w:val="clear"/>
            <w:tcMar>
              <w:bottom w:w="0" w:type="dxa"/>
            </w:tcMar>
          </w:tcPr>
          <w:p>
            <w:pPr>
              <w:pStyle w:val="TableContents"/>
              <w:spacing w:before="0" w:after="283"/>
              <w:jc w:val="both"/>
              <w:rPr/>
            </w:pPr>
            <w:r>
              <w:rPr/>
              <w:t> </w:t>
            </w:r>
          </w:p>
        </w:tc>
        <w:tc>
          <w:tcPr>
            <w:tcW w:w="8905" w:type="dxa"/>
            <w:tcBorders/>
            <w:shd w:fill="FFFFFF" w:val="clear"/>
            <w:tcMar>
              <w:bottom w:w="0" w:type="dxa"/>
            </w:tcMar>
          </w:tcPr>
          <w:p>
            <w:pPr>
              <w:pStyle w:val="TableContents"/>
              <w:spacing w:before="0" w:after="283"/>
              <w:jc w:val="both"/>
              <w:rPr/>
            </w:pPr>
            <w:r>
              <w:rPr/>
              <w:t> </w:t>
            </w:r>
          </w:p>
        </w:tc>
      </w:tr>
      <w:tr>
        <w:trPr/>
        <w:tc>
          <w:tcPr>
            <w:tcW w:w="1095" w:type="dxa"/>
            <w:tcBorders/>
            <w:shd w:fill="CCEEFF" w:val="clear"/>
            <w:tcMar>
              <w:bottom w:w="0" w:type="dxa"/>
            </w:tcMar>
          </w:tcPr>
          <w:p>
            <w:pPr>
              <w:pStyle w:val="TableContents"/>
              <w:spacing w:before="0" w:after="0"/>
              <w:ind w:left="0" w:right="16" w:hanging="0"/>
              <w:jc w:val="both"/>
              <w:rPr>
                <w:rFonts w:ascii="helvetica" w:hAnsi="helvetica"/>
                <w:sz w:val="20"/>
              </w:rPr>
            </w:pPr>
            <w:r>
              <w:rPr>
                <w:rFonts w:ascii="helvetica" w:hAnsi="helvetica"/>
                <w:sz w:val="20"/>
              </w:rPr>
              <w:t>10.1</w:t>
            </w:r>
          </w:p>
        </w:tc>
        <w:tc>
          <w:tcPr>
            <w:tcW w:w="205" w:type="dxa"/>
            <w:tcBorders/>
            <w:shd w:fill="CCEEFF" w:val="clear"/>
            <w:tcMar>
              <w:bottom w:w="0" w:type="dxa"/>
            </w:tcMar>
          </w:tcPr>
          <w:p>
            <w:pPr>
              <w:pStyle w:val="TableContents"/>
              <w:spacing w:before="0" w:after="283"/>
              <w:jc w:val="both"/>
              <w:rPr/>
            </w:pPr>
            <w:r>
              <w:rPr/>
              <w:t xml:space="preserve">  </w:t>
            </w:r>
          </w:p>
        </w:tc>
        <w:tc>
          <w:tcPr>
            <w:tcW w:w="8905" w:type="dxa"/>
            <w:tcBorders/>
            <w:shd w:fill="CCEEFF" w:val="clear"/>
            <w:tcMar>
              <w:bottom w:w="0" w:type="dxa"/>
            </w:tcMar>
          </w:tcPr>
          <w:p>
            <w:pPr>
              <w:pStyle w:val="TableContents"/>
              <w:spacing w:before="0" w:after="0"/>
              <w:ind w:left="0" w:right="16" w:hanging="0"/>
              <w:jc w:val="both"/>
              <w:rPr>
                <w:rFonts w:ascii="helvetica" w:hAnsi="helvetica"/>
                <w:sz w:val="20"/>
              </w:rPr>
            </w:pPr>
            <w:r>
              <w:rPr>
                <w:rFonts w:ascii="helvetica" w:hAnsi="helvetica"/>
                <w:sz w:val="20"/>
              </w:rPr>
              <w:t>Form of Warrant to purchase Common Stock (incorporated herein by reference to Exhibit 10.2 to the Current Report on Form 8-K of Transdel Pharmaceuticals, Inc. filed with the Securities and Exchange Commission on September 21, 2007)</w:t>
            </w:r>
          </w:p>
        </w:tc>
      </w:tr>
      <w:tr>
        <w:trPr/>
        <w:tc>
          <w:tcPr>
            <w:tcW w:w="1095" w:type="dxa"/>
            <w:tcBorders/>
            <w:shd w:fill="FFFFFF" w:val="clear"/>
            <w:tcMar>
              <w:bottom w:w="0" w:type="dxa"/>
            </w:tcMar>
          </w:tcPr>
          <w:p>
            <w:pPr>
              <w:pStyle w:val="TableContents"/>
              <w:spacing w:before="0" w:after="283"/>
              <w:jc w:val="both"/>
              <w:rPr/>
            </w:pPr>
            <w:r>
              <w:rPr/>
              <w:t> </w:t>
            </w:r>
          </w:p>
        </w:tc>
        <w:tc>
          <w:tcPr>
            <w:tcW w:w="205" w:type="dxa"/>
            <w:tcBorders/>
            <w:shd w:fill="FFFFFF" w:val="clear"/>
            <w:tcMar>
              <w:bottom w:w="0" w:type="dxa"/>
            </w:tcMar>
          </w:tcPr>
          <w:p>
            <w:pPr>
              <w:pStyle w:val="TableContents"/>
              <w:spacing w:before="0" w:after="283"/>
              <w:jc w:val="both"/>
              <w:rPr/>
            </w:pPr>
            <w:r>
              <w:rPr/>
              <w:t> </w:t>
            </w:r>
          </w:p>
        </w:tc>
        <w:tc>
          <w:tcPr>
            <w:tcW w:w="8905" w:type="dxa"/>
            <w:tcBorders/>
            <w:shd w:fill="FFFFFF" w:val="clear"/>
            <w:tcMar>
              <w:bottom w:w="0" w:type="dxa"/>
            </w:tcMar>
          </w:tcPr>
          <w:p>
            <w:pPr>
              <w:pStyle w:val="TableContents"/>
              <w:spacing w:before="0" w:after="283"/>
              <w:jc w:val="both"/>
              <w:rPr/>
            </w:pPr>
            <w:r>
              <w:rPr/>
              <w:t> </w:t>
            </w:r>
          </w:p>
        </w:tc>
      </w:tr>
      <w:tr>
        <w:trPr/>
        <w:tc>
          <w:tcPr>
            <w:tcW w:w="1095" w:type="dxa"/>
            <w:tcBorders/>
            <w:shd w:fill="CCEEFF" w:val="clear"/>
            <w:tcMar>
              <w:bottom w:w="0" w:type="dxa"/>
            </w:tcMar>
          </w:tcPr>
          <w:p>
            <w:pPr>
              <w:pStyle w:val="TableContents"/>
              <w:spacing w:before="0" w:after="0"/>
              <w:ind w:left="0" w:right="16" w:hanging="0"/>
              <w:jc w:val="both"/>
              <w:rPr>
                <w:rFonts w:ascii="helvetica" w:hAnsi="helvetica"/>
                <w:sz w:val="20"/>
              </w:rPr>
            </w:pPr>
            <w:r>
              <w:rPr>
                <w:rFonts w:ascii="helvetica" w:hAnsi="helvetica"/>
                <w:sz w:val="20"/>
              </w:rPr>
              <w:t>10.2</w:t>
            </w:r>
          </w:p>
        </w:tc>
        <w:tc>
          <w:tcPr>
            <w:tcW w:w="205" w:type="dxa"/>
            <w:tcBorders/>
            <w:shd w:fill="CCEEFF" w:val="clear"/>
            <w:tcMar>
              <w:bottom w:w="0" w:type="dxa"/>
            </w:tcMar>
          </w:tcPr>
          <w:p>
            <w:pPr>
              <w:pStyle w:val="TableContents"/>
              <w:spacing w:before="0" w:after="283"/>
              <w:jc w:val="both"/>
              <w:rPr/>
            </w:pPr>
            <w:r>
              <w:rPr/>
              <w:t xml:space="preserve">  </w:t>
            </w:r>
          </w:p>
        </w:tc>
        <w:tc>
          <w:tcPr>
            <w:tcW w:w="8905" w:type="dxa"/>
            <w:tcBorders/>
            <w:shd w:fill="CCEEFF" w:val="clear"/>
            <w:tcMar>
              <w:bottom w:w="0" w:type="dxa"/>
            </w:tcMar>
          </w:tcPr>
          <w:p>
            <w:pPr>
              <w:pStyle w:val="TableContents"/>
              <w:spacing w:before="0" w:after="0"/>
              <w:ind w:left="0" w:right="16" w:hanging="0"/>
              <w:jc w:val="both"/>
              <w:rPr>
                <w:rFonts w:ascii="helvetica" w:hAnsi="helvetica"/>
                <w:sz w:val="20"/>
              </w:rPr>
            </w:pPr>
            <w:r>
              <w:rPr>
                <w:rFonts w:ascii="helvetica" w:hAnsi="helvetica"/>
                <w:sz w:val="20"/>
              </w:rPr>
              <w:t>Form of Directors and Officers Indemnification Agreement (incorporated herein by reference to Exhibit 10.8 to the Current Report on Form 8-K of Transdel Pharmaceuticals, Inc. filed with the Securities and Exchange Commission on September 21, 2007) </w:t>
            </w:r>
          </w:p>
        </w:tc>
      </w:tr>
      <w:tr>
        <w:trPr/>
        <w:tc>
          <w:tcPr>
            <w:tcW w:w="1095" w:type="dxa"/>
            <w:tcBorders/>
            <w:shd w:fill="FFFFFF" w:val="clear"/>
            <w:tcMar>
              <w:bottom w:w="0" w:type="dxa"/>
            </w:tcMar>
          </w:tcPr>
          <w:p>
            <w:pPr>
              <w:pStyle w:val="TableContents"/>
              <w:spacing w:before="0" w:after="283"/>
              <w:jc w:val="both"/>
              <w:rPr/>
            </w:pPr>
            <w:r>
              <w:rPr/>
              <w:t> </w:t>
            </w:r>
          </w:p>
        </w:tc>
        <w:tc>
          <w:tcPr>
            <w:tcW w:w="205" w:type="dxa"/>
            <w:tcBorders/>
            <w:shd w:fill="FFFFFF" w:val="clear"/>
            <w:tcMar>
              <w:bottom w:w="0" w:type="dxa"/>
            </w:tcMar>
          </w:tcPr>
          <w:p>
            <w:pPr>
              <w:pStyle w:val="TableContents"/>
              <w:spacing w:before="0" w:after="283"/>
              <w:jc w:val="both"/>
              <w:rPr/>
            </w:pPr>
            <w:r>
              <w:rPr/>
              <w:t> </w:t>
            </w:r>
          </w:p>
        </w:tc>
        <w:tc>
          <w:tcPr>
            <w:tcW w:w="8905" w:type="dxa"/>
            <w:tcBorders/>
            <w:shd w:fill="FFFFFF" w:val="clear"/>
            <w:tcMar>
              <w:bottom w:w="0" w:type="dxa"/>
            </w:tcMar>
          </w:tcPr>
          <w:p>
            <w:pPr>
              <w:pStyle w:val="TableContents"/>
              <w:spacing w:before="0" w:after="283"/>
              <w:jc w:val="both"/>
              <w:rPr/>
            </w:pPr>
            <w:r>
              <w:rPr/>
              <w:t> </w:t>
            </w:r>
          </w:p>
        </w:tc>
      </w:tr>
      <w:tr>
        <w:trPr/>
        <w:tc>
          <w:tcPr>
            <w:tcW w:w="1095" w:type="dxa"/>
            <w:tcBorders/>
            <w:shd w:fill="CCEEFF" w:val="clear"/>
            <w:tcMar>
              <w:bottom w:w="0" w:type="dxa"/>
            </w:tcMar>
          </w:tcPr>
          <w:p>
            <w:pPr>
              <w:pStyle w:val="TableContents"/>
              <w:spacing w:before="0" w:after="0"/>
              <w:ind w:left="0" w:right="16" w:hanging="0"/>
              <w:jc w:val="both"/>
              <w:rPr>
                <w:rFonts w:ascii="helvetica" w:hAnsi="helvetica"/>
                <w:sz w:val="20"/>
              </w:rPr>
            </w:pPr>
            <w:r>
              <w:rPr>
                <w:rFonts w:ascii="helvetica" w:hAnsi="helvetica"/>
                <w:sz w:val="20"/>
              </w:rPr>
              <w:t>10.3#</w:t>
            </w:r>
          </w:p>
        </w:tc>
        <w:tc>
          <w:tcPr>
            <w:tcW w:w="205" w:type="dxa"/>
            <w:tcBorders/>
            <w:shd w:fill="CCEEFF" w:val="clear"/>
            <w:tcMar>
              <w:bottom w:w="0" w:type="dxa"/>
            </w:tcMar>
          </w:tcPr>
          <w:p>
            <w:pPr>
              <w:pStyle w:val="TableContents"/>
              <w:spacing w:before="0" w:after="283"/>
              <w:jc w:val="both"/>
              <w:rPr/>
            </w:pPr>
            <w:r>
              <w:rPr/>
              <w:t xml:space="preserve">  </w:t>
            </w:r>
          </w:p>
        </w:tc>
        <w:tc>
          <w:tcPr>
            <w:tcW w:w="8905" w:type="dxa"/>
            <w:tcBorders/>
            <w:shd w:fill="CCEEFF" w:val="clear"/>
            <w:tcMar>
              <w:bottom w:w="0" w:type="dxa"/>
            </w:tcMar>
          </w:tcPr>
          <w:p>
            <w:pPr>
              <w:pStyle w:val="TableContents"/>
              <w:spacing w:before="0" w:after="0"/>
              <w:ind w:left="0" w:right="16" w:hanging="0"/>
              <w:jc w:val="both"/>
              <w:rPr>
                <w:rFonts w:ascii="helvetica" w:hAnsi="helvetica"/>
                <w:sz w:val="20"/>
              </w:rPr>
            </w:pPr>
            <w:r>
              <w:rPr>
                <w:rFonts w:ascii="helvetica" w:hAnsi="helvetica"/>
                <w:sz w:val="20"/>
              </w:rPr>
              <w:t>Transdel Pharmaceuticals, Inc. 2007 Incentive Stock and Awards Plan (incorporated herein by reference to Exhibit 10.11 to the Current Report on Form 8-K of Transdel Pharmaceuticals, Inc. filed with the Securities and Exchange Commission on September 21, 2007) </w:t>
            </w:r>
          </w:p>
        </w:tc>
      </w:tr>
      <w:tr>
        <w:trPr/>
        <w:tc>
          <w:tcPr>
            <w:tcW w:w="1095" w:type="dxa"/>
            <w:tcBorders/>
            <w:shd w:fill="FFFFFF" w:val="clear"/>
            <w:tcMar>
              <w:bottom w:w="0" w:type="dxa"/>
            </w:tcMar>
          </w:tcPr>
          <w:p>
            <w:pPr>
              <w:pStyle w:val="TableContents"/>
              <w:spacing w:before="0" w:after="283"/>
              <w:jc w:val="both"/>
              <w:rPr/>
            </w:pPr>
            <w:r>
              <w:rPr/>
              <w:t> </w:t>
            </w:r>
          </w:p>
        </w:tc>
        <w:tc>
          <w:tcPr>
            <w:tcW w:w="205" w:type="dxa"/>
            <w:tcBorders/>
            <w:shd w:fill="FFFFFF" w:val="clear"/>
            <w:tcMar>
              <w:bottom w:w="0" w:type="dxa"/>
            </w:tcMar>
          </w:tcPr>
          <w:p>
            <w:pPr>
              <w:pStyle w:val="TableContents"/>
              <w:spacing w:before="0" w:after="283"/>
              <w:jc w:val="both"/>
              <w:rPr/>
            </w:pPr>
            <w:r>
              <w:rPr/>
              <w:t> </w:t>
            </w:r>
          </w:p>
        </w:tc>
        <w:tc>
          <w:tcPr>
            <w:tcW w:w="8905" w:type="dxa"/>
            <w:tcBorders/>
            <w:shd w:fill="FFFFFF" w:val="clear"/>
            <w:tcMar>
              <w:bottom w:w="0" w:type="dxa"/>
            </w:tcMar>
          </w:tcPr>
          <w:p>
            <w:pPr>
              <w:pStyle w:val="TableContents"/>
              <w:spacing w:before="0" w:after="283"/>
              <w:jc w:val="both"/>
              <w:rPr/>
            </w:pPr>
            <w:r>
              <w:rPr/>
              <w:t> </w:t>
            </w:r>
          </w:p>
        </w:tc>
      </w:tr>
      <w:tr>
        <w:trPr/>
        <w:tc>
          <w:tcPr>
            <w:tcW w:w="1095" w:type="dxa"/>
            <w:tcBorders/>
            <w:shd w:fill="CCEEFF" w:val="clear"/>
            <w:tcMar>
              <w:bottom w:w="0" w:type="dxa"/>
            </w:tcMar>
          </w:tcPr>
          <w:p>
            <w:pPr>
              <w:pStyle w:val="TableContents"/>
              <w:spacing w:before="0" w:after="0"/>
              <w:ind w:left="0" w:right="16" w:hanging="0"/>
              <w:jc w:val="both"/>
              <w:rPr>
                <w:rFonts w:ascii="helvetica" w:hAnsi="helvetica"/>
                <w:sz w:val="20"/>
              </w:rPr>
            </w:pPr>
            <w:r>
              <w:rPr>
                <w:rFonts w:ascii="helvetica" w:hAnsi="helvetica"/>
                <w:sz w:val="20"/>
              </w:rPr>
              <w:t>10.4#</w:t>
            </w:r>
          </w:p>
        </w:tc>
        <w:tc>
          <w:tcPr>
            <w:tcW w:w="205" w:type="dxa"/>
            <w:tcBorders/>
            <w:shd w:fill="CCEEFF" w:val="clear"/>
            <w:tcMar>
              <w:bottom w:w="0" w:type="dxa"/>
            </w:tcMar>
          </w:tcPr>
          <w:p>
            <w:pPr>
              <w:pStyle w:val="TableContents"/>
              <w:spacing w:before="0" w:after="283"/>
              <w:jc w:val="both"/>
              <w:rPr/>
            </w:pPr>
            <w:r>
              <w:rPr/>
              <w:t xml:space="preserve">  </w:t>
            </w:r>
          </w:p>
        </w:tc>
        <w:tc>
          <w:tcPr>
            <w:tcW w:w="8905" w:type="dxa"/>
            <w:tcBorders/>
            <w:shd w:fill="CCEEFF" w:val="clear"/>
            <w:tcMar>
              <w:bottom w:w="0" w:type="dxa"/>
            </w:tcMar>
          </w:tcPr>
          <w:p>
            <w:pPr>
              <w:pStyle w:val="TableContents"/>
              <w:spacing w:before="0" w:after="0"/>
              <w:ind w:left="0" w:right="16" w:hanging="0"/>
              <w:jc w:val="both"/>
              <w:rPr>
                <w:rFonts w:ascii="helvetica" w:hAnsi="helvetica"/>
                <w:sz w:val="20"/>
              </w:rPr>
            </w:pPr>
            <w:r>
              <w:rPr>
                <w:rFonts w:ascii="helvetica" w:hAnsi="helvetica"/>
                <w:sz w:val="20"/>
              </w:rPr>
              <w:t>Transdel Pharmaceuticals, Inc. 2007 Incentive Stock and Awards Plan — Amendment No. 1 (incorporated herein by reference to Exhibit A to the Definitive Proxy Statement on Schedule 14A of Transdel Pharmaceuticals, Inc. filed with the Securities and Exchange Commission on October 1, 2008)</w:t>
            </w:r>
          </w:p>
        </w:tc>
      </w:tr>
      <w:tr>
        <w:trPr/>
        <w:tc>
          <w:tcPr>
            <w:tcW w:w="1095" w:type="dxa"/>
            <w:tcBorders/>
            <w:shd w:fill="FFFFFF" w:val="clear"/>
            <w:tcMar>
              <w:bottom w:w="0" w:type="dxa"/>
            </w:tcMar>
          </w:tcPr>
          <w:p>
            <w:pPr>
              <w:pStyle w:val="TableContents"/>
              <w:spacing w:before="0" w:after="283"/>
              <w:jc w:val="both"/>
              <w:rPr/>
            </w:pPr>
            <w:r>
              <w:rPr/>
              <w:t> </w:t>
            </w:r>
          </w:p>
        </w:tc>
        <w:tc>
          <w:tcPr>
            <w:tcW w:w="205" w:type="dxa"/>
            <w:tcBorders/>
            <w:shd w:fill="FFFFFF" w:val="clear"/>
            <w:tcMar>
              <w:bottom w:w="0" w:type="dxa"/>
            </w:tcMar>
          </w:tcPr>
          <w:p>
            <w:pPr>
              <w:pStyle w:val="TableContents"/>
              <w:spacing w:before="0" w:after="283"/>
              <w:jc w:val="both"/>
              <w:rPr/>
            </w:pPr>
            <w:r>
              <w:rPr/>
              <w:t> </w:t>
            </w:r>
          </w:p>
        </w:tc>
        <w:tc>
          <w:tcPr>
            <w:tcW w:w="8905" w:type="dxa"/>
            <w:tcBorders/>
            <w:shd w:fill="FFFFFF" w:val="clear"/>
            <w:tcMar>
              <w:bottom w:w="0" w:type="dxa"/>
            </w:tcMar>
          </w:tcPr>
          <w:p>
            <w:pPr>
              <w:pStyle w:val="TableContents"/>
              <w:spacing w:before="0" w:after="283"/>
              <w:jc w:val="both"/>
              <w:rPr/>
            </w:pPr>
            <w:r>
              <w:rPr/>
              <w:t> </w:t>
            </w:r>
          </w:p>
        </w:tc>
      </w:tr>
      <w:tr>
        <w:trPr/>
        <w:tc>
          <w:tcPr>
            <w:tcW w:w="1095" w:type="dxa"/>
            <w:tcBorders/>
            <w:shd w:fill="CCEEFF" w:val="clear"/>
            <w:tcMar>
              <w:bottom w:w="0" w:type="dxa"/>
            </w:tcMar>
          </w:tcPr>
          <w:p>
            <w:pPr>
              <w:pStyle w:val="TableContents"/>
              <w:spacing w:before="0" w:after="0"/>
              <w:ind w:left="0" w:right="16" w:hanging="0"/>
              <w:jc w:val="both"/>
              <w:rPr>
                <w:rFonts w:ascii="helvetica" w:hAnsi="helvetica"/>
                <w:sz w:val="20"/>
              </w:rPr>
            </w:pPr>
            <w:r>
              <w:rPr>
                <w:rFonts w:ascii="helvetica" w:hAnsi="helvetica"/>
                <w:sz w:val="20"/>
              </w:rPr>
              <w:t>10.5#</w:t>
            </w:r>
          </w:p>
        </w:tc>
        <w:tc>
          <w:tcPr>
            <w:tcW w:w="205" w:type="dxa"/>
            <w:tcBorders/>
            <w:shd w:fill="CCEEFF" w:val="clear"/>
            <w:tcMar>
              <w:bottom w:w="0" w:type="dxa"/>
            </w:tcMar>
          </w:tcPr>
          <w:p>
            <w:pPr>
              <w:pStyle w:val="TableContents"/>
              <w:spacing w:before="0" w:after="283"/>
              <w:jc w:val="both"/>
              <w:rPr/>
            </w:pPr>
            <w:r>
              <w:rPr/>
              <w:t xml:space="preserve">  </w:t>
            </w:r>
          </w:p>
        </w:tc>
        <w:tc>
          <w:tcPr>
            <w:tcW w:w="8905" w:type="dxa"/>
            <w:tcBorders/>
            <w:shd w:fill="CCEEFF" w:val="clear"/>
            <w:tcMar>
              <w:bottom w:w="0" w:type="dxa"/>
            </w:tcMar>
          </w:tcPr>
          <w:p>
            <w:pPr>
              <w:pStyle w:val="TableContents"/>
              <w:spacing w:before="0" w:after="0"/>
              <w:ind w:left="0" w:right="16" w:hanging="0"/>
              <w:jc w:val="both"/>
              <w:rPr>
                <w:rFonts w:ascii="helvetica" w:hAnsi="helvetica"/>
                <w:sz w:val="20"/>
              </w:rPr>
            </w:pPr>
            <w:r>
              <w:rPr>
                <w:rFonts w:ascii="helvetica" w:hAnsi="helvetica"/>
                <w:sz w:val="20"/>
              </w:rPr>
              <w:t>Amendment No. 2 to Transdel Pharmaceuticals, Inc. 2007 Incentive Stock and Awards Plan (incorporated herein by reference to Annex B to the Information Statement on Schedule 14C of Transdel Pharmaceuticals, Inc. filed with the Securities and Exchange Commission on February 6, 2012)</w:t>
            </w:r>
          </w:p>
        </w:tc>
      </w:tr>
      <w:tr>
        <w:trPr/>
        <w:tc>
          <w:tcPr>
            <w:tcW w:w="1095" w:type="dxa"/>
            <w:tcBorders/>
            <w:shd w:fill="FFFFFF" w:val="clear"/>
            <w:tcMar>
              <w:bottom w:w="0" w:type="dxa"/>
            </w:tcMar>
          </w:tcPr>
          <w:p>
            <w:pPr>
              <w:pStyle w:val="TableContents"/>
              <w:spacing w:before="0" w:after="283"/>
              <w:jc w:val="both"/>
              <w:rPr/>
            </w:pPr>
            <w:r>
              <w:rPr/>
              <w:t> </w:t>
            </w:r>
          </w:p>
        </w:tc>
        <w:tc>
          <w:tcPr>
            <w:tcW w:w="205" w:type="dxa"/>
            <w:tcBorders/>
            <w:shd w:fill="FFFFFF" w:val="clear"/>
            <w:tcMar>
              <w:bottom w:w="0" w:type="dxa"/>
            </w:tcMar>
          </w:tcPr>
          <w:p>
            <w:pPr>
              <w:pStyle w:val="TableContents"/>
              <w:spacing w:before="0" w:after="283"/>
              <w:jc w:val="both"/>
              <w:rPr/>
            </w:pPr>
            <w:r>
              <w:rPr/>
              <w:t> </w:t>
            </w:r>
          </w:p>
        </w:tc>
        <w:tc>
          <w:tcPr>
            <w:tcW w:w="8905" w:type="dxa"/>
            <w:tcBorders/>
            <w:shd w:fill="FFFFFF" w:val="clear"/>
            <w:tcMar>
              <w:bottom w:w="0" w:type="dxa"/>
            </w:tcMar>
          </w:tcPr>
          <w:p>
            <w:pPr>
              <w:pStyle w:val="TableContents"/>
              <w:spacing w:before="0" w:after="283"/>
              <w:jc w:val="both"/>
              <w:rPr/>
            </w:pPr>
            <w:r>
              <w:rPr/>
              <w:t> </w:t>
            </w:r>
          </w:p>
        </w:tc>
      </w:tr>
      <w:tr>
        <w:trPr/>
        <w:tc>
          <w:tcPr>
            <w:tcW w:w="1095" w:type="dxa"/>
            <w:tcBorders/>
            <w:shd w:fill="CCEEFF" w:val="clear"/>
            <w:tcMar>
              <w:bottom w:w="0" w:type="dxa"/>
            </w:tcMar>
          </w:tcPr>
          <w:p>
            <w:pPr>
              <w:pStyle w:val="TableContents"/>
              <w:spacing w:before="0" w:after="0"/>
              <w:ind w:left="0" w:right="16" w:hanging="0"/>
              <w:jc w:val="both"/>
              <w:rPr>
                <w:rFonts w:ascii="helvetica" w:hAnsi="helvetica"/>
                <w:sz w:val="20"/>
              </w:rPr>
            </w:pPr>
            <w:r>
              <w:rPr>
                <w:rFonts w:ascii="helvetica" w:hAnsi="helvetica"/>
                <w:sz w:val="20"/>
              </w:rPr>
              <w:t>10.6#**</w:t>
            </w:r>
          </w:p>
        </w:tc>
        <w:tc>
          <w:tcPr>
            <w:tcW w:w="205" w:type="dxa"/>
            <w:tcBorders/>
            <w:shd w:fill="CCEEFF" w:val="clear"/>
            <w:tcMar>
              <w:bottom w:w="0" w:type="dxa"/>
            </w:tcMar>
          </w:tcPr>
          <w:p>
            <w:pPr>
              <w:pStyle w:val="TableContents"/>
              <w:spacing w:before="0" w:after="283"/>
              <w:jc w:val="both"/>
              <w:rPr/>
            </w:pPr>
            <w:r>
              <w:rPr/>
              <w:t xml:space="preserve">  </w:t>
            </w:r>
          </w:p>
        </w:tc>
        <w:tc>
          <w:tcPr>
            <w:tcW w:w="8905" w:type="dxa"/>
            <w:tcBorders/>
            <w:shd w:fill="CCEEFF" w:val="clear"/>
            <w:tcMar>
              <w:bottom w:w="0" w:type="dxa"/>
            </w:tcMar>
          </w:tcPr>
          <w:p>
            <w:pPr>
              <w:pStyle w:val="TableContents"/>
              <w:spacing w:before="0" w:after="0"/>
              <w:ind w:left="0" w:right="16" w:hanging="0"/>
              <w:jc w:val="both"/>
              <w:rPr>
                <w:rFonts w:ascii="helvetica" w:hAnsi="helvetica"/>
                <w:sz w:val="20"/>
              </w:rPr>
            </w:pPr>
            <w:r>
              <w:rPr>
                <w:rFonts w:ascii="helvetica" w:hAnsi="helvetica"/>
                <w:sz w:val="20"/>
              </w:rPr>
              <w:t>Amendment No. 3 to Imprimis Pharmaceuticals, Inc. 2007 Incentive Stock and Awards Plan</w:t>
            </w:r>
          </w:p>
        </w:tc>
      </w:tr>
      <w:tr>
        <w:trPr/>
        <w:tc>
          <w:tcPr>
            <w:tcW w:w="1095" w:type="dxa"/>
            <w:tcBorders/>
            <w:shd w:fill="FFFFFF" w:val="clear"/>
            <w:tcMar>
              <w:bottom w:w="0" w:type="dxa"/>
            </w:tcMar>
          </w:tcPr>
          <w:p>
            <w:pPr>
              <w:pStyle w:val="TableContents"/>
              <w:spacing w:before="0" w:after="283"/>
              <w:jc w:val="both"/>
              <w:rPr/>
            </w:pPr>
            <w:r>
              <w:rPr/>
              <w:t> </w:t>
            </w:r>
          </w:p>
        </w:tc>
        <w:tc>
          <w:tcPr>
            <w:tcW w:w="205" w:type="dxa"/>
            <w:tcBorders/>
            <w:shd w:fill="FFFFFF" w:val="clear"/>
            <w:tcMar>
              <w:bottom w:w="0" w:type="dxa"/>
            </w:tcMar>
          </w:tcPr>
          <w:p>
            <w:pPr>
              <w:pStyle w:val="TableContents"/>
              <w:spacing w:before="0" w:after="283"/>
              <w:jc w:val="both"/>
              <w:rPr/>
            </w:pPr>
            <w:r>
              <w:rPr/>
              <w:t> </w:t>
            </w:r>
          </w:p>
        </w:tc>
        <w:tc>
          <w:tcPr>
            <w:tcW w:w="8905" w:type="dxa"/>
            <w:tcBorders/>
            <w:shd w:fill="FFFFFF" w:val="clear"/>
            <w:tcMar>
              <w:bottom w:w="0" w:type="dxa"/>
            </w:tcMar>
          </w:tcPr>
          <w:p>
            <w:pPr>
              <w:pStyle w:val="TableContents"/>
              <w:spacing w:before="0" w:after="283"/>
              <w:jc w:val="both"/>
              <w:rPr/>
            </w:pPr>
            <w:r>
              <w:rPr/>
              <w:t> </w:t>
            </w:r>
          </w:p>
        </w:tc>
      </w:tr>
      <w:tr>
        <w:trPr/>
        <w:tc>
          <w:tcPr>
            <w:tcW w:w="1095" w:type="dxa"/>
            <w:tcBorders/>
            <w:shd w:fill="CCEEFF" w:val="clear"/>
            <w:tcMar>
              <w:bottom w:w="0" w:type="dxa"/>
            </w:tcMar>
          </w:tcPr>
          <w:p>
            <w:pPr>
              <w:pStyle w:val="TableContents"/>
              <w:spacing w:before="0" w:after="0"/>
              <w:ind w:left="0" w:right="16" w:hanging="0"/>
              <w:jc w:val="both"/>
              <w:rPr>
                <w:rFonts w:ascii="helvetica" w:hAnsi="helvetica"/>
                <w:sz w:val="20"/>
              </w:rPr>
            </w:pPr>
            <w:r>
              <w:rPr>
                <w:rFonts w:ascii="helvetica" w:hAnsi="helvetica"/>
                <w:sz w:val="20"/>
              </w:rPr>
              <w:t>10.7#</w:t>
            </w:r>
          </w:p>
        </w:tc>
        <w:tc>
          <w:tcPr>
            <w:tcW w:w="205" w:type="dxa"/>
            <w:tcBorders/>
            <w:shd w:fill="CCEEFF" w:val="clear"/>
            <w:tcMar>
              <w:bottom w:w="0" w:type="dxa"/>
            </w:tcMar>
          </w:tcPr>
          <w:p>
            <w:pPr>
              <w:pStyle w:val="TableContents"/>
              <w:spacing w:before="0" w:after="283"/>
              <w:jc w:val="both"/>
              <w:rPr/>
            </w:pPr>
            <w:r>
              <w:rPr/>
              <w:t xml:space="preserve">  </w:t>
            </w:r>
          </w:p>
        </w:tc>
        <w:tc>
          <w:tcPr>
            <w:tcW w:w="8905" w:type="dxa"/>
            <w:tcBorders/>
            <w:shd w:fill="CCEEFF" w:val="clear"/>
            <w:tcMar>
              <w:bottom w:w="0" w:type="dxa"/>
            </w:tcMar>
          </w:tcPr>
          <w:p>
            <w:pPr>
              <w:pStyle w:val="TableContents"/>
              <w:spacing w:before="0" w:after="0"/>
              <w:ind w:left="0" w:right="16" w:hanging="0"/>
              <w:jc w:val="both"/>
              <w:rPr>
                <w:rFonts w:ascii="helvetica" w:hAnsi="helvetica"/>
                <w:sz w:val="20"/>
              </w:rPr>
            </w:pPr>
            <w:r>
              <w:rPr>
                <w:rFonts w:ascii="helvetica" w:hAnsi="helvetica"/>
                <w:sz w:val="20"/>
              </w:rPr>
              <w:t>Form of 2007 Incentive Stock Option Agreement (incorporated herein by reference to Exhibit 10.12 to the Current Report on Form 8-K of Transdel Pharmaceuticals, Inc. filed with the Securities and Exchange Commission on September 21, 2007) </w:t>
            </w:r>
          </w:p>
        </w:tc>
      </w:tr>
      <w:tr>
        <w:trPr/>
        <w:tc>
          <w:tcPr>
            <w:tcW w:w="1095" w:type="dxa"/>
            <w:tcBorders/>
            <w:shd w:fill="FFFFFF" w:val="clear"/>
            <w:tcMar>
              <w:bottom w:w="0" w:type="dxa"/>
            </w:tcMar>
          </w:tcPr>
          <w:p>
            <w:pPr>
              <w:pStyle w:val="TableContents"/>
              <w:spacing w:before="0" w:after="283"/>
              <w:jc w:val="both"/>
              <w:rPr/>
            </w:pPr>
            <w:r>
              <w:rPr/>
              <w:t> </w:t>
            </w:r>
          </w:p>
        </w:tc>
        <w:tc>
          <w:tcPr>
            <w:tcW w:w="205" w:type="dxa"/>
            <w:tcBorders/>
            <w:shd w:fill="FFFFFF" w:val="clear"/>
            <w:tcMar>
              <w:bottom w:w="0" w:type="dxa"/>
            </w:tcMar>
          </w:tcPr>
          <w:p>
            <w:pPr>
              <w:pStyle w:val="TableContents"/>
              <w:spacing w:before="0" w:after="283"/>
              <w:jc w:val="both"/>
              <w:rPr/>
            </w:pPr>
            <w:r>
              <w:rPr/>
              <w:t> </w:t>
            </w:r>
          </w:p>
        </w:tc>
        <w:tc>
          <w:tcPr>
            <w:tcW w:w="8905" w:type="dxa"/>
            <w:tcBorders/>
            <w:shd w:fill="FFFFFF" w:val="clear"/>
            <w:tcMar>
              <w:bottom w:w="0" w:type="dxa"/>
            </w:tcMar>
          </w:tcPr>
          <w:p>
            <w:pPr>
              <w:pStyle w:val="TableContents"/>
              <w:spacing w:before="0" w:after="283"/>
              <w:jc w:val="both"/>
              <w:rPr/>
            </w:pPr>
            <w:r>
              <w:rPr/>
              <w:t> </w:t>
            </w:r>
          </w:p>
        </w:tc>
      </w:tr>
      <w:tr>
        <w:trPr/>
        <w:tc>
          <w:tcPr>
            <w:tcW w:w="1095" w:type="dxa"/>
            <w:tcBorders/>
            <w:shd w:fill="CCEEFF" w:val="clear"/>
            <w:tcMar>
              <w:bottom w:w="0" w:type="dxa"/>
            </w:tcMar>
          </w:tcPr>
          <w:p>
            <w:pPr>
              <w:pStyle w:val="TableContents"/>
              <w:spacing w:before="0" w:after="0"/>
              <w:ind w:left="0" w:right="16" w:hanging="0"/>
              <w:jc w:val="both"/>
              <w:rPr>
                <w:rFonts w:ascii="helvetica" w:hAnsi="helvetica"/>
                <w:sz w:val="20"/>
              </w:rPr>
            </w:pPr>
            <w:r>
              <w:rPr>
                <w:rFonts w:ascii="helvetica" w:hAnsi="helvetica"/>
                <w:sz w:val="20"/>
              </w:rPr>
              <w:t>10.8#</w:t>
            </w:r>
          </w:p>
        </w:tc>
        <w:tc>
          <w:tcPr>
            <w:tcW w:w="205" w:type="dxa"/>
            <w:tcBorders/>
            <w:shd w:fill="CCEEFF" w:val="clear"/>
            <w:tcMar>
              <w:bottom w:w="0" w:type="dxa"/>
            </w:tcMar>
          </w:tcPr>
          <w:p>
            <w:pPr>
              <w:pStyle w:val="TableContents"/>
              <w:spacing w:before="0" w:after="283"/>
              <w:jc w:val="both"/>
              <w:rPr/>
            </w:pPr>
            <w:r>
              <w:rPr/>
              <w:t xml:space="preserve">  </w:t>
            </w:r>
          </w:p>
        </w:tc>
        <w:tc>
          <w:tcPr>
            <w:tcW w:w="8905" w:type="dxa"/>
            <w:tcBorders/>
            <w:shd w:fill="CCEEFF" w:val="clear"/>
            <w:tcMar>
              <w:bottom w:w="0" w:type="dxa"/>
            </w:tcMar>
          </w:tcPr>
          <w:p>
            <w:pPr>
              <w:pStyle w:val="TableContents"/>
              <w:spacing w:before="0" w:after="0"/>
              <w:ind w:left="0" w:right="16" w:hanging="0"/>
              <w:jc w:val="both"/>
              <w:rPr>
                <w:rFonts w:ascii="helvetica" w:hAnsi="helvetica"/>
                <w:sz w:val="20"/>
              </w:rPr>
            </w:pPr>
            <w:r>
              <w:rPr>
                <w:rFonts w:ascii="helvetica" w:hAnsi="helvetica"/>
                <w:sz w:val="20"/>
              </w:rPr>
              <w:t>Form of 2007 Non-Qualified Stock Option Agreement (incorporated herein by reference to Exhibit 10.13 to the Current Report on Form 8-K of Transdel Pharmaceuticals, Inc. filed with the Securities and Exchange Commission on September 21, 2007) </w:t>
            </w:r>
          </w:p>
        </w:tc>
      </w:tr>
      <w:tr>
        <w:trPr/>
        <w:tc>
          <w:tcPr>
            <w:tcW w:w="1095" w:type="dxa"/>
            <w:tcBorders/>
            <w:shd w:fill="FFFFFF" w:val="clear"/>
            <w:tcMar>
              <w:bottom w:w="0" w:type="dxa"/>
            </w:tcMar>
          </w:tcPr>
          <w:p>
            <w:pPr>
              <w:pStyle w:val="TableContents"/>
              <w:spacing w:before="0" w:after="283"/>
              <w:jc w:val="both"/>
              <w:rPr/>
            </w:pPr>
            <w:r>
              <w:rPr/>
              <w:t> </w:t>
            </w:r>
          </w:p>
        </w:tc>
        <w:tc>
          <w:tcPr>
            <w:tcW w:w="205" w:type="dxa"/>
            <w:tcBorders/>
            <w:shd w:fill="FFFFFF" w:val="clear"/>
            <w:tcMar>
              <w:bottom w:w="0" w:type="dxa"/>
            </w:tcMar>
          </w:tcPr>
          <w:p>
            <w:pPr>
              <w:pStyle w:val="TableContents"/>
              <w:spacing w:before="0" w:after="283"/>
              <w:jc w:val="both"/>
              <w:rPr/>
            </w:pPr>
            <w:r>
              <w:rPr/>
              <w:t> </w:t>
            </w:r>
          </w:p>
        </w:tc>
        <w:tc>
          <w:tcPr>
            <w:tcW w:w="8905" w:type="dxa"/>
            <w:tcBorders/>
            <w:shd w:fill="FFFFFF" w:val="clear"/>
            <w:tcMar>
              <w:bottom w:w="0" w:type="dxa"/>
            </w:tcMar>
          </w:tcPr>
          <w:p>
            <w:pPr>
              <w:pStyle w:val="TableContents"/>
              <w:spacing w:before="0" w:after="283"/>
              <w:jc w:val="both"/>
              <w:rPr/>
            </w:pPr>
            <w:r>
              <w:rPr/>
              <w:t> </w:t>
            </w:r>
          </w:p>
        </w:tc>
      </w:tr>
      <w:tr>
        <w:trPr/>
        <w:tc>
          <w:tcPr>
            <w:tcW w:w="1095" w:type="dxa"/>
            <w:tcBorders/>
            <w:shd w:fill="CCEEFF" w:val="clear"/>
            <w:tcMar>
              <w:bottom w:w="0" w:type="dxa"/>
            </w:tcMar>
          </w:tcPr>
          <w:p>
            <w:pPr>
              <w:pStyle w:val="TableContents"/>
              <w:spacing w:before="0" w:after="0"/>
              <w:ind w:left="0" w:right="16" w:hanging="0"/>
              <w:jc w:val="both"/>
              <w:rPr>
                <w:rFonts w:ascii="helvetica" w:hAnsi="helvetica"/>
                <w:sz w:val="20"/>
              </w:rPr>
            </w:pPr>
            <w:r>
              <w:rPr>
                <w:rFonts w:ascii="helvetica" w:hAnsi="helvetica"/>
                <w:sz w:val="20"/>
              </w:rPr>
              <w:t>10.9</w:t>
            </w:r>
          </w:p>
        </w:tc>
        <w:tc>
          <w:tcPr>
            <w:tcW w:w="205" w:type="dxa"/>
            <w:tcBorders/>
            <w:shd w:fill="CCEEFF" w:val="clear"/>
            <w:tcMar>
              <w:bottom w:w="0" w:type="dxa"/>
            </w:tcMar>
          </w:tcPr>
          <w:p>
            <w:pPr>
              <w:pStyle w:val="TableContents"/>
              <w:spacing w:before="0" w:after="283"/>
              <w:jc w:val="both"/>
              <w:rPr/>
            </w:pPr>
            <w:r>
              <w:rPr/>
              <w:t xml:space="preserve">  </w:t>
            </w:r>
          </w:p>
        </w:tc>
        <w:tc>
          <w:tcPr>
            <w:tcW w:w="8905" w:type="dxa"/>
            <w:tcBorders/>
            <w:shd w:fill="CCEEFF" w:val="clear"/>
            <w:tcMar>
              <w:bottom w:w="0" w:type="dxa"/>
            </w:tcMar>
          </w:tcPr>
          <w:p>
            <w:pPr>
              <w:pStyle w:val="TableContents"/>
              <w:spacing w:before="0" w:after="0"/>
              <w:ind w:left="0" w:right="16" w:hanging="0"/>
              <w:jc w:val="both"/>
              <w:rPr>
                <w:rFonts w:ascii="helvetica" w:hAnsi="helvetica"/>
                <w:sz w:val="20"/>
              </w:rPr>
            </w:pPr>
            <w:r>
              <w:rPr>
                <w:rFonts w:ascii="helvetica" w:hAnsi="helvetica"/>
                <w:sz w:val="20"/>
              </w:rPr>
              <w:t>Agreement of Conveyance, Transfer and Assignment of Assets and Assumption of Obligations, dated as of September 17, 2007, by and between Transdel Pharmaceuticals, Inc. and Bywater Resources Holdings Inc. (incorporated herein by reference to Exhibit 10.15 to the Registration Statement on Form SB-2 of Transdel Pharmaceuticals, Inc. filed with the Securities and Exchange Commission on December 7, 2007) </w:t>
            </w:r>
          </w:p>
        </w:tc>
      </w:tr>
      <w:tr>
        <w:trPr/>
        <w:tc>
          <w:tcPr>
            <w:tcW w:w="1095" w:type="dxa"/>
            <w:tcBorders/>
            <w:shd w:fill="FFFFFF" w:val="clear"/>
            <w:tcMar>
              <w:bottom w:w="0" w:type="dxa"/>
            </w:tcMar>
          </w:tcPr>
          <w:p>
            <w:pPr>
              <w:pStyle w:val="TableContents"/>
              <w:spacing w:before="0" w:after="283"/>
              <w:jc w:val="both"/>
              <w:rPr/>
            </w:pPr>
            <w:r>
              <w:rPr/>
              <w:t> </w:t>
            </w:r>
          </w:p>
        </w:tc>
        <w:tc>
          <w:tcPr>
            <w:tcW w:w="205" w:type="dxa"/>
            <w:tcBorders/>
            <w:shd w:fill="FFFFFF" w:val="clear"/>
            <w:tcMar>
              <w:bottom w:w="0" w:type="dxa"/>
            </w:tcMar>
          </w:tcPr>
          <w:p>
            <w:pPr>
              <w:pStyle w:val="TableContents"/>
              <w:spacing w:before="0" w:after="283"/>
              <w:jc w:val="both"/>
              <w:rPr/>
            </w:pPr>
            <w:r>
              <w:rPr/>
              <w:t> </w:t>
            </w:r>
          </w:p>
        </w:tc>
        <w:tc>
          <w:tcPr>
            <w:tcW w:w="8905" w:type="dxa"/>
            <w:tcBorders/>
            <w:shd w:fill="FFFFFF" w:val="clear"/>
            <w:tcMar>
              <w:bottom w:w="0" w:type="dxa"/>
            </w:tcMar>
          </w:tcPr>
          <w:p>
            <w:pPr>
              <w:pStyle w:val="TableContents"/>
              <w:spacing w:before="0" w:after="283"/>
              <w:jc w:val="both"/>
              <w:rPr/>
            </w:pPr>
            <w:r>
              <w:rPr/>
              <w:t> </w:t>
            </w:r>
          </w:p>
        </w:tc>
      </w:tr>
      <w:tr>
        <w:trPr/>
        <w:tc>
          <w:tcPr>
            <w:tcW w:w="1095" w:type="dxa"/>
            <w:tcBorders/>
            <w:shd w:fill="CCEEFF" w:val="clear"/>
            <w:tcMar>
              <w:bottom w:w="0" w:type="dxa"/>
            </w:tcMar>
          </w:tcPr>
          <w:p>
            <w:pPr>
              <w:pStyle w:val="TableContents"/>
              <w:spacing w:before="0" w:after="0"/>
              <w:ind w:left="0" w:right="16" w:hanging="0"/>
              <w:jc w:val="both"/>
              <w:rPr>
                <w:rFonts w:ascii="helvetica" w:hAnsi="helvetica"/>
                <w:sz w:val="20"/>
              </w:rPr>
            </w:pPr>
            <w:r>
              <w:rPr>
                <w:rFonts w:ascii="helvetica" w:hAnsi="helvetica"/>
                <w:sz w:val="20"/>
              </w:rPr>
              <w:t>10.10 </w:t>
            </w:r>
          </w:p>
        </w:tc>
        <w:tc>
          <w:tcPr>
            <w:tcW w:w="205" w:type="dxa"/>
            <w:tcBorders/>
            <w:shd w:fill="CCEEFF" w:val="clear"/>
            <w:tcMar>
              <w:bottom w:w="0" w:type="dxa"/>
            </w:tcMar>
          </w:tcPr>
          <w:p>
            <w:pPr>
              <w:pStyle w:val="TableContents"/>
              <w:spacing w:before="0" w:after="283"/>
              <w:jc w:val="both"/>
              <w:rPr/>
            </w:pPr>
            <w:r>
              <w:rPr/>
              <w:t xml:space="preserve">  </w:t>
            </w:r>
          </w:p>
        </w:tc>
        <w:tc>
          <w:tcPr>
            <w:tcW w:w="8905" w:type="dxa"/>
            <w:tcBorders/>
            <w:shd w:fill="CCEEFF" w:val="clear"/>
            <w:tcMar>
              <w:bottom w:w="0" w:type="dxa"/>
            </w:tcMar>
          </w:tcPr>
          <w:p>
            <w:pPr>
              <w:pStyle w:val="TableContents"/>
              <w:spacing w:before="0" w:after="0"/>
              <w:ind w:left="0" w:right="16" w:hanging="0"/>
              <w:jc w:val="both"/>
              <w:rPr>
                <w:rFonts w:ascii="helvetica" w:hAnsi="helvetica"/>
                <w:sz w:val="20"/>
              </w:rPr>
            </w:pPr>
            <w:r>
              <w:rPr>
                <w:rFonts w:ascii="helvetica" w:hAnsi="helvetica"/>
                <w:sz w:val="20"/>
              </w:rPr>
              <w:t>Research and Development Services Agreement, dated as of October 11, 2007, by and between DPT Laboratories, Ltd. And Transdel Pharmaceuticals Holdings, Inc. (incorporated herein by reference to Exhibit 10.17 to the Registration Statement on Form SB-2 of Transdel Pharmaceuticals, Inc. filed with the Securities and Exchange Commission on December 7, 2007) (portions of this exhibit have been omitted pursuant to a request for confidential treatment) </w:t>
            </w:r>
          </w:p>
        </w:tc>
      </w:tr>
      <w:tr>
        <w:trPr/>
        <w:tc>
          <w:tcPr>
            <w:tcW w:w="1095" w:type="dxa"/>
            <w:tcBorders/>
            <w:shd w:fill="FFFFFF" w:val="clear"/>
            <w:tcMar>
              <w:bottom w:w="0" w:type="dxa"/>
            </w:tcMar>
          </w:tcPr>
          <w:p>
            <w:pPr>
              <w:pStyle w:val="TableContents"/>
              <w:spacing w:before="0" w:after="283"/>
              <w:jc w:val="both"/>
              <w:rPr/>
            </w:pPr>
            <w:r>
              <w:rPr/>
              <w:t> </w:t>
            </w:r>
          </w:p>
        </w:tc>
        <w:tc>
          <w:tcPr>
            <w:tcW w:w="205" w:type="dxa"/>
            <w:tcBorders/>
            <w:shd w:fill="FFFFFF" w:val="clear"/>
            <w:tcMar>
              <w:bottom w:w="0" w:type="dxa"/>
            </w:tcMar>
          </w:tcPr>
          <w:p>
            <w:pPr>
              <w:pStyle w:val="TableContents"/>
              <w:spacing w:before="0" w:after="283"/>
              <w:jc w:val="both"/>
              <w:rPr/>
            </w:pPr>
            <w:r>
              <w:rPr/>
              <w:t> </w:t>
            </w:r>
          </w:p>
        </w:tc>
        <w:tc>
          <w:tcPr>
            <w:tcW w:w="8905" w:type="dxa"/>
            <w:tcBorders/>
            <w:shd w:fill="FFFFFF" w:val="clear"/>
            <w:tcMar>
              <w:bottom w:w="0" w:type="dxa"/>
            </w:tcMar>
          </w:tcPr>
          <w:p>
            <w:pPr>
              <w:pStyle w:val="TableContents"/>
              <w:spacing w:before="0" w:after="283"/>
              <w:jc w:val="both"/>
              <w:rPr/>
            </w:pPr>
            <w:r>
              <w:rPr/>
              <w:t> </w:t>
            </w:r>
          </w:p>
        </w:tc>
      </w:tr>
      <w:tr>
        <w:trPr/>
        <w:tc>
          <w:tcPr>
            <w:tcW w:w="1095" w:type="dxa"/>
            <w:tcBorders/>
            <w:shd w:fill="CCEEFF" w:val="clear"/>
            <w:tcMar>
              <w:bottom w:w="0" w:type="dxa"/>
            </w:tcMar>
          </w:tcPr>
          <w:p>
            <w:pPr>
              <w:pStyle w:val="TableContents"/>
              <w:spacing w:before="0" w:after="0"/>
              <w:ind w:left="0" w:right="16" w:hanging="0"/>
              <w:jc w:val="both"/>
              <w:rPr>
                <w:rFonts w:ascii="helvetica" w:hAnsi="helvetica"/>
                <w:sz w:val="20"/>
              </w:rPr>
            </w:pPr>
            <w:r>
              <w:rPr>
                <w:rFonts w:ascii="helvetica" w:hAnsi="helvetica"/>
                <w:sz w:val="20"/>
              </w:rPr>
              <w:t>10.11</w:t>
            </w:r>
          </w:p>
        </w:tc>
        <w:tc>
          <w:tcPr>
            <w:tcW w:w="205" w:type="dxa"/>
            <w:tcBorders/>
            <w:shd w:fill="CCEEFF" w:val="clear"/>
            <w:tcMar>
              <w:bottom w:w="0" w:type="dxa"/>
            </w:tcMar>
          </w:tcPr>
          <w:p>
            <w:pPr>
              <w:pStyle w:val="TableContents"/>
              <w:spacing w:before="0" w:after="283"/>
              <w:jc w:val="both"/>
              <w:rPr/>
            </w:pPr>
            <w:r>
              <w:rPr/>
              <w:t xml:space="preserve">  </w:t>
            </w:r>
          </w:p>
        </w:tc>
        <w:tc>
          <w:tcPr>
            <w:tcW w:w="8905" w:type="dxa"/>
            <w:tcBorders/>
            <w:shd w:fill="CCEEFF" w:val="clear"/>
            <w:tcMar>
              <w:bottom w:w="0" w:type="dxa"/>
            </w:tcMar>
          </w:tcPr>
          <w:p>
            <w:pPr>
              <w:pStyle w:val="TableContents"/>
              <w:spacing w:before="0" w:after="0"/>
              <w:ind w:left="0" w:right="16" w:hanging="0"/>
              <w:jc w:val="both"/>
              <w:rPr>
                <w:rFonts w:ascii="helvetica" w:hAnsi="helvetica"/>
                <w:sz w:val="20"/>
              </w:rPr>
            </w:pPr>
            <w:r>
              <w:rPr>
                <w:rFonts w:ascii="helvetica" w:hAnsi="helvetica"/>
                <w:sz w:val="20"/>
              </w:rPr>
              <w:t>Project Scope Document, effective as of May 30, 2007, by and between DPT Laboratories, Ltd. and Transdel Pharmaceuticals Holdings, Inc. (incorporated herein by reference to Exhibit 10.18 to the Registration Statement on Form SB-2 of Transdel Pharmaceuticals, Inc. filed with the Securities and Exchange Commission on December 27, 2007) (portions of this exhibit have been omitted pursuant to a request for confidential treatment)</w:t>
            </w:r>
          </w:p>
        </w:tc>
      </w:tr>
      <w:tr>
        <w:trPr/>
        <w:tc>
          <w:tcPr>
            <w:tcW w:w="1095" w:type="dxa"/>
            <w:tcBorders/>
            <w:shd w:fill="FFFFFF" w:val="clear"/>
            <w:tcMar>
              <w:bottom w:w="0" w:type="dxa"/>
            </w:tcMar>
          </w:tcPr>
          <w:p>
            <w:pPr>
              <w:pStyle w:val="TableContents"/>
              <w:spacing w:before="0" w:after="283"/>
              <w:jc w:val="both"/>
              <w:rPr/>
            </w:pPr>
            <w:r>
              <w:rPr/>
              <w:t> </w:t>
            </w:r>
          </w:p>
        </w:tc>
        <w:tc>
          <w:tcPr>
            <w:tcW w:w="205" w:type="dxa"/>
            <w:tcBorders/>
            <w:shd w:fill="FFFFFF" w:val="clear"/>
            <w:tcMar>
              <w:bottom w:w="0" w:type="dxa"/>
            </w:tcMar>
          </w:tcPr>
          <w:p>
            <w:pPr>
              <w:pStyle w:val="TableContents"/>
              <w:spacing w:before="0" w:after="283"/>
              <w:jc w:val="both"/>
              <w:rPr/>
            </w:pPr>
            <w:r>
              <w:rPr/>
              <w:t> </w:t>
            </w:r>
          </w:p>
        </w:tc>
        <w:tc>
          <w:tcPr>
            <w:tcW w:w="8905" w:type="dxa"/>
            <w:tcBorders/>
            <w:shd w:fill="FFFFFF" w:val="clear"/>
            <w:tcMar>
              <w:bottom w:w="0" w:type="dxa"/>
            </w:tcMar>
          </w:tcPr>
          <w:p>
            <w:pPr>
              <w:pStyle w:val="TableContents"/>
              <w:spacing w:before="0" w:after="283"/>
              <w:jc w:val="both"/>
              <w:rPr/>
            </w:pPr>
            <w:r>
              <w:rPr/>
              <w:t> </w:t>
            </w:r>
          </w:p>
        </w:tc>
      </w:tr>
      <w:tr>
        <w:trPr/>
        <w:tc>
          <w:tcPr>
            <w:tcW w:w="1095" w:type="dxa"/>
            <w:tcBorders/>
            <w:shd w:fill="CCEEFF" w:val="clear"/>
            <w:tcMar>
              <w:bottom w:w="0" w:type="dxa"/>
            </w:tcMar>
          </w:tcPr>
          <w:p>
            <w:pPr>
              <w:pStyle w:val="TableContents"/>
              <w:spacing w:before="0" w:after="0"/>
              <w:ind w:left="0" w:right="16" w:hanging="0"/>
              <w:jc w:val="both"/>
              <w:rPr>
                <w:rFonts w:ascii="helvetica" w:hAnsi="helvetica"/>
                <w:sz w:val="20"/>
              </w:rPr>
            </w:pPr>
            <w:r>
              <w:rPr>
                <w:rFonts w:ascii="helvetica" w:hAnsi="helvetica"/>
                <w:sz w:val="20"/>
              </w:rPr>
              <w:t>10.12</w:t>
            </w:r>
          </w:p>
        </w:tc>
        <w:tc>
          <w:tcPr>
            <w:tcW w:w="205" w:type="dxa"/>
            <w:tcBorders/>
            <w:shd w:fill="CCEEFF" w:val="clear"/>
            <w:tcMar>
              <w:bottom w:w="0" w:type="dxa"/>
            </w:tcMar>
          </w:tcPr>
          <w:p>
            <w:pPr>
              <w:pStyle w:val="TableContents"/>
              <w:spacing w:before="0" w:after="283"/>
              <w:jc w:val="both"/>
              <w:rPr/>
            </w:pPr>
            <w:r>
              <w:rPr/>
              <w:t xml:space="preserve">  </w:t>
            </w:r>
          </w:p>
        </w:tc>
        <w:tc>
          <w:tcPr>
            <w:tcW w:w="8905" w:type="dxa"/>
            <w:tcBorders/>
            <w:shd w:fill="CCEEFF" w:val="clear"/>
            <w:tcMar>
              <w:bottom w:w="0" w:type="dxa"/>
            </w:tcMar>
          </w:tcPr>
          <w:p>
            <w:pPr>
              <w:pStyle w:val="TableContents"/>
              <w:spacing w:before="0" w:after="0"/>
              <w:ind w:left="0" w:right="16" w:hanging="0"/>
              <w:jc w:val="both"/>
              <w:rPr>
                <w:rFonts w:ascii="helvetica" w:hAnsi="helvetica"/>
                <w:sz w:val="20"/>
              </w:rPr>
            </w:pPr>
            <w:r>
              <w:rPr>
                <w:rFonts w:ascii="helvetica" w:hAnsi="helvetica"/>
                <w:sz w:val="20"/>
              </w:rPr>
              <w:t>Form of Warrant to purchase Common Stock (incorporated herein by reference to Exhibit 10.2 the Current Report on Form 8-K of Transdel Pharmaceuticals, Inc. filed with the Securities and Exchange Commission on May 15, 2008).</w:t>
            </w:r>
          </w:p>
        </w:tc>
      </w:tr>
    </w:tbl>
    <w:p>
      <w:pPr>
        <w:pStyle w:val="TextBody"/>
        <w:spacing w:before="0" w:after="0"/>
        <w:rPr/>
      </w:pPr>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r>
      <w:bookmarkStart w:id="1427" w:name="PGBRK125"/>
      <w:bookmarkStart w:id="1428" w:name="PGBRK125"/>
      <w:bookmarkEnd w:id="142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429" w:name="FTR125"/>
      <w:bookmarkStart w:id="1430" w:name="FTR125"/>
      <w:bookmarkEnd w:id="143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1431" w:name="GLFTR124"/>
      <w:bookmarkEnd w:id="1431"/>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helvetica" w:hAnsi="helvetica"/>
          <w:sz w:val="20"/>
        </w:rPr>
      </w:pPr>
      <w:bookmarkStart w:id="1432" w:name="PN124"/>
      <w:bookmarkEnd w:id="1432"/>
      <w:r>
        <w:rPr>
          <w:rFonts w:ascii="helvetica" w:hAnsi="helvetica"/>
          <w:sz w:val="20"/>
        </w:rPr>
        <w:t>II-10</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433" w:name="HDR124"/>
      <w:bookmarkStart w:id="1434" w:name="HDR124"/>
      <w:bookmarkEnd w:id="143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1435" w:name="GLHDR124"/>
      <w:bookmarkEnd w:id="1435"/>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816"/>
        <w:gridCol w:w="203"/>
        <w:gridCol w:w="9186"/>
      </w:tblGrid>
      <w:tr>
        <w:trPr/>
        <w:tc>
          <w:tcPr>
            <w:tcW w:w="816" w:type="dxa"/>
            <w:tcBorders/>
            <w:shd w:fill="CCEEFF" w:val="clear"/>
          </w:tcPr>
          <w:p>
            <w:pPr>
              <w:pStyle w:val="TableContents"/>
              <w:spacing w:before="0" w:after="0"/>
              <w:ind w:left="540" w:right="0" w:hanging="540"/>
              <w:jc w:val="both"/>
              <w:rPr>
                <w:rFonts w:ascii="helvetica" w:hAnsi="helvetica"/>
                <w:sz w:val="20"/>
              </w:rPr>
            </w:pPr>
            <w:r>
              <w:rPr>
                <w:rFonts w:ascii="helvetica" w:hAnsi="helvetica"/>
                <w:sz w:val="20"/>
              </w:rPr>
              <w:t>10.13#</w:t>
            </w:r>
          </w:p>
        </w:tc>
        <w:tc>
          <w:tcPr>
            <w:tcW w:w="203" w:type="dxa"/>
            <w:tcBorders/>
            <w:shd w:fill="CCEEFF" w:val="clear"/>
          </w:tcPr>
          <w:p>
            <w:pPr>
              <w:pStyle w:val="TableContents"/>
              <w:spacing w:before="0" w:after="283"/>
              <w:jc w:val="both"/>
              <w:rPr/>
            </w:pPr>
            <w:r>
              <w:rPr/>
              <w:t> </w:t>
            </w:r>
          </w:p>
        </w:tc>
        <w:tc>
          <w:tcPr>
            <w:tcW w:w="9186" w:type="dxa"/>
            <w:tcBorders/>
            <w:shd w:fill="CCEEFF" w:val="clear"/>
          </w:tcPr>
          <w:p>
            <w:pPr>
              <w:pStyle w:val="TableContents"/>
              <w:spacing w:before="0" w:after="0"/>
              <w:ind w:left="0" w:right="0" w:hanging="0"/>
              <w:jc w:val="both"/>
              <w:rPr>
                <w:rFonts w:ascii="helvetica" w:hAnsi="helvetica"/>
                <w:sz w:val="20"/>
              </w:rPr>
            </w:pPr>
            <w:r>
              <w:rPr>
                <w:rFonts w:ascii="helvetica" w:hAnsi="helvetica"/>
                <w:sz w:val="20"/>
              </w:rPr>
              <w:t>Employment Agreement, dated as of October 18, 2010, between Transdel Pharmaceuticals, Inc. and John Bonfiglio, Ph.D. (incorporated herein by reference to Exhibit 10.1 to the Quarterly Report on Form 10-Q of Transdel Pharmaceuticals, Inc. filed with the Securities and Exchange Commission on November 14, 2010) </w:t>
            </w:r>
          </w:p>
        </w:tc>
      </w:tr>
      <w:tr>
        <w:trPr/>
        <w:tc>
          <w:tcPr>
            <w:tcW w:w="816" w:type="dxa"/>
            <w:tcBorders/>
            <w:shd w:fill="FFFFFF" w:val="clear"/>
          </w:tcPr>
          <w:p>
            <w:pPr>
              <w:pStyle w:val="TableContents"/>
              <w:spacing w:before="0" w:after="283"/>
              <w:jc w:val="both"/>
              <w:rPr/>
            </w:pPr>
            <w:r>
              <w:rPr/>
              <w:t> </w:t>
            </w:r>
          </w:p>
        </w:tc>
        <w:tc>
          <w:tcPr>
            <w:tcW w:w="203" w:type="dxa"/>
            <w:tcBorders/>
            <w:shd w:fill="FFFFFF" w:val="clear"/>
          </w:tcPr>
          <w:p>
            <w:pPr>
              <w:pStyle w:val="TableContents"/>
              <w:spacing w:before="0" w:after="283"/>
              <w:jc w:val="both"/>
              <w:rPr/>
            </w:pPr>
            <w:r>
              <w:rPr/>
              <w:t> </w:t>
            </w:r>
          </w:p>
        </w:tc>
        <w:tc>
          <w:tcPr>
            <w:tcW w:w="9186" w:type="dxa"/>
            <w:tcBorders/>
            <w:shd w:fill="FFFFFF" w:val="clear"/>
          </w:tcPr>
          <w:p>
            <w:pPr>
              <w:pStyle w:val="TableContents"/>
              <w:spacing w:before="0" w:after="283"/>
              <w:jc w:val="both"/>
              <w:rPr/>
            </w:pPr>
            <w:r>
              <w:rPr/>
              <w:t> </w:t>
            </w:r>
          </w:p>
        </w:tc>
      </w:tr>
      <w:tr>
        <w:trPr/>
        <w:tc>
          <w:tcPr>
            <w:tcW w:w="816" w:type="dxa"/>
            <w:tcBorders/>
            <w:shd w:fill="CCEEFF" w:val="clear"/>
          </w:tcPr>
          <w:p>
            <w:pPr>
              <w:pStyle w:val="TableContents"/>
              <w:spacing w:before="0" w:after="0"/>
              <w:ind w:left="540" w:right="0" w:hanging="540"/>
              <w:jc w:val="both"/>
              <w:rPr>
                <w:rFonts w:ascii="helvetica" w:hAnsi="helvetica"/>
                <w:sz w:val="20"/>
              </w:rPr>
            </w:pPr>
            <w:r>
              <w:rPr>
                <w:rFonts w:ascii="helvetica" w:hAnsi="helvetica"/>
                <w:sz w:val="20"/>
              </w:rPr>
              <w:t>10.14#</w:t>
            </w:r>
          </w:p>
        </w:tc>
        <w:tc>
          <w:tcPr>
            <w:tcW w:w="203" w:type="dxa"/>
            <w:tcBorders/>
            <w:shd w:fill="CCEEFF" w:val="clear"/>
          </w:tcPr>
          <w:p>
            <w:pPr>
              <w:pStyle w:val="TableContents"/>
              <w:spacing w:before="0" w:after="283"/>
              <w:jc w:val="both"/>
              <w:rPr/>
            </w:pPr>
            <w:r>
              <w:rPr/>
              <w:t> </w:t>
            </w:r>
          </w:p>
        </w:tc>
        <w:tc>
          <w:tcPr>
            <w:tcW w:w="9186" w:type="dxa"/>
            <w:tcBorders/>
            <w:shd w:fill="CCEEFF" w:val="clear"/>
          </w:tcPr>
          <w:p>
            <w:pPr>
              <w:pStyle w:val="TableContents"/>
              <w:spacing w:before="0" w:after="0"/>
              <w:ind w:left="0" w:right="0" w:hanging="0"/>
              <w:jc w:val="both"/>
              <w:rPr>
                <w:rFonts w:ascii="helvetica" w:hAnsi="helvetica"/>
                <w:sz w:val="20"/>
              </w:rPr>
            </w:pPr>
            <w:r>
              <w:rPr>
                <w:rFonts w:ascii="helvetica" w:hAnsi="helvetica"/>
                <w:sz w:val="20"/>
              </w:rPr>
              <w:t>Nonqualified Stock Option Agreement, dated as of October 20, 2010, between Transdel Pharmaceuticals, Inc., and Dr. John Bonfiglio (incorporated herein by reference to Exhibit 10.1 to the Quarterly Report on Form 10-Q of Transdel Pharmaceuticals, Inc. filed with the Securities and Exchange Commission on November 14, 2010) </w:t>
            </w:r>
          </w:p>
        </w:tc>
      </w:tr>
      <w:tr>
        <w:trPr/>
        <w:tc>
          <w:tcPr>
            <w:tcW w:w="816" w:type="dxa"/>
            <w:tcBorders/>
            <w:shd w:fill="FFFFFF" w:val="clear"/>
          </w:tcPr>
          <w:p>
            <w:pPr>
              <w:pStyle w:val="TableContents"/>
              <w:spacing w:before="0" w:after="283"/>
              <w:jc w:val="both"/>
              <w:rPr/>
            </w:pPr>
            <w:r>
              <w:rPr/>
              <w:t> </w:t>
            </w:r>
          </w:p>
        </w:tc>
        <w:tc>
          <w:tcPr>
            <w:tcW w:w="203" w:type="dxa"/>
            <w:tcBorders/>
            <w:shd w:fill="FFFFFF" w:val="clear"/>
          </w:tcPr>
          <w:p>
            <w:pPr>
              <w:pStyle w:val="TableContents"/>
              <w:spacing w:before="0" w:after="283"/>
              <w:jc w:val="both"/>
              <w:rPr/>
            </w:pPr>
            <w:r>
              <w:rPr/>
              <w:t> </w:t>
            </w:r>
          </w:p>
        </w:tc>
        <w:tc>
          <w:tcPr>
            <w:tcW w:w="9186" w:type="dxa"/>
            <w:tcBorders/>
            <w:shd w:fill="FFFFFF" w:val="clear"/>
          </w:tcPr>
          <w:p>
            <w:pPr>
              <w:pStyle w:val="TableContents"/>
              <w:spacing w:before="0" w:after="283"/>
              <w:jc w:val="both"/>
              <w:rPr/>
            </w:pPr>
            <w:r>
              <w:rPr/>
              <w:t> </w:t>
            </w:r>
          </w:p>
        </w:tc>
      </w:tr>
      <w:tr>
        <w:trPr/>
        <w:tc>
          <w:tcPr>
            <w:tcW w:w="816" w:type="dxa"/>
            <w:tcBorders/>
            <w:shd w:fill="CCEEFF" w:val="clear"/>
          </w:tcPr>
          <w:p>
            <w:pPr>
              <w:pStyle w:val="TableContents"/>
              <w:spacing w:before="0" w:after="0"/>
              <w:ind w:left="540" w:right="0" w:hanging="540"/>
              <w:jc w:val="both"/>
              <w:rPr>
                <w:rFonts w:ascii="helvetica" w:hAnsi="helvetica"/>
                <w:sz w:val="20"/>
              </w:rPr>
            </w:pPr>
            <w:r>
              <w:rPr>
                <w:rFonts w:ascii="helvetica" w:hAnsi="helvetica"/>
                <w:sz w:val="20"/>
              </w:rPr>
              <w:t>10.15#</w:t>
            </w:r>
          </w:p>
        </w:tc>
        <w:tc>
          <w:tcPr>
            <w:tcW w:w="203" w:type="dxa"/>
            <w:tcBorders/>
            <w:shd w:fill="CCEEFF" w:val="clear"/>
          </w:tcPr>
          <w:p>
            <w:pPr>
              <w:pStyle w:val="TableContents"/>
              <w:spacing w:before="0" w:after="283"/>
              <w:jc w:val="both"/>
              <w:rPr/>
            </w:pPr>
            <w:r>
              <w:rPr/>
              <w:t> </w:t>
            </w:r>
          </w:p>
        </w:tc>
        <w:tc>
          <w:tcPr>
            <w:tcW w:w="9186" w:type="dxa"/>
            <w:tcBorders/>
            <w:shd w:fill="CCEEFF" w:val="clear"/>
          </w:tcPr>
          <w:p>
            <w:pPr>
              <w:pStyle w:val="TableContents"/>
              <w:spacing w:before="0" w:after="0"/>
              <w:ind w:left="0" w:right="0" w:hanging="0"/>
              <w:jc w:val="both"/>
              <w:rPr>
                <w:rFonts w:ascii="helvetica" w:hAnsi="helvetica"/>
                <w:sz w:val="20"/>
              </w:rPr>
            </w:pPr>
            <w:r>
              <w:rPr>
                <w:rFonts w:ascii="helvetica" w:hAnsi="helvetica"/>
                <w:sz w:val="20"/>
              </w:rPr>
              <w:t>Restricted Stock Agreement, dated as of October 20, 2010, between Transdel Pharmaceuticals, Inc., and Dr. John Bonfiglio (incorporated herein by reference to Exhibit 10.1 to the Quarterly Report on Form 10-Q of Transdel Pharmaceuticals, Inc. filed with the Securities and Exchange Commission on November 14, 2010) </w:t>
            </w:r>
          </w:p>
        </w:tc>
      </w:tr>
      <w:tr>
        <w:trPr/>
        <w:tc>
          <w:tcPr>
            <w:tcW w:w="816" w:type="dxa"/>
            <w:tcBorders/>
            <w:shd w:fill="FFFFFF" w:val="clear"/>
          </w:tcPr>
          <w:p>
            <w:pPr>
              <w:pStyle w:val="TableContents"/>
              <w:spacing w:before="0" w:after="283"/>
              <w:jc w:val="both"/>
              <w:rPr/>
            </w:pPr>
            <w:r>
              <w:rPr/>
              <w:t> </w:t>
            </w:r>
          </w:p>
        </w:tc>
        <w:tc>
          <w:tcPr>
            <w:tcW w:w="203" w:type="dxa"/>
            <w:tcBorders/>
            <w:shd w:fill="FFFFFF" w:val="clear"/>
          </w:tcPr>
          <w:p>
            <w:pPr>
              <w:pStyle w:val="TableContents"/>
              <w:spacing w:before="0" w:after="283"/>
              <w:jc w:val="both"/>
              <w:rPr/>
            </w:pPr>
            <w:r>
              <w:rPr/>
              <w:t> </w:t>
            </w:r>
          </w:p>
        </w:tc>
        <w:tc>
          <w:tcPr>
            <w:tcW w:w="9186" w:type="dxa"/>
            <w:tcBorders/>
            <w:shd w:fill="FFFFFF" w:val="clear"/>
          </w:tcPr>
          <w:p>
            <w:pPr>
              <w:pStyle w:val="TableContents"/>
              <w:spacing w:before="0" w:after="283"/>
              <w:jc w:val="both"/>
              <w:rPr/>
            </w:pPr>
            <w:r>
              <w:rPr/>
              <w:t> </w:t>
            </w:r>
          </w:p>
        </w:tc>
      </w:tr>
      <w:tr>
        <w:trPr/>
        <w:tc>
          <w:tcPr>
            <w:tcW w:w="816" w:type="dxa"/>
            <w:tcBorders/>
            <w:shd w:fill="CCEEFF" w:val="clear"/>
          </w:tcPr>
          <w:p>
            <w:pPr>
              <w:pStyle w:val="TableContents"/>
              <w:spacing w:before="0" w:after="0"/>
              <w:ind w:left="0" w:right="16" w:hanging="0"/>
              <w:jc w:val="both"/>
              <w:rPr>
                <w:rFonts w:ascii="helvetica" w:hAnsi="helvetica"/>
                <w:sz w:val="20"/>
              </w:rPr>
            </w:pPr>
            <w:r>
              <w:rPr>
                <w:rFonts w:ascii="helvetica" w:hAnsi="helvetica"/>
                <w:sz w:val="20"/>
              </w:rPr>
              <w:t>10.16</w:t>
            </w:r>
          </w:p>
        </w:tc>
        <w:tc>
          <w:tcPr>
            <w:tcW w:w="203" w:type="dxa"/>
            <w:tcBorders/>
            <w:shd w:fill="CCEEFF" w:val="clear"/>
          </w:tcPr>
          <w:p>
            <w:pPr>
              <w:pStyle w:val="TableContents"/>
              <w:spacing w:before="0" w:after="283"/>
              <w:jc w:val="both"/>
              <w:rPr/>
            </w:pPr>
            <w:r>
              <w:rPr/>
              <w:t> </w:t>
            </w:r>
          </w:p>
        </w:tc>
        <w:tc>
          <w:tcPr>
            <w:tcW w:w="9186" w:type="dxa"/>
            <w:tcBorders/>
            <w:shd w:fill="CCEEFF" w:val="clear"/>
          </w:tcPr>
          <w:p>
            <w:pPr>
              <w:pStyle w:val="TableContents"/>
              <w:spacing w:before="0" w:after="0"/>
              <w:ind w:left="0" w:right="16" w:hanging="0"/>
              <w:jc w:val="both"/>
              <w:rPr>
                <w:rFonts w:ascii="helvetica" w:hAnsi="helvetica"/>
                <w:sz w:val="20"/>
              </w:rPr>
            </w:pPr>
            <w:r>
              <w:rPr>
                <w:rFonts w:ascii="helvetica" w:hAnsi="helvetica"/>
                <w:sz w:val="20"/>
              </w:rPr>
              <w:t>Form of Senior Convertible Note Purchase Agreement (incorporated herein by reference to Exhibit 10.1 to the Current Report on Form 8-K of Transdel Pharmaceuticals, Inc. filed with the Securities and Exchange Commission on April 8, 2011) </w:t>
            </w:r>
          </w:p>
        </w:tc>
      </w:tr>
      <w:tr>
        <w:trPr/>
        <w:tc>
          <w:tcPr>
            <w:tcW w:w="816" w:type="dxa"/>
            <w:tcBorders/>
            <w:shd w:fill="FFFFFF" w:val="clear"/>
          </w:tcPr>
          <w:p>
            <w:pPr>
              <w:pStyle w:val="TableContents"/>
              <w:spacing w:before="0" w:after="283"/>
              <w:jc w:val="both"/>
              <w:rPr/>
            </w:pPr>
            <w:r>
              <w:rPr/>
              <w:t> </w:t>
            </w:r>
          </w:p>
        </w:tc>
        <w:tc>
          <w:tcPr>
            <w:tcW w:w="203" w:type="dxa"/>
            <w:tcBorders/>
            <w:shd w:fill="FFFFFF" w:val="clear"/>
          </w:tcPr>
          <w:p>
            <w:pPr>
              <w:pStyle w:val="TableContents"/>
              <w:spacing w:before="0" w:after="283"/>
              <w:jc w:val="both"/>
              <w:rPr/>
            </w:pPr>
            <w:r>
              <w:rPr/>
              <w:t> </w:t>
            </w:r>
          </w:p>
        </w:tc>
        <w:tc>
          <w:tcPr>
            <w:tcW w:w="9186" w:type="dxa"/>
            <w:tcBorders/>
            <w:shd w:fill="FFFFFF" w:val="clear"/>
          </w:tcPr>
          <w:p>
            <w:pPr>
              <w:pStyle w:val="TableContents"/>
              <w:spacing w:before="0" w:after="283"/>
              <w:jc w:val="both"/>
              <w:rPr/>
            </w:pPr>
            <w:r>
              <w:rPr/>
              <w:t> </w:t>
            </w:r>
          </w:p>
        </w:tc>
      </w:tr>
      <w:tr>
        <w:trPr/>
        <w:tc>
          <w:tcPr>
            <w:tcW w:w="816" w:type="dxa"/>
            <w:tcBorders/>
            <w:shd w:fill="CCEEFF" w:val="clear"/>
          </w:tcPr>
          <w:p>
            <w:pPr>
              <w:pStyle w:val="TableContents"/>
              <w:spacing w:before="0" w:after="0"/>
              <w:ind w:left="0" w:right="16" w:hanging="0"/>
              <w:jc w:val="both"/>
              <w:rPr>
                <w:rFonts w:ascii="helvetica" w:hAnsi="helvetica"/>
                <w:sz w:val="20"/>
              </w:rPr>
            </w:pPr>
            <w:r>
              <w:rPr>
                <w:rFonts w:ascii="helvetica" w:hAnsi="helvetica"/>
                <w:sz w:val="20"/>
              </w:rPr>
              <w:t>10.17</w:t>
            </w:r>
          </w:p>
        </w:tc>
        <w:tc>
          <w:tcPr>
            <w:tcW w:w="203" w:type="dxa"/>
            <w:tcBorders/>
            <w:shd w:fill="CCEEFF" w:val="clear"/>
          </w:tcPr>
          <w:p>
            <w:pPr>
              <w:pStyle w:val="TableContents"/>
              <w:spacing w:before="0" w:after="283"/>
              <w:jc w:val="both"/>
              <w:rPr/>
            </w:pPr>
            <w:r>
              <w:rPr/>
              <w:t> </w:t>
            </w:r>
          </w:p>
        </w:tc>
        <w:tc>
          <w:tcPr>
            <w:tcW w:w="9186" w:type="dxa"/>
            <w:tcBorders/>
            <w:shd w:fill="CCEEFF" w:val="clear"/>
          </w:tcPr>
          <w:p>
            <w:pPr>
              <w:pStyle w:val="TableContents"/>
              <w:spacing w:before="0" w:after="0"/>
              <w:ind w:left="0" w:right="16" w:hanging="0"/>
              <w:jc w:val="both"/>
              <w:rPr>
                <w:rFonts w:ascii="helvetica" w:hAnsi="helvetica"/>
                <w:sz w:val="20"/>
              </w:rPr>
            </w:pPr>
            <w:r>
              <w:rPr>
                <w:rFonts w:ascii="helvetica" w:hAnsi="helvetica"/>
                <w:sz w:val="20"/>
              </w:rPr>
              <w:t>Form of Senior Convertible Promissory Note (incorporated herein by reference to Exhibit 10.2 to the Current Report on Form 8-K of Transdel Pharmaceuticals, Inc. filed with the Securities and Exchange Commission on April 8, 2011) </w:t>
            </w:r>
          </w:p>
        </w:tc>
      </w:tr>
      <w:tr>
        <w:trPr/>
        <w:tc>
          <w:tcPr>
            <w:tcW w:w="816" w:type="dxa"/>
            <w:tcBorders/>
            <w:shd w:fill="FFFFFF" w:val="clear"/>
          </w:tcPr>
          <w:p>
            <w:pPr>
              <w:pStyle w:val="TableContents"/>
              <w:spacing w:before="0" w:after="283"/>
              <w:jc w:val="both"/>
              <w:rPr/>
            </w:pPr>
            <w:r>
              <w:rPr/>
              <w:t> </w:t>
            </w:r>
          </w:p>
        </w:tc>
        <w:tc>
          <w:tcPr>
            <w:tcW w:w="203" w:type="dxa"/>
            <w:tcBorders/>
            <w:shd w:fill="FFFFFF" w:val="clear"/>
          </w:tcPr>
          <w:p>
            <w:pPr>
              <w:pStyle w:val="TableContents"/>
              <w:spacing w:before="0" w:after="283"/>
              <w:jc w:val="both"/>
              <w:rPr/>
            </w:pPr>
            <w:r>
              <w:rPr/>
              <w:t> </w:t>
            </w:r>
          </w:p>
        </w:tc>
        <w:tc>
          <w:tcPr>
            <w:tcW w:w="9186" w:type="dxa"/>
            <w:tcBorders/>
            <w:shd w:fill="FFFFFF" w:val="clear"/>
          </w:tcPr>
          <w:p>
            <w:pPr>
              <w:pStyle w:val="TableContents"/>
              <w:spacing w:before="0" w:after="283"/>
              <w:jc w:val="both"/>
              <w:rPr/>
            </w:pPr>
            <w:r>
              <w:rPr/>
              <w:t> </w:t>
            </w:r>
          </w:p>
        </w:tc>
      </w:tr>
      <w:tr>
        <w:trPr/>
        <w:tc>
          <w:tcPr>
            <w:tcW w:w="816" w:type="dxa"/>
            <w:tcBorders/>
            <w:shd w:fill="CCEEFF" w:val="clear"/>
          </w:tcPr>
          <w:p>
            <w:pPr>
              <w:pStyle w:val="TableContents"/>
              <w:spacing w:before="0" w:after="0"/>
              <w:ind w:left="0" w:right="16" w:hanging="0"/>
              <w:jc w:val="both"/>
              <w:rPr>
                <w:rFonts w:ascii="helvetica" w:hAnsi="helvetica"/>
                <w:sz w:val="20"/>
              </w:rPr>
            </w:pPr>
            <w:r>
              <w:rPr>
                <w:rFonts w:ascii="helvetica" w:hAnsi="helvetica"/>
                <w:sz w:val="20"/>
              </w:rPr>
              <w:t>10.18</w:t>
            </w:r>
          </w:p>
        </w:tc>
        <w:tc>
          <w:tcPr>
            <w:tcW w:w="203" w:type="dxa"/>
            <w:tcBorders/>
            <w:shd w:fill="CCEEFF" w:val="clear"/>
          </w:tcPr>
          <w:p>
            <w:pPr>
              <w:pStyle w:val="TableContents"/>
              <w:spacing w:before="0" w:after="283"/>
              <w:jc w:val="both"/>
              <w:rPr/>
            </w:pPr>
            <w:r>
              <w:rPr/>
              <w:t> </w:t>
            </w:r>
          </w:p>
        </w:tc>
        <w:tc>
          <w:tcPr>
            <w:tcW w:w="9186" w:type="dxa"/>
            <w:tcBorders/>
            <w:shd w:fill="CCEEFF" w:val="clear"/>
          </w:tcPr>
          <w:p>
            <w:pPr>
              <w:pStyle w:val="TableContents"/>
              <w:spacing w:before="0" w:after="0"/>
              <w:ind w:left="0" w:right="16" w:hanging="0"/>
              <w:jc w:val="both"/>
              <w:rPr>
                <w:rFonts w:ascii="helvetica" w:hAnsi="helvetica"/>
                <w:sz w:val="20"/>
              </w:rPr>
            </w:pPr>
            <w:r>
              <w:rPr>
                <w:rFonts w:ascii="helvetica" w:hAnsi="helvetica"/>
                <w:sz w:val="20"/>
              </w:rPr>
              <w:t>Asset Purchase Agreement, dated as of June 23, 2011, by and among Transdel Pharmaceuticals, Inc. and Cardium Healthcare, Inc. (incorporated herein by reference to Exhibit 2.1 to the Current Report on Form 8-K of Transdel Pharmaceuticals, Inc. filed with the Securities and Exchange Commission on June 26, 2011) </w:t>
            </w:r>
          </w:p>
        </w:tc>
      </w:tr>
      <w:tr>
        <w:trPr/>
        <w:tc>
          <w:tcPr>
            <w:tcW w:w="816" w:type="dxa"/>
            <w:tcBorders/>
            <w:shd w:fill="FFFFFF" w:val="clear"/>
          </w:tcPr>
          <w:p>
            <w:pPr>
              <w:pStyle w:val="TableContents"/>
              <w:spacing w:before="0" w:after="283"/>
              <w:jc w:val="both"/>
              <w:rPr/>
            </w:pPr>
            <w:r>
              <w:rPr/>
              <w:t> </w:t>
            </w:r>
          </w:p>
        </w:tc>
        <w:tc>
          <w:tcPr>
            <w:tcW w:w="203" w:type="dxa"/>
            <w:tcBorders/>
            <w:shd w:fill="FFFFFF" w:val="clear"/>
          </w:tcPr>
          <w:p>
            <w:pPr>
              <w:pStyle w:val="TableContents"/>
              <w:spacing w:before="0" w:after="283"/>
              <w:jc w:val="both"/>
              <w:rPr/>
            </w:pPr>
            <w:r>
              <w:rPr/>
              <w:t> </w:t>
            </w:r>
          </w:p>
        </w:tc>
        <w:tc>
          <w:tcPr>
            <w:tcW w:w="9186" w:type="dxa"/>
            <w:tcBorders/>
            <w:shd w:fill="FFFFFF" w:val="clear"/>
          </w:tcPr>
          <w:p>
            <w:pPr>
              <w:pStyle w:val="TableContents"/>
              <w:spacing w:before="0" w:after="283"/>
              <w:jc w:val="both"/>
              <w:rPr/>
            </w:pPr>
            <w:r>
              <w:rPr/>
              <w:t> </w:t>
            </w:r>
          </w:p>
        </w:tc>
      </w:tr>
      <w:tr>
        <w:trPr/>
        <w:tc>
          <w:tcPr>
            <w:tcW w:w="816" w:type="dxa"/>
            <w:tcBorders/>
            <w:shd w:fill="CCEEFF" w:val="clear"/>
          </w:tcPr>
          <w:p>
            <w:pPr>
              <w:pStyle w:val="TableContents"/>
              <w:spacing w:before="0" w:after="0"/>
              <w:ind w:left="0" w:right="16" w:hanging="0"/>
              <w:jc w:val="both"/>
              <w:rPr>
                <w:rFonts w:ascii="helvetica" w:hAnsi="helvetica"/>
                <w:sz w:val="20"/>
              </w:rPr>
            </w:pPr>
            <w:r>
              <w:rPr>
                <w:rFonts w:ascii="helvetica" w:hAnsi="helvetica"/>
                <w:sz w:val="20"/>
              </w:rPr>
              <w:t>10.19</w:t>
            </w:r>
          </w:p>
        </w:tc>
        <w:tc>
          <w:tcPr>
            <w:tcW w:w="203" w:type="dxa"/>
            <w:tcBorders/>
            <w:shd w:fill="CCEEFF" w:val="clear"/>
          </w:tcPr>
          <w:p>
            <w:pPr>
              <w:pStyle w:val="TableContents"/>
              <w:spacing w:before="0" w:after="283"/>
              <w:jc w:val="both"/>
              <w:rPr/>
            </w:pPr>
            <w:r>
              <w:rPr/>
              <w:t> </w:t>
            </w:r>
          </w:p>
        </w:tc>
        <w:tc>
          <w:tcPr>
            <w:tcW w:w="9186" w:type="dxa"/>
            <w:tcBorders/>
            <w:shd w:fill="CCEEFF" w:val="clear"/>
          </w:tcPr>
          <w:p>
            <w:pPr>
              <w:pStyle w:val="TableContents"/>
              <w:spacing w:before="0" w:after="0"/>
              <w:ind w:left="0" w:right="16" w:hanging="0"/>
              <w:jc w:val="both"/>
              <w:rPr>
                <w:rFonts w:ascii="helvetica" w:hAnsi="helvetica"/>
                <w:sz w:val="20"/>
              </w:rPr>
            </w:pPr>
            <w:r>
              <w:rPr>
                <w:rFonts w:ascii="helvetica" w:hAnsi="helvetica"/>
                <w:sz w:val="20"/>
              </w:rPr>
              <w:t>Secured Line of Credit Letter Agreement, dated November 21, 2011 and effective as of December 9, 2011, by and between Transdel Pharmaceuticals, Inc. and DermaStar International, LLC. (incorporated herein by reference to Exhibit 10.1 to the Current Report on Form 8-K of Transdel Pharmaceuticals, Inc. filed with the Securities and Exchange Commission on December 20, 2011) </w:t>
            </w:r>
          </w:p>
        </w:tc>
      </w:tr>
      <w:tr>
        <w:trPr/>
        <w:tc>
          <w:tcPr>
            <w:tcW w:w="816" w:type="dxa"/>
            <w:tcBorders/>
            <w:shd w:fill="FFFFFF" w:val="clear"/>
          </w:tcPr>
          <w:p>
            <w:pPr>
              <w:pStyle w:val="TableContents"/>
              <w:spacing w:before="0" w:after="283"/>
              <w:jc w:val="both"/>
              <w:rPr/>
            </w:pPr>
            <w:r>
              <w:rPr/>
              <w:t> </w:t>
            </w:r>
          </w:p>
        </w:tc>
        <w:tc>
          <w:tcPr>
            <w:tcW w:w="203" w:type="dxa"/>
            <w:tcBorders/>
            <w:shd w:fill="FFFFFF" w:val="clear"/>
          </w:tcPr>
          <w:p>
            <w:pPr>
              <w:pStyle w:val="TableContents"/>
              <w:spacing w:before="0" w:after="283"/>
              <w:jc w:val="both"/>
              <w:rPr/>
            </w:pPr>
            <w:r>
              <w:rPr/>
              <w:t> </w:t>
            </w:r>
          </w:p>
        </w:tc>
        <w:tc>
          <w:tcPr>
            <w:tcW w:w="9186" w:type="dxa"/>
            <w:tcBorders/>
            <w:shd w:fill="FFFFFF" w:val="clear"/>
          </w:tcPr>
          <w:p>
            <w:pPr>
              <w:pStyle w:val="TableContents"/>
              <w:spacing w:before="0" w:after="283"/>
              <w:jc w:val="both"/>
              <w:rPr/>
            </w:pPr>
            <w:r>
              <w:rPr/>
              <w:t> </w:t>
            </w:r>
          </w:p>
        </w:tc>
      </w:tr>
      <w:tr>
        <w:trPr/>
        <w:tc>
          <w:tcPr>
            <w:tcW w:w="816" w:type="dxa"/>
            <w:tcBorders/>
            <w:shd w:fill="CCEEFF" w:val="clear"/>
          </w:tcPr>
          <w:p>
            <w:pPr>
              <w:pStyle w:val="TableContents"/>
              <w:spacing w:before="0" w:after="0"/>
              <w:ind w:left="0" w:right="16" w:hanging="0"/>
              <w:jc w:val="both"/>
              <w:rPr>
                <w:rFonts w:ascii="helvetica" w:hAnsi="helvetica"/>
                <w:sz w:val="20"/>
              </w:rPr>
            </w:pPr>
            <w:r>
              <w:rPr>
                <w:rFonts w:ascii="helvetica" w:hAnsi="helvetica"/>
                <w:sz w:val="20"/>
              </w:rPr>
              <w:t>10.20</w:t>
            </w:r>
          </w:p>
        </w:tc>
        <w:tc>
          <w:tcPr>
            <w:tcW w:w="203" w:type="dxa"/>
            <w:tcBorders/>
            <w:shd w:fill="CCEEFF" w:val="clear"/>
          </w:tcPr>
          <w:p>
            <w:pPr>
              <w:pStyle w:val="TableContents"/>
              <w:spacing w:before="0" w:after="283"/>
              <w:jc w:val="both"/>
              <w:rPr/>
            </w:pPr>
            <w:r>
              <w:rPr/>
              <w:t> </w:t>
            </w:r>
          </w:p>
        </w:tc>
        <w:tc>
          <w:tcPr>
            <w:tcW w:w="9186" w:type="dxa"/>
            <w:tcBorders/>
            <w:shd w:fill="CCEEFF" w:val="clear"/>
          </w:tcPr>
          <w:p>
            <w:pPr>
              <w:pStyle w:val="TableContents"/>
              <w:spacing w:before="0" w:after="0"/>
              <w:ind w:left="0" w:right="16" w:hanging="0"/>
              <w:jc w:val="both"/>
              <w:rPr>
                <w:rFonts w:ascii="helvetica" w:hAnsi="helvetica"/>
                <w:sz w:val="20"/>
              </w:rPr>
            </w:pPr>
            <w:r>
              <w:rPr>
                <w:rFonts w:ascii="helvetica" w:hAnsi="helvetica"/>
                <w:sz w:val="20"/>
              </w:rPr>
              <w:t>Security Agreement, dated as of December 9, 2011, by and between Transdel Pharmaceuticals, Inc. and DermaStar International, LLC. (incorporated herein by reference to Exhibit 10.2 to the Current Report on Form 8-K of Transdel Pharmaceuticals, Inc. filed with the Securities and Exchange Commission on December 20, 2011) </w:t>
            </w:r>
          </w:p>
        </w:tc>
      </w:tr>
      <w:tr>
        <w:trPr/>
        <w:tc>
          <w:tcPr>
            <w:tcW w:w="816" w:type="dxa"/>
            <w:tcBorders/>
            <w:shd w:fill="FFFFFF" w:val="clear"/>
          </w:tcPr>
          <w:p>
            <w:pPr>
              <w:pStyle w:val="TableContents"/>
              <w:spacing w:before="0" w:after="283"/>
              <w:jc w:val="both"/>
              <w:rPr/>
            </w:pPr>
            <w:r>
              <w:rPr/>
              <w:t> </w:t>
            </w:r>
          </w:p>
        </w:tc>
        <w:tc>
          <w:tcPr>
            <w:tcW w:w="203" w:type="dxa"/>
            <w:tcBorders/>
            <w:shd w:fill="FFFFFF" w:val="clear"/>
          </w:tcPr>
          <w:p>
            <w:pPr>
              <w:pStyle w:val="TableContents"/>
              <w:spacing w:before="0" w:after="283"/>
              <w:jc w:val="both"/>
              <w:rPr/>
            </w:pPr>
            <w:r>
              <w:rPr/>
              <w:t> </w:t>
            </w:r>
          </w:p>
        </w:tc>
        <w:tc>
          <w:tcPr>
            <w:tcW w:w="9186" w:type="dxa"/>
            <w:tcBorders/>
            <w:shd w:fill="FFFFFF" w:val="clear"/>
          </w:tcPr>
          <w:p>
            <w:pPr>
              <w:pStyle w:val="TableContents"/>
              <w:spacing w:before="0" w:after="283"/>
              <w:jc w:val="both"/>
              <w:rPr/>
            </w:pPr>
            <w:r>
              <w:rPr/>
              <w:t> </w:t>
            </w:r>
          </w:p>
        </w:tc>
      </w:tr>
      <w:tr>
        <w:trPr/>
        <w:tc>
          <w:tcPr>
            <w:tcW w:w="816" w:type="dxa"/>
            <w:tcBorders/>
            <w:shd w:fill="CCEEFF" w:val="clear"/>
          </w:tcPr>
          <w:p>
            <w:pPr>
              <w:pStyle w:val="TableContents"/>
              <w:spacing w:before="0" w:after="0"/>
              <w:ind w:left="0" w:right="16" w:hanging="0"/>
              <w:jc w:val="both"/>
              <w:rPr>
                <w:rFonts w:ascii="helvetica" w:hAnsi="helvetica"/>
                <w:sz w:val="20"/>
              </w:rPr>
            </w:pPr>
            <w:r>
              <w:rPr>
                <w:rFonts w:ascii="helvetica" w:hAnsi="helvetica"/>
                <w:sz w:val="20"/>
              </w:rPr>
              <w:t>10.21</w:t>
            </w:r>
          </w:p>
        </w:tc>
        <w:tc>
          <w:tcPr>
            <w:tcW w:w="203" w:type="dxa"/>
            <w:tcBorders/>
            <w:shd w:fill="CCEEFF" w:val="clear"/>
          </w:tcPr>
          <w:p>
            <w:pPr>
              <w:pStyle w:val="TableContents"/>
              <w:spacing w:before="0" w:after="283"/>
              <w:jc w:val="both"/>
              <w:rPr/>
            </w:pPr>
            <w:r>
              <w:rPr/>
              <w:t> </w:t>
            </w:r>
          </w:p>
        </w:tc>
        <w:tc>
          <w:tcPr>
            <w:tcW w:w="9186" w:type="dxa"/>
            <w:tcBorders/>
            <w:shd w:fill="CCEEFF" w:val="clear"/>
          </w:tcPr>
          <w:p>
            <w:pPr>
              <w:pStyle w:val="TableContents"/>
              <w:spacing w:before="0" w:after="0"/>
              <w:ind w:left="0" w:right="16" w:hanging="0"/>
              <w:jc w:val="both"/>
              <w:rPr>
                <w:rFonts w:ascii="helvetica" w:hAnsi="helvetica"/>
                <w:sz w:val="20"/>
              </w:rPr>
            </w:pPr>
            <w:r>
              <w:rPr>
                <w:rFonts w:ascii="helvetica" w:hAnsi="helvetica"/>
                <w:sz w:val="20"/>
              </w:rPr>
              <w:t>Intellectual Property Security Agreement, dated as of December 9, 2011, by and between Transdel Pharmaceuticals, Inc. and DermaStar International, LLC. (incorporated herein by reference to Exhibit 10.3 to the Current Report on Form 8-K of Transdel Pharmaceuticals, Inc. filed with the Securities and Exchange Commission on December 20, 2011) </w:t>
            </w:r>
          </w:p>
        </w:tc>
      </w:tr>
      <w:tr>
        <w:trPr/>
        <w:tc>
          <w:tcPr>
            <w:tcW w:w="816" w:type="dxa"/>
            <w:tcBorders/>
            <w:shd w:fill="FFFFFF" w:val="clear"/>
          </w:tcPr>
          <w:p>
            <w:pPr>
              <w:pStyle w:val="TableContents"/>
              <w:spacing w:before="0" w:after="283"/>
              <w:jc w:val="both"/>
              <w:rPr/>
            </w:pPr>
            <w:r>
              <w:rPr/>
              <w:t> </w:t>
            </w:r>
          </w:p>
        </w:tc>
        <w:tc>
          <w:tcPr>
            <w:tcW w:w="203" w:type="dxa"/>
            <w:tcBorders/>
            <w:shd w:fill="FFFFFF" w:val="clear"/>
          </w:tcPr>
          <w:p>
            <w:pPr>
              <w:pStyle w:val="TableContents"/>
              <w:spacing w:before="0" w:after="283"/>
              <w:jc w:val="both"/>
              <w:rPr/>
            </w:pPr>
            <w:r>
              <w:rPr/>
              <w:t> </w:t>
            </w:r>
          </w:p>
        </w:tc>
        <w:tc>
          <w:tcPr>
            <w:tcW w:w="9186" w:type="dxa"/>
            <w:tcBorders/>
            <w:shd w:fill="FFFFFF" w:val="clear"/>
          </w:tcPr>
          <w:p>
            <w:pPr>
              <w:pStyle w:val="TableContents"/>
              <w:spacing w:before="0" w:after="283"/>
              <w:jc w:val="both"/>
              <w:rPr/>
            </w:pPr>
            <w:r>
              <w:rPr/>
              <w:t> </w:t>
            </w:r>
          </w:p>
        </w:tc>
      </w:tr>
      <w:tr>
        <w:trPr/>
        <w:tc>
          <w:tcPr>
            <w:tcW w:w="816" w:type="dxa"/>
            <w:tcBorders/>
            <w:shd w:fill="CCEEFF" w:val="clear"/>
          </w:tcPr>
          <w:p>
            <w:pPr>
              <w:pStyle w:val="TableContents"/>
              <w:spacing w:before="0" w:after="0"/>
              <w:ind w:left="0" w:right="16" w:hanging="0"/>
              <w:jc w:val="both"/>
              <w:rPr>
                <w:rFonts w:ascii="helvetica" w:hAnsi="helvetica"/>
                <w:sz w:val="20"/>
              </w:rPr>
            </w:pPr>
            <w:r>
              <w:rPr>
                <w:rFonts w:ascii="helvetica" w:hAnsi="helvetica"/>
                <w:sz w:val="20"/>
              </w:rPr>
              <w:t>10.22</w:t>
            </w:r>
          </w:p>
        </w:tc>
        <w:tc>
          <w:tcPr>
            <w:tcW w:w="203" w:type="dxa"/>
            <w:tcBorders/>
            <w:shd w:fill="CCEEFF" w:val="clear"/>
          </w:tcPr>
          <w:p>
            <w:pPr>
              <w:pStyle w:val="TableContents"/>
              <w:spacing w:before="0" w:after="283"/>
              <w:jc w:val="both"/>
              <w:rPr/>
            </w:pPr>
            <w:r>
              <w:rPr/>
              <w:t> </w:t>
            </w:r>
          </w:p>
        </w:tc>
        <w:tc>
          <w:tcPr>
            <w:tcW w:w="9186" w:type="dxa"/>
            <w:tcBorders/>
            <w:shd w:fill="CCEEFF" w:val="clear"/>
          </w:tcPr>
          <w:p>
            <w:pPr>
              <w:pStyle w:val="TableContents"/>
              <w:spacing w:before="0" w:after="0"/>
              <w:ind w:left="0" w:right="16" w:hanging="0"/>
              <w:jc w:val="both"/>
              <w:rPr>
                <w:rFonts w:ascii="helvetica" w:hAnsi="helvetica"/>
                <w:sz w:val="20"/>
              </w:rPr>
            </w:pPr>
            <w:r>
              <w:rPr>
                <w:rFonts w:ascii="helvetica" w:hAnsi="helvetica"/>
                <w:sz w:val="20"/>
              </w:rPr>
              <w:t>Securities Purchase Agreement, dated November 21, 2011 and effective as of December 9, 2011, by and between Transdel Pharmaceuticals, Inc. and DermaStar International, LLC. (incorporated herein by reference to Exhibit 10.3 to the Current Report on Form 8-K of Transdel Pharmaceuticals, Inc. filed with the Securities and Exchange Commission on December 20, 2011) </w:t>
            </w:r>
          </w:p>
        </w:tc>
      </w:tr>
      <w:tr>
        <w:trPr/>
        <w:tc>
          <w:tcPr>
            <w:tcW w:w="816" w:type="dxa"/>
            <w:tcBorders/>
            <w:shd w:fill="FFFFFF" w:val="clear"/>
          </w:tcPr>
          <w:p>
            <w:pPr>
              <w:pStyle w:val="TableContents"/>
              <w:spacing w:before="0" w:after="283"/>
              <w:jc w:val="both"/>
              <w:rPr/>
            </w:pPr>
            <w:r>
              <w:rPr/>
              <w:t> </w:t>
            </w:r>
          </w:p>
        </w:tc>
        <w:tc>
          <w:tcPr>
            <w:tcW w:w="203" w:type="dxa"/>
            <w:tcBorders/>
            <w:shd w:fill="FFFFFF" w:val="clear"/>
          </w:tcPr>
          <w:p>
            <w:pPr>
              <w:pStyle w:val="TableContents"/>
              <w:spacing w:before="0" w:after="283"/>
              <w:jc w:val="both"/>
              <w:rPr/>
            </w:pPr>
            <w:r>
              <w:rPr/>
              <w:t> </w:t>
            </w:r>
          </w:p>
        </w:tc>
        <w:tc>
          <w:tcPr>
            <w:tcW w:w="9186" w:type="dxa"/>
            <w:tcBorders/>
            <w:shd w:fill="FFFFFF" w:val="clear"/>
          </w:tcPr>
          <w:p>
            <w:pPr>
              <w:pStyle w:val="TableContents"/>
              <w:spacing w:before="0" w:after="283"/>
              <w:jc w:val="both"/>
              <w:rPr/>
            </w:pPr>
            <w:r>
              <w:rPr/>
              <w:t> </w:t>
            </w:r>
          </w:p>
        </w:tc>
      </w:tr>
      <w:tr>
        <w:trPr/>
        <w:tc>
          <w:tcPr>
            <w:tcW w:w="816" w:type="dxa"/>
            <w:tcBorders/>
            <w:shd w:fill="CCEEFF" w:val="clear"/>
          </w:tcPr>
          <w:p>
            <w:pPr>
              <w:pStyle w:val="TableContents"/>
              <w:spacing w:before="0" w:after="0"/>
              <w:ind w:left="0" w:right="16" w:hanging="0"/>
              <w:jc w:val="both"/>
              <w:rPr>
                <w:rFonts w:ascii="helvetica" w:hAnsi="helvetica"/>
                <w:sz w:val="20"/>
              </w:rPr>
            </w:pPr>
            <w:r>
              <w:rPr>
                <w:rFonts w:ascii="helvetica" w:hAnsi="helvetica"/>
                <w:sz w:val="20"/>
              </w:rPr>
              <w:t>10.23**</w:t>
            </w:r>
          </w:p>
        </w:tc>
        <w:tc>
          <w:tcPr>
            <w:tcW w:w="203" w:type="dxa"/>
            <w:tcBorders/>
            <w:shd w:fill="CCEEFF" w:val="clear"/>
          </w:tcPr>
          <w:p>
            <w:pPr>
              <w:pStyle w:val="TableContents"/>
              <w:spacing w:before="0" w:after="283"/>
              <w:jc w:val="both"/>
              <w:rPr/>
            </w:pPr>
            <w:r>
              <w:rPr/>
              <w:t> </w:t>
            </w:r>
          </w:p>
        </w:tc>
        <w:tc>
          <w:tcPr>
            <w:tcW w:w="9186" w:type="dxa"/>
            <w:tcBorders/>
            <w:shd w:fill="CCEEFF" w:val="clear"/>
          </w:tcPr>
          <w:p>
            <w:pPr>
              <w:pStyle w:val="TableContents"/>
              <w:spacing w:before="0" w:after="0"/>
              <w:ind w:left="0" w:right="16" w:hanging="0"/>
              <w:jc w:val="both"/>
              <w:rPr>
                <w:rFonts w:ascii="helvetica" w:hAnsi="helvetica"/>
                <w:sz w:val="20"/>
              </w:rPr>
            </w:pPr>
            <w:r>
              <w:rPr>
                <w:rFonts w:ascii="helvetica" w:hAnsi="helvetica"/>
                <w:sz w:val="20"/>
              </w:rPr>
              <w:t>First Amendment to Securities Purchase Agreement, effective as of December 31, 2011, by and between Transdel Pharmaceuticals, Inc. and DermaStar International, LLC</w:t>
            </w:r>
          </w:p>
        </w:tc>
      </w:tr>
      <w:tr>
        <w:trPr/>
        <w:tc>
          <w:tcPr>
            <w:tcW w:w="816" w:type="dxa"/>
            <w:tcBorders/>
            <w:shd w:fill="FFFFFF" w:val="clear"/>
          </w:tcPr>
          <w:p>
            <w:pPr>
              <w:pStyle w:val="TableContents"/>
              <w:spacing w:before="0" w:after="283"/>
              <w:jc w:val="both"/>
              <w:rPr/>
            </w:pPr>
            <w:r>
              <w:rPr/>
              <w:t> </w:t>
            </w:r>
          </w:p>
        </w:tc>
        <w:tc>
          <w:tcPr>
            <w:tcW w:w="203" w:type="dxa"/>
            <w:tcBorders/>
            <w:shd w:fill="FFFFFF" w:val="clear"/>
          </w:tcPr>
          <w:p>
            <w:pPr>
              <w:pStyle w:val="TableContents"/>
              <w:spacing w:before="0" w:after="283"/>
              <w:jc w:val="both"/>
              <w:rPr/>
            </w:pPr>
            <w:r>
              <w:rPr/>
              <w:t> </w:t>
            </w:r>
          </w:p>
        </w:tc>
        <w:tc>
          <w:tcPr>
            <w:tcW w:w="9186" w:type="dxa"/>
            <w:tcBorders/>
            <w:shd w:fill="FFFFFF" w:val="clear"/>
          </w:tcPr>
          <w:p>
            <w:pPr>
              <w:pStyle w:val="TableContents"/>
              <w:spacing w:before="0" w:after="283"/>
              <w:jc w:val="both"/>
              <w:rPr/>
            </w:pPr>
            <w:r>
              <w:rPr/>
              <w:t> </w:t>
            </w:r>
          </w:p>
        </w:tc>
      </w:tr>
      <w:tr>
        <w:trPr/>
        <w:tc>
          <w:tcPr>
            <w:tcW w:w="816" w:type="dxa"/>
            <w:tcBorders/>
            <w:shd w:fill="CCEEFF" w:val="clear"/>
          </w:tcPr>
          <w:p>
            <w:pPr>
              <w:pStyle w:val="TableContents"/>
              <w:spacing w:before="0" w:after="0"/>
              <w:ind w:left="0" w:right="16" w:hanging="0"/>
              <w:jc w:val="both"/>
              <w:rPr>
                <w:rFonts w:ascii="helvetica" w:hAnsi="helvetica"/>
                <w:sz w:val="20"/>
              </w:rPr>
            </w:pPr>
            <w:r>
              <w:rPr>
                <w:rFonts w:ascii="helvetica" w:hAnsi="helvetica"/>
                <w:sz w:val="20"/>
              </w:rPr>
              <w:t>10.24</w:t>
            </w:r>
          </w:p>
        </w:tc>
        <w:tc>
          <w:tcPr>
            <w:tcW w:w="203" w:type="dxa"/>
            <w:tcBorders/>
            <w:shd w:fill="CCEEFF" w:val="clear"/>
          </w:tcPr>
          <w:p>
            <w:pPr>
              <w:pStyle w:val="TableContents"/>
              <w:spacing w:before="0" w:after="283"/>
              <w:jc w:val="both"/>
              <w:rPr/>
            </w:pPr>
            <w:r>
              <w:rPr/>
              <w:t> </w:t>
            </w:r>
          </w:p>
        </w:tc>
        <w:tc>
          <w:tcPr>
            <w:tcW w:w="9186" w:type="dxa"/>
            <w:tcBorders/>
            <w:shd w:fill="CCEEFF" w:val="clear"/>
          </w:tcPr>
          <w:p>
            <w:pPr>
              <w:pStyle w:val="TableContents"/>
              <w:spacing w:before="0" w:after="0"/>
              <w:ind w:left="0" w:right="16" w:hanging="0"/>
              <w:jc w:val="both"/>
              <w:rPr>
                <w:rFonts w:ascii="helvetica" w:hAnsi="helvetica"/>
                <w:sz w:val="20"/>
              </w:rPr>
            </w:pPr>
            <w:r>
              <w:rPr>
                <w:rFonts w:ascii="helvetica" w:hAnsi="helvetica"/>
                <w:sz w:val="20"/>
              </w:rPr>
              <w:t>Mutual General Release Agreement, dated as of December 13, 2011, by and between Transdel Pharmaceuticals, Inc. and the other signatories thereto. (incorporated herein by reference to Exhibit 10.4 to the Current Report on Form 8-K of Transdel Pharmaceuticals, Inc. filed with the Securities and Exchange Commission on December 20, 2011) </w:t>
            </w:r>
          </w:p>
        </w:tc>
      </w:tr>
      <w:tr>
        <w:trPr/>
        <w:tc>
          <w:tcPr>
            <w:tcW w:w="816" w:type="dxa"/>
            <w:tcBorders/>
            <w:shd w:fill="FFFFFF" w:val="clear"/>
          </w:tcPr>
          <w:p>
            <w:pPr>
              <w:pStyle w:val="TableContents"/>
              <w:spacing w:before="0" w:after="283"/>
              <w:jc w:val="both"/>
              <w:rPr/>
            </w:pPr>
            <w:r>
              <w:rPr/>
              <w:t> </w:t>
            </w:r>
          </w:p>
        </w:tc>
        <w:tc>
          <w:tcPr>
            <w:tcW w:w="203" w:type="dxa"/>
            <w:tcBorders/>
            <w:shd w:fill="FFFFFF" w:val="clear"/>
          </w:tcPr>
          <w:p>
            <w:pPr>
              <w:pStyle w:val="TableContents"/>
              <w:spacing w:before="0" w:after="283"/>
              <w:jc w:val="both"/>
              <w:rPr/>
            </w:pPr>
            <w:r>
              <w:rPr/>
              <w:t> </w:t>
            </w:r>
          </w:p>
        </w:tc>
        <w:tc>
          <w:tcPr>
            <w:tcW w:w="9186" w:type="dxa"/>
            <w:tcBorders/>
            <w:shd w:fill="FFFFFF" w:val="clear"/>
          </w:tcPr>
          <w:p>
            <w:pPr>
              <w:pStyle w:val="TableContents"/>
              <w:spacing w:before="0" w:after="283"/>
              <w:jc w:val="both"/>
              <w:rPr/>
            </w:pPr>
            <w:r>
              <w:rPr/>
              <w:t> </w:t>
            </w:r>
          </w:p>
        </w:tc>
      </w:tr>
      <w:tr>
        <w:trPr/>
        <w:tc>
          <w:tcPr>
            <w:tcW w:w="816" w:type="dxa"/>
            <w:tcBorders/>
            <w:shd w:fill="CCEEFF" w:val="clear"/>
          </w:tcPr>
          <w:p>
            <w:pPr>
              <w:pStyle w:val="TableContents"/>
              <w:spacing w:before="0" w:after="0"/>
              <w:ind w:left="0" w:right="16" w:hanging="0"/>
              <w:jc w:val="both"/>
              <w:rPr>
                <w:rFonts w:ascii="helvetica" w:hAnsi="helvetica"/>
                <w:sz w:val="20"/>
              </w:rPr>
            </w:pPr>
            <w:r>
              <w:rPr>
                <w:rFonts w:ascii="helvetica" w:hAnsi="helvetica"/>
                <w:sz w:val="20"/>
              </w:rPr>
              <w:t>10.25</w:t>
            </w:r>
          </w:p>
        </w:tc>
        <w:tc>
          <w:tcPr>
            <w:tcW w:w="203" w:type="dxa"/>
            <w:tcBorders/>
            <w:shd w:fill="CCEEFF" w:val="clear"/>
          </w:tcPr>
          <w:p>
            <w:pPr>
              <w:pStyle w:val="TableContents"/>
              <w:spacing w:before="0" w:after="283"/>
              <w:jc w:val="both"/>
              <w:rPr/>
            </w:pPr>
            <w:r>
              <w:rPr/>
              <w:t> </w:t>
            </w:r>
          </w:p>
        </w:tc>
        <w:tc>
          <w:tcPr>
            <w:tcW w:w="9186" w:type="dxa"/>
            <w:tcBorders/>
            <w:shd w:fill="CCEEFF" w:val="clear"/>
          </w:tcPr>
          <w:p>
            <w:pPr>
              <w:pStyle w:val="TableContents"/>
              <w:spacing w:before="0" w:after="0"/>
              <w:ind w:left="0" w:right="16" w:hanging="0"/>
              <w:jc w:val="both"/>
              <w:rPr>
                <w:rFonts w:ascii="helvetica" w:hAnsi="helvetica"/>
                <w:sz w:val="20"/>
              </w:rPr>
            </w:pPr>
            <w:r>
              <w:rPr>
                <w:rFonts w:ascii="helvetica" w:hAnsi="helvetica"/>
                <w:sz w:val="20"/>
              </w:rPr>
              <w:t>Waiver and Settlement Agreement, effective as of January 25, 2012, by and between Transdel Pharmaceuticals, Inc. and DermaStar International, LLC (incorporated by reference to Exhibit 10.11 to the Company’s Quarterly Report on 10-Q filed with the Securities and Exchange Commission on May 10, 2012)</w:t>
            </w:r>
          </w:p>
        </w:tc>
      </w:tr>
      <w:tr>
        <w:trPr/>
        <w:tc>
          <w:tcPr>
            <w:tcW w:w="816" w:type="dxa"/>
            <w:tcBorders/>
            <w:shd w:fill="FFFFFF" w:val="clear"/>
          </w:tcPr>
          <w:p>
            <w:pPr>
              <w:pStyle w:val="TableContents"/>
              <w:spacing w:before="0" w:after="283"/>
              <w:jc w:val="both"/>
              <w:rPr/>
            </w:pPr>
            <w:r>
              <w:rPr/>
              <w:t> </w:t>
            </w:r>
          </w:p>
        </w:tc>
        <w:tc>
          <w:tcPr>
            <w:tcW w:w="203" w:type="dxa"/>
            <w:tcBorders/>
            <w:shd w:fill="FFFFFF" w:val="clear"/>
          </w:tcPr>
          <w:p>
            <w:pPr>
              <w:pStyle w:val="TableContents"/>
              <w:spacing w:before="0" w:after="283"/>
              <w:jc w:val="both"/>
              <w:rPr/>
            </w:pPr>
            <w:r>
              <w:rPr/>
              <w:t> </w:t>
            </w:r>
          </w:p>
        </w:tc>
        <w:tc>
          <w:tcPr>
            <w:tcW w:w="9186" w:type="dxa"/>
            <w:tcBorders/>
            <w:shd w:fill="FFFFFF" w:val="clear"/>
          </w:tcPr>
          <w:p>
            <w:pPr>
              <w:pStyle w:val="TableContents"/>
              <w:spacing w:before="0" w:after="283"/>
              <w:jc w:val="both"/>
              <w:rPr/>
            </w:pPr>
            <w:r>
              <w:rPr/>
              <w:t> </w:t>
            </w:r>
          </w:p>
        </w:tc>
      </w:tr>
      <w:tr>
        <w:trPr/>
        <w:tc>
          <w:tcPr>
            <w:tcW w:w="816" w:type="dxa"/>
            <w:tcBorders/>
            <w:shd w:fill="CCEEFF" w:val="clear"/>
          </w:tcPr>
          <w:p>
            <w:pPr>
              <w:pStyle w:val="TableContents"/>
              <w:spacing w:before="0" w:after="0"/>
              <w:ind w:left="0" w:right="16" w:hanging="0"/>
              <w:jc w:val="both"/>
              <w:rPr>
                <w:rFonts w:ascii="helvetica" w:hAnsi="helvetica"/>
                <w:sz w:val="20"/>
              </w:rPr>
            </w:pPr>
            <w:r>
              <w:rPr>
                <w:rFonts w:ascii="helvetica" w:hAnsi="helvetica"/>
                <w:sz w:val="20"/>
              </w:rPr>
              <w:t>10.26</w:t>
            </w:r>
          </w:p>
        </w:tc>
        <w:tc>
          <w:tcPr>
            <w:tcW w:w="203" w:type="dxa"/>
            <w:tcBorders/>
            <w:shd w:fill="CCEEFF" w:val="clear"/>
          </w:tcPr>
          <w:p>
            <w:pPr>
              <w:pStyle w:val="TableContents"/>
              <w:spacing w:before="0" w:after="283"/>
              <w:jc w:val="both"/>
              <w:rPr/>
            </w:pPr>
            <w:r>
              <w:rPr/>
              <w:t> </w:t>
            </w:r>
          </w:p>
        </w:tc>
        <w:tc>
          <w:tcPr>
            <w:tcW w:w="9186" w:type="dxa"/>
            <w:tcBorders/>
            <w:shd w:fill="CCEEFF" w:val="clear"/>
          </w:tcPr>
          <w:p>
            <w:pPr>
              <w:pStyle w:val="TableContents"/>
              <w:spacing w:before="0" w:after="0"/>
              <w:ind w:left="0" w:right="16" w:hanging="0"/>
              <w:jc w:val="both"/>
              <w:rPr>
                <w:rFonts w:ascii="helvetica" w:hAnsi="helvetica"/>
                <w:sz w:val="20"/>
              </w:rPr>
            </w:pPr>
            <w:r>
              <w:rPr>
                <w:rFonts w:ascii="helvetica" w:hAnsi="helvetica"/>
                <w:sz w:val="20"/>
              </w:rPr>
              <w:t>Waiver and Settlement Agreement, effective as of January 25, 2012, by and between Transdel Pharmaceuticals, Inc. and Alexej Ladonnikov (incorporated by reference to Exhibit 10.1 to the Company’s Quarterly Report on 10-Q filed with the Securities and Exchange Commission on May 10, 2012)</w:t>
            </w:r>
          </w:p>
        </w:tc>
      </w:tr>
      <w:tr>
        <w:trPr/>
        <w:tc>
          <w:tcPr>
            <w:tcW w:w="816" w:type="dxa"/>
            <w:tcBorders/>
            <w:shd w:fill="FFFFFF" w:val="clear"/>
          </w:tcPr>
          <w:p>
            <w:pPr>
              <w:pStyle w:val="TableContents"/>
              <w:spacing w:before="0" w:after="283"/>
              <w:jc w:val="both"/>
              <w:rPr/>
            </w:pPr>
            <w:r>
              <w:rPr/>
              <w:t> </w:t>
            </w:r>
          </w:p>
        </w:tc>
        <w:tc>
          <w:tcPr>
            <w:tcW w:w="203" w:type="dxa"/>
            <w:tcBorders/>
            <w:shd w:fill="FFFFFF" w:val="clear"/>
          </w:tcPr>
          <w:p>
            <w:pPr>
              <w:pStyle w:val="TableContents"/>
              <w:spacing w:before="0" w:after="283"/>
              <w:jc w:val="both"/>
              <w:rPr/>
            </w:pPr>
            <w:r>
              <w:rPr/>
              <w:t> </w:t>
            </w:r>
          </w:p>
        </w:tc>
        <w:tc>
          <w:tcPr>
            <w:tcW w:w="9186" w:type="dxa"/>
            <w:tcBorders/>
            <w:shd w:fill="FFFFFF" w:val="clear"/>
          </w:tcPr>
          <w:p>
            <w:pPr>
              <w:pStyle w:val="TableContents"/>
              <w:spacing w:before="0" w:after="283"/>
              <w:jc w:val="both"/>
              <w:rPr/>
            </w:pPr>
            <w:r>
              <w:rPr/>
              <w:t> </w:t>
            </w:r>
          </w:p>
        </w:tc>
      </w:tr>
      <w:tr>
        <w:trPr/>
        <w:tc>
          <w:tcPr>
            <w:tcW w:w="816" w:type="dxa"/>
            <w:tcBorders/>
            <w:shd w:fill="CCEEFF" w:val="clear"/>
          </w:tcPr>
          <w:p>
            <w:pPr>
              <w:pStyle w:val="TableContents"/>
              <w:spacing w:before="0" w:after="0"/>
              <w:ind w:left="0" w:right="16" w:hanging="0"/>
              <w:jc w:val="both"/>
              <w:rPr>
                <w:rFonts w:ascii="helvetica" w:hAnsi="helvetica"/>
                <w:sz w:val="20"/>
              </w:rPr>
            </w:pPr>
            <w:r>
              <w:rPr>
                <w:rFonts w:ascii="helvetica" w:hAnsi="helvetica"/>
                <w:sz w:val="20"/>
              </w:rPr>
              <w:t>10.27#</w:t>
            </w:r>
          </w:p>
        </w:tc>
        <w:tc>
          <w:tcPr>
            <w:tcW w:w="203" w:type="dxa"/>
            <w:tcBorders/>
            <w:shd w:fill="CCEEFF" w:val="clear"/>
          </w:tcPr>
          <w:p>
            <w:pPr>
              <w:pStyle w:val="TableContents"/>
              <w:spacing w:before="0" w:after="283"/>
              <w:jc w:val="both"/>
              <w:rPr/>
            </w:pPr>
            <w:r>
              <w:rPr/>
              <w:t> </w:t>
            </w:r>
          </w:p>
        </w:tc>
        <w:tc>
          <w:tcPr>
            <w:tcW w:w="9186" w:type="dxa"/>
            <w:tcBorders/>
            <w:shd w:fill="CCEEFF" w:val="clear"/>
          </w:tcPr>
          <w:p>
            <w:pPr>
              <w:pStyle w:val="TableContents"/>
              <w:spacing w:before="0" w:after="0"/>
              <w:ind w:left="0" w:right="16" w:hanging="0"/>
              <w:jc w:val="both"/>
              <w:rPr>
                <w:rFonts w:ascii="helvetica" w:hAnsi="helvetica"/>
                <w:sz w:val="20"/>
              </w:rPr>
            </w:pPr>
            <w:r>
              <w:rPr>
                <w:rFonts w:ascii="helvetica" w:hAnsi="helvetica"/>
                <w:sz w:val="20"/>
              </w:rPr>
              <w:t>Employment Agreement, effective as of January as of 1, 2012, by and between Transdel Pharmaceuticals, Inc. and Balbir Brar, D.V.M., Ph.D. (incorporated by reference to Exhibit 10.3 to the Company’s Quarterly Report on 10-Q filed with the Securities and Exchange Commission on May 10, 2012)</w:t>
            </w:r>
          </w:p>
        </w:tc>
      </w:tr>
      <w:tr>
        <w:trPr/>
        <w:tc>
          <w:tcPr>
            <w:tcW w:w="816" w:type="dxa"/>
            <w:tcBorders/>
            <w:shd w:fill="FFFFFF" w:val="clear"/>
          </w:tcPr>
          <w:p>
            <w:pPr>
              <w:pStyle w:val="TableContents"/>
              <w:spacing w:before="0" w:after="283"/>
              <w:jc w:val="both"/>
              <w:rPr/>
            </w:pPr>
            <w:r>
              <w:rPr/>
              <w:t> </w:t>
            </w:r>
          </w:p>
        </w:tc>
        <w:tc>
          <w:tcPr>
            <w:tcW w:w="203" w:type="dxa"/>
            <w:tcBorders/>
            <w:shd w:fill="FFFFFF" w:val="clear"/>
          </w:tcPr>
          <w:p>
            <w:pPr>
              <w:pStyle w:val="TableContents"/>
              <w:spacing w:before="0" w:after="283"/>
              <w:jc w:val="both"/>
              <w:rPr/>
            </w:pPr>
            <w:r>
              <w:rPr/>
              <w:t> </w:t>
            </w:r>
          </w:p>
        </w:tc>
        <w:tc>
          <w:tcPr>
            <w:tcW w:w="9186" w:type="dxa"/>
            <w:tcBorders/>
            <w:shd w:fill="FFFFFF" w:val="clear"/>
          </w:tcPr>
          <w:p>
            <w:pPr>
              <w:pStyle w:val="TableContents"/>
              <w:spacing w:before="0" w:after="283"/>
              <w:jc w:val="both"/>
              <w:rPr/>
            </w:pPr>
            <w:r>
              <w:rPr/>
              <w:t> </w:t>
            </w:r>
          </w:p>
        </w:tc>
      </w:tr>
      <w:tr>
        <w:trPr/>
        <w:tc>
          <w:tcPr>
            <w:tcW w:w="816" w:type="dxa"/>
            <w:tcBorders/>
            <w:shd w:fill="CCEEFF" w:val="clear"/>
          </w:tcPr>
          <w:p>
            <w:pPr>
              <w:pStyle w:val="TableContents"/>
              <w:spacing w:before="0" w:after="0"/>
              <w:ind w:left="0" w:right="16" w:hanging="0"/>
              <w:jc w:val="both"/>
              <w:rPr>
                <w:rFonts w:ascii="helvetica" w:hAnsi="helvetica"/>
                <w:sz w:val="20"/>
              </w:rPr>
            </w:pPr>
            <w:r>
              <w:rPr>
                <w:rFonts w:ascii="helvetica" w:hAnsi="helvetica"/>
                <w:sz w:val="20"/>
              </w:rPr>
              <w:t>10.28#</w:t>
            </w:r>
          </w:p>
        </w:tc>
        <w:tc>
          <w:tcPr>
            <w:tcW w:w="203" w:type="dxa"/>
            <w:tcBorders/>
            <w:shd w:fill="CCEEFF" w:val="clear"/>
          </w:tcPr>
          <w:p>
            <w:pPr>
              <w:pStyle w:val="TableContents"/>
              <w:spacing w:before="0" w:after="283"/>
              <w:jc w:val="both"/>
              <w:rPr/>
            </w:pPr>
            <w:r>
              <w:rPr/>
              <w:t> </w:t>
            </w:r>
          </w:p>
        </w:tc>
        <w:tc>
          <w:tcPr>
            <w:tcW w:w="9186" w:type="dxa"/>
            <w:tcBorders/>
            <w:shd w:fill="CCEEFF" w:val="clear"/>
          </w:tcPr>
          <w:p>
            <w:pPr>
              <w:pStyle w:val="TableContents"/>
              <w:spacing w:before="0" w:after="0"/>
              <w:ind w:left="0" w:right="16" w:hanging="0"/>
              <w:jc w:val="both"/>
              <w:rPr>
                <w:rFonts w:ascii="helvetica" w:hAnsi="helvetica"/>
                <w:sz w:val="20"/>
              </w:rPr>
            </w:pPr>
            <w:r>
              <w:rPr>
                <w:rFonts w:ascii="helvetica" w:hAnsi="helvetica"/>
                <w:sz w:val="20"/>
              </w:rPr>
              <w:t>Employment Agreement, effective as of February 1, 2012, by and between Transdel Pharmaceuticals, Inc. and Andrew Boll (incorporated by reference to Exhibit 10.4 to the Company’s Quarterly Report on 10-Q filed with the Securities and Exchange Commission on May 10, 2012)</w:t>
            </w:r>
          </w:p>
        </w:tc>
      </w:tr>
    </w:tbl>
    <w:p>
      <w:pPr>
        <w:pStyle w:val="TextBody"/>
        <w:spacing w:before="0" w:after="0"/>
        <w:rPr/>
      </w:pPr>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r>
      <w:bookmarkStart w:id="1436" w:name="PGBRK126"/>
      <w:bookmarkStart w:id="1437" w:name="PGBRK126"/>
      <w:bookmarkEnd w:id="143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438" w:name="FTR126"/>
      <w:bookmarkStart w:id="1439" w:name="FTR126"/>
      <w:bookmarkEnd w:id="143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1440" w:name="GLFTR125"/>
      <w:bookmarkEnd w:id="1440"/>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helvetica" w:hAnsi="helvetica"/>
          <w:sz w:val="20"/>
        </w:rPr>
      </w:pPr>
      <w:bookmarkStart w:id="1441" w:name="PN125"/>
      <w:bookmarkEnd w:id="1441"/>
      <w:r>
        <w:rPr>
          <w:rFonts w:ascii="helvetica" w:hAnsi="helvetica"/>
          <w:sz w:val="20"/>
        </w:rPr>
        <w:t>II-11</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442" w:name="HDR125"/>
      <w:bookmarkStart w:id="1443" w:name="HDR125"/>
      <w:bookmarkEnd w:id="144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1444" w:name="GLHDR125"/>
      <w:bookmarkEnd w:id="1444"/>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816"/>
        <w:gridCol w:w="203"/>
        <w:gridCol w:w="9186"/>
      </w:tblGrid>
      <w:tr>
        <w:trPr/>
        <w:tc>
          <w:tcPr>
            <w:tcW w:w="816" w:type="dxa"/>
            <w:tcBorders/>
            <w:shd w:fill="CCEEFF" w:val="clear"/>
          </w:tcPr>
          <w:p>
            <w:pPr>
              <w:pStyle w:val="TableContents"/>
              <w:spacing w:before="0" w:after="0"/>
              <w:ind w:left="0" w:right="16" w:hanging="0"/>
              <w:jc w:val="both"/>
              <w:rPr>
                <w:rFonts w:ascii="helvetica" w:hAnsi="helvetica"/>
                <w:sz w:val="20"/>
              </w:rPr>
            </w:pPr>
            <w:r>
              <w:rPr>
                <w:rFonts w:ascii="helvetica" w:hAnsi="helvetica"/>
                <w:sz w:val="20"/>
              </w:rPr>
              <w:t>10.29#</w:t>
            </w:r>
          </w:p>
        </w:tc>
        <w:tc>
          <w:tcPr>
            <w:tcW w:w="203" w:type="dxa"/>
            <w:tcBorders/>
            <w:shd w:fill="CCEEFF" w:val="clear"/>
          </w:tcPr>
          <w:p>
            <w:pPr>
              <w:pStyle w:val="TableContents"/>
              <w:spacing w:before="0" w:after="283"/>
              <w:jc w:val="both"/>
              <w:rPr/>
            </w:pPr>
            <w:r>
              <w:rPr/>
              <w:t> </w:t>
            </w:r>
          </w:p>
        </w:tc>
        <w:tc>
          <w:tcPr>
            <w:tcW w:w="9186" w:type="dxa"/>
            <w:tcBorders/>
            <w:shd w:fill="CCEEFF" w:val="clear"/>
          </w:tcPr>
          <w:p>
            <w:pPr>
              <w:pStyle w:val="TableContents"/>
              <w:spacing w:before="0" w:after="0"/>
              <w:ind w:left="0" w:right="16" w:hanging="0"/>
              <w:jc w:val="both"/>
              <w:rPr>
                <w:rFonts w:ascii="helvetica" w:hAnsi="helvetica"/>
                <w:sz w:val="20"/>
              </w:rPr>
            </w:pPr>
            <w:r>
              <w:rPr>
                <w:rFonts w:ascii="helvetica" w:hAnsi="helvetica"/>
                <w:sz w:val="20"/>
              </w:rPr>
              <w:t>Employment Agreement, effective as of February 15, 2012, by and between Transdel Pharmaceuticals, Inc. and Joachim Schupp, M.D. (incorporated by reference to Exhibit 10.5 to the Company’s Quarterly Report on 10-Q filed with the Securities and Exchange Commission on May 10, 2012)</w:t>
            </w:r>
          </w:p>
        </w:tc>
      </w:tr>
      <w:tr>
        <w:trPr/>
        <w:tc>
          <w:tcPr>
            <w:tcW w:w="816" w:type="dxa"/>
            <w:tcBorders/>
            <w:shd w:fill="FFFFFF" w:val="clear"/>
          </w:tcPr>
          <w:p>
            <w:pPr>
              <w:pStyle w:val="TableContents"/>
              <w:spacing w:before="0" w:after="283"/>
              <w:jc w:val="both"/>
              <w:rPr/>
            </w:pPr>
            <w:r>
              <w:rPr/>
              <w:t> </w:t>
            </w:r>
          </w:p>
        </w:tc>
        <w:tc>
          <w:tcPr>
            <w:tcW w:w="203" w:type="dxa"/>
            <w:tcBorders/>
            <w:shd w:fill="FFFFFF" w:val="clear"/>
          </w:tcPr>
          <w:p>
            <w:pPr>
              <w:pStyle w:val="TableContents"/>
              <w:spacing w:before="0" w:after="283"/>
              <w:jc w:val="both"/>
              <w:rPr/>
            </w:pPr>
            <w:r>
              <w:rPr/>
              <w:t> </w:t>
            </w:r>
          </w:p>
        </w:tc>
        <w:tc>
          <w:tcPr>
            <w:tcW w:w="9186" w:type="dxa"/>
            <w:tcBorders/>
            <w:shd w:fill="FFFFFF" w:val="clear"/>
          </w:tcPr>
          <w:p>
            <w:pPr>
              <w:pStyle w:val="TableContents"/>
              <w:spacing w:before="0" w:after="283"/>
              <w:jc w:val="both"/>
              <w:rPr/>
            </w:pPr>
            <w:r>
              <w:rPr/>
              <w:t> </w:t>
            </w:r>
          </w:p>
        </w:tc>
      </w:tr>
      <w:tr>
        <w:trPr/>
        <w:tc>
          <w:tcPr>
            <w:tcW w:w="816" w:type="dxa"/>
            <w:tcBorders/>
            <w:shd w:fill="CCEEFF" w:val="clear"/>
          </w:tcPr>
          <w:p>
            <w:pPr>
              <w:pStyle w:val="TableContents"/>
              <w:spacing w:before="0" w:after="0"/>
              <w:ind w:left="0" w:right="16" w:hanging="0"/>
              <w:jc w:val="both"/>
              <w:rPr>
                <w:rFonts w:ascii="helvetica" w:hAnsi="helvetica"/>
                <w:sz w:val="20"/>
              </w:rPr>
            </w:pPr>
            <w:r>
              <w:rPr>
                <w:rFonts w:ascii="helvetica" w:hAnsi="helvetica"/>
                <w:sz w:val="20"/>
              </w:rPr>
              <w:t>10.30#**</w:t>
            </w:r>
          </w:p>
        </w:tc>
        <w:tc>
          <w:tcPr>
            <w:tcW w:w="203" w:type="dxa"/>
            <w:tcBorders/>
            <w:shd w:fill="CCEEFF" w:val="clear"/>
          </w:tcPr>
          <w:p>
            <w:pPr>
              <w:pStyle w:val="TableContents"/>
              <w:spacing w:before="0" w:after="283"/>
              <w:jc w:val="both"/>
              <w:rPr/>
            </w:pPr>
            <w:r>
              <w:rPr/>
              <w:t> </w:t>
            </w:r>
          </w:p>
        </w:tc>
        <w:tc>
          <w:tcPr>
            <w:tcW w:w="9186" w:type="dxa"/>
            <w:tcBorders/>
            <w:shd w:fill="CCEEFF" w:val="clear"/>
          </w:tcPr>
          <w:p>
            <w:pPr>
              <w:pStyle w:val="TableContents"/>
              <w:spacing w:before="0" w:after="0"/>
              <w:ind w:left="0" w:right="16" w:hanging="0"/>
              <w:jc w:val="both"/>
              <w:rPr>
                <w:rFonts w:ascii="helvetica" w:hAnsi="helvetica"/>
                <w:sz w:val="20"/>
              </w:rPr>
            </w:pPr>
            <w:r>
              <w:rPr>
                <w:rFonts w:ascii="helvetica" w:hAnsi="helvetica"/>
                <w:sz w:val="20"/>
              </w:rPr>
              <w:t xml:space="preserve">Amended and Restated Employment Agreement, dated July 24, 2012, by and between Imprimis Pharmaceuticals, Inc. and Mark L. Baum, Esq. </w:t>
            </w:r>
          </w:p>
        </w:tc>
      </w:tr>
      <w:tr>
        <w:trPr/>
        <w:tc>
          <w:tcPr>
            <w:tcW w:w="816" w:type="dxa"/>
            <w:tcBorders/>
            <w:shd w:fill="FFFFFF" w:val="clear"/>
          </w:tcPr>
          <w:p>
            <w:pPr>
              <w:pStyle w:val="TableContents"/>
              <w:spacing w:before="0" w:after="283"/>
              <w:jc w:val="both"/>
              <w:rPr/>
            </w:pPr>
            <w:r>
              <w:rPr/>
              <w:t> </w:t>
            </w:r>
          </w:p>
        </w:tc>
        <w:tc>
          <w:tcPr>
            <w:tcW w:w="203" w:type="dxa"/>
            <w:tcBorders/>
            <w:shd w:fill="FFFFFF" w:val="clear"/>
          </w:tcPr>
          <w:p>
            <w:pPr>
              <w:pStyle w:val="TableContents"/>
              <w:spacing w:before="0" w:after="283"/>
              <w:jc w:val="both"/>
              <w:rPr/>
            </w:pPr>
            <w:r>
              <w:rPr/>
              <w:t> </w:t>
            </w:r>
          </w:p>
        </w:tc>
        <w:tc>
          <w:tcPr>
            <w:tcW w:w="9186" w:type="dxa"/>
            <w:tcBorders/>
            <w:shd w:fill="FFFFFF" w:val="clear"/>
          </w:tcPr>
          <w:p>
            <w:pPr>
              <w:pStyle w:val="TableContents"/>
              <w:spacing w:before="0" w:after="283"/>
              <w:jc w:val="both"/>
              <w:rPr/>
            </w:pPr>
            <w:r>
              <w:rPr/>
              <w:t> </w:t>
            </w:r>
          </w:p>
        </w:tc>
      </w:tr>
      <w:tr>
        <w:trPr/>
        <w:tc>
          <w:tcPr>
            <w:tcW w:w="816" w:type="dxa"/>
            <w:tcBorders/>
            <w:shd w:fill="CCEEFF" w:val="clear"/>
          </w:tcPr>
          <w:p>
            <w:pPr>
              <w:pStyle w:val="TableContents"/>
              <w:spacing w:before="0" w:after="0"/>
              <w:ind w:left="0" w:right="16" w:hanging="0"/>
              <w:jc w:val="both"/>
              <w:rPr>
                <w:rFonts w:ascii="helvetica" w:hAnsi="helvetica"/>
                <w:sz w:val="20"/>
              </w:rPr>
            </w:pPr>
            <w:r>
              <w:rPr>
                <w:rFonts w:ascii="helvetica" w:hAnsi="helvetica"/>
                <w:sz w:val="20"/>
              </w:rPr>
              <w:t>10.31#</w:t>
            </w:r>
          </w:p>
        </w:tc>
        <w:tc>
          <w:tcPr>
            <w:tcW w:w="203" w:type="dxa"/>
            <w:tcBorders/>
            <w:shd w:fill="CCEEFF" w:val="clear"/>
          </w:tcPr>
          <w:p>
            <w:pPr>
              <w:pStyle w:val="TableContents"/>
              <w:spacing w:before="0" w:after="283"/>
              <w:jc w:val="both"/>
              <w:rPr/>
            </w:pPr>
            <w:r>
              <w:rPr/>
              <w:t> </w:t>
            </w:r>
          </w:p>
        </w:tc>
        <w:tc>
          <w:tcPr>
            <w:tcW w:w="9186" w:type="dxa"/>
            <w:tcBorders/>
            <w:shd w:fill="CCEEFF" w:val="clear"/>
          </w:tcPr>
          <w:p>
            <w:pPr>
              <w:pStyle w:val="TableContents"/>
              <w:spacing w:before="0" w:after="0"/>
              <w:ind w:left="0" w:right="16" w:hanging="0"/>
              <w:jc w:val="both"/>
              <w:rPr>
                <w:rFonts w:ascii="helvetica" w:hAnsi="helvetica"/>
                <w:sz w:val="20"/>
              </w:rPr>
            </w:pPr>
            <w:r>
              <w:rPr>
                <w:rFonts w:ascii="helvetica" w:hAnsi="helvetica"/>
                <w:sz w:val="20"/>
              </w:rPr>
              <w:t>Advisory Agreement, effective as of April 1, 2012, by and between Imprimis Pharmaceuticals, Inc. and Dr. Robert Kammer (incorporated by reference to Exhibit 10.4 to the Company’s Current Report on 8-K filed with the Securities and Exchange Commission on April 27, 2012)</w:t>
            </w:r>
          </w:p>
        </w:tc>
      </w:tr>
      <w:tr>
        <w:trPr/>
        <w:tc>
          <w:tcPr>
            <w:tcW w:w="816" w:type="dxa"/>
            <w:tcBorders/>
            <w:shd w:fill="FFFFFF" w:val="clear"/>
          </w:tcPr>
          <w:p>
            <w:pPr>
              <w:pStyle w:val="TableContents"/>
              <w:spacing w:before="0" w:after="283"/>
              <w:jc w:val="both"/>
              <w:rPr/>
            </w:pPr>
            <w:r>
              <w:rPr/>
              <w:t> </w:t>
            </w:r>
          </w:p>
        </w:tc>
        <w:tc>
          <w:tcPr>
            <w:tcW w:w="203" w:type="dxa"/>
            <w:tcBorders/>
            <w:shd w:fill="FFFFFF" w:val="clear"/>
          </w:tcPr>
          <w:p>
            <w:pPr>
              <w:pStyle w:val="TableContents"/>
              <w:spacing w:before="0" w:after="283"/>
              <w:jc w:val="both"/>
              <w:rPr/>
            </w:pPr>
            <w:r>
              <w:rPr/>
              <w:t> </w:t>
            </w:r>
          </w:p>
        </w:tc>
        <w:tc>
          <w:tcPr>
            <w:tcW w:w="9186" w:type="dxa"/>
            <w:tcBorders/>
            <w:shd w:fill="FFFFFF" w:val="clear"/>
          </w:tcPr>
          <w:p>
            <w:pPr>
              <w:pStyle w:val="TableContents"/>
              <w:spacing w:before="0" w:after="283"/>
              <w:jc w:val="both"/>
              <w:rPr/>
            </w:pPr>
            <w:r>
              <w:rPr/>
              <w:t> </w:t>
            </w:r>
          </w:p>
        </w:tc>
      </w:tr>
      <w:tr>
        <w:trPr/>
        <w:tc>
          <w:tcPr>
            <w:tcW w:w="816" w:type="dxa"/>
            <w:tcBorders/>
            <w:shd w:fill="CCEEFF" w:val="clear"/>
          </w:tcPr>
          <w:p>
            <w:pPr>
              <w:pStyle w:val="TableContents"/>
              <w:spacing w:before="0" w:after="0"/>
              <w:ind w:left="0" w:right="16" w:hanging="0"/>
              <w:jc w:val="both"/>
              <w:rPr>
                <w:rFonts w:ascii="helvetica" w:hAnsi="helvetica"/>
                <w:sz w:val="20"/>
              </w:rPr>
            </w:pPr>
            <w:r>
              <w:rPr>
                <w:rFonts w:ascii="helvetica" w:hAnsi="helvetica"/>
                <w:sz w:val="20"/>
              </w:rPr>
              <w:t>10.32#**</w:t>
            </w:r>
          </w:p>
        </w:tc>
        <w:tc>
          <w:tcPr>
            <w:tcW w:w="203" w:type="dxa"/>
            <w:tcBorders/>
            <w:shd w:fill="CCEEFF" w:val="clear"/>
          </w:tcPr>
          <w:p>
            <w:pPr>
              <w:pStyle w:val="TableContents"/>
              <w:spacing w:before="0" w:after="283"/>
              <w:jc w:val="both"/>
              <w:rPr/>
            </w:pPr>
            <w:r>
              <w:rPr/>
              <w:t> </w:t>
            </w:r>
          </w:p>
        </w:tc>
        <w:tc>
          <w:tcPr>
            <w:tcW w:w="9186" w:type="dxa"/>
            <w:tcBorders/>
            <w:shd w:fill="CCEEFF" w:val="clear"/>
          </w:tcPr>
          <w:p>
            <w:pPr>
              <w:pStyle w:val="TableContents"/>
              <w:spacing w:before="0" w:after="0"/>
              <w:ind w:left="0" w:right="16" w:hanging="0"/>
              <w:jc w:val="both"/>
              <w:rPr>
                <w:rFonts w:ascii="helvetica" w:hAnsi="helvetica"/>
                <w:sz w:val="20"/>
              </w:rPr>
            </w:pPr>
            <w:r>
              <w:rPr>
                <w:rFonts w:ascii="helvetica" w:hAnsi="helvetica"/>
                <w:sz w:val="20"/>
              </w:rPr>
              <w:t>Amendment to Advisory Agreement, dated July 24, 2012, by and between Imprimis Pharmaceuticals, Inc. and Dr. Robert Kammer (incorporated by reference to Exhibit 10.4 to the Company’s Current Report on 8-K filed with the Securities and Exchange Commission on July 24, 2012)</w:t>
            </w:r>
          </w:p>
        </w:tc>
      </w:tr>
      <w:tr>
        <w:trPr/>
        <w:tc>
          <w:tcPr>
            <w:tcW w:w="816" w:type="dxa"/>
            <w:tcBorders/>
            <w:shd w:fill="FFFFFF" w:val="clear"/>
          </w:tcPr>
          <w:p>
            <w:pPr>
              <w:pStyle w:val="TableContents"/>
              <w:spacing w:before="0" w:after="283"/>
              <w:jc w:val="both"/>
              <w:rPr/>
            </w:pPr>
            <w:r>
              <w:rPr/>
              <w:t> </w:t>
            </w:r>
          </w:p>
        </w:tc>
        <w:tc>
          <w:tcPr>
            <w:tcW w:w="203" w:type="dxa"/>
            <w:tcBorders/>
            <w:shd w:fill="FFFFFF" w:val="clear"/>
          </w:tcPr>
          <w:p>
            <w:pPr>
              <w:pStyle w:val="TableContents"/>
              <w:spacing w:before="0" w:after="283"/>
              <w:jc w:val="both"/>
              <w:rPr/>
            </w:pPr>
            <w:r>
              <w:rPr/>
              <w:t> </w:t>
            </w:r>
          </w:p>
        </w:tc>
        <w:tc>
          <w:tcPr>
            <w:tcW w:w="9186" w:type="dxa"/>
            <w:tcBorders/>
            <w:shd w:fill="FFFFFF" w:val="clear"/>
          </w:tcPr>
          <w:p>
            <w:pPr>
              <w:pStyle w:val="TableContents"/>
              <w:spacing w:before="0" w:after="283"/>
              <w:jc w:val="both"/>
              <w:rPr/>
            </w:pPr>
            <w:r>
              <w:rPr/>
              <w:t> </w:t>
            </w:r>
          </w:p>
        </w:tc>
      </w:tr>
      <w:tr>
        <w:trPr/>
        <w:tc>
          <w:tcPr>
            <w:tcW w:w="816" w:type="dxa"/>
            <w:tcBorders/>
            <w:shd w:fill="CCEEFF" w:val="clear"/>
          </w:tcPr>
          <w:p>
            <w:pPr>
              <w:pStyle w:val="TableContents"/>
              <w:spacing w:before="0" w:after="0"/>
              <w:ind w:left="0" w:right="16" w:hanging="0"/>
              <w:jc w:val="both"/>
              <w:rPr>
                <w:rFonts w:ascii="helvetica" w:hAnsi="helvetica"/>
                <w:sz w:val="20"/>
              </w:rPr>
            </w:pPr>
            <w:r>
              <w:rPr>
                <w:rFonts w:ascii="helvetica" w:hAnsi="helvetica"/>
                <w:sz w:val="20"/>
              </w:rPr>
              <w:t>10.33#</w:t>
            </w:r>
          </w:p>
        </w:tc>
        <w:tc>
          <w:tcPr>
            <w:tcW w:w="203" w:type="dxa"/>
            <w:tcBorders/>
            <w:shd w:fill="CCEEFF" w:val="clear"/>
          </w:tcPr>
          <w:p>
            <w:pPr>
              <w:pStyle w:val="TableContents"/>
              <w:spacing w:before="0" w:after="283"/>
              <w:jc w:val="both"/>
              <w:rPr/>
            </w:pPr>
            <w:r>
              <w:rPr/>
              <w:t> </w:t>
            </w:r>
          </w:p>
        </w:tc>
        <w:tc>
          <w:tcPr>
            <w:tcW w:w="9186" w:type="dxa"/>
            <w:tcBorders/>
            <w:shd w:fill="CCEEFF" w:val="clear"/>
          </w:tcPr>
          <w:p>
            <w:pPr>
              <w:pStyle w:val="TableContents"/>
              <w:spacing w:before="0" w:after="0"/>
              <w:ind w:left="0" w:right="16" w:hanging="0"/>
              <w:jc w:val="both"/>
              <w:rPr>
                <w:rFonts w:ascii="helvetica" w:hAnsi="helvetica"/>
                <w:sz w:val="20"/>
              </w:rPr>
            </w:pPr>
            <w:r>
              <w:rPr>
                <w:rFonts w:ascii="helvetica" w:hAnsi="helvetica"/>
                <w:sz w:val="20"/>
              </w:rPr>
              <w:t>Senior Advisory Agreement, effective as of January 17, 2012, by and between Transdel Pharmaceuticals, Inc. and Paul Finnegan, M.D. (incorporated by reference to Exhibit 10.2 to the Company’s Quarterly Report on 10-Q filed with the Securities and Exchange Commission on May 10, 2012)</w:t>
            </w:r>
          </w:p>
        </w:tc>
      </w:tr>
      <w:tr>
        <w:trPr/>
        <w:tc>
          <w:tcPr>
            <w:tcW w:w="816" w:type="dxa"/>
            <w:tcBorders/>
            <w:shd w:fill="FFFFFF" w:val="clear"/>
          </w:tcPr>
          <w:p>
            <w:pPr>
              <w:pStyle w:val="TableContents"/>
              <w:spacing w:before="0" w:after="283"/>
              <w:jc w:val="both"/>
              <w:rPr/>
            </w:pPr>
            <w:r>
              <w:rPr/>
              <w:t> </w:t>
            </w:r>
          </w:p>
        </w:tc>
        <w:tc>
          <w:tcPr>
            <w:tcW w:w="203" w:type="dxa"/>
            <w:tcBorders/>
            <w:shd w:fill="FFFFFF" w:val="clear"/>
          </w:tcPr>
          <w:p>
            <w:pPr>
              <w:pStyle w:val="TableContents"/>
              <w:spacing w:before="0" w:after="283"/>
              <w:jc w:val="both"/>
              <w:rPr/>
            </w:pPr>
            <w:r>
              <w:rPr/>
              <w:t> </w:t>
            </w:r>
          </w:p>
        </w:tc>
        <w:tc>
          <w:tcPr>
            <w:tcW w:w="9186" w:type="dxa"/>
            <w:tcBorders/>
            <w:shd w:fill="FFFFFF" w:val="clear"/>
          </w:tcPr>
          <w:p>
            <w:pPr>
              <w:pStyle w:val="TableContents"/>
              <w:spacing w:before="0" w:after="283"/>
              <w:jc w:val="both"/>
              <w:rPr/>
            </w:pPr>
            <w:r>
              <w:rPr/>
              <w:t> </w:t>
            </w:r>
          </w:p>
        </w:tc>
      </w:tr>
      <w:tr>
        <w:trPr/>
        <w:tc>
          <w:tcPr>
            <w:tcW w:w="816" w:type="dxa"/>
            <w:tcBorders/>
            <w:shd w:fill="CCEEFF" w:val="clear"/>
          </w:tcPr>
          <w:p>
            <w:pPr>
              <w:pStyle w:val="TableContents"/>
              <w:spacing w:before="0" w:after="0"/>
              <w:ind w:left="0" w:right="16" w:hanging="0"/>
              <w:jc w:val="both"/>
              <w:rPr>
                <w:rFonts w:ascii="helvetica" w:hAnsi="helvetica"/>
                <w:sz w:val="20"/>
              </w:rPr>
            </w:pPr>
            <w:r>
              <w:rPr>
                <w:rFonts w:ascii="helvetica" w:hAnsi="helvetica"/>
                <w:sz w:val="20"/>
              </w:rPr>
              <w:t>10.34#**</w:t>
            </w:r>
          </w:p>
        </w:tc>
        <w:tc>
          <w:tcPr>
            <w:tcW w:w="203" w:type="dxa"/>
            <w:tcBorders/>
            <w:shd w:fill="CCEEFF" w:val="clear"/>
          </w:tcPr>
          <w:p>
            <w:pPr>
              <w:pStyle w:val="TableContents"/>
              <w:spacing w:before="0" w:after="283"/>
              <w:jc w:val="both"/>
              <w:rPr/>
            </w:pPr>
            <w:r>
              <w:rPr/>
              <w:t> </w:t>
            </w:r>
          </w:p>
        </w:tc>
        <w:tc>
          <w:tcPr>
            <w:tcW w:w="9186" w:type="dxa"/>
            <w:tcBorders/>
            <w:shd w:fill="CCEEFF" w:val="clear"/>
          </w:tcPr>
          <w:p>
            <w:pPr>
              <w:pStyle w:val="TableContents"/>
              <w:spacing w:before="0" w:after="0"/>
              <w:ind w:left="0" w:right="16" w:hanging="0"/>
              <w:jc w:val="both"/>
              <w:rPr>
                <w:rFonts w:ascii="helvetica" w:hAnsi="helvetica"/>
                <w:sz w:val="20"/>
              </w:rPr>
            </w:pPr>
            <w:r>
              <w:rPr>
                <w:rFonts w:ascii="helvetica" w:hAnsi="helvetica"/>
                <w:sz w:val="20"/>
              </w:rPr>
              <w:t>Termination Agreement, effective as of May 9, 2012, by and between Imprimis Pharmaceuticals, Inc. and Paul Finnegan, M.D.</w:t>
            </w:r>
          </w:p>
        </w:tc>
      </w:tr>
      <w:tr>
        <w:trPr/>
        <w:tc>
          <w:tcPr>
            <w:tcW w:w="816" w:type="dxa"/>
            <w:tcBorders/>
            <w:shd w:fill="FFFFFF" w:val="clear"/>
          </w:tcPr>
          <w:p>
            <w:pPr>
              <w:pStyle w:val="TableContents"/>
              <w:spacing w:before="0" w:after="283"/>
              <w:jc w:val="both"/>
              <w:rPr/>
            </w:pPr>
            <w:r>
              <w:rPr/>
              <w:t> </w:t>
            </w:r>
          </w:p>
        </w:tc>
        <w:tc>
          <w:tcPr>
            <w:tcW w:w="203" w:type="dxa"/>
            <w:tcBorders/>
            <w:shd w:fill="FFFFFF" w:val="clear"/>
          </w:tcPr>
          <w:p>
            <w:pPr>
              <w:pStyle w:val="TableContents"/>
              <w:spacing w:before="0" w:after="283"/>
              <w:jc w:val="both"/>
              <w:rPr/>
            </w:pPr>
            <w:r>
              <w:rPr/>
              <w:t> </w:t>
            </w:r>
          </w:p>
        </w:tc>
        <w:tc>
          <w:tcPr>
            <w:tcW w:w="9186" w:type="dxa"/>
            <w:tcBorders/>
            <w:shd w:fill="FFFFFF" w:val="clear"/>
          </w:tcPr>
          <w:p>
            <w:pPr>
              <w:pStyle w:val="TableContents"/>
              <w:spacing w:before="0" w:after="283"/>
              <w:jc w:val="both"/>
              <w:rPr/>
            </w:pPr>
            <w:r>
              <w:rPr/>
              <w:t> </w:t>
            </w:r>
          </w:p>
        </w:tc>
      </w:tr>
      <w:tr>
        <w:trPr/>
        <w:tc>
          <w:tcPr>
            <w:tcW w:w="816" w:type="dxa"/>
            <w:tcBorders/>
            <w:shd w:fill="CCEEFF" w:val="clear"/>
          </w:tcPr>
          <w:p>
            <w:pPr>
              <w:pStyle w:val="TableContents"/>
              <w:spacing w:before="0" w:after="0"/>
              <w:ind w:left="0" w:right="16" w:hanging="0"/>
              <w:jc w:val="both"/>
              <w:rPr>
                <w:rFonts w:ascii="helvetica" w:hAnsi="helvetica"/>
                <w:sz w:val="20"/>
              </w:rPr>
            </w:pPr>
            <w:r>
              <w:rPr>
                <w:rFonts w:ascii="helvetica" w:hAnsi="helvetica"/>
                <w:sz w:val="20"/>
              </w:rPr>
              <w:t>10.35</w:t>
            </w:r>
          </w:p>
        </w:tc>
        <w:tc>
          <w:tcPr>
            <w:tcW w:w="203" w:type="dxa"/>
            <w:tcBorders/>
            <w:shd w:fill="CCEEFF" w:val="clear"/>
          </w:tcPr>
          <w:p>
            <w:pPr>
              <w:pStyle w:val="TableContents"/>
              <w:spacing w:before="0" w:after="283"/>
              <w:jc w:val="both"/>
              <w:rPr/>
            </w:pPr>
            <w:r>
              <w:rPr/>
              <w:t> </w:t>
            </w:r>
          </w:p>
        </w:tc>
        <w:tc>
          <w:tcPr>
            <w:tcW w:w="9186" w:type="dxa"/>
            <w:tcBorders/>
            <w:shd w:fill="CCEEFF" w:val="clear"/>
          </w:tcPr>
          <w:p>
            <w:pPr>
              <w:pStyle w:val="TableContents"/>
              <w:spacing w:before="0" w:after="0"/>
              <w:ind w:left="0" w:right="16" w:hanging="0"/>
              <w:jc w:val="both"/>
              <w:rPr>
                <w:rFonts w:ascii="helvetica" w:hAnsi="helvetica"/>
                <w:sz w:val="20"/>
              </w:rPr>
            </w:pPr>
            <w:r>
              <w:rPr>
                <w:rFonts w:ascii="helvetica" w:hAnsi="helvetica"/>
                <w:sz w:val="20"/>
              </w:rPr>
              <w:t>Promissory Note Conversion Agreement, dated as of April 20, 2012, by and between Imprimis Pharmaceuticals, Inc. and DermaStar International, LLC (incorporated herein by reference to the Current Report on Form 8-K of Imprimis Pharmaceuticals, Inc. filed with the Securities and Exchange Commission on April 27, 2012)</w:t>
            </w:r>
          </w:p>
        </w:tc>
      </w:tr>
      <w:tr>
        <w:trPr/>
        <w:tc>
          <w:tcPr>
            <w:tcW w:w="816" w:type="dxa"/>
            <w:tcBorders/>
            <w:shd w:fill="FFFFFF" w:val="clear"/>
          </w:tcPr>
          <w:p>
            <w:pPr>
              <w:pStyle w:val="TableContents"/>
              <w:spacing w:before="0" w:after="283"/>
              <w:jc w:val="both"/>
              <w:rPr/>
            </w:pPr>
            <w:r>
              <w:rPr/>
              <w:t> </w:t>
            </w:r>
          </w:p>
        </w:tc>
        <w:tc>
          <w:tcPr>
            <w:tcW w:w="203" w:type="dxa"/>
            <w:tcBorders/>
            <w:shd w:fill="FFFFFF" w:val="clear"/>
          </w:tcPr>
          <w:p>
            <w:pPr>
              <w:pStyle w:val="TableContents"/>
              <w:spacing w:before="0" w:after="283"/>
              <w:jc w:val="both"/>
              <w:rPr/>
            </w:pPr>
            <w:r>
              <w:rPr/>
              <w:t> </w:t>
            </w:r>
          </w:p>
        </w:tc>
        <w:tc>
          <w:tcPr>
            <w:tcW w:w="9186" w:type="dxa"/>
            <w:tcBorders/>
            <w:shd w:fill="FFFFFF" w:val="clear"/>
          </w:tcPr>
          <w:p>
            <w:pPr>
              <w:pStyle w:val="TableContents"/>
              <w:spacing w:before="0" w:after="283"/>
              <w:jc w:val="both"/>
              <w:rPr/>
            </w:pPr>
            <w:r>
              <w:rPr/>
              <w:t> </w:t>
            </w:r>
          </w:p>
        </w:tc>
      </w:tr>
      <w:tr>
        <w:trPr/>
        <w:tc>
          <w:tcPr>
            <w:tcW w:w="816" w:type="dxa"/>
            <w:tcBorders/>
            <w:shd w:fill="CCEEFF" w:val="clear"/>
          </w:tcPr>
          <w:p>
            <w:pPr>
              <w:pStyle w:val="TableContents"/>
              <w:spacing w:before="0" w:after="0"/>
              <w:ind w:left="0" w:right="16" w:hanging="0"/>
              <w:jc w:val="both"/>
              <w:rPr>
                <w:rFonts w:ascii="helvetica" w:hAnsi="helvetica"/>
                <w:sz w:val="20"/>
              </w:rPr>
            </w:pPr>
            <w:r>
              <w:rPr>
                <w:rFonts w:ascii="helvetica" w:hAnsi="helvetica"/>
                <w:sz w:val="20"/>
              </w:rPr>
              <w:t>10.36</w:t>
            </w:r>
          </w:p>
        </w:tc>
        <w:tc>
          <w:tcPr>
            <w:tcW w:w="203" w:type="dxa"/>
            <w:tcBorders/>
            <w:shd w:fill="CCEEFF" w:val="clear"/>
          </w:tcPr>
          <w:p>
            <w:pPr>
              <w:pStyle w:val="TableContents"/>
              <w:spacing w:before="0" w:after="283"/>
              <w:jc w:val="both"/>
              <w:rPr/>
            </w:pPr>
            <w:r>
              <w:rPr/>
              <w:t> </w:t>
            </w:r>
          </w:p>
        </w:tc>
        <w:tc>
          <w:tcPr>
            <w:tcW w:w="9186" w:type="dxa"/>
            <w:tcBorders/>
            <w:shd w:fill="CCEEFF" w:val="clear"/>
          </w:tcPr>
          <w:p>
            <w:pPr>
              <w:pStyle w:val="TableContents"/>
              <w:spacing w:before="0" w:after="0"/>
              <w:ind w:left="0" w:right="16" w:hanging="0"/>
              <w:jc w:val="both"/>
              <w:rPr>
                <w:rFonts w:ascii="helvetica" w:hAnsi="helvetica"/>
                <w:sz w:val="20"/>
              </w:rPr>
            </w:pPr>
            <w:r>
              <w:rPr>
                <w:rFonts w:ascii="helvetica" w:hAnsi="helvetica"/>
                <w:sz w:val="20"/>
              </w:rPr>
              <w:t>Securities Purchase Agreement, dated as of April 20, 2012, by and between Imprimis Pharmaceuticals, Inc. and the investors signatory thereto (incorporated by reference to Exhibit 10.1 to the Company’s Current Report on 8-K filed with the Securities and Exchange Commission on April 27, 2012)</w:t>
            </w:r>
          </w:p>
        </w:tc>
      </w:tr>
      <w:tr>
        <w:trPr/>
        <w:tc>
          <w:tcPr>
            <w:tcW w:w="816" w:type="dxa"/>
            <w:tcBorders/>
            <w:shd w:fill="FFFFFF" w:val="clear"/>
          </w:tcPr>
          <w:p>
            <w:pPr>
              <w:pStyle w:val="TableContents"/>
              <w:spacing w:before="0" w:after="283"/>
              <w:jc w:val="both"/>
              <w:rPr/>
            </w:pPr>
            <w:r>
              <w:rPr/>
              <w:t> </w:t>
            </w:r>
          </w:p>
        </w:tc>
        <w:tc>
          <w:tcPr>
            <w:tcW w:w="203" w:type="dxa"/>
            <w:tcBorders/>
            <w:shd w:fill="FFFFFF" w:val="clear"/>
          </w:tcPr>
          <w:p>
            <w:pPr>
              <w:pStyle w:val="TableContents"/>
              <w:spacing w:before="0" w:after="283"/>
              <w:jc w:val="both"/>
              <w:rPr/>
            </w:pPr>
            <w:r>
              <w:rPr/>
              <w:t> </w:t>
            </w:r>
          </w:p>
        </w:tc>
        <w:tc>
          <w:tcPr>
            <w:tcW w:w="9186" w:type="dxa"/>
            <w:tcBorders/>
            <w:shd w:fill="FFFFFF" w:val="clear"/>
          </w:tcPr>
          <w:p>
            <w:pPr>
              <w:pStyle w:val="TableContents"/>
              <w:spacing w:before="0" w:after="283"/>
              <w:jc w:val="both"/>
              <w:rPr/>
            </w:pPr>
            <w:r>
              <w:rPr/>
              <w:t> </w:t>
            </w:r>
          </w:p>
        </w:tc>
      </w:tr>
      <w:tr>
        <w:trPr/>
        <w:tc>
          <w:tcPr>
            <w:tcW w:w="816" w:type="dxa"/>
            <w:tcBorders/>
            <w:shd w:fill="CCEEFF" w:val="clear"/>
          </w:tcPr>
          <w:p>
            <w:pPr>
              <w:pStyle w:val="TableContents"/>
              <w:spacing w:before="0" w:after="0"/>
              <w:ind w:left="0" w:right="16" w:hanging="0"/>
              <w:jc w:val="both"/>
              <w:rPr>
                <w:rFonts w:ascii="helvetica" w:hAnsi="helvetica"/>
                <w:sz w:val="20"/>
              </w:rPr>
            </w:pPr>
            <w:r>
              <w:rPr>
                <w:rFonts w:ascii="helvetica" w:hAnsi="helvetica"/>
                <w:sz w:val="20"/>
              </w:rPr>
              <w:t>10.37</w:t>
            </w:r>
          </w:p>
        </w:tc>
        <w:tc>
          <w:tcPr>
            <w:tcW w:w="203" w:type="dxa"/>
            <w:tcBorders/>
            <w:shd w:fill="CCEEFF" w:val="clear"/>
          </w:tcPr>
          <w:p>
            <w:pPr>
              <w:pStyle w:val="TableContents"/>
              <w:spacing w:before="0" w:after="283"/>
              <w:jc w:val="both"/>
              <w:rPr/>
            </w:pPr>
            <w:r>
              <w:rPr/>
              <w:t> </w:t>
            </w:r>
          </w:p>
        </w:tc>
        <w:tc>
          <w:tcPr>
            <w:tcW w:w="9186" w:type="dxa"/>
            <w:tcBorders/>
            <w:shd w:fill="CCEEFF" w:val="clear"/>
          </w:tcPr>
          <w:p>
            <w:pPr>
              <w:pStyle w:val="TableContents"/>
              <w:spacing w:before="0" w:after="0"/>
              <w:ind w:left="0" w:right="0" w:hanging="0"/>
              <w:jc w:val="both"/>
              <w:rPr>
                <w:rFonts w:ascii="helvetica" w:hAnsi="helvetica"/>
                <w:sz w:val="20"/>
              </w:rPr>
            </w:pPr>
            <w:r>
              <w:rPr>
                <w:rFonts w:ascii="helvetica" w:hAnsi="helvetica"/>
                <w:sz w:val="20"/>
              </w:rPr>
              <w:t>Form of Warrant dated as of April 25, 2012 (incorporated by reference to Exhibit 10.2 to the Company’s Current Report on 8-K filed with the Securities and Exchange Commission on April 27, 2012)</w:t>
            </w:r>
          </w:p>
        </w:tc>
      </w:tr>
      <w:tr>
        <w:trPr/>
        <w:tc>
          <w:tcPr>
            <w:tcW w:w="816" w:type="dxa"/>
            <w:tcBorders/>
            <w:shd w:fill="FFFFFF" w:val="clear"/>
          </w:tcPr>
          <w:p>
            <w:pPr>
              <w:pStyle w:val="TableContents"/>
              <w:spacing w:before="0" w:after="283"/>
              <w:jc w:val="both"/>
              <w:rPr/>
            </w:pPr>
            <w:r>
              <w:rPr/>
              <w:t> </w:t>
            </w:r>
          </w:p>
        </w:tc>
        <w:tc>
          <w:tcPr>
            <w:tcW w:w="203" w:type="dxa"/>
            <w:tcBorders/>
            <w:shd w:fill="FFFFFF" w:val="clear"/>
          </w:tcPr>
          <w:p>
            <w:pPr>
              <w:pStyle w:val="TableContents"/>
              <w:spacing w:before="0" w:after="283"/>
              <w:jc w:val="both"/>
              <w:rPr/>
            </w:pPr>
            <w:r>
              <w:rPr/>
              <w:t> </w:t>
            </w:r>
          </w:p>
        </w:tc>
        <w:tc>
          <w:tcPr>
            <w:tcW w:w="9186" w:type="dxa"/>
            <w:tcBorders/>
            <w:shd w:fill="FFFFFF" w:val="clear"/>
          </w:tcPr>
          <w:p>
            <w:pPr>
              <w:pStyle w:val="TableContents"/>
              <w:spacing w:before="0" w:after="283"/>
              <w:jc w:val="both"/>
              <w:rPr/>
            </w:pPr>
            <w:r>
              <w:rPr/>
              <w:t> </w:t>
            </w:r>
          </w:p>
        </w:tc>
      </w:tr>
      <w:tr>
        <w:trPr/>
        <w:tc>
          <w:tcPr>
            <w:tcW w:w="816" w:type="dxa"/>
            <w:tcBorders/>
            <w:shd w:fill="CCEEFF" w:val="clear"/>
          </w:tcPr>
          <w:p>
            <w:pPr>
              <w:pStyle w:val="TableContents"/>
              <w:spacing w:before="0" w:after="0"/>
              <w:ind w:left="0" w:right="16" w:hanging="0"/>
              <w:jc w:val="both"/>
              <w:rPr>
                <w:rFonts w:ascii="helvetica" w:hAnsi="helvetica"/>
                <w:sz w:val="20"/>
              </w:rPr>
            </w:pPr>
            <w:r>
              <w:rPr>
                <w:rFonts w:ascii="helvetica" w:hAnsi="helvetica"/>
                <w:sz w:val="20"/>
              </w:rPr>
              <w:t>10.39**</w:t>
            </w:r>
          </w:p>
        </w:tc>
        <w:tc>
          <w:tcPr>
            <w:tcW w:w="203" w:type="dxa"/>
            <w:tcBorders/>
            <w:shd w:fill="CCEEFF" w:val="clear"/>
          </w:tcPr>
          <w:p>
            <w:pPr>
              <w:pStyle w:val="TableContents"/>
              <w:spacing w:before="0" w:after="283"/>
              <w:jc w:val="both"/>
              <w:rPr/>
            </w:pPr>
            <w:r>
              <w:rPr/>
              <w:t> </w:t>
            </w:r>
          </w:p>
        </w:tc>
        <w:tc>
          <w:tcPr>
            <w:tcW w:w="9186" w:type="dxa"/>
            <w:tcBorders/>
            <w:shd w:fill="CCEEFF" w:val="clear"/>
          </w:tcPr>
          <w:p>
            <w:pPr>
              <w:pStyle w:val="TableContents"/>
              <w:spacing w:before="0" w:after="0"/>
              <w:ind w:left="0" w:right="0" w:hanging="0"/>
              <w:jc w:val="both"/>
              <w:rPr>
                <w:rFonts w:ascii="helvetica" w:hAnsi="helvetica"/>
                <w:sz w:val="20"/>
              </w:rPr>
            </w:pPr>
            <w:r>
              <w:rPr>
                <w:rFonts w:ascii="helvetica" w:hAnsi="helvetica"/>
                <w:sz w:val="20"/>
              </w:rPr>
              <w:t>Conversion Agreement, dated June 29, 2012, by and between Imprimis Pharmaceuticals, Inc. and DermaStar International, LLC</w:t>
            </w:r>
          </w:p>
        </w:tc>
      </w:tr>
      <w:tr>
        <w:trPr/>
        <w:tc>
          <w:tcPr>
            <w:tcW w:w="816" w:type="dxa"/>
            <w:tcBorders/>
            <w:shd w:fill="FFFFFF" w:val="clear"/>
          </w:tcPr>
          <w:p>
            <w:pPr>
              <w:pStyle w:val="TableContents"/>
              <w:spacing w:before="0" w:after="283"/>
              <w:jc w:val="both"/>
              <w:rPr/>
            </w:pPr>
            <w:r>
              <w:rPr/>
              <w:t> </w:t>
            </w:r>
          </w:p>
        </w:tc>
        <w:tc>
          <w:tcPr>
            <w:tcW w:w="203" w:type="dxa"/>
            <w:tcBorders/>
            <w:shd w:fill="FFFFFF" w:val="clear"/>
          </w:tcPr>
          <w:p>
            <w:pPr>
              <w:pStyle w:val="TableContents"/>
              <w:spacing w:before="0" w:after="283"/>
              <w:jc w:val="both"/>
              <w:rPr/>
            </w:pPr>
            <w:r>
              <w:rPr/>
              <w:t> </w:t>
            </w:r>
          </w:p>
        </w:tc>
        <w:tc>
          <w:tcPr>
            <w:tcW w:w="9186" w:type="dxa"/>
            <w:tcBorders/>
            <w:shd w:fill="FFFFFF" w:val="clear"/>
          </w:tcPr>
          <w:p>
            <w:pPr>
              <w:pStyle w:val="TableContents"/>
              <w:spacing w:before="0" w:after="283"/>
              <w:jc w:val="both"/>
              <w:rPr/>
            </w:pPr>
            <w:r>
              <w:rPr/>
              <w:t> </w:t>
            </w:r>
          </w:p>
        </w:tc>
      </w:tr>
      <w:tr>
        <w:trPr/>
        <w:tc>
          <w:tcPr>
            <w:tcW w:w="816" w:type="dxa"/>
            <w:tcBorders/>
            <w:shd w:fill="CCEEFF" w:val="clear"/>
          </w:tcPr>
          <w:p>
            <w:pPr>
              <w:pStyle w:val="TableContents"/>
              <w:spacing w:before="0" w:after="0"/>
              <w:ind w:left="0" w:right="16" w:hanging="0"/>
              <w:jc w:val="both"/>
              <w:rPr>
                <w:rFonts w:ascii="helvetica" w:hAnsi="helvetica"/>
                <w:sz w:val="20"/>
              </w:rPr>
            </w:pPr>
            <w:r>
              <w:rPr>
                <w:rFonts w:ascii="helvetica" w:hAnsi="helvetica"/>
                <w:sz w:val="20"/>
              </w:rPr>
              <w:t>10.40#**</w:t>
            </w:r>
          </w:p>
        </w:tc>
        <w:tc>
          <w:tcPr>
            <w:tcW w:w="203" w:type="dxa"/>
            <w:tcBorders/>
            <w:shd w:fill="CCEEFF" w:val="clear"/>
          </w:tcPr>
          <w:p>
            <w:pPr>
              <w:pStyle w:val="TableContents"/>
              <w:spacing w:before="0" w:after="283"/>
              <w:jc w:val="both"/>
              <w:rPr/>
            </w:pPr>
            <w:r>
              <w:rPr/>
              <w:t> </w:t>
            </w:r>
          </w:p>
        </w:tc>
        <w:tc>
          <w:tcPr>
            <w:tcW w:w="9186" w:type="dxa"/>
            <w:tcBorders/>
            <w:shd w:fill="CCEEFF" w:val="clear"/>
          </w:tcPr>
          <w:p>
            <w:pPr>
              <w:pStyle w:val="TableContents"/>
              <w:spacing w:before="0" w:after="0"/>
              <w:ind w:left="0" w:right="0" w:hanging="0"/>
              <w:jc w:val="both"/>
              <w:rPr>
                <w:rFonts w:ascii="helvetica" w:hAnsi="helvetica"/>
                <w:sz w:val="20"/>
              </w:rPr>
            </w:pPr>
            <w:r>
              <w:rPr>
                <w:rFonts w:ascii="helvetica" w:hAnsi="helvetica"/>
                <w:sz w:val="20"/>
              </w:rPr>
              <w:t>Stand-alone Restricted Stock Unit Agreement, dated July 18, 2012, granted by Imprimis Pharmaceuticals, Inc. to Mark L. Baum</w:t>
            </w:r>
          </w:p>
        </w:tc>
      </w:tr>
      <w:tr>
        <w:trPr/>
        <w:tc>
          <w:tcPr>
            <w:tcW w:w="816" w:type="dxa"/>
            <w:tcBorders/>
            <w:shd w:fill="FFFFFF" w:val="clear"/>
          </w:tcPr>
          <w:p>
            <w:pPr>
              <w:pStyle w:val="TableContents"/>
              <w:spacing w:before="0" w:after="283"/>
              <w:jc w:val="both"/>
              <w:rPr/>
            </w:pPr>
            <w:r>
              <w:rPr/>
              <w:t> </w:t>
            </w:r>
          </w:p>
        </w:tc>
        <w:tc>
          <w:tcPr>
            <w:tcW w:w="203" w:type="dxa"/>
            <w:tcBorders/>
            <w:shd w:fill="FFFFFF" w:val="clear"/>
          </w:tcPr>
          <w:p>
            <w:pPr>
              <w:pStyle w:val="TableContents"/>
              <w:spacing w:before="0" w:after="283"/>
              <w:jc w:val="both"/>
              <w:rPr/>
            </w:pPr>
            <w:r>
              <w:rPr/>
              <w:t> </w:t>
            </w:r>
          </w:p>
        </w:tc>
        <w:tc>
          <w:tcPr>
            <w:tcW w:w="9186" w:type="dxa"/>
            <w:tcBorders/>
            <w:shd w:fill="FFFFFF" w:val="clear"/>
          </w:tcPr>
          <w:p>
            <w:pPr>
              <w:pStyle w:val="TableContents"/>
              <w:spacing w:before="0" w:after="283"/>
              <w:jc w:val="both"/>
              <w:rPr/>
            </w:pPr>
            <w:r>
              <w:rPr/>
              <w:t> </w:t>
            </w:r>
          </w:p>
        </w:tc>
      </w:tr>
      <w:tr>
        <w:trPr/>
        <w:tc>
          <w:tcPr>
            <w:tcW w:w="816" w:type="dxa"/>
            <w:tcBorders/>
            <w:shd w:fill="CCEEFF" w:val="clear"/>
          </w:tcPr>
          <w:p>
            <w:pPr>
              <w:pStyle w:val="TableContents"/>
              <w:spacing w:before="0" w:after="283"/>
              <w:jc w:val="both"/>
              <w:rPr>
                <w:rFonts w:ascii="helvetica" w:hAnsi="helvetica"/>
                <w:sz w:val="20"/>
              </w:rPr>
            </w:pPr>
            <w:r>
              <w:rPr>
                <w:rFonts w:ascii="helvetica" w:hAnsi="helvetica"/>
                <w:sz w:val="20"/>
              </w:rPr>
              <w:t>10.41#**</w:t>
            </w:r>
          </w:p>
        </w:tc>
        <w:tc>
          <w:tcPr>
            <w:tcW w:w="203" w:type="dxa"/>
            <w:tcBorders/>
            <w:shd w:fill="CCEEFF" w:val="clear"/>
          </w:tcPr>
          <w:p>
            <w:pPr>
              <w:pStyle w:val="TableContents"/>
              <w:spacing w:before="0" w:after="283"/>
              <w:jc w:val="both"/>
              <w:rPr/>
            </w:pPr>
            <w:r>
              <w:rPr/>
              <w:t> </w:t>
            </w:r>
          </w:p>
        </w:tc>
        <w:tc>
          <w:tcPr>
            <w:tcW w:w="9186" w:type="dxa"/>
            <w:tcBorders/>
            <w:shd w:fill="CCEEFF" w:val="clear"/>
          </w:tcPr>
          <w:p>
            <w:pPr>
              <w:pStyle w:val="TableContents"/>
              <w:spacing w:before="0" w:after="0"/>
              <w:ind w:left="0" w:right="0" w:hanging="0"/>
              <w:jc w:val="left"/>
              <w:rPr>
                <w:rFonts w:ascii="helvetica" w:hAnsi="helvetica"/>
                <w:sz w:val="20"/>
              </w:rPr>
            </w:pPr>
            <w:r>
              <w:rPr>
                <w:rFonts w:ascii="helvetica" w:hAnsi="helvetica"/>
                <w:sz w:val="20"/>
              </w:rPr>
              <w:t>Stand-alone Restricted Stock Unit Agreement, dated July 18, 2012, granted by Imprimis Pharmaceuticals, Inc. to Robert J. Kammer</w:t>
            </w:r>
          </w:p>
        </w:tc>
      </w:tr>
      <w:tr>
        <w:trPr/>
        <w:tc>
          <w:tcPr>
            <w:tcW w:w="816" w:type="dxa"/>
            <w:tcBorders/>
            <w:shd w:fill="FFFFFF" w:val="clear"/>
          </w:tcPr>
          <w:p>
            <w:pPr>
              <w:pStyle w:val="TableContents"/>
              <w:spacing w:before="0" w:after="283"/>
              <w:jc w:val="both"/>
              <w:rPr/>
            </w:pPr>
            <w:r>
              <w:rPr/>
              <w:t> </w:t>
            </w:r>
          </w:p>
        </w:tc>
        <w:tc>
          <w:tcPr>
            <w:tcW w:w="203" w:type="dxa"/>
            <w:tcBorders/>
            <w:shd w:fill="FFFFFF" w:val="clear"/>
          </w:tcPr>
          <w:p>
            <w:pPr>
              <w:pStyle w:val="TableContents"/>
              <w:spacing w:before="0" w:after="283"/>
              <w:jc w:val="both"/>
              <w:rPr/>
            </w:pPr>
            <w:r>
              <w:rPr/>
              <w:t> </w:t>
            </w:r>
          </w:p>
        </w:tc>
        <w:tc>
          <w:tcPr>
            <w:tcW w:w="9186" w:type="dxa"/>
            <w:tcBorders/>
            <w:shd w:fill="FFFFFF" w:val="clear"/>
          </w:tcPr>
          <w:p>
            <w:pPr>
              <w:pStyle w:val="TableContents"/>
              <w:spacing w:before="0" w:after="283"/>
              <w:jc w:val="both"/>
              <w:rPr/>
            </w:pPr>
            <w:r>
              <w:rPr/>
              <w:t> </w:t>
            </w:r>
          </w:p>
        </w:tc>
      </w:tr>
    </w:tbl>
    <w:tbl>
      <w:tblPr>
        <w:tblW w:w="5000" w:type="pct"/>
        <w:jc w:val="left"/>
        <w:tblInd w:w="0" w:type="dxa"/>
        <w:tblCellMar>
          <w:top w:w="0" w:type="dxa"/>
          <w:left w:w="0" w:type="dxa"/>
          <w:bottom w:w="0" w:type="dxa"/>
          <w:right w:w="0" w:type="dxa"/>
        </w:tblCellMar>
      </w:tblPr>
      <w:tblGrid>
        <w:gridCol w:w="816"/>
        <w:gridCol w:w="203"/>
        <w:gridCol w:w="9186"/>
      </w:tblGrid>
      <w:tr>
        <w:trPr/>
        <w:tc>
          <w:tcPr>
            <w:tcW w:w="816" w:type="dxa"/>
            <w:tcBorders/>
            <w:shd w:fill="CCEEFF" w:val="clear"/>
          </w:tcPr>
          <w:p>
            <w:pPr>
              <w:pStyle w:val="TableContents"/>
              <w:spacing w:before="0" w:after="283"/>
              <w:jc w:val="left"/>
              <w:rPr/>
            </w:pPr>
            <w:r>
              <w:rPr>
                <w:rFonts w:ascii="helvetica" w:hAnsi="helvetica"/>
                <w:sz w:val="20"/>
              </w:rPr>
              <w:t>10.42</w:t>
            </w:r>
            <w:r>
              <w:rPr/>
              <w:t xml:space="preserve"> </w:t>
            </w:r>
          </w:p>
        </w:tc>
        <w:tc>
          <w:tcPr>
            <w:tcW w:w="203" w:type="dxa"/>
            <w:tcBorders/>
            <w:shd w:fill="CCEEFF" w:val="clear"/>
          </w:tcPr>
          <w:p>
            <w:pPr>
              <w:pStyle w:val="TableContents"/>
              <w:spacing w:before="0" w:after="283"/>
              <w:jc w:val="left"/>
              <w:rPr/>
            </w:pPr>
            <w:r>
              <w:rPr/>
              <w:t xml:space="preserve">  </w:t>
            </w:r>
          </w:p>
        </w:tc>
        <w:tc>
          <w:tcPr>
            <w:tcW w:w="9186" w:type="dxa"/>
            <w:tcBorders/>
            <w:shd w:fill="CCEEFF" w:val="clear"/>
          </w:tcPr>
          <w:p>
            <w:pPr>
              <w:pStyle w:val="TableContents"/>
              <w:spacing w:before="0" w:after="0"/>
              <w:ind w:left="0" w:right="0" w:hanging="0"/>
              <w:jc w:val="left"/>
              <w:rPr/>
            </w:pPr>
            <w:r>
              <w:rPr>
                <w:rFonts w:ascii="helvetica" w:hAnsi="helvetica"/>
                <w:sz w:val="20"/>
              </w:rPr>
              <w:t>License Agreement, dated as of August 30, 2012, by and between Imprimis Pharmaceuticals, Inc. and Professional Compounding Centers of America, Inc. (incorporated herein by reference to Exhibit 10.1 to the Current Report on Form 8-K of Imprimis Pharmaceuticals, Inc. filed with the Securities and Exchange Commission on August 31, 2012)</w:t>
            </w:r>
            <w:r>
              <w:rPr/>
              <w:t xml:space="preserve"> </w:t>
            </w:r>
          </w:p>
        </w:tc>
      </w:tr>
      <w:tr>
        <w:trPr/>
        <w:tc>
          <w:tcPr>
            <w:tcW w:w="816" w:type="dxa"/>
            <w:tcBorders/>
            <w:shd w:fill="FFFFFF" w:val="clear"/>
          </w:tcPr>
          <w:p>
            <w:pPr>
              <w:pStyle w:val="TableContents"/>
              <w:spacing w:before="0" w:after="283"/>
              <w:jc w:val="left"/>
              <w:rPr/>
            </w:pPr>
            <w:r>
              <w:rPr/>
              <w:t xml:space="preserve">  </w:t>
            </w:r>
          </w:p>
        </w:tc>
        <w:tc>
          <w:tcPr>
            <w:tcW w:w="203" w:type="dxa"/>
            <w:tcBorders/>
            <w:shd w:fill="FFFFFF" w:val="clear"/>
          </w:tcPr>
          <w:p>
            <w:pPr>
              <w:pStyle w:val="TableContents"/>
              <w:spacing w:before="0" w:after="283"/>
              <w:jc w:val="left"/>
              <w:rPr/>
            </w:pPr>
            <w:r>
              <w:rPr/>
              <w:t xml:space="preserve">  </w:t>
            </w:r>
          </w:p>
        </w:tc>
        <w:tc>
          <w:tcPr>
            <w:tcW w:w="9186" w:type="dxa"/>
            <w:tcBorders/>
            <w:shd w:fill="FFFFFF" w:val="clear"/>
          </w:tcPr>
          <w:p>
            <w:pPr>
              <w:pStyle w:val="TableContents"/>
              <w:spacing w:before="0" w:after="283"/>
              <w:jc w:val="left"/>
              <w:rPr/>
            </w:pPr>
            <w:r>
              <w:rPr/>
              <w:t xml:space="preserve">  </w:t>
            </w:r>
          </w:p>
        </w:tc>
      </w:tr>
      <w:tr>
        <w:trPr/>
        <w:tc>
          <w:tcPr>
            <w:tcW w:w="816" w:type="dxa"/>
            <w:tcBorders/>
            <w:shd w:fill="CCEEFF" w:val="clear"/>
          </w:tcPr>
          <w:p>
            <w:pPr>
              <w:pStyle w:val="TableContents"/>
              <w:spacing w:before="0" w:after="283"/>
              <w:jc w:val="left"/>
              <w:rPr/>
            </w:pPr>
            <w:r>
              <w:rPr>
                <w:rFonts w:ascii="helvetica" w:hAnsi="helvetica"/>
                <w:sz w:val="20"/>
              </w:rPr>
              <w:t>10.43</w:t>
            </w:r>
            <w:r>
              <w:rPr/>
              <w:t xml:space="preserve"> </w:t>
            </w:r>
          </w:p>
        </w:tc>
        <w:tc>
          <w:tcPr>
            <w:tcW w:w="203" w:type="dxa"/>
            <w:tcBorders/>
            <w:shd w:fill="CCEEFF" w:val="clear"/>
          </w:tcPr>
          <w:p>
            <w:pPr>
              <w:pStyle w:val="TableContents"/>
              <w:spacing w:before="0" w:after="283"/>
              <w:jc w:val="left"/>
              <w:rPr/>
            </w:pPr>
            <w:r>
              <w:rPr/>
              <w:t xml:space="preserve">  </w:t>
            </w:r>
          </w:p>
        </w:tc>
        <w:tc>
          <w:tcPr>
            <w:tcW w:w="9186" w:type="dxa"/>
            <w:tcBorders/>
            <w:shd w:fill="CCEEFF" w:val="clear"/>
          </w:tcPr>
          <w:p>
            <w:pPr>
              <w:pStyle w:val="TableContents"/>
              <w:spacing w:before="0" w:after="0"/>
              <w:ind w:left="0" w:right="0" w:hanging="0"/>
              <w:jc w:val="left"/>
              <w:rPr/>
            </w:pPr>
            <w:r>
              <w:rPr>
                <w:rFonts w:ascii="helvetica" w:hAnsi="helvetica"/>
                <w:sz w:val="20"/>
              </w:rPr>
              <w:t>Stock Purchase Agreement, dated as of August 30, 2012, by and between Imprimis Pharmaceuticals, Inc. and Professional Compounding Centers of America, Inc. (incorporated herein by reference to Exhibit 10.2 to the Current Report on Form 8-K of Imprimis Pharmaceuticals, Inc. filed with the Securities and Exchange Commission on August 31, 2012)</w:t>
            </w:r>
            <w:r>
              <w:rPr/>
              <w:t xml:space="preserve"> </w:t>
            </w:r>
          </w:p>
        </w:tc>
      </w:tr>
      <w:tr>
        <w:trPr/>
        <w:tc>
          <w:tcPr>
            <w:tcW w:w="816" w:type="dxa"/>
            <w:tcBorders/>
            <w:shd w:fill="FFFFFF" w:val="clear"/>
          </w:tcPr>
          <w:p>
            <w:pPr>
              <w:pStyle w:val="TableContents"/>
              <w:spacing w:before="0" w:after="283"/>
              <w:jc w:val="left"/>
              <w:rPr/>
            </w:pPr>
            <w:r>
              <w:rPr/>
              <w:t xml:space="preserve">  </w:t>
            </w:r>
          </w:p>
        </w:tc>
        <w:tc>
          <w:tcPr>
            <w:tcW w:w="203" w:type="dxa"/>
            <w:tcBorders/>
            <w:shd w:fill="FFFFFF" w:val="clear"/>
          </w:tcPr>
          <w:p>
            <w:pPr>
              <w:pStyle w:val="TableContents"/>
              <w:spacing w:before="0" w:after="283"/>
              <w:jc w:val="left"/>
              <w:rPr/>
            </w:pPr>
            <w:r>
              <w:rPr/>
              <w:t xml:space="preserve">  </w:t>
            </w:r>
          </w:p>
        </w:tc>
        <w:tc>
          <w:tcPr>
            <w:tcW w:w="9186" w:type="dxa"/>
            <w:tcBorders/>
            <w:shd w:fill="FFFFFF" w:val="clear"/>
          </w:tcPr>
          <w:p>
            <w:pPr>
              <w:pStyle w:val="TableContents"/>
              <w:spacing w:before="0" w:after="283"/>
              <w:jc w:val="left"/>
              <w:rPr/>
            </w:pPr>
            <w:r>
              <w:rPr/>
              <w:t xml:space="preserve">  </w:t>
            </w:r>
          </w:p>
        </w:tc>
      </w:tr>
      <w:tr>
        <w:trPr/>
        <w:tc>
          <w:tcPr>
            <w:tcW w:w="816" w:type="dxa"/>
            <w:tcBorders/>
            <w:shd w:fill="CCEEFF" w:val="clear"/>
          </w:tcPr>
          <w:p>
            <w:pPr>
              <w:pStyle w:val="TableContents"/>
              <w:spacing w:before="0" w:after="283"/>
              <w:jc w:val="left"/>
              <w:rPr/>
            </w:pPr>
            <w:r>
              <w:rPr>
                <w:rFonts w:ascii="helvetica" w:hAnsi="helvetica"/>
                <w:sz w:val="20"/>
              </w:rPr>
              <w:t>10.44†</w:t>
            </w:r>
            <w:r>
              <w:rPr/>
              <w:t xml:space="preserve"> </w:t>
            </w:r>
          </w:p>
        </w:tc>
        <w:tc>
          <w:tcPr>
            <w:tcW w:w="203" w:type="dxa"/>
            <w:tcBorders/>
            <w:shd w:fill="CCEEFF" w:val="clear"/>
          </w:tcPr>
          <w:p>
            <w:pPr>
              <w:pStyle w:val="TableContents"/>
              <w:spacing w:before="0" w:after="283"/>
              <w:jc w:val="left"/>
              <w:rPr/>
            </w:pPr>
            <w:r>
              <w:rPr/>
              <w:t xml:space="preserve">  </w:t>
            </w:r>
          </w:p>
        </w:tc>
        <w:tc>
          <w:tcPr>
            <w:tcW w:w="9186" w:type="dxa"/>
            <w:tcBorders/>
            <w:shd w:fill="CCEEFF" w:val="clear"/>
          </w:tcPr>
          <w:p>
            <w:pPr>
              <w:pStyle w:val="TableContents"/>
              <w:spacing w:before="0" w:after="0"/>
              <w:ind w:left="0" w:right="0" w:hanging="0"/>
              <w:jc w:val="left"/>
              <w:rPr/>
            </w:pPr>
            <w:r>
              <w:rPr>
                <w:rFonts w:ascii="helvetica" w:hAnsi="helvetica"/>
                <w:sz w:val="20"/>
              </w:rPr>
              <w:t>Form of Underwriter’s Warrant</w:t>
            </w:r>
            <w:r>
              <w:rPr/>
              <w:t xml:space="preserve"> </w:t>
            </w:r>
          </w:p>
        </w:tc>
      </w:tr>
      <w:tr>
        <w:trPr/>
        <w:tc>
          <w:tcPr>
            <w:tcW w:w="816" w:type="dxa"/>
            <w:tcBorders/>
            <w:shd w:fill="FFFFFF" w:val="clear"/>
          </w:tcPr>
          <w:p>
            <w:pPr>
              <w:pStyle w:val="TableContents"/>
              <w:spacing w:before="0" w:after="283"/>
              <w:jc w:val="left"/>
              <w:rPr/>
            </w:pPr>
            <w:r>
              <w:rPr/>
              <w:t> </w:t>
            </w:r>
          </w:p>
        </w:tc>
        <w:tc>
          <w:tcPr>
            <w:tcW w:w="203" w:type="dxa"/>
            <w:tcBorders/>
            <w:shd w:fill="FFFFFF" w:val="clear"/>
          </w:tcPr>
          <w:p>
            <w:pPr>
              <w:pStyle w:val="TableContents"/>
              <w:spacing w:before="0" w:after="283"/>
              <w:jc w:val="left"/>
              <w:rPr/>
            </w:pPr>
            <w:r>
              <w:rPr/>
              <w:t> </w:t>
            </w:r>
          </w:p>
        </w:tc>
        <w:tc>
          <w:tcPr>
            <w:tcW w:w="9186" w:type="dxa"/>
            <w:tcBorders/>
            <w:shd w:fill="FFFFFF" w:val="clear"/>
          </w:tcPr>
          <w:p>
            <w:pPr>
              <w:pStyle w:val="TableContents"/>
              <w:spacing w:before="0" w:after="283"/>
              <w:jc w:val="left"/>
              <w:rPr/>
            </w:pPr>
            <w:r>
              <w:rPr/>
              <w:t> </w:t>
            </w:r>
          </w:p>
        </w:tc>
      </w:tr>
    </w:tbl>
    <w:tbl>
      <w:tblPr>
        <w:tblW w:w="5000" w:type="pct"/>
        <w:jc w:val="left"/>
        <w:tblInd w:w="0" w:type="dxa"/>
        <w:tblCellMar>
          <w:top w:w="0" w:type="dxa"/>
          <w:left w:w="0" w:type="dxa"/>
          <w:bottom w:w="0" w:type="dxa"/>
          <w:right w:w="0" w:type="dxa"/>
        </w:tblCellMar>
      </w:tblPr>
      <w:tblGrid>
        <w:gridCol w:w="815"/>
        <w:gridCol w:w="203"/>
        <w:gridCol w:w="9187"/>
      </w:tblGrid>
      <w:tr>
        <w:trPr/>
        <w:tc>
          <w:tcPr>
            <w:tcW w:w="815" w:type="dxa"/>
            <w:tcBorders/>
            <w:shd w:fill="CCEEFF" w:val="clear"/>
          </w:tcPr>
          <w:p>
            <w:pPr>
              <w:pStyle w:val="TableContents"/>
              <w:spacing w:before="0" w:after="0"/>
              <w:ind w:left="0" w:right="16" w:hanging="0"/>
              <w:jc w:val="both"/>
              <w:rPr>
                <w:rFonts w:ascii="helvetica" w:hAnsi="helvetica"/>
                <w:sz w:val="20"/>
              </w:rPr>
            </w:pPr>
            <w:r>
              <w:rPr>
                <w:rFonts w:ascii="helvetica" w:hAnsi="helvetica"/>
                <w:sz w:val="20"/>
              </w:rPr>
              <w:t>23.1*</w:t>
            </w:r>
          </w:p>
        </w:tc>
        <w:tc>
          <w:tcPr>
            <w:tcW w:w="203" w:type="dxa"/>
            <w:tcBorders/>
            <w:shd w:fill="CCEEFF" w:val="clear"/>
          </w:tcPr>
          <w:p>
            <w:pPr>
              <w:pStyle w:val="TableContents"/>
              <w:spacing w:before="0" w:after="283"/>
              <w:jc w:val="both"/>
              <w:rPr/>
            </w:pPr>
            <w:r>
              <w:rPr/>
              <w:t> </w:t>
            </w:r>
          </w:p>
        </w:tc>
        <w:tc>
          <w:tcPr>
            <w:tcW w:w="9187" w:type="dxa"/>
            <w:tcBorders/>
            <w:shd w:fill="CCEEFF" w:val="clear"/>
          </w:tcPr>
          <w:p>
            <w:pPr>
              <w:pStyle w:val="TableContents"/>
              <w:spacing w:before="0" w:after="0"/>
              <w:ind w:left="0" w:right="16" w:hanging="0"/>
              <w:jc w:val="both"/>
              <w:rPr>
                <w:rFonts w:ascii="helvetica" w:hAnsi="helvetica"/>
                <w:sz w:val="20"/>
              </w:rPr>
            </w:pPr>
            <w:r>
              <w:rPr>
                <w:rFonts w:ascii="helvetica" w:hAnsi="helvetica"/>
                <w:sz w:val="20"/>
              </w:rPr>
              <w:t>Consent of KMJ Corbin &amp; Company LLP</w:t>
            </w:r>
          </w:p>
        </w:tc>
      </w:tr>
      <w:tr>
        <w:trPr/>
        <w:tc>
          <w:tcPr>
            <w:tcW w:w="815" w:type="dxa"/>
            <w:tcBorders/>
            <w:shd w:fill="FFFFFF" w:val="clear"/>
          </w:tcPr>
          <w:p>
            <w:pPr>
              <w:pStyle w:val="TableContents"/>
              <w:spacing w:before="0" w:after="283"/>
              <w:jc w:val="both"/>
              <w:rPr/>
            </w:pPr>
            <w:r>
              <w:rPr/>
              <w:t> </w:t>
            </w:r>
          </w:p>
        </w:tc>
        <w:tc>
          <w:tcPr>
            <w:tcW w:w="203" w:type="dxa"/>
            <w:tcBorders/>
            <w:shd w:fill="FFFFFF" w:val="clear"/>
          </w:tcPr>
          <w:p>
            <w:pPr>
              <w:pStyle w:val="TableContents"/>
              <w:spacing w:before="0" w:after="283"/>
              <w:jc w:val="both"/>
              <w:rPr/>
            </w:pPr>
            <w:r>
              <w:rPr/>
              <w:t> </w:t>
            </w:r>
          </w:p>
        </w:tc>
        <w:tc>
          <w:tcPr>
            <w:tcW w:w="9187" w:type="dxa"/>
            <w:tcBorders/>
            <w:shd w:fill="FFFFFF" w:val="clear"/>
          </w:tcPr>
          <w:p>
            <w:pPr>
              <w:pStyle w:val="TableContents"/>
              <w:spacing w:before="0" w:after="283"/>
              <w:jc w:val="both"/>
              <w:rPr/>
            </w:pPr>
            <w:r>
              <w:rPr/>
              <w:t> </w:t>
            </w:r>
          </w:p>
        </w:tc>
      </w:tr>
      <w:tr>
        <w:trPr/>
        <w:tc>
          <w:tcPr>
            <w:tcW w:w="815" w:type="dxa"/>
            <w:tcBorders/>
            <w:shd w:fill="CCEEFF" w:val="clear"/>
          </w:tcPr>
          <w:p>
            <w:pPr>
              <w:pStyle w:val="TableContents"/>
              <w:spacing w:before="0" w:after="0"/>
              <w:ind w:left="720" w:right="0" w:hanging="720"/>
              <w:jc w:val="both"/>
              <w:rPr>
                <w:rFonts w:ascii="helvetica" w:hAnsi="helvetica"/>
                <w:sz w:val="20"/>
              </w:rPr>
            </w:pPr>
            <w:r>
              <w:rPr>
                <w:rFonts w:ascii="helvetica" w:hAnsi="helvetica"/>
                <w:sz w:val="20"/>
              </w:rPr>
              <w:t xml:space="preserve">23.2 * </w:t>
            </w:r>
          </w:p>
        </w:tc>
        <w:tc>
          <w:tcPr>
            <w:tcW w:w="203" w:type="dxa"/>
            <w:tcBorders/>
            <w:shd w:fill="CCEEFF" w:val="clear"/>
          </w:tcPr>
          <w:p>
            <w:pPr>
              <w:pStyle w:val="TableContents"/>
              <w:spacing w:before="0" w:after="283"/>
              <w:ind w:left="0" w:right="0" w:hanging="0"/>
              <w:jc w:val="both"/>
              <w:rPr/>
            </w:pPr>
            <w:r>
              <w:rPr/>
              <w:t> </w:t>
            </w:r>
          </w:p>
        </w:tc>
        <w:tc>
          <w:tcPr>
            <w:tcW w:w="9187" w:type="dxa"/>
            <w:tcBorders/>
            <w:shd w:fill="CCEEFF" w:val="clear"/>
          </w:tcPr>
          <w:p>
            <w:pPr>
              <w:pStyle w:val="TableContents"/>
              <w:spacing w:before="0" w:after="0"/>
              <w:ind w:left="0" w:right="0" w:hanging="0"/>
              <w:jc w:val="both"/>
              <w:rPr>
                <w:rFonts w:ascii="helvetica" w:hAnsi="helvetica"/>
                <w:sz w:val="20"/>
              </w:rPr>
            </w:pPr>
            <w:r>
              <w:rPr>
                <w:rFonts w:ascii="helvetica" w:hAnsi="helvetica"/>
                <w:sz w:val="20"/>
              </w:rPr>
              <w:t>Consent of Morrison &amp; Foerster LLP (contained in Exhibit 5.1)</w:t>
            </w:r>
          </w:p>
        </w:tc>
      </w:tr>
      <w:tr>
        <w:trPr/>
        <w:tc>
          <w:tcPr>
            <w:tcW w:w="815" w:type="dxa"/>
            <w:tcBorders/>
            <w:shd w:fill="FFFFFF" w:val="clear"/>
          </w:tcPr>
          <w:p>
            <w:pPr>
              <w:pStyle w:val="TableContents"/>
              <w:spacing w:before="0" w:after="283"/>
              <w:jc w:val="both"/>
              <w:rPr/>
            </w:pPr>
            <w:r>
              <w:rPr/>
              <w:t> </w:t>
            </w:r>
          </w:p>
        </w:tc>
        <w:tc>
          <w:tcPr>
            <w:tcW w:w="203" w:type="dxa"/>
            <w:tcBorders/>
            <w:shd w:fill="FFFFFF" w:val="clear"/>
          </w:tcPr>
          <w:p>
            <w:pPr>
              <w:pStyle w:val="TableContents"/>
              <w:spacing w:before="0" w:after="283"/>
              <w:ind w:left="0" w:right="0" w:hanging="0"/>
              <w:jc w:val="both"/>
              <w:rPr/>
            </w:pPr>
            <w:r>
              <w:rPr/>
              <w:t> </w:t>
            </w:r>
          </w:p>
        </w:tc>
        <w:tc>
          <w:tcPr>
            <w:tcW w:w="9187" w:type="dxa"/>
            <w:tcBorders/>
            <w:shd w:fill="FFFFFF" w:val="clear"/>
          </w:tcPr>
          <w:p>
            <w:pPr>
              <w:pStyle w:val="TableContents"/>
              <w:spacing w:before="0" w:after="283"/>
              <w:ind w:left="0" w:right="0" w:hanging="0"/>
              <w:jc w:val="both"/>
              <w:rPr/>
            </w:pPr>
            <w:r>
              <w:rPr/>
              <w:t> </w:t>
            </w:r>
          </w:p>
        </w:tc>
      </w:tr>
      <w:tr>
        <w:trPr/>
        <w:tc>
          <w:tcPr>
            <w:tcW w:w="815" w:type="dxa"/>
            <w:tcBorders/>
            <w:shd w:fill="CCEEFF" w:val="clear"/>
          </w:tcPr>
          <w:p>
            <w:pPr>
              <w:pStyle w:val="TableContents"/>
              <w:spacing w:before="0" w:after="0"/>
              <w:ind w:left="0" w:right="0" w:hanging="0"/>
              <w:jc w:val="both"/>
              <w:rPr>
                <w:rFonts w:ascii="helvetica" w:hAnsi="helvetica"/>
                <w:sz w:val="20"/>
              </w:rPr>
            </w:pPr>
            <w:r>
              <w:rPr>
                <w:rFonts w:ascii="helvetica" w:hAnsi="helvetica"/>
                <w:sz w:val="20"/>
              </w:rPr>
              <w:t>24.1**</w:t>
            </w:r>
          </w:p>
        </w:tc>
        <w:tc>
          <w:tcPr>
            <w:tcW w:w="203" w:type="dxa"/>
            <w:tcBorders/>
            <w:shd w:fill="CCEEFF" w:val="clear"/>
          </w:tcPr>
          <w:p>
            <w:pPr>
              <w:pStyle w:val="TableContents"/>
              <w:spacing w:before="0" w:after="283"/>
              <w:ind w:left="0" w:right="0" w:hanging="0"/>
              <w:jc w:val="both"/>
              <w:rPr/>
            </w:pPr>
            <w:r>
              <w:rPr/>
              <w:t> </w:t>
            </w:r>
          </w:p>
        </w:tc>
        <w:tc>
          <w:tcPr>
            <w:tcW w:w="9187" w:type="dxa"/>
            <w:tcBorders/>
            <w:shd w:fill="CCEEFF" w:val="clear"/>
          </w:tcPr>
          <w:p>
            <w:pPr>
              <w:pStyle w:val="TableContents"/>
              <w:spacing w:before="0" w:after="0"/>
              <w:ind w:left="0" w:right="0" w:hanging="0"/>
              <w:jc w:val="both"/>
              <w:rPr>
                <w:rFonts w:ascii="helvetica" w:hAnsi="helvetica"/>
                <w:sz w:val="20"/>
              </w:rPr>
            </w:pPr>
            <w:r>
              <w:rPr>
                <w:rFonts w:ascii="helvetica" w:hAnsi="helvetica"/>
                <w:sz w:val="20"/>
              </w:rPr>
              <w:t>Power of Attorney (contained on the signature page)</w:t>
            </w:r>
          </w:p>
        </w:tc>
      </w:tr>
    </w:tbl>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815"/>
        <w:gridCol w:w="203"/>
        <w:gridCol w:w="9187"/>
      </w:tblGrid>
      <w:tr>
        <w:trPr/>
        <w:tc>
          <w:tcPr>
            <w:tcW w:w="815" w:type="dxa"/>
            <w:tcBorders/>
            <w:shd w:fill="CCEEFF" w:val="clear"/>
          </w:tcPr>
          <w:p>
            <w:pPr>
              <w:pStyle w:val="TableContents"/>
              <w:spacing w:before="0" w:after="0"/>
              <w:ind w:left="0" w:right="0" w:hanging="0"/>
              <w:jc w:val="left"/>
              <w:rPr>
                <w:rFonts w:ascii="helvetica" w:hAnsi="helvetica"/>
                <w:sz w:val="20"/>
              </w:rPr>
            </w:pPr>
            <w:r>
              <w:rPr>
                <w:rFonts w:ascii="helvetica" w:hAnsi="helvetica"/>
                <w:sz w:val="20"/>
              </w:rPr>
              <w:t>101.INS++*</w:t>
            </w:r>
          </w:p>
        </w:tc>
        <w:tc>
          <w:tcPr>
            <w:tcW w:w="203" w:type="dxa"/>
            <w:tcBorders/>
            <w:shd w:fill="CCEEFF" w:val="clear"/>
            <w:vAlign w:val="bottom"/>
          </w:tcPr>
          <w:p>
            <w:pPr>
              <w:pStyle w:val="TableContents"/>
              <w:spacing w:before="0" w:after="283"/>
              <w:ind w:left="0" w:right="0" w:hanging="0"/>
              <w:rPr/>
            </w:pPr>
            <w:r>
              <w:rPr/>
              <w:t xml:space="preserve">  </w:t>
            </w:r>
          </w:p>
        </w:tc>
        <w:tc>
          <w:tcPr>
            <w:tcW w:w="9187" w:type="dxa"/>
            <w:tcBorders/>
            <w:shd w:fill="CCEEFF" w:val="clear"/>
          </w:tcPr>
          <w:p>
            <w:pPr>
              <w:pStyle w:val="TableContents"/>
              <w:spacing w:before="0" w:after="0"/>
              <w:ind w:left="0" w:right="0" w:hanging="0"/>
              <w:jc w:val="left"/>
              <w:rPr>
                <w:rFonts w:ascii="helvetica" w:hAnsi="helvetica"/>
                <w:sz w:val="20"/>
              </w:rPr>
            </w:pPr>
            <w:r>
              <w:rPr>
                <w:rFonts w:ascii="helvetica" w:hAnsi="helvetica"/>
                <w:sz w:val="20"/>
              </w:rPr>
              <w:t>XBRL Instant Document</w:t>
            </w:r>
          </w:p>
        </w:tc>
      </w:tr>
      <w:tr>
        <w:trPr/>
        <w:tc>
          <w:tcPr>
            <w:tcW w:w="815" w:type="dxa"/>
            <w:tcBorders/>
            <w:shd w:fill="FFFFFF" w:val="clear"/>
          </w:tcPr>
          <w:p>
            <w:pPr>
              <w:pStyle w:val="TableContents"/>
              <w:spacing w:before="0" w:after="283"/>
              <w:ind w:left="0" w:right="0" w:hanging="0"/>
              <w:jc w:val="left"/>
              <w:rPr/>
            </w:pPr>
            <w:r>
              <w:rPr/>
              <w:t> </w:t>
            </w:r>
          </w:p>
        </w:tc>
        <w:tc>
          <w:tcPr>
            <w:tcW w:w="203" w:type="dxa"/>
            <w:tcBorders/>
            <w:shd w:fill="FFFFFF" w:val="clear"/>
            <w:vAlign w:val="bottom"/>
          </w:tcPr>
          <w:p>
            <w:pPr>
              <w:pStyle w:val="TableContents"/>
              <w:spacing w:before="0" w:after="283"/>
              <w:jc w:val="left"/>
              <w:rPr/>
            </w:pPr>
            <w:r>
              <w:rPr/>
              <w:t> </w:t>
            </w:r>
          </w:p>
        </w:tc>
        <w:tc>
          <w:tcPr>
            <w:tcW w:w="9187" w:type="dxa"/>
            <w:tcBorders/>
            <w:shd w:fill="FFFFFF" w:val="clear"/>
          </w:tcPr>
          <w:p>
            <w:pPr>
              <w:pStyle w:val="TableContents"/>
              <w:spacing w:before="0" w:after="283"/>
              <w:jc w:val="left"/>
              <w:rPr/>
            </w:pPr>
            <w:r>
              <w:rPr/>
              <w:t> </w:t>
            </w:r>
          </w:p>
        </w:tc>
      </w:tr>
      <w:tr>
        <w:trPr/>
        <w:tc>
          <w:tcPr>
            <w:tcW w:w="815" w:type="dxa"/>
            <w:tcBorders/>
            <w:shd w:fill="CCEEFF" w:val="clear"/>
          </w:tcPr>
          <w:p>
            <w:pPr>
              <w:pStyle w:val="TableContents"/>
              <w:spacing w:before="0" w:after="0"/>
              <w:ind w:left="0" w:right="0" w:hanging="0"/>
              <w:jc w:val="left"/>
              <w:rPr>
                <w:rFonts w:ascii="helvetica" w:hAnsi="helvetica"/>
                <w:sz w:val="20"/>
              </w:rPr>
            </w:pPr>
            <w:r>
              <w:rPr>
                <w:rFonts w:ascii="helvetica" w:hAnsi="helvetica"/>
                <w:sz w:val="20"/>
              </w:rPr>
              <w:t>101.SCH++*</w:t>
            </w:r>
          </w:p>
        </w:tc>
        <w:tc>
          <w:tcPr>
            <w:tcW w:w="203" w:type="dxa"/>
            <w:tcBorders/>
            <w:shd w:fill="CCEEFF" w:val="clear"/>
            <w:vAlign w:val="bottom"/>
          </w:tcPr>
          <w:p>
            <w:pPr>
              <w:pStyle w:val="TableContents"/>
              <w:spacing w:before="0" w:after="283"/>
              <w:ind w:left="0" w:right="0" w:hanging="0"/>
              <w:jc w:val="left"/>
              <w:rPr/>
            </w:pPr>
            <w:r>
              <w:rPr/>
              <w:t xml:space="preserve">  </w:t>
            </w:r>
          </w:p>
        </w:tc>
        <w:tc>
          <w:tcPr>
            <w:tcW w:w="9187" w:type="dxa"/>
            <w:tcBorders/>
            <w:shd w:fill="CCEEFF" w:val="clear"/>
          </w:tcPr>
          <w:p>
            <w:pPr>
              <w:pStyle w:val="TableContents"/>
              <w:spacing w:before="0" w:after="0"/>
              <w:ind w:left="0" w:right="0" w:hanging="0"/>
              <w:jc w:val="left"/>
              <w:rPr>
                <w:rFonts w:ascii="helvetica" w:hAnsi="helvetica"/>
                <w:sz w:val="20"/>
              </w:rPr>
            </w:pPr>
            <w:r>
              <w:rPr>
                <w:rFonts w:ascii="helvetica" w:hAnsi="helvetica"/>
                <w:sz w:val="20"/>
              </w:rPr>
              <w:t>XBRL Taxonomy Extension Schema Document</w:t>
            </w:r>
          </w:p>
        </w:tc>
      </w:tr>
      <w:tr>
        <w:trPr/>
        <w:tc>
          <w:tcPr>
            <w:tcW w:w="815" w:type="dxa"/>
            <w:tcBorders/>
            <w:shd w:fill="FFFFFF" w:val="clear"/>
          </w:tcPr>
          <w:p>
            <w:pPr>
              <w:pStyle w:val="TableContents"/>
              <w:spacing w:before="0" w:after="283"/>
              <w:ind w:left="0" w:right="0" w:hanging="0"/>
              <w:jc w:val="left"/>
              <w:rPr/>
            </w:pPr>
            <w:r>
              <w:rPr/>
              <w:t> </w:t>
            </w:r>
          </w:p>
        </w:tc>
        <w:tc>
          <w:tcPr>
            <w:tcW w:w="203" w:type="dxa"/>
            <w:tcBorders/>
            <w:shd w:fill="FFFFFF" w:val="clear"/>
            <w:vAlign w:val="bottom"/>
          </w:tcPr>
          <w:p>
            <w:pPr>
              <w:pStyle w:val="TableContents"/>
              <w:spacing w:before="0" w:after="283"/>
              <w:jc w:val="left"/>
              <w:rPr/>
            </w:pPr>
            <w:r>
              <w:rPr/>
              <w:t> </w:t>
            </w:r>
          </w:p>
        </w:tc>
        <w:tc>
          <w:tcPr>
            <w:tcW w:w="9187" w:type="dxa"/>
            <w:tcBorders/>
            <w:shd w:fill="FFFFFF" w:val="clear"/>
          </w:tcPr>
          <w:p>
            <w:pPr>
              <w:pStyle w:val="TableContents"/>
              <w:spacing w:before="0" w:after="283"/>
              <w:jc w:val="left"/>
              <w:rPr/>
            </w:pPr>
            <w:r>
              <w:rPr/>
              <w:t> </w:t>
            </w:r>
          </w:p>
        </w:tc>
      </w:tr>
      <w:tr>
        <w:trPr/>
        <w:tc>
          <w:tcPr>
            <w:tcW w:w="815" w:type="dxa"/>
            <w:tcBorders/>
            <w:shd w:fill="CCEEFF" w:val="clear"/>
          </w:tcPr>
          <w:p>
            <w:pPr>
              <w:pStyle w:val="TableContents"/>
              <w:spacing w:before="0" w:after="0"/>
              <w:ind w:left="0" w:right="0" w:hanging="0"/>
              <w:jc w:val="left"/>
              <w:rPr>
                <w:rFonts w:ascii="helvetica" w:hAnsi="helvetica"/>
                <w:sz w:val="20"/>
              </w:rPr>
            </w:pPr>
            <w:r>
              <w:rPr>
                <w:rFonts w:ascii="helvetica" w:hAnsi="helvetica"/>
                <w:sz w:val="20"/>
              </w:rPr>
              <w:t>101.CAL++*</w:t>
            </w:r>
          </w:p>
        </w:tc>
        <w:tc>
          <w:tcPr>
            <w:tcW w:w="203" w:type="dxa"/>
            <w:tcBorders/>
            <w:shd w:fill="CCEEFF" w:val="clear"/>
            <w:vAlign w:val="bottom"/>
          </w:tcPr>
          <w:p>
            <w:pPr>
              <w:pStyle w:val="TableContents"/>
              <w:spacing w:before="0" w:after="283"/>
              <w:ind w:left="0" w:right="0" w:hanging="0"/>
              <w:rPr/>
            </w:pPr>
            <w:r>
              <w:rPr/>
              <w:t xml:space="preserve">  </w:t>
            </w:r>
          </w:p>
        </w:tc>
        <w:tc>
          <w:tcPr>
            <w:tcW w:w="9187" w:type="dxa"/>
            <w:tcBorders/>
            <w:shd w:fill="CCEEFF" w:val="clear"/>
          </w:tcPr>
          <w:p>
            <w:pPr>
              <w:pStyle w:val="TableContents"/>
              <w:spacing w:before="0" w:after="0"/>
              <w:ind w:left="0" w:right="0" w:hanging="0"/>
              <w:jc w:val="left"/>
              <w:rPr>
                <w:rFonts w:ascii="helvetica" w:hAnsi="helvetica"/>
                <w:sz w:val="20"/>
              </w:rPr>
            </w:pPr>
            <w:r>
              <w:rPr>
                <w:rFonts w:ascii="helvetica" w:hAnsi="helvetica"/>
                <w:sz w:val="20"/>
              </w:rPr>
              <w:t>XBRL Taxonomy Extension Calculation Linkbase Document</w:t>
            </w:r>
          </w:p>
        </w:tc>
      </w:tr>
      <w:tr>
        <w:trPr/>
        <w:tc>
          <w:tcPr>
            <w:tcW w:w="815" w:type="dxa"/>
            <w:tcBorders/>
            <w:shd w:fill="FFFFFF" w:val="clear"/>
          </w:tcPr>
          <w:p>
            <w:pPr>
              <w:pStyle w:val="TableContents"/>
              <w:spacing w:before="0" w:after="283"/>
              <w:jc w:val="left"/>
              <w:rPr/>
            </w:pPr>
            <w:r>
              <w:rPr/>
              <w:t> </w:t>
            </w:r>
          </w:p>
        </w:tc>
        <w:tc>
          <w:tcPr>
            <w:tcW w:w="203" w:type="dxa"/>
            <w:tcBorders/>
            <w:shd w:fill="FFFFFF" w:val="clear"/>
            <w:vAlign w:val="bottom"/>
          </w:tcPr>
          <w:p>
            <w:pPr>
              <w:pStyle w:val="TableContents"/>
              <w:spacing w:before="0" w:after="283"/>
              <w:rPr/>
            </w:pPr>
            <w:r>
              <w:rPr/>
              <w:t> </w:t>
            </w:r>
          </w:p>
        </w:tc>
        <w:tc>
          <w:tcPr>
            <w:tcW w:w="9187" w:type="dxa"/>
            <w:tcBorders/>
            <w:shd w:fill="FFFFFF" w:val="clear"/>
          </w:tcPr>
          <w:p>
            <w:pPr>
              <w:pStyle w:val="TableContents"/>
              <w:spacing w:before="0" w:after="283"/>
              <w:jc w:val="left"/>
              <w:rPr/>
            </w:pPr>
            <w:r>
              <w:rPr/>
              <w:t> </w:t>
            </w:r>
          </w:p>
        </w:tc>
      </w:tr>
      <w:tr>
        <w:trPr/>
        <w:tc>
          <w:tcPr>
            <w:tcW w:w="815" w:type="dxa"/>
            <w:tcBorders/>
            <w:shd w:fill="CCEEFF" w:val="clear"/>
          </w:tcPr>
          <w:p>
            <w:pPr>
              <w:pStyle w:val="TableContents"/>
              <w:spacing w:before="0" w:after="0"/>
              <w:ind w:left="0" w:right="0" w:hanging="0"/>
              <w:jc w:val="left"/>
              <w:rPr>
                <w:rFonts w:ascii="helvetica" w:hAnsi="helvetica"/>
                <w:sz w:val="20"/>
              </w:rPr>
            </w:pPr>
            <w:r>
              <w:rPr>
                <w:rFonts w:ascii="helvetica" w:hAnsi="helvetica"/>
                <w:sz w:val="20"/>
              </w:rPr>
              <w:t>101.DEF++*</w:t>
            </w:r>
          </w:p>
        </w:tc>
        <w:tc>
          <w:tcPr>
            <w:tcW w:w="203" w:type="dxa"/>
            <w:tcBorders/>
            <w:shd w:fill="CCEEFF" w:val="clear"/>
            <w:vAlign w:val="bottom"/>
          </w:tcPr>
          <w:p>
            <w:pPr>
              <w:pStyle w:val="TableContents"/>
              <w:spacing w:before="0" w:after="283"/>
              <w:ind w:left="0" w:right="0" w:hanging="0"/>
              <w:rPr/>
            </w:pPr>
            <w:r>
              <w:rPr/>
              <w:t xml:space="preserve">  </w:t>
            </w:r>
          </w:p>
        </w:tc>
        <w:tc>
          <w:tcPr>
            <w:tcW w:w="9187" w:type="dxa"/>
            <w:tcBorders/>
            <w:shd w:fill="CCEEFF" w:val="clear"/>
          </w:tcPr>
          <w:p>
            <w:pPr>
              <w:pStyle w:val="TableContents"/>
              <w:spacing w:before="0" w:after="0"/>
              <w:ind w:left="0" w:right="0" w:hanging="0"/>
              <w:jc w:val="left"/>
              <w:rPr>
                <w:rFonts w:ascii="helvetica" w:hAnsi="helvetica"/>
                <w:sz w:val="20"/>
              </w:rPr>
            </w:pPr>
            <w:r>
              <w:rPr>
                <w:rFonts w:ascii="helvetica" w:hAnsi="helvetica"/>
                <w:sz w:val="20"/>
              </w:rPr>
              <w:t>XBRL Taxonomy Extension Definition Linkbase Document</w:t>
            </w:r>
          </w:p>
        </w:tc>
      </w:tr>
      <w:tr>
        <w:trPr/>
        <w:tc>
          <w:tcPr>
            <w:tcW w:w="815" w:type="dxa"/>
            <w:tcBorders/>
            <w:shd w:fill="FFFFFF" w:val="clear"/>
          </w:tcPr>
          <w:p>
            <w:pPr>
              <w:pStyle w:val="TableContents"/>
              <w:spacing w:before="0" w:after="283"/>
              <w:jc w:val="left"/>
              <w:rPr/>
            </w:pPr>
            <w:r>
              <w:rPr/>
              <w:t> </w:t>
            </w:r>
          </w:p>
        </w:tc>
        <w:tc>
          <w:tcPr>
            <w:tcW w:w="203" w:type="dxa"/>
            <w:tcBorders/>
            <w:shd w:fill="FFFFFF" w:val="clear"/>
            <w:vAlign w:val="bottom"/>
          </w:tcPr>
          <w:p>
            <w:pPr>
              <w:pStyle w:val="TableContents"/>
              <w:spacing w:before="0" w:after="283"/>
              <w:rPr/>
            </w:pPr>
            <w:r>
              <w:rPr/>
              <w:t> </w:t>
            </w:r>
          </w:p>
        </w:tc>
        <w:tc>
          <w:tcPr>
            <w:tcW w:w="9187" w:type="dxa"/>
            <w:tcBorders/>
            <w:shd w:fill="FFFFFF" w:val="clear"/>
          </w:tcPr>
          <w:p>
            <w:pPr>
              <w:pStyle w:val="TableContents"/>
              <w:spacing w:before="0" w:after="283"/>
              <w:jc w:val="left"/>
              <w:rPr/>
            </w:pPr>
            <w:r>
              <w:rPr/>
              <w:t> </w:t>
            </w:r>
          </w:p>
        </w:tc>
      </w:tr>
      <w:tr>
        <w:trPr/>
        <w:tc>
          <w:tcPr>
            <w:tcW w:w="815" w:type="dxa"/>
            <w:tcBorders/>
            <w:shd w:fill="CCEEFF" w:val="clear"/>
          </w:tcPr>
          <w:p>
            <w:pPr>
              <w:pStyle w:val="TableContents"/>
              <w:spacing w:before="0" w:after="0"/>
              <w:ind w:left="0" w:right="0" w:hanging="0"/>
              <w:jc w:val="left"/>
              <w:rPr>
                <w:rFonts w:ascii="helvetica" w:hAnsi="helvetica"/>
                <w:sz w:val="20"/>
              </w:rPr>
            </w:pPr>
            <w:r>
              <w:rPr>
                <w:rFonts w:ascii="helvetica" w:hAnsi="helvetica"/>
                <w:sz w:val="20"/>
              </w:rPr>
              <w:t>101.LAB++*</w:t>
            </w:r>
          </w:p>
        </w:tc>
        <w:tc>
          <w:tcPr>
            <w:tcW w:w="203" w:type="dxa"/>
            <w:tcBorders/>
            <w:shd w:fill="CCEEFF" w:val="clear"/>
            <w:vAlign w:val="bottom"/>
          </w:tcPr>
          <w:p>
            <w:pPr>
              <w:pStyle w:val="TableContents"/>
              <w:spacing w:before="0" w:after="283"/>
              <w:ind w:left="0" w:right="0" w:hanging="0"/>
              <w:rPr/>
            </w:pPr>
            <w:r>
              <w:rPr/>
              <w:t xml:space="preserve">  </w:t>
            </w:r>
          </w:p>
        </w:tc>
        <w:tc>
          <w:tcPr>
            <w:tcW w:w="9187" w:type="dxa"/>
            <w:tcBorders/>
            <w:shd w:fill="CCEEFF" w:val="clear"/>
          </w:tcPr>
          <w:p>
            <w:pPr>
              <w:pStyle w:val="TableContents"/>
              <w:spacing w:before="0" w:after="0"/>
              <w:ind w:left="0" w:right="0" w:hanging="0"/>
              <w:jc w:val="left"/>
              <w:rPr>
                <w:rFonts w:ascii="helvetica" w:hAnsi="helvetica"/>
                <w:sz w:val="20"/>
              </w:rPr>
            </w:pPr>
            <w:r>
              <w:rPr>
                <w:rFonts w:ascii="helvetica" w:hAnsi="helvetica"/>
                <w:sz w:val="20"/>
              </w:rPr>
              <w:t>XBRL Taxonomy Extension Label Linkbase Document</w:t>
            </w:r>
          </w:p>
        </w:tc>
      </w:tr>
      <w:tr>
        <w:trPr/>
        <w:tc>
          <w:tcPr>
            <w:tcW w:w="815" w:type="dxa"/>
            <w:tcBorders/>
            <w:shd w:fill="FFFFFF" w:val="clear"/>
          </w:tcPr>
          <w:p>
            <w:pPr>
              <w:pStyle w:val="TableContents"/>
              <w:spacing w:before="0" w:after="283"/>
              <w:jc w:val="left"/>
              <w:rPr/>
            </w:pPr>
            <w:r>
              <w:rPr/>
              <w:t> </w:t>
            </w:r>
          </w:p>
        </w:tc>
        <w:tc>
          <w:tcPr>
            <w:tcW w:w="203" w:type="dxa"/>
            <w:tcBorders/>
            <w:shd w:fill="FFFFFF" w:val="clear"/>
            <w:vAlign w:val="bottom"/>
          </w:tcPr>
          <w:p>
            <w:pPr>
              <w:pStyle w:val="TableContents"/>
              <w:spacing w:before="0" w:after="283"/>
              <w:rPr/>
            </w:pPr>
            <w:r>
              <w:rPr/>
              <w:t> </w:t>
            </w:r>
          </w:p>
        </w:tc>
        <w:tc>
          <w:tcPr>
            <w:tcW w:w="9187" w:type="dxa"/>
            <w:tcBorders/>
            <w:shd w:fill="FFFFFF" w:val="clear"/>
          </w:tcPr>
          <w:p>
            <w:pPr>
              <w:pStyle w:val="TableContents"/>
              <w:spacing w:before="0" w:after="283"/>
              <w:jc w:val="left"/>
              <w:rPr/>
            </w:pPr>
            <w:r>
              <w:rPr/>
              <w:t> </w:t>
            </w:r>
          </w:p>
        </w:tc>
      </w:tr>
      <w:tr>
        <w:trPr/>
        <w:tc>
          <w:tcPr>
            <w:tcW w:w="815" w:type="dxa"/>
            <w:tcBorders/>
            <w:shd w:fill="CCEEFF" w:val="clear"/>
          </w:tcPr>
          <w:p>
            <w:pPr>
              <w:pStyle w:val="TableContents"/>
              <w:spacing w:before="0" w:after="0"/>
              <w:ind w:left="0" w:right="0" w:hanging="0"/>
              <w:jc w:val="left"/>
              <w:rPr>
                <w:rFonts w:ascii="helvetica" w:hAnsi="helvetica"/>
                <w:sz w:val="20"/>
              </w:rPr>
            </w:pPr>
            <w:r>
              <w:rPr>
                <w:rFonts w:ascii="helvetica" w:hAnsi="helvetica"/>
                <w:sz w:val="20"/>
              </w:rPr>
              <w:t>101.PRE++*</w:t>
            </w:r>
          </w:p>
        </w:tc>
        <w:tc>
          <w:tcPr>
            <w:tcW w:w="203" w:type="dxa"/>
            <w:tcBorders/>
            <w:shd w:fill="CCEEFF" w:val="clear"/>
            <w:vAlign w:val="bottom"/>
          </w:tcPr>
          <w:p>
            <w:pPr>
              <w:pStyle w:val="TableContents"/>
              <w:spacing w:before="0" w:after="283"/>
              <w:ind w:left="0" w:right="0" w:hanging="0"/>
              <w:rPr/>
            </w:pPr>
            <w:r>
              <w:rPr/>
              <w:t xml:space="preserve">  </w:t>
            </w:r>
          </w:p>
        </w:tc>
        <w:tc>
          <w:tcPr>
            <w:tcW w:w="9187" w:type="dxa"/>
            <w:tcBorders/>
            <w:shd w:fill="CCEEFF" w:val="clear"/>
          </w:tcPr>
          <w:p>
            <w:pPr>
              <w:pStyle w:val="TableContents"/>
              <w:spacing w:before="0" w:after="0"/>
              <w:ind w:left="0" w:right="0" w:hanging="0"/>
              <w:jc w:val="left"/>
              <w:rPr>
                <w:rFonts w:ascii="helvetica" w:hAnsi="helvetica"/>
                <w:sz w:val="20"/>
              </w:rPr>
            </w:pPr>
            <w:r>
              <w:rPr>
                <w:rFonts w:ascii="helvetica" w:hAnsi="helvetica"/>
                <w:sz w:val="20"/>
              </w:rPr>
              <w:t>XBRL Taxonomy Extension Presentation Linkbase Document</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210"/>
        <w:gridCol w:w="9574"/>
        <w:gridCol w:w="421"/>
      </w:tblGrid>
      <w:tr>
        <w:trPr/>
        <w:tc>
          <w:tcPr>
            <w:tcW w:w="210" w:type="dxa"/>
            <w:tcBorders/>
            <w:shd w:fill="auto" w:val="clear"/>
          </w:tcPr>
          <w:p>
            <w:pPr>
              <w:pStyle w:val="TableContents"/>
              <w:spacing w:before="0" w:after="0"/>
              <w:ind w:left="720" w:right="0" w:hanging="720"/>
              <w:jc w:val="left"/>
              <w:rPr/>
            </w:pPr>
            <w:r>
              <w:rPr/>
              <w:t>†</w:t>
            </w:r>
          </w:p>
        </w:tc>
        <w:tc>
          <w:tcPr>
            <w:tcW w:w="9574" w:type="dxa"/>
            <w:tcBorders/>
            <w:shd w:fill="auto" w:val="clear"/>
          </w:tcPr>
          <w:p>
            <w:pPr>
              <w:pStyle w:val="TableContents"/>
              <w:spacing w:before="0" w:after="0"/>
              <w:ind w:left="180" w:right="0" w:hanging="0"/>
              <w:jc w:val="left"/>
              <w:rPr>
                <w:rFonts w:ascii="helvetica" w:hAnsi="helvetica"/>
                <w:sz w:val="20"/>
              </w:rPr>
            </w:pPr>
            <w:r>
              <w:rPr>
                <w:rFonts w:ascii="helvetica" w:hAnsi="helvetica"/>
                <w:sz w:val="20"/>
              </w:rPr>
              <w:t>To be filed by amendment.</w:t>
            </w:r>
          </w:p>
        </w:tc>
        <w:tc>
          <w:tcPr>
            <w:tcW w:w="421" w:type="dxa"/>
            <w:tcBorders/>
            <w:shd w:fill="auto" w:val="clear"/>
          </w:tcPr>
          <w:p>
            <w:pPr>
              <w:pStyle w:val="TableContents"/>
              <w:spacing w:before="0" w:after="283"/>
              <w:rPr/>
            </w:pPr>
            <w:r>
              <w:rPr/>
              <w:t xml:space="preserve">  </w:t>
            </w:r>
          </w:p>
        </w:tc>
      </w:tr>
      <w:tr>
        <w:trPr/>
        <w:tc>
          <w:tcPr>
            <w:tcW w:w="210" w:type="dxa"/>
            <w:tcBorders/>
            <w:shd w:fill="auto" w:val="clear"/>
          </w:tcPr>
          <w:p>
            <w:pPr>
              <w:pStyle w:val="TableContents"/>
              <w:spacing w:before="0" w:after="0"/>
              <w:ind w:left="720" w:right="0" w:hanging="720"/>
              <w:jc w:val="left"/>
              <w:rPr>
                <w:rFonts w:ascii="helvetica" w:hAnsi="helvetica"/>
                <w:sz w:val="20"/>
              </w:rPr>
            </w:pPr>
            <w:r>
              <w:rPr>
                <w:rFonts w:ascii="helvetica" w:hAnsi="helvetica"/>
                <w:sz w:val="20"/>
              </w:rPr>
              <w:t>*</w:t>
            </w:r>
          </w:p>
        </w:tc>
        <w:tc>
          <w:tcPr>
            <w:tcW w:w="9995" w:type="dxa"/>
            <w:gridSpan w:val="2"/>
            <w:tcBorders/>
            <w:shd w:fill="auto" w:val="clear"/>
          </w:tcPr>
          <w:p>
            <w:pPr>
              <w:pStyle w:val="TableContents"/>
              <w:spacing w:before="0" w:after="0"/>
              <w:ind w:left="180" w:right="0" w:hanging="0"/>
              <w:jc w:val="left"/>
              <w:rPr>
                <w:rFonts w:ascii="helvetica" w:hAnsi="helvetica"/>
                <w:sz w:val="20"/>
              </w:rPr>
            </w:pPr>
            <w:r>
              <w:rPr>
                <w:rFonts w:ascii="helvetica" w:hAnsi="helvetica"/>
                <w:sz w:val="20"/>
              </w:rPr>
              <w:t>Filed herewith</w:t>
            </w:r>
          </w:p>
        </w:tc>
      </w:tr>
      <w:tr>
        <w:trPr/>
        <w:tc>
          <w:tcPr>
            <w:tcW w:w="210" w:type="dxa"/>
            <w:tcBorders/>
            <w:shd w:fill="auto" w:val="clear"/>
          </w:tcPr>
          <w:p>
            <w:pPr>
              <w:pStyle w:val="TableContents"/>
              <w:spacing w:before="0" w:after="0"/>
              <w:ind w:left="720" w:right="0" w:hanging="720"/>
              <w:jc w:val="left"/>
              <w:rPr>
                <w:rFonts w:ascii="helvetica" w:hAnsi="helvetica"/>
                <w:sz w:val="20"/>
              </w:rPr>
            </w:pPr>
            <w:r>
              <w:rPr>
                <w:rFonts w:ascii="helvetica" w:hAnsi="helvetica"/>
                <w:sz w:val="20"/>
              </w:rPr>
              <w:t>#</w:t>
            </w:r>
          </w:p>
        </w:tc>
        <w:tc>
          <w:tcPr>
            <w:tcW w:w="9995" w:type="dxa"/>
            <w:gridSpan w:val="2"/>
            <w:tcBorders/>
            <w:shd w:fill="auto" w:val="clear"/>
          </w:tcPr>
          <w:p>
            <w:pPr>
              <w:pStyle w:val="TableContents"/>
              <w:spacing w:before="0" w:after="0"/>
              <w:ind w:left="180" w:right="0" w:hanging="0"/>
              <w:jc w:val="left"/>
              <w:rPr>
                <w:rFonts w:ascii="helvetica" w:hAnsi="helvetica"/>
                <w:sz w:val="20"/>
              </w:rPr>
            </w:pPr>
            <w:r>
              <w:rPr>
                <w:rFonts w:ascii="helvetica" w:hAnsi="helvetica"/>
                <w:sz w:val="20"/>
              </w:rPr>
              <w:t>Management contract or compensatory plan or arrangement.</w:t>
            </w:r>
          </w:p>
        </w:tc>
      </w:tr>
      <w:tr>
        <w:trPr/>
        <w:tc>
          <w:tcPr>
            <w:tcW w:w="210" w:type="dxa"/>
            <w:tcBorders/>
            <w:shd w:fill="auto" w:val="clear"/>
          </w:tcPr>
          <w:p>
            <w:pPr>
              <w:pStyle w:val="TableContents"/>
              <w:spacing w:before="0" w:after="0"/>
              <w:ind w:left="720" w:right="0" w:hanging="720"/>
              <w:jc w:val="left"/>
              <w:rPr>
                <w:rFonts w:ascii="helvetica" w:hAnsi="helvetica"/>
                <w:sz w:val="20"/>
              </w:rPr>
            </w:pPr>
            <w:r>
              <w:rPr>
                <w:rFonts w:ascii="helvetica" w:hAnsi="helvetica"/>
                <w:sz w:val="20"/>
              </w:rPr>
              <w:t>++</w:t>
            </w:r>
          </w:p>
        </w:tc>
        <w:tc>
          <w:tcPr>
            <w:tcW w:w="9995" w:type="dxa"/>
            <w:gridSpan w:val="2"/>
            <w:tcBorders/>
            <w:shd w:fill="auto" w:val="clear"/>
          </w:tcPr>
          <w:p>
            <w:pPr>
              <w:pStyle w:val="TableContents"/>
              <w:spacing w:before="0" w:after="0"/>
              <w:ind w:left="180" w:right="0" w:hanging="0"/>
              <w:jc w:val="both"/>
              <w:rPr>
                <w:rFonts w:ascii="helvetica" w:hAnsi="helvetica"/>
                <w:sz w:val="20"/>
              </w:rPr>
            </w:pPr>
            <w:r>
              <w:rPr>
                <w:rFonts w:ascii="helvetica" w:hAnsi="helvetica"/>
                <w:sz w:val="20"/>
              </w:rPr>
              <w:t>XBRL (Extensible Business Reporting Language) information is furnished and not filed or a part of a registration statement or prospectus for purposes of Sections 11 or 12 of the Securities Act of 1933, as amended, is deemed not filed for purposes of Section 18 of the Securities Exchange Act of 1934, as amended, and is not otherwise subject to liability under these Sections.</w:t>
            </w:r>
          </w:p>
        </w:tc>
      </w:tr>
      <w:tr>
        <w:trPr/>
        <w:tc>
          <w:tcPr>
            <w:tcW w:w="210" w:type="dxa"/>
            <w:tcBorders/>
            <w:shd w:fill="auto" w:val="clear"/>
          </w:tcPr>
          <w:p>
            <w:pPr>
              <w:pStyle w:val="TableContents"/>
              <w:spacing w:before="0" w:after="283"/>
              <w:jc w:val="left"/>
              <w:rPr>
                <w:rFonts w:ascii="helvetica" w:hAnsi="helvetica"/>
                <w:sz w:val="20"/>
              </w:rPr>
            </w:pPr>
            <w:r>
              <w:rPr>
                <w:rFonts w:ascii="helvetica" w:hAnsi="helvetica"/>
                <w:sz w:val="20"/>
              </w:rPr>
              <w:t xml:space="preserve">** </w:t>
            </w:r>
          </w:p>
        </w:tc>
        <w:tc>
          <w:tcPr>
            <w:tcW w:w="9995" w:type="dxa"/>
            <w:gridSpan w:val="2"/>
            <w:tcBorders/>
            <w:shd w:fill="auto" w:val="clear"/>
          </w:tcPr>
          <w:p>
            <w:pPr>
              <w:pStyle w:val="TableContents"/>
              <w:spacing w:before="0" w:after="283"/>
              <w:jc w:val="both"/>
              <w:rPr/>
            </w:pPr>
            <w:r>
              <w:rPr/>
              <w:t>   </w:t>
            </w:r>
            <w:r>
              <w:rPr>
                <w:rFonts w:ascii="helvetica" w:hAnsi="helvetica"/>
                <w:sz w:val="20"/>
              </w:rPr>
              <w:t>Previously filed</w:t>
            </w:r>
          </w:p>
        </w:tc>
      </w:tr>
    </w:tbl>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bookmarkStart w:id="1445" w:name="PGBRK127"/>
      <w:bookmarkEnd w:id="1445"/>
      <w:r>
        <w:rPr/>
        <w:t xml:space="preserve">  </w:t>
      </w:r>
    </w:p>
    <w:p>
      <w:pPr>
        <w:pStyle w:val="TextBody"/>
        <w:spacing w:before="0" w:after="0"/>
        <w:jc w:val="center"/>
        <w:rPr/>
      </w:pPr>
      <w:r>
        <w:rPr/>
        <w:t xml:space="preserve">II-12 </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right"/>
        <w:rPr>
          <w:rFonts w:ascii="Times New Roman" w:hAnsi="Times New Roman"/>
          <w:b/>
          <w:sz w:val="20"/>
        </w:rPr>
      </w:pPr>
      <w:bookmarkStart w:id="1446" w:name="immy_ex51.htm"/>
      <w:bookmarkStart w:id="1447" w:name="ksimmy_ex51"/>
      <w:bookmarkEnd w:id="1446"/>
      <w:bookmarkEnd w:id="1447"/>
      <w:r>
        <w:rPr>
          <w:rFonts w:ascii="Times New Roman" w:hAnsi="Times New Roman"/>
          <w:b/>
          <w:sz w:val="20"/>
        </w:rPr>
        <w:t>EXHIBIT 5.1</w:t>
      </w:r>
    </w:p>
    <w:p>
      <w:pPr>
        <w:pStyle w:val="TextBody"/>
        <w:spacing w:before="0" w:after="0"/>
        <w:ind w:left="0" w:right="0" w:hanging="0"/>
        <w:jc w:val="right"/>
        <w:rPr/>
      </w:pPr>
      <w:r>
        <w:rPr/>
        <w:t> </w:t>
      </w:r>
    </w:p>
    <w:p>
      <w:pPr>
        <w:pStyle w:val="TextBody"/>
        <w:spacing w:before="0" w:after="0"/>
        <w:ind w:left="0" w:right="0" w:hanging="0"/>
        <w:jc w:val="left"/>
        <w:rPr/>
      </w:pPr>
      <w:r>
        <w:rPr/>
        <w:t> </w:t>
      </w:r>
    </w:p>
    <w:p>
      <w:pPr>
        <w:pStyle w:val="TextBody"/>
        <w:spacing w:before="0" w:after="0"/>
        <w:ind w:left="0" w:right="0" w:hanging="0"/>
        <w:jc w:val="center"/>
        <w:rPr/>
      </w:pPr>
      <w:r>
        <w:rPr/>
        <w:drawing>
          <wp:inline distT="0" distB="0" distL="0" distR="0">
            <wp:extent cx="6953250" cy="134302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6953250" cy="1343025"/>
                    </a:xfrm>
                    <a:prstGeom prst="rect">
                      <a:avLst/>
                    </a:prstGeom>
                  </pic:spPr>
                </pic:pic>
              </a:graphicData>
            </a:graphic>
          </wp:inline>
        </w:drawing>
      </w:r>
    </w:p>
    <w:p>
      <w:pPr>
        <w:pStyle w:val="TextBody"/>
        <w:spacing w:before="0" w:after="0"/>
        <w:ind w:left="0" w:right="0" w:hanging="0"/>
        <w:jc w:val="left"/>
        <w:rPr/>
      </w:pPr>
      <w:r>
        <w:rPr/>
        <w:t> </w:t>
      </w:r>
    </w:p>
    <w:p>
      <w:pPr>
        <w:pStyle w:val="TextBody"/>
        <w:spacing w:before="0" w:after="0"/>
        <w:ind w:left="0" w:right="0" w:hanging="0"/>
        <w:jc w:val="left"/>
        <w:rPr>
          <w:rFonts w:ascii="Times New Roman" w:hAnsi="Times New Roman"/>
          <w:b w:val="false"/>
          <w:sz w:val="20"/>
        </w:rPr>
      </w:pPr>
      <w:r>
        <w:rPr>
          <w:rFonts w:ascii="Times New Roman" w:hAnsi="Times New Roman"/>
          <w:b w:val="false"/>
          <w:sz w:val="20"/>
        </w:rPr>
        <w:t>September 4, 2012</w:t>
      </w:r>
    </w:p>
    <w:p>
      <w:pPr>
        <w:pStyle w:val="TextBody"/>
        <w:spacing w:before="0" w:after="0"/>
        <w:ind w:left="0" w:right="0" w:hanging="0"/>
        <w:jc w:val="left"/>
        <w:rPr>
          <w:b w:val="false"/>
        </w:rPr>
      </w:pPr>
      <w:r>
        <w:rPr>
          <w:b w:val="false"/>
        </w:rPr>
      </w:r>
    </w:p>
    <w:p>
      <w:pPr>
        <w:pStyle w:val="TextBody"/>
        <w:spacing w:before="0" w:after="0"/>
        <w:ind w:left="0" w:right="0" w:hanging="0"/>
        <w:jc w:val="left"/>
        <w:rPr>
          <w:b w:val="false"/>
        </w:rPr>
      </w:pPr>
      <w:r>
        <w:rPr>
          <w:b w:val="false"/>
        </w:rPr>
      </w:r>
    </w:p>
    <w:p>
      <w:pPr>
        <w:pStyle w:val="TextBody"/>
        <w:spacing w:before="0" w:after="0"/>
        <w:ind w:left="0" w:right="0" w:hanging="0"/>
        <w:jc w:val="left"/>
        <w:rPr>
          <w:rFonts w:ascii="Times New Roman" w:hAnsi="Times New Roman"/>
          <w:b w:val="false"/>
          <w:sz w:val="20"/>
        </w:rPr>
      </w:pPr>
      <w:r>
        <w:rPr>
          <w:rFonts w:ascii="Times New Roman" w:hAnsi="Times New Roman"/>
          <w:b w:val="false"/>
          <w:sz w:val="20"/>
        </w:rPr>
        <w:t>Imprimis Pharmaceuticals, Inc.</w:t>
      </w:r>
    </w:p>
    <w:p>
      <w:pPr>
        <w:pStyle w:val="TextBody"/>
        <w:spacing w:before="0" w:after="0"/>
        <w:ind w:left="0" w:right="0" w:hanging="0"/>
        <w:jc w:val="left"/>
        <w:rPr>
          <w:rFonts w:ascii="Times New Roman" w:hAnsi="Times New Roman"/>
          <w:b w:val="false"/>
          <w:sz w:val="20"/>
        </w:rPr>
      </w:pPr>
      <w:r>
        <w:rPr>
          <w:rFonts w:ascii="Times New Roman" w:hAnsi="Times New Roman"/>
          <w:b w:val="false"/>
          <w:sz w:val="20"/>
        </w:rPr>
        <w:t>437 South Highway 101, Suite 209</w:t>
      </w:r>
    </w:p>
    <w:p>
      <w:pPr>
        <w:pStyle w:val="TextBody"/>
        <w:spacing w:before="0" w:after="0"/>
        <w:jc w:val="left"/>
        <w:rPr>
          <w:rFonts w:ascii="Times New Roman" w:hAnsi="Times New Roman"/>
          <w:b w:val="false"/>
          <w:sz w:val="20"/>
        </w:rPr>
      </w:pPr>
      <w:r>
        <w:rPr>
          <w:rFonts w:ascii="Times New Roman" w:hAnsi="Times New Roman"/>
          <w:b w:val="false"/>
          <w:sz w:val="20"/>
        </w:rPr>
        <w:t>Solana Beach, CA 92075</w:t>
      </w:r>
    </w:p>
    <w:p>
      <w:pPr>
        <w:pStyle w:val="TextBody"/>
        <w:spacing w:before="0" w:after="0"/>
        <w:ind w:left="0" w:right="0" w:hanging="0"/>
        <w:jc w:val="both"/>
        <w:rPr/>
      </w:pPr>
      <w:bookmarkStart w:id="1448" w:name="hangingindent1"/>
      <w:bookmarkStart w:id="1449" w:name="hangingindent2"/>
      <w:bookmarkEnd w:id="1448"/>
      <w:bookmarkEnd w:id="1449"/>
      <w:r>
        <w:rPr/>
        <w:t> </w:t>
      </w:r>
    </w:p>
    <w:p>
      <w:pPr>
        <w:pStyle w:val="Normal"/>
        <w:spacing w:before="0" w:after="0"/>
        <w:jc w:val="left"/>
        <w:rPr>
          <w:sz w:val="4"/>
          <w:szCs w:val="4"/>
        </w:rPr>
      </w:pPr>
      <w:r>
        <w:rPr>
          <w:sz w:val="4"/>
          <w:szCs w:val="4"/>
        </w:rPr>
      </w:r>
      <w:bookmarkStart w:id="1450" w:name="hangingindent3"/>
      <w:bookmarkStart w:id="1451" w:name="hangingindent3"/>
      <w:bookmarkEnd w:id="1451"/>
    </w:p>
    <w:tbl>
      <w:tblPr>
        <w:tblW w:w="5000" w:type="pct"/>
        <w:jc w:val="center"/>
        <w:tblInd w:w="0" w:type="dxa"/>
        <w:tblCellMar>
          <w:top w:w="0" w:type="dxa"/>
          <w:left w:w="0" w:type="dxa"/>
          <w:bottom w:w="0" w:type="dxa"/>
          <w:right w:w="0" w:type="dxa"/>
        </w:tblCellMar>
      </w:tblPr>
      <w:tblGrid>
        <w:gridCol w:w="302"/>
        <w:gridCol w:w="9903"/>
      </w:tblGrid>
      <w:tr>
        <w:trPr/>
        <w:tc>
          <w:tcPr>
            <w:tcW w:w="302"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Re:</w:t>
            </w:r>
          </w:p>
        </w:tc>
        <w:tc>
          <w:tcPr>
            <w:tcW w:w="9903"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Issuance and Sale of Shares of Common Stock of Imprimis Pharmaceuticals, Inc. in an Aggregate Amount of up to $9,775,000</w:t>
            </w:r>
          </w:p>
        </w:tc>
      </w:tr>
    </w:tbl>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b w:val="false"/>
          <w:sz w:val="20"/>
        </w:rPr>
      </w:pPr>
      <w:r>
        <w:rPr>
          <w:rFonts w:ascii="Times New Roman" w:hAnsi="Times New Roman"/>
          <w:b w:val="false"/>
          <w:sz w:val="20"/>
        </w:rPr>
        <w:t>Ladies and Gentlemen:</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b w:val="false"/>
          <w:sz w:val="20"/>
        </w:rPr>
      </w:pPr>
      <w:r>
        <w:rPr>
          <w:rFonts w:ascii="Times New Roman" w:hAnsi="Times New Roman"/>
          <w:b w:val="false"/>
          <w:sz w:val="20"/>
        </w:rPr>
        <w:t>We are acting as counsel to Imprimis Pharmaceuticals, Inc., a Delaware corporation (the “</w:t>
      </w:r>
      <w:r>
        <w:rPr>
          <w:rFonts w:ascii="Times New Roman" w:hAnsi="Times New Roman"/>
          <w:b/>
          <w:sz w:val="20"/>
        </w:rPr>
        <w:t>Company</w:t>
      </w:r>
      <w:r>
        <w:rPr>
          <w:rFonts w:ascii="Times New Roman" w:hAnsi="Times New Roman"/>
          <w:b w:val="false"/>
          <w:sz w:val="20"/>
        </w:rPr>
        <w:t>”), in connection with the issuance and sale of shares (the “</w:t>
      </w:r>
      <w:r>
        <w:rPr>
          <w:rFonts w:ascii="Times New Roman" w:hAnsi="Times New Roman"/>
          <w:b/>
          <w:sz w:val="20"/>
        </w:rPr>
        <w:t>Shares</w:t>
      </w:r>
      <w:r>
        <w:rPr>
          <w:rFonts w:ascii="Times New Roman" w:hAnsi="Times New Roman"/>
          <w:b w:val="false"/>
          <w:sz w:val="20"/>
        </w:rPr>
        <w:t>”) of the Company’s common stock, par value $0.001 per share (the “</w:t>
      </w:r>
      <w:r>
        <w:rPr>
          <w:rFonts w:ascii="Times New Roman" w:hAnsi="Times New Roman"/>
          <w:b/>
          <w:sz w:val="20"/>
        </w:rPr>
        <w:t>Common Stock</w:t>
      </w:r>
      <w:r>
        <w:rPr>
          <w:rFonts w:ascii="Times New Roman" w:hAnsi="Times New Roman"/>
          <w:b w:val="false"/>
          <w:sz w:val="20"/>
        </w:rPr>
        <w:t>”), in an aggregate amount of up to $9,775,000, pursuant to the Registration Statement on Form S-1, including the related prospectus included therein (the “</w:t>
      </w:r>
      <w:r>
        <w:rPr>
          <w:rFonts w:ascii="Times New Roman" w:hAnsi="Times New Roman"/>
          <w:b/>
          <w:sz w:val="20"/>
        </w:rPr>
        <w:t>Registration Statement</w:t>
      </w:r>
      <w:r>
        <w:rPr>
          <w:rFonts w:ascii="Times New Roman" w:hAnsi="Times New Roman"/>
          <w:b w:val="false"/>
          <w:sz w:val="20"/>
        </w:rPr>
        <w:t>”), initially filed by the Company with the Securities and Exchange Commission (the “</w:t>
      </w:r>
      <w:r>
        <w:rPr>
          <w:rFonts w:ascii="Times New Roman" w:hAnsi="Times New Roman"/>
          <w:b/>
          <w:sz w:val="20"/>
        </w:rPr>
        <w:t>Commission</w:t>
      </w:r>
      <w:r>
        <w:rPr>
          <w:rFonts w:ascii="Times New Roman" w:hAnsi="Times New Roman"/>
          <w:b w:val="false"/>
          <w:sz w:val="20"/>
        </w:rPr>
        <w:t>”) under the Securities Act of 1933, as amended (the “</w:t>
      </w:r>
      <w:r>
        <w:rPr>
          <w:rFonts w:ascii="Times New Roman" w:hAnsi="Times New Roman"/>
          <w:b/>
          <w:sz w:val="20"/>
        </w:rPr>
        <w:t>Securities Act</w:t>
      </w:r>
      <w:r>
        <w:rPr>
          <w:rFonts w:ascii="Times New Roman" w:hAnsi="Times New Roman"/>
          <w:b w:val="false"/>
          <w:sz w:val="20"/>
        </w:rPr>
        <w:t>”) on July 25, 2012, as amended by Amendment No. 1 thereto filed with the Commission on August 16, 2012, and as further amended by Amendment No. 2 thereto filed with the Commission on the date hereof.</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b w:val="false"/>
          <w:sz w:val="20"/>
        </w:rPr>
      </w:pPr>
      <w:r>
        <w:rPr>
          <w:rFonts w:ascii="Times New Roman" w:hAnsi="Times New Roman"/>
          <w:b w:val="false"/>
          <w:sz w:val="20"/>
        </w:rPr>
        <w:t>As counsel to the Company, we have examined originals or copies, certified or otherwise identified to our satisfaction, of such documents, corporate records, certificates of public officials and other instruments as we have deemed necessary for the purposes of rendering this opinion and we are familiar with the proceedings taken and proposed to be taken by the Company in connection with the authorization, issuance and sale of the Shares.  In our examination, we have assumed the genuineness of all signatures, the authenticity of all documents submitted to us as originals and the conformity with the originals of all documents submitted to us as copies.</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b w:val="false"/>
          <w:sz w:val="20"/>
        </w:rPr>
      </w:pPr>
      <w:r>
        <w:rPr>
          <w:rFonts w:ascii="Times New Roman" w:hAnsi="Times New Roman"/>
          <w:b w:val="false"/>
          <w:sz w:val="20"/>
        </w:rPr>
        <w:t>Based upon, subject to and limited by the foregoing, we are of the opinion that:</w:t>
      </w:r>
    </w:p>
    <w:p>
      <w:pPr>
        <w:pStyle w:val="TextBody"/>
        <w:spacing w:before="0" w:after="0"/>
        <w:ind w:left="0" w:right="0" w:hanging="0"/>
        <w:jc w:val="both"/>
        <w:rPr/>
      </w:pPr>
      <w:r>
        <w:rPr/>
        <w:t> </w:t>
      </w:r>
    </w:p>
    <w:p>
      <w:pPr>
        <w:pStyle w:val="TextBody"/>
        <w:spacing w:before="0" w:after="0"/>
        <w:ind w:left="720" w:right="0" w:hanging="0"/>
        <w:jc w:val="left"/>
        <w:rPr>
          <w:rFonts w:ascii="Times New Roman" w:hAnsi="Times New Roman"/>
          <w:b w:val="false"/>
          <w:sz w:val="20"/>
        </w:rPr>
      </w:pPr>
      <w:r>
        <w:rPr>
          <w:rFonts w:ascii="Times New Roman" w:hAnsi="Times New Roman"/>
          <w:b w:val="false"/>
          <w:sz w:val="20"/>
        </w:rPr>
        <w:t>The Shares have been duly and validly authorized and upon issuance, delivery and payment therefor in the manner contemplated by the Registration Statement will be legally issued, fully paid and nonassessable.</w:t>
      </w:r>
    </w:p>
    <w:p>
      <w:pPr>
        <w:pStyle w:val="TextBody"/>
        <w:spacing w:before="0" w:after="0"/>
        <w:ind w:left="0" w:right="0" w:hanging="0"/>
        <w:jc w:val="left"/>
        <w:rPr>
          <w:b w:val="false"/>
        </w:rPr>
      </w:pPr>
      <w:r>
        <w:rPr>
          <w:b w:val="false"/>
        </w:rPr>
      </w:r>
    </w:p>
    <w:p>
      <w:pPr>
        <w:pStyle w:val="TextBody"/>
        <w:spacing w:before="0" w:after="0"/>
        <w:ind w:left="0" w:right="0" w:hanging="0"/>
        <w:jc w:val="left"/>
        <w:rPr>
          <w:rFonts w:ascii="Times New Roman" w:hAnsi="Times New Roman"/>
          <w:b w:val="false"/>
          <w:sz w:val="20"/>
        </w:rPr>
      </w:pPr>
      <w:r>
        <w:rPr>
          <w:rFonts w:ascii="Times New Roman" w:hAnsi="Times New Roman"/>
          <w:b w:val="false"/>
          <w:sz w:val="20"/>
        </w:rPr>
        <w:t>We express no opinion as to matters governed by any laws other than the substantive laws of the State of Delaware and the federal laws of the United States of America, as in effect on the date hereof.</w:t>
      </w:r>
    </w:p>
    <w:p>
      <w:pPr>
        <w:pStyle w:val="TextBody"/>
        <w:spacing w:before="0" w:after="0"/>
        <w:ind w:left="0" w:right="0" w:hanging="0"/>
        <w:jc w:val="left"/>
        <w:rPr>
          <w:b w:val="false"/>
        </w:rPr>
      </w:pPr>
      <w:r>
        <w:rPr>
          <w:b w:val="false"/>
        </w:rPr>
      </w:r>
    </w:p>
    <w:p>
      <w:pPr>
        <w:pStyle w:val="TextBody"/>
        <w:spacing w:before="0" w:after="0"/>
        <w:ind w:left="0" w:right="0" w:hanging="0"/>
        <w:jc w:val="left"/>
        <w:rPr>
          <w:rFonts w:ascii="Times New Roman" w:hAnsi="Times New Roman"/>
          <w:b w:val="false"/>
          <w:sz w:val="20"/>
        </w:rPr>
      </w:pPr>
      <w:r>
        <w:rPr>
          <w:rFonts w:ascii="Times New Roman" w:hAnsi="Times New Roman"/>
          <w:b w:val="false"/>
          <w:sz w:val="20"/>
        </w:rPr>
        <w:t>We hereby consent to the filing of this opinion as an exhibit to the Registration Statement and to the reference to our firm under the caption “Legal Matters” in the prospectus included in the Registration Statement.  In giving such permission, we do not admit hereby that we come within the category of persons whose consent is required under Section 7 of the Securities Act or the rules and regulations of the Commission thereunder.  This opinion is expressed as of the date hereof, and we disclaim any undertaking to advise you of any subsequent changes in the facts stated or assumed herein or of any subsequent changes in applicable law.</w:t>
      </w:r>
    </w:p>
    <w:p>
      <w:pPr>
        <w:pStyle w:val="TextBody"/>
        <w:spacing w:before="0" w:after="0"/>
        <w:ind w:left="0" w:right="0" w:hanging="0"/>
        <w:jc w:val="both"/>
        <w:rPr/>
      </w:pPr>
      <w:r>
        <w:rPr/>
        <w:t> </w:t>
      </w:r>
    </w:p>
    <w:p>
      <w:pPr>
        <w:pStyle w:val="TextBody"/>
        <w:spacing w:before="0" w:after="0"/>
        <w:ind w:left="0" w:right="0" w:hanging="0"/>
        <w:jc w:val="left"/>
        <w:rPr>
          <w:b w:val="false"/>
        </w:rPr>
      </w:pPr>
      <w:r>
        <w:rPr>
          <w:b w:val="false"/>
        </w:rPr>
      </w:r>
    </w:p>
    <w:p>
      <w:pPr>
        <w:pStyle w:val="TextBody"/>
        <w:spacing w:before="0" w:after="0"/>
        <w:ind w:left="0" w:right="0" w:hanging="0"/>
        <w:jc w:val="left"/>
        <w:rPr>
          <w:rFonts w:ascii="Times New Roman" w:hAnsi="Times New Roman"/>
          <w:b w:val="false"/>
          <w:sz w:val="20"/>
        </w:rPr>
      </w:pPr>
      <w:r>
        <w:rPr>
          <w:rFonts w:ascii="Times New Roman" w:hAnsi="Times New Roman"/>
          <w:b w:val="false"/>
          <w:sz w:val="20"/>
        </w:rPr>
        <w:t>Very truly yours,</w:t>
      </w:r>
    </w:p>
    <w:p>
      <w:pPr>
        <w:pStyle w:val="TextBody"/>
        <w:spacing w:before="0" w:after="0"/>
        <w:ind w:left="0" w:right="0" w:hanging="0"/>
        <w:jc w:val="left"/>
        <w:rPr>
          <w:b w:val="false"/>
        </w:rPr>
      </w:pPr>
      <w:r>
        <w:rPr>
          <w:b w:val="false"/>
        </w:rPr>
      </w:r>
    </w:p>
    <w:p>
      <w:pPr>
        <w:pStyle w:val="TextBody"/>
        <w:spacing w:before="0" w:after="0"/>
        <w:ind w:left="0" w:right="0" w:hanging="0"/>
        <w:jc w:val="left"/>
        <w:rPr>
          <w:rFonts w:ascii="Times New Roman" w:hAnsi="Times New Roman"/>
          <w:b w:val="false"/>
          <w:sz w:val="20"/>
        </w:rPr>
      </w:pPr>
      <w:r>
        <w:rPr>
          <w:rFonts w:ascii="Times New Roman" w:hAnsi="Times New Roman"/>
          <w:b w:val="false"/>
          <w:sz w:val="20"/>
        </w:rPr>
        <w:t>/s/ Morrison &amp; Foerster LLP</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b w:val="false"/>
          <w:sz w:val="20"/>
        </w:rPr>
      </w:pPr>
      <w:r>
        <w:rPr>
          <w:rFonts w:ascii="Times New Roman" w:hAnsi="Times New Roman"/>
          <w:b w:val="false"/>
          <w:sz w:val="20"/>
        </w:rPr>
        <w:t>Morrison &amp; Foerster LLP </w:t>
      </w:r>
    </w:p>
    <w:p>
      <w:pPr>
        <w:pStyle w:val="TextBody"/>
        <w:spacing w:before="0" w:after="0"/>
        <w:ind w:left="0" w:right="0" w:hanging="0"/>
        <w:jc w:val="left"/>
        <w:rPr/>
      </w:pPr>
      <w:r>
        <w:rPr/>
        <w:t> </w:t>
      </w:r>
    </w:p>
    <w:p>
      <w:pPr>
        <w:pStyle w:val="TextBody"/>
        <w:spacing w:before="0" w:after="0"/>
        <w:ind w:left="0" w:right="0" w:hanging="0"/>
        <w:jc w:val="left"/>
        <w:rPr/>
      </w:pPr>
      <w:r>
        <w:rPr/>
        <w:t> </w:t>
      </w:r>
    </w:p>
    <w:p>
      <w:pPr>
        <w:pStyle w:val="TextBody"/>
        <w:ind w:left="0" w:right="0" w:hanging="0"/>
        <w:jc w:val="both"/>
        <w:rPr/>
      </w:pPr>
      <w:r>
        <w:rPr/>
        <w:t> </w:t>
      </w:r>
      <w:r>
        <w:br w:type="page"/>
      </w:r>
    </w:p>
    <w:p>
      <w:pPr>
        <w:pStyle w:val="TextBody"/>
        <w:spacing w:before="0" w:after="0"/>
        <w:ind w:left="2340" w:right="0" w:hanging="0"/>
        <w:jc w:val="right"/>
        <w:rPr>
          <w:rFonts w:ascii="Times New Roman" w:hAnsi="Times New Roman"/>
          <w:b/>
          <w:sz w:val="20"/>
        </w:rPr>
      </w:pPr>
      <w:bookmarkStart w:id="1452" w:name="immy_ex231.htm"/>
      <w:bookmarkStart w:id="1453" w:name="ksimmy_ex231"/>
      <w:bookmarkEnd w:id="1452"/>
      <w:bookmarkEnd w:id="1453"/>
      <w:r>
        <w:rPr>
          <w:rFonts w:ascii="Times New Roman" w:hAnsi="Times New Roman"/>
          <w:b/>
          <w:sz w:val="20"/>
        </w:rPr>
        <w:t>EXHIBIT 23.1</w:t>
      </w:r>
    </w:p>
    <w:p>
      <w:pPr>
        <w:pStyle w:val="TextBody"/>
        <w:spacing w:before="0" w:after="0"/>
        <w:ind w:left="0" w:right="0" w:hanging="0"/>
        <w:rPr/>
      </w:pPr>
      <w:r>
        <w:rPr/>
      </w:r>
    </w:p>
    <w:p>
      <w:pPr>
        <w:pStyle w:val="TextBody"/>
        <w:spacing w:before="0" w:after="0"/>
        <w:jc w:val="center"/>
        <w:rPr>
          <w:rFonts w:ascii="Times New Roman" w:hAnsi="Times New Roman"/>
          <w:b/>
          <w:sz w:val="20"/>
        </w:rPr>
      </w:pPr>
      <w:r>
        <w:rPr>
          <w:rFonts w:ascii="Times New Roman" w:hAnsi="Times New Roman"/>
          <w:b/>
          <w:sz w:val="20"/>
        </w:rPr>
        <w:t>CONSENT OF INDEPENDENT REGISTERED PUBLIC ACCOUNTING FIRM</w:t>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We consent to the use in this Amendment No. 2 to Registration Statement (No. 333-182846) on Form S-1 of our report dated February 23, 2012 (except for the effect of the retrospective application of the reverse stock split as described in Note 3, as to which the date is February 28, 2012) relating to the consolidated financial statements of Imprimis Pharmaceuticals, Inc. (formerly Transdel Pharmaceuticals, Inc.) and subsidiary (the “Company”) as of December 31, 2011 and 2010 and for each of the two years in the period ended December 31, 2011 and for the period from July 24, 1998 (date of inception) through December 31, 2011 (which report expresses an unqualified opinion and includes an explanatory paragraph relating to the substantial doubt about the Company’s ability to continue as a going concern) appearing in the Prospectus, which is part of this Registration Statement.</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We also consent to the reference to us under the heading “Experts” in such Prospectus.</w:t>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jc w:val="left"/>
        <w:rPr>
          <w:rFonts w:ascii="Times New Roman" w:hAnsi="Times New Roman"/>
          <w:sz w:val="20"/>
        </w:rPr>
      </w:pPr>
      <w:r>
        <w:rPr>
          <w:rFonts w:ascii="Times New Roman" w:hAnsi="Times New Roman"/>
          <w:sz w:val="20"/>
        </w:rPr>
        <w:t>/s/ KMJ Corbin &amp; Company LLP</w:t>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jc w:val="left"/>
        <w:rPr>
          <w:rFonts w:ascii="Times New Roman" w:hAnsi="Times New Roman"/>
          <w:sz w:val="20"/>
        </w:rPr>
      </w:pPr>
      <w:r>
        <w:rPr>
          <w:rFonts w:ascii="Times New Roman" w:hAnsi="Times New Roman"/>
          <w:sz w:val="20"/>
        </w:rPr>
        <w:t>Costa Mesa, California</w:t>
      </w:r>
    </w:p>
    <w:p>
      <w:pPr>
        <w:pStyle w:val="TextBody"/>
        <w:spacing w:before="0" w:after="283"/>
        <w:ind w:left="0" w:right="0" w:hanging="0"/>
        <w:jc w:val="left"/>
        <w:rPr>
          <w:rFonts w:ascii="Times New Roman" w:hAnsi="Times New Roman"/>
          <w:sz w:val="20"/>
        </w:rPr>
      </w:pPr>
      <w:r>
        <w:rPr>
          <w:rFonts w:ascii="Times New Roman" w:hAnsi="Times New Roman"/>
          <w:sz w:val="20"/>
        </w:rPr>
        <w:t>September 4, 2012</w:t>
      </w:r>
    </w:p>
    <w:sectPr>
      <w:type w:val="continuous"/>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helvetica">
    <w:altName w:val="Arial"/>
    <w:charset w:val="00"/>
    <w:family w:val="auto"/>
    <w:pitch w:val="default"/>
  </w:font>
  <w:font w:name="wingdings">
    <w:charset w:val="00"/>
    <w:family w:val="auto"/>
    <w:pitch w:val="default"/>
  </w:font>
  <w:font w:name="times new roman">
    <w:charset w:val="00"/>
    <w:family w:val="auto"/>
    <w:pitch w:val="default"/>
  </w:font>
  <w:font w:name="Helvetica">
    <w:altName w:val="Arial"/>
    <w:charset w:val="00"/>
    <w:family w:val="auto"/>
    <w:pitch w:val="default"/>
  </w:font>
  <w:font w:name="Times New Roman">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style>
  <w:style w:type="paragraph" w:styleId="Caption">
    <w:name w:val="Caption"/>
    <w:basedOn w:val="Normal"/>
    <w:qFormat/>
    <w:pPr>
      <w:suppressLineNumbers/>
      <w:spacing w:before="120" w:after="120"/>
    </w:pPr>
    <w:rPr>
      <w:i/>
      <w:iCs/>
      <w:sz w:val="24"/>
      <w:szCs w:val="24"/>
    </w:rPr>
  </w:style>
  <w:style w:type="paragraph" w:styleId="List">
    <w:name w:val="List"/>
    <w:basedOn w:val="TextBody"/>
    <w:pPr/>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24</Pages>
  <Words>80679</Words>
  <CharactersWithSpaces>522761</CharactersWithSpaces>
  <Paragraphs>13029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