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As 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333-265244</w:t>
      </w:r>
    </w:p>
    <w:p>
      <w:pPr>
        <w:spacing w:after="0" w:line="207"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FF0000"/>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state where the offer or sale is not permitted.</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0000"/>
        </w:rPr>
        <w:t>Subject to Completion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0000"/>
        </w:rPr>
        <w:t>Preliminary Prospectus Supplement dated July 18, 2023</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June 6, 2022)</w:t>
      </w:r>
    </w:p>
    <w:p>
      <w:pPr>
        <w:spacing w:after="0" w:line="202" w:lineRule="exact"/>
        <w:rPr>
          <w:sz w:val="24"/>
          <w:szCs w:val="24"/>
          <w:color w:val="auto"/>
        </w:rPr>
      </w:pPr>
    </w:p>
    <w:p>
      <w:pPr>
        <w:jc w:val="center"/>
        <w:ind w:left="52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157480</wp:posOffset>
            </wp:positionV>
            <wp:extent cx="1714500" cy="900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left="660"/>
        <w:spacing w:after="0"/>
        <w:tabs>
          <w:tab w:leader="none" w:pos="2360" w:val="left"/>
        </w:tabs>
        <w:rPr>
          <w:sz w:val="20"/>
          <w:szCs w:val="20"/>
          <w:color w:val="auto"/>
        </w:rPr>
      </w:pPr>
      <w:r>
        <w:rPr>
          <w:rFonts w:ascii="Arial" w:cs="Arial" w:eastAsia="Arial" w:hAnsi="Arial"/>
          <w:sz w:val="18"/>
          <w:szCs w:val="18"/>
          <w:color w:val="auto"/>
        </w:rPr>
        <w:t>We are selling</w:t>
      </w:r>
      <w:r>
        <w:rPr>
          <w:sz w:val="20"/>
          <w:szCs w:val="20"/>
          <w:color w:val="auto"/>
        </w:rPr>
        <w:tab/>
      </w:r>
      <w:r>
        <w:rPr>
          <w:rFonts w:ascii="Arial" w:cs="Arial" w:eastAsia="Arial" w:hAnsi="Arial"/>
          <w:sz w:val="16"/>
          <w:szCs w:val="16"/>
          <w:color w:val="auto"/>
        </w:rPr>
        <w:t>shares of our common stock, par value $0.001 per share, pursuant to this prospectus supplement and the accompanying</w:t>
      </w:r>
    </w:p>
    <w:p>
      <w:pPr>
        <w:spacing w:after="0" w:line="23"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prospectus. Our common stock is traded on the Nasdaq Global Market (“Nasdaq”) under the symbol “HROW.” On July 17, 2023, the last reported sale price of our common stock on Nasdaq was $18.02 per share.</w:t>
      </w:r>
    </w:p>
    <w:p>
      <w:pPr>
        <w:spacing w:after="0" w:line="181" w:lineRule="exact"/>
        <w:rPr>
          <w:sz w:val="24"/>
          <w:szCs w:val="24"/>
          <w:color w:val="auto"/>
        </w:rPr>
      </w:pPr>
    </w:p>
    <w:p>
      <w:pPr>
        <w:jc w:val="both"/>
        <w:ind w:firstLine="648"/>
        <w:spacing w:after="0" w:line="322" w:lineRule="auto"/>
        <w:rPr>
          <w:sz w:val="20"/>
          <w:szCs w:val="20"/>
          <w:color w:val="auto"/>
        </w:rPr>
      </w:pPr>
      <w:r>
        <w:rPr>
          <w:rFonts w:ascii="Arial" w:cs="Arial" w:eastAsia="Arial" w:hAnsi="Arial"/>
          <w:sz w:val="15"/>
          <w:szCs w:val="15"/>
          <w:b w:val="1"/>
          <w:bCs w:val="1"/>
          <w:color w:val="auto"/>
        </w:rPr>
        <w:t>Investing in our common stock involves a high degree of risk, and you should read this prospectus supplement, the accompanying prospectus and the documents incorporated by reference herein before you make your investment decision. Before investing in our common stock, you should carefully consider the risk factors described in the section titled “Risk Factors” beginning on page S-9 of this prospectus supplement as well as the risks identified in our most recent Annual Report on Form 10-K and Quarterly Report on Form 10-Q, and any other filings we make with the Securities and Exchange Commission (the “SEC”) from time to time, which are incorporated by reference in this prospectus supplement.</w:t>
      </w:r>
    </w:p>
    <w:p>
      <w:pPr>
        <w:spacing w:after="0" w:line="139" w:lineRule="exact"/>
        <w:rPr>
          <w:sz w:val="24"/>
          <w:szCs w:val="24"/>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340"/>
        </w:trPr>
        <w:tc>
          <w:tcPr>
            <w:tcW w:w="4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00" w:type="dxa"/>
            <w:vAlign w:val="bottom"/>
          </w:tcPr>
          <w:p>
            <w:pPr>
              <w:jc w:val="right"/>
              <w:ind w:right="518"/>
              <w:spacing w:after="0"/>
              <w:rPr>
                <w:sz w:val="20"/>
                <w:szCs w:val="20"/>
                <w:color w:val="auto"/>
              </w:rPr>
            </w:pPr>
            <w:r>
              <w:rPr>
                <w:rFonts w:ascii="Arial" w:cs="Arial" w:eastAsia="Arial" w:hAnsi="Arial"/>
                <w:sz w:val="18"/>
                <w:szCs w:val="18"/>
                <w:color w:val="auto"/>
              </w:rPr>
              <w:t>Per Share</w:t>
            </w:r>
          </w:p>
        </w:tc>
        <w:tc>
          <w:tcPr>
            <w:tcW w:w="340" w:type="dxa"/>
            <w:vAlign w:val="bottom"/>
          </w:tcPr>
          <w:p>
            <w:pPr>
              <w:spacing w:after="0"/>
              <w:rPr>
                <w:sz w:val="24"/>
                <w:szCs w:val="24"/>
                <w:color w:val="auto"/>
              </w:rPr>
            </w:pP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Total</w:t>
            </w:r>
            <w:r>
              <w:rPr>
                <w:rFonts w:ascii="Arial" w:cs="Arial" w:eastAsia="Arial" w:hAnsi="Arial"/>
                <w:sz w:val="29"/>
                <w:szCs w:val="29"/>
                <w:color w:val="auto"/>
                <w:vertAlign w:val="superscript"/>
              </w:rPr>
              <w:t>(1)</w:t>
            </w: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2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173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175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70"/>
        </w:trPr>
        <w:tc>
          <w:tcPr>
            <w:tcW w:w="4660" w:type="dxa"/>
            <w:vAlign w:val="bottom"/>
          </w:tcPr>
          <w:p>
            <w:pPr>
              <w:spacing w:after="0" w:line="270"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9"/>
                <w:szCs w:val="29"/>
                <w:color w:val="auto"/>
                <w:vertAlign w:val="superscript"/>
              </w:rPr>
              <w:t>(1)</w:t>
            </w:r>
          </w:p>
        </w:tc>
        <w:tc>
          <w:tcPr>
            <w:tcW w:w="4220" w:type="dxa"/>
            <w:vAlign w:val="bottom"/>
            <w:gridSpan w:val="2"/>
          </w:tcPr>
          <w:p>
            <w:pPr>
              <w:jc w:val="right"/>
              <w:ind w:right="1738"/>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75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4220" w:type="dxa"/>
            <w:vAlign w:val="bottom"/>
            <w:gridSpan w:val="2"/>
            <w:shd w:val="clear" w:color="auto" w:fill="CCEEFF"/>
          </w:tcPr>
          <w:p>
            <w:pPr>
              <w:jc w:val="right"/>
              <w:ind w:right="1738"/>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75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46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bl>
    <w:p>
      <w:pPr>
        <w:spacing w:after="0" w:line="215"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on page S-19 of this prospectus supplement for a description of all underwriting compensation payable in connection with this offering.</w:t>
      </w:r>
    </w:p>
    <w:p>
      <w:pPr>
        <w:sectPr>
          <w:pgSz w:w="11900" w:h="16838" w:orient="portrait"/>
          <w:cols w:equalWidth="0" w:num="1">
            <w:col w:w="11240"/>
          </w:cols>
          <w:pgMar w:left="320" w:top="445" w:right="339" w:bottom="0" w:gutter="0" w:footer="0" w:header="0"/>
        </w:sectPr>
      </w:pPr>
    </w:p>
    <w:p>
      <w:pPr>
        <w:spacing w:after="0" w:line="17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We have granted the underwriters an option to purchase up to an additional this prospectus supplement.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shares of our common stock within 30 days from the date of</w:t>
      </w:r>
    </w:p>
    <w:p>
      <w:pPr>
        <w:spacing w:after="0" w:line="463" w:lineRule="exact"/>
        <w:rPr>
          <w:sz w:val="24"/>
          <w:szCs w:val="24"/>
          <w:color w:val="auto"/>
        </w:rPr>
      </w:pPr>
    </w:p>
    <w:p>
      <w:pPr>
        <w:sectPr>
          <w:pgSz w:w="11900" w:h="16838" w:orient="portrait"/>
          <w:cols w:equalWidth="0" w:num="2">
            <w:col w:w="6120" w:space="720"/>
            <w:col w:w="4400"/>
          </w:cols>
          <w:pgMar w:left="320" w:top="445" w:right="339" w:bottom="0" w:gutter="0" w:footer="0" w:header="0"/>
          <w:type w:val="continuous"/>
        </w:sectPr>
      </w:pPr>
    </w:p>
    <w:p>
      <w:pPr>
        <w:jc w:val="center"/>
        <w:ind w:left="660"/>
        <w:spacing w:after="0"/>
        <w:rPr>
          <w:sz w:val="20"/>
          <w:szCs w:val="20"/>
          <w:color w:val="auto"/>
        </w:rPr>
      </w:pPr>
      <w:r>
        <w:rPr>
          <w:rFonts w:ascii="Arial" w:cs="Arial" w:eastAsia="Arial" w:hAnsi="Arial"/>
          <w:sz w:val="16"/>
          <w:szCs w:val="16"/>
          <w:color w:val="auto"/>
        </w:rPr>
        <w:t>The underwriters expect to deliver the shares of common stock to the purchasers on or about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 2023.</w:t>
      </w:r>
    </w:p>
    <w:p>
      <w:pPr>
        <w:spacing w:after="0" w:line="211" w:lineRule="exact"/>
        <w:rPr>
          <w:sz w:val="24"/>
          <w:szCs w:val="24"/>
          <w:color w:val="auto"/>
        </w:rPr>
      </w:pPr>
    </w:p>
    <w:p>
      <w:pPr>
        <w:sectPr>
          <w:pgSz w:w="11900" w:h="16838" w:orient="portrait"/>
          <w:cols w:equalWidth="0" w:num="2">
            <w:col w:w="7320" w:space="680"/>
            <w:col w:w="3240"/>
          </w:cols>
          <w:pgMar w:left="320" w:top="445" w:right="33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Book-Running Manager</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 Riley Securities</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Lead Manager</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Lake Street</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Co-Manager</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Ladenburg Thalmann</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3700"/>
              <w:spacing w:after="0"/>
              <w:rPr>
                <w:sz w:val="20"/>
                <w:szCs w:val="20"/>
                <w:color w:val="auto"/>
              </w:rPr>
            </w:pPr>
            <w:r>
              <w:rPr>
                <w:rFonts w:ascii="Arial" w:cs="Arial" w:eastAsia="Arial" w:hAnsi="Arial"/>
                <w:sz w:val="18"/>
                <w:szCs w:val="18"/>
                <w:color w:val="auto"/>
                <w:w w:val="94"/>
              </w:rPr>
              <w:t>The date of this prospectus supplement is</w:t>
            </w:r>
          </w:p>
        </w:tc>
        <w:tc>
          <w:tcPr>
            <w:tcW w:w="4380" w:type="dxa"/>
            <w:vAlign w:val="bottom"/>
          </w:tcPr>
          <w:p>
            <w:pPr>
              <w:jc w:val="right"/>
              <w:ind w:right="3610"/>
              <w:spacing w:after="0"/>
              <w:rPr>
                <w:sz w:val="20"/>
                <w:szCs w:val="20"/>
                <w:color w:val="auto"/>
              </w:rPr>
            </w:pPr>
            <w:r>
              <w:rPr>
                <w:rFonts w:ascii="Arial" w:cs="Arial" w:eastAsia="Arial" w:hAnsi="Arial"/>
                <w:sz w:val="18"/>
                <w:szCs w:val="18"/>
                <w:color w:val="auto"/>
              </w:rPr>
              <w:t>, 2023.</w:t>
            </w:r>
          </w:p>
        </w:tc>
      </w:tr>
      <w:tr>
        <w:trPr>
          <w:trHeight w:val="439"/>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5"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80" w:type="dxa"/>
            <w:vAlign w:val="bottom"/>
            <w:gridSpan w:val="6"/>
          </w:tcPr>
          <w:p>
            <w:pPr>
              <w:jc w:val="center"/>
              <w:ind w:right="3820"/>
              <w:spacing w:after="0"/>
              <w:rPr>
                <w:sz w:val="20"/>
                <w:szCs w:val="20"/>
                <w:color w:val="auto"/>
              </w:rPr>
            </w:pPr>
            <w:r>
              <w:rPr>
                <w:rFonts w:ascii="Arial" w:cs="Arial" w:eastAsia="Arial" w:hAnsi="Arial"/>
                <w:sz w:val="18"/>
                <w:szCs w:val="18"/>
                <w:b w:val="1"/>
                <w:bCs w:val="1"/>
                <w:color w:val="auto"/>
                <w:w w:val="87"/>
              </w:rPr>
              <w:t>Prospectus Supplement</w:t>
            </w:r>
          </w:p>
        </w:tc>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23"/>
        </w:trPr>
        <w:tc>
          <w:tcPr>
            <w:tcW w:w="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40" w:type="dxa"/>
            <w:vAlign w:val="bottom"/>
            <w:tcBorders>
              <w:bottom w:val="single" w:sz="8" w:color="0000EE"/>
            </w:tcBorders>
            <w:gridSpan w:val="16"/>
            <w:shd w:val="clear" w:color="auto" w:fill="CCEEFF"/>
          </w:tcPr>
          <w:p>
            <w:pPr>
              <w:spacing w:after="0" w:line="142" w:lineRule="exact"/>
              <w:rPr>
                <w:sz w:val="20"/>
                <w:szCs w:val="20"/>
                <w:color w:val="auto"/>
              </w:rPr>
            </w:pPr>
            <w:r>
              <w:rPr>
                <w:rFonts w:ascii="Arial" w:cs="Arial" w:eastAsia="Arial" w:hAnsi="Arial"/>
                <w:sz w:val="16"/>
                <w:szCs w:val="16"/>
                <w:color w:val="0000EE"/>
              </w:rPr>
              <w:t>ABOUT THIS PROSPECTUS SUPPLEMENT</w:t>
            </w:r>
          </w:p>
        </w:tc>
        <w:tc>
          <w:tcPr>
            <w:tcW w:w="716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rPr>
              <w:t>S-ii</w:t>
            </w:r>
          </w:p>
        </w:tc>
        <w:tc>
          <w:tcPr>
            <w:tcW w:w="0" w:type="dxa"/>
            <w:vAlign w:val="bottom"/>
          </w:tcPr>
          <w:p>
            <w:pPr>
              <w:spacing w:after="0"/>
              <w:rPr>
                <w:sz w:val="1"/>
                <w:szCs w:val="1"/>
                <w:color w:val="auto"/>
              </w:rPr>
            </w:pPr>
          </w:p>
        </w:tc>
      </w:tr>
      <w:tr>
        <w:trPr>
          <w:trHeight w:val="176"/>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4"/>
            <w:shd w:val="clear" w:color="auto" w:fill="CCEEFF"/>
          </w:tcPr>
          <w:p>
            <w:pPr>
              <w:spacing w:after="0" w:line="176" w:lineRule="exact"/>
              <w:rPr>
                <w:sz w:val="20"/>
                <w:szCs w:val="20"/>
                <w:color w:val="auto"/>
              </w:rPr>
            </w:pPr>
            <w:r>
              <w:rPr>
                <w:rFonts w:ascii="Arial" w:cs="Arial" w:eastAsia="Arial" w:hAnsi="Arial"/>
                <w:sz w:val="18"/>
                <w:szCs w:val="18"/>
                <w:color w:val="0000EE"/>
                <w:w w:val="94"/>
              </w:rPr>
              <w:t>PROSPECTUS SUPPLEMENT SUMMARY</w:t>
            </w:r>
          </w:p>
        </w:tc>
        <w:tc>
          <w:tcPr>
            <w:tcW w:w="730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S-1</w:t>
            </w:r>
          </w:p>
        </w:tc>
        <w:tc>
          <w:tcPr>
            <w:tcW w:w="0" w:type="dxa"/>
            <w:vAlign w:val="bottom"/>
          </w:tcPr>
          <w:p>
            <w:pPr>
              <w:spacing w:after="0"/>
              <w:rPr>
                <w:sz w:val="1"/>
                <w:szCs w:val="1"/>
                <w:color w:val="auto"/>
              </w:rPr>
            </w:pPr>
          </w:p>
        </w:tc>
      </w:tr>
      <w:tr>
        <w:trPr>
          <w:trHeight w:val="176"/>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THE OFFERING</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5"/>
              </w:rPr>
              <w:t>S-8</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3"/>
              </w:rPr>
              <w:t>RISK FACTORS</w:t>
            </w:r>
          </w:p>
        </w:tc>
        <w:tc>
          <w:tcPr>
            <w:tcW w:w="93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S-9</w:t>
            </w:r>
          </w:p>
        </w:tc>
        <w:tc>
          <w:tcPr>
            <w:tcW w:w="0" w:type="dxa"/>
            <w:vAlign w:val="bottom"/>
          </w:tcPr>
          <w:p>
            <w:pPr>
              <w:spacing w:after="0"/>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USE OF PROCEEDS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S-11</w:t>
            </w: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CAPITALIZATION</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S-12</w:t>
            </w:r>
          </w:p>
        </w:tc>
        <w:tc>
          <w:tcPr>
            <w:tcW w:w="0" w:type="dxa"/>
            <w:vAlign w:val="bottom"/>
          </w:tcPr>
          <w:p>
            <w:pPr>
              <w:spacing w:after="0"/>
              <w:rPr>
                <w:sz w:val="1"/>
                <w:szCs w:val="1"/>
                <w:color w:val="auto"/>
              </w:rPr>
            </w:pPr>
          </w:p>
        </w:tc>
      </w:tr>
      <w:tr>
        <w:trPr>
          <w:trHeight w:val="176"/>
        </w:trPr>
        <w:tc>
          <w:tcPr>
            <w:tcW w:w="1460" w:type="dxa"/>
            <w:vAlign w:val="bottom"/>
            <w:tcBorders>
              <w:top w:val="single" w:sz="8" w:color="0000EE"/>
            </w:tcBorders>
            <w:gridSpan w:val="6"/>
          </w:tcPr>
          <w:p>
            <w:pPr>
              <w:spacing w:after="0" w:line="176" w:lineRule="exact"/>
              <w:rPr>
                <w:sz w:val="20"/>
                <w:szCs w:val="20"/>
                <w:color w:val="auto"/>
              </w:rPr>
            </w:pPr>
            <w:r>
              <w:rPr>
                <w:rFonts w:ascii="Arial" w:cs="Arial" w:eastAsia="Arial" w:hAnsi="Arial"/>
                <w:sz w:val="18"/>
                <w:szCs w:val="18"/>
                <w:color w:val="0000EE"/>
              </w:rPr>
              <w:t>DILUTION</w:t>
            </w:r>
          </w:p>
        </w:tc>
        <w:tc>
          <w:tcPr>
            <w:tcW w:w="914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S-13</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DIVIDEND POLICY</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S-14</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MATERIAL U.S. FEDERAL INCOME TAX CONSIDERATIONS FOR NON-U.S. HOLDERS OF COMMON STOCK</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97"/>
              </w:rPr>
              <w:t>UNDERWRITING</w:t>
            </w:r>
          </w:p>
        </w:tc>
        <w:tc>
          <w:tcPr>
            <w:tcW w:w="920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S-19</w:t>
            </w:r>
          </w:p>
        </w:tc>
        <w:tc>
          <w:tcPr>
            <w:tcW w:w="0" w:type="dxa"/>
            <w:vAlign w:val="bottom"/>
          </w:tcPr>
          <w:p>
            <w:pPr>
              <w:spacing w:after="0"/>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LEGAL MATTERS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S-23</w:t>
            </w: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0"/>
              </w:rPr>
              <w:t>EXPERTS</w:t>
            </w:r>
          </w:p>
        </w:tc>
        <w:tc>
          <w:tcPr>
            <w:tcW w:w="9820" w:type="dxa"/>
            <w:vAlign w:val="bottom"/>
            <w:tcBorders>
              <w:bottom w:val="single" w:sz="8" w:color="CCEEFF"/>
            </w:tcBorders>
            <w:gridSpan w:val="2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S-23</w:t>
            </w:r>
          </w:p>
        </w:tc>
        <w:tc>
          <w:tcPr>
            <w:tcW w:w="0" w:type="dxa"/>
            <w:vAlign w:val="bottom"/>
          </w:tcPr>
          <w:p>
            <w:pPr>
              <w:spacing w:after="0"/>
              <w:rPr>
                <w:sz w:val="1"/>
                <w:szCs w:val="1"/>
                <w:color w:val="auto"/>
              </w:rPr>
            </w:pPr>
          </w:p>
        </w:tc>
      </w:tr>
      <w:tr>
        <w:trPr>
          <w:trHeight w:val="176"/>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INCORPORATION OF CERTAIN DOCUMENTS BY REFERENCE</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S-23</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WHERE YOU CAN FIND MORE INFORMATION</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S-23</w:t>
            </w:r>
          </w:p>
        </w:tc>
        <w:tc>
          <w:tcPr>
            <w:tcW w:w="0" w:type="dxa"/>
            <w:vAlign w:val="bottom"/>
          </w:tcPr>
          <w:p>
            <w:pPr>
              <w:spacing w:after="0"/>
              <w:rPr>
                <w:sz w:val="1"/>
                <w:szCs w:val="1"/>
                <w:color w:val="auto"/>
              </w:rPr>
            </w:pPr>
          </w:p>
        </w:tc>
      </w:tr>
      <w:tr>
        <w:trPr>
          <w:trHeight w:val="432"/>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5940" w:type="dxa"/>
            <w:vAlign w:val="bottom"/>
            <w:tcBorders>
              <w:top w:val="single" w:sz="8" w:color="CCEEFF"/>
            </w:tcBorders>
            <w:gridSpan w:val="5"/>
          </w:tcPr>
          <w:p>
            <w:pPr>
              <w:jc w:val="center"/>
              <w:ind w:right="4660"/>
              <w:spacing w:after="0"/>
              <w:rPr>
                <w:sz w:val="20"/>
                <w:szCs w:val="20"/>
                <w:color w:val="auto"/>
              </w:rPr>
            </w:pPr>
            <w:r>
              <w:rPr>
                <w:rFonts w:ascii="Arial" w:cs="Arial" w:eastAsia="Arial" w:hAnsi="Arial"/>
                <w:sz w:val="18"/>
                <w:szCs w:val="18"/>
                <w:b w:val="1"/>
                <w:bCs w:val="1"/>
                <w:color w:val="auto"/>
                <w:w w:val="85"/>
              </w:rPr>
              <w:t>Prospectus</w:t>
            </w:r>
          </w:p>
        </w:tc>
        <w:tc>
          <w:tcPr>
            <w:tcW w:w="64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23"/>
        </w:trPr>
        <w:tc>
          <w:tcPr>
            <w:tcW w:w="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9"/>
            <w:shd w:val="clear" w:color="auto" w:fill="CCEEFF"/>
          </w:tcPr>
          <w:p>
            <w:pPr>
              <w:spacing w:after="0" w:line="142" w:lineRule="exact"/>
              <w:rPr>
                <w:sz w:val="20"/>
                <w:szCs w:val="20"/>
                <w:color w:val="auto"/>
              </w:rPr>
            </w:pPr>
            <w:r>
              <w:rPr>
                <w:rFonts w:ascii="Arial" w:cs="Arial" w:eastAsia="Arial" w:hAnsi="Arial"/>
                <w:sz w:val="16"/>
                <w:szCs w:val="16"/>
                <w:color w:val="0000EE"/>
              </w:rPr>
              <w:t>PROSPECTUS SUMMARY</w:t>
            </w:r>
          </w:p>
        </w:tc>
        <w:tc>
          <w:tcPr>
            <w:tcW w:w="85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RISK FACTORS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5"/>
              </w:rPr>
              <w:t>FORWARD-LOOKING STATEMENTS</w:t>
            </w:r>
          </w:p>
        </w:tc>
        <w:tc>
          <w:tcPr>
            <w:tcW w:w="76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76"/>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DILUTION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DIVIDEND POLICY</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DESCRIPTION OF CAPITAL STOCK</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DESCRIPTION OF THE DEPOSITARY SHARES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94"/>
              </w:rPr>
              <w:t>DESCRIPTION OF THE WARRANTS</w:t>
            </w:r>
          </w:p>
        </w:tc>
        <w:tc>
          <w:tcPr>
            <w:tcW w:w="772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DESCRIPTION OF THE UNITS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DESCRIPTION OF THE DEBT SECURITIES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176"/>
        </w:trPr>
        <w:tc>
          <w:tcPr>
            <w:tcW w:w="3420" w:type="dxa"/>
            <w:vAlign w:val="bottom"/>
            <w:tcBorders>
              <w:top w:val="single" w:sz="8" w:color="0000EE"/>
            </w:tcBorders>
            <w:gridSpan w:val="15"/>
          </w:tcPr>
          <w:p>
            <w:pPr>
              <w:spacing w:after="0" w:line="176" w:lineRule="exact"/>
              <w:rPr>
                <w:sz w:val="20"/>
                <w:szCs w:val="20"/>
                <w:color w:val="auto"/>
              </w:rPr>
            </w:pPr>
            <w:r>
              <w:rPr>
                <w:rFonts w:ascii="Arial" w:cs="Arial" w:eastAsia="Arial" w:hAnsi="Arial"/>
                <w:sz w:val="18"/>
                <w:szCs w:val="18"/>
                <w:color w:val="0000EE"/>
              </w:rPr>
              <w:t>PLAN OF DISTRIBUTION</w:t>
            </w:r>
          </w:p>
        </w:tc>
        <w:tc>
          <w:tcPr>
            <w:tcW w:w="718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96"/>
              </w:rPr>
              <w:t>LEGAL MATTERS</w:t>
            </w:r>
          </w:p>
        </w:tc>
        <w:tc>
          <w:tcPr>
            <w:tcW w:w="914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Arial" w:cs="Arial" w:eastAsia="Arial" w:hAnsi="Arial"/>
                <w:sz w:val="18"/>
                <w:szCs w:val="18"/>
                <w:color w:val="0000EE"/>
              </w:rPr>
              <w:t>EXPERTS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4"/>
              </w:rPr>
              <w:t>INCORPORATION OF CERTAIN DOCUMENTS BY REFERENCE</w:t>
            </w:r>
          </w:p>
        </w:tc>
        <w:tc>
          <w:tcPr>
            <w:tcW w:w="554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75"/>
        </w:trPr>
        <w:tc>
          <w:tcPr>
            <w:tcW w:w="3820" w:type="dxa"/>
            <w:vAlign w:val="bottom"/>
            <w:tcBorders>
              <w:bottom w:val="single" w:sz="8" w:color="0000EE"/>
            </w:tcBorders>
            <w:gridSpan w:val="18"/>
          </w:tcPr>
          <w:p>
            <w:pPr>
              <w:spacing w:after="0" w:line="176" w:lineRule="exact"/>
              <w:rPr>
                <w:sz w:val="20"/>
                <w:szCs w:val="20"/>
                <w:color w:val="auto"/>
              </w:rPr>
            </w:pPr>
            <w:r>
              <w:rPr>
                <w:rFonts w:ascii="Arial" w:cs="Arial" w:eastAsia="Arial" w:hAnsi="Arial"/>
                <w:sz w:val="18"/>
                <w:szCs w:val="18"/>
                <w:color w:val="0000EE"/>
                <w:w w:val="97"/>
              </w:rPr>
              <w:t>WHERE YOU CAN FIND MORE INFORMATION</w:t>
            </w:r>
          </w:p>
        </w:tc>
        <w:tc>
          <w:tcPr>
            <w:tcW w:w="6780" w:type="dxa"/>
            <w:vAlign w:val="bottom"/>
            <w:gridSpan w:val="6"/>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prospectus supplement is a supplement to the accompanying prospectus. This prospectus supplement and the accompanying prospectus are part of a registration statement that we filed with the SEC utilizing a shelf registration process. This prospectus supplement provides you with specific information about this offering, including the risk of investing in our securities. The accompanying prospectus provides more general information, some of which may not apply to this offering. This prospectus supplement also adds to, updates and changes information contained in the accompanying prospectus. To the extent the information in this prospectus supplement is different from that in the accompanying prospectus, you should rely on the information in this prospectus supplement. You should read this prospectus supplement, the accompanying prospectus, and any related free writing prospectus together with the additional information described in the sections entitled “Incorporation of Certain Documents by Reference” and “Where You Can Find More Information” of this prospectus supplement.</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We have not, and the underwriters have not, authorized any person to provide you with any information other than that contained in or incorporated by reference into this prospectus supplement and the accompanying prospectus or that is contained in any free writing prospectus issued by or on behalf of us or to which we have referred you. Neither we nor any of the underwriters takes any responsibility for, and can provide no assurances as to the reliability of, any other information that others may give to you. This prospectus supplement, the accompanying prospectus and any applicable free writing prospectus is not an offer to sell, nor is it seeking an offer to buy, these securities in any state where the offer or sale is not permitted. The information in this prospectus supplement and the accompanying prospectus is complete and accurate as of the date on the front cover of this prospectus supplement, but the information and our business, cash flows, condition (financial and otherwise), liquidity, prospects and results of operations may have changed since that date.</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distribution of this prospectus supplement and the accompanying prospectus and the offering or sale of these securities in some jurisdictions may be restricted by law. Persons outside of the United States who come into possession of this prospectus supplement and the accompanying prospectus are required by us and the underwriters to inform themselves about and to observe any applicable restrictions. This prospectus supplement and the accompanying prospectus may not be used for or in connection with an offer or solicitation by any person in any jurisdiction in which that offer or solicitation is not authorized or to any person to whom it is unlawful to make that offer or solicitation.</w:t>
      </w:r>
    </w:p>
    <w:p>
      <w:pPr>
        <w:spacing w:after="0" w:line="1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investing in our securities.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supplement and the accompanying prospectus contain and incorporate by reference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Generally, the words “anticipate,” “believe,” “continue,” “expect,” “intend,” “estimate,” “project,” “plan” and similar expressions identify forward-looking statements. In particular, statements about our expectations, beliefs, plans, objectives, assumptions or future events or performance contain forward-looking statements.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our Annual Report on Form 10-K for the year ended December 31, 2022 and Quarterly Report on Form 10-Q for the quarter ended March 31, 2023, and other documents that we file from time to time with the SEC that are incorporated by reference in this prospectus supplement and the accompanying prospectus.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list of risks and uncertainties, however, is only a summary of some of the most important factors and is not intended to be exhaustive. Given these risks and uncertainties, you are cautioned not to place undue reliance on such forward-looking statements. These risks and uncertainties may cause our actual future results to be materially different than those expressed in our forward-looking statements. These forward-looking statements are made only as of the date of this prospectus supplement. Except as otherwise required by applicable law, we do not undertake and expressly disclaim any obligation to update any such statements or to publicly announce the results of any revisions to any such statements to reflect future events or developments. All subsequent written and oral forward-looking statements attributable to us, or to persons acting on our behalf, are expressly qualified in their entirety by these cautionary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750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7875" cy="6750685"/>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This summary highlights selected information appearing elsewhere in or incorporated by reference in this prospectus supplement and the accompanying prospectus. This summary is not complete and does not contain all of the information that you should consider when making your investment decision. You should carefully read the entire prospectus supplement, the accompanying prospectus and the information incorporated herein by reference, including the section entitled “Risk Factors” beginning on page S-9 of this prospectus supplement and the “Risk Factors” section in the accompanying prospectus, in our Annual Report on Form 10-K for the year ended December 31, 2022 and Quarterly Report on Form 10-Q for the quarter ended March 31, 2023, and in our other reports that we file with the SEC that are incorporated by reference into this prospectus supplement and the accompanying prospectus.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In this prospectus supplement, unless the context requires otherwise, references to “Harrow,” the “Company,” “we,” “us” and “our” refer to Harrow Health, Inc., together with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an ophthalmic-focused pharmaceutical company. Our business specializes in the development, production, sale, and distribution of innovative prescription medications that offer unique competitive advantages and serve unmet needs in the marketplace through our subsidiaries and deconsolidated companies. We serve ophthalmologists and optometrists by providing FDA-approved branded ophthalmic pharmaceuticals and innovative compounded prescription medicines that are accessible and affordable. We own the U.S. commercial rights to ten branded ophthalmic pharmaceutical products, including IHEEZO™, IOPIDINE® (both approved concentrations), MAXITROL® eye drops, MOXEZA®, ILEVRO®, NEVANAC®, VIGAMOX®, MAXIDEX®, and TRIESENCE®. We own and operate ImprimisRx, one of the nation’s leading ophthalmology-focused pharmaceutical-compounding businesses, and our branded drugs are marketed under our Harrow name. In addition, we also have non-controlling equity positions in Surface Ophthalmics, Inc. (“Surface”) and Melt Pharmaceuticals, Inc. (“Melt”), both companies that began as subsidiaries of Harrow and were subsequently carved-out of our corporate structure and deconsolidated from our financial statements. We also own royalty rights in certain drug candidates being developed by Surface and Melt.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ImprimisRx is our ophthalmology-focused pharmaceutical compounding businesses. From its inception in 2014, ImprimisRx, whose business consists of integrated pharmaceutical research and development capabilities, production, dispensing/distribution, sales, marketing, and customer-service infrastructure, has offered physician customers and their patients access to critical medicines to meet their clinical needs. ImprimisRx has built a national brand by focusing exclusively on compounded ophthalmic medications to serve needs unmet by commercially available drugs. Our compounded medications include various combinations of drugs formulated into one bottle and numerous preservative-free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(“cGMPs”) or other guidance documents from the U.S. Food and Drug Administration (the “FDA”), in our FDA-registered New Jersey outsourcing facility. Our current ophthalmology formulary includes over 30 compounded formulations, many of which are patented or patent-pending, that are customizable for the specific needs of a patient. We make our formulations available at prices that are, in most cases, lower than non-customized commercial drugs. ImprimisRx’s customer base has grown to include more than 10,000 U.S. eyecare-dedicated prescribers and institutions.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Pharmaceuticals and Drug Candidates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Over the past three years, to serve the needs of our growing customer base more fully, we have invested in broadening our product portfolio to include FDA-approved products. Our investments in this regard have led to the pursuit and completion of several announced transactions, and others we are continuing to pursue, all of which are focused on eyecare pharmaceuticals. We believe that our continued investments in these and other products will result in our ability to provide more physician prescribers and their patients with access to a complete portfolio of affordable eyecare pharmaceuticals to address their clinical needs.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6339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6339205"/>
                    </a:xfrm>
                    <a:prstGeom prst="rect">
                      <a:avLst/>
                    </a:prstGeom>
                    <a:noFill/>
                  </pic:spPr>
                </pic:pic>
              </a:graphicData>
            </a:graphic>
          </wp:anchor>
        </w:drawing>
        <w:t>Acquisition of ILEVRO, NEVANAC, VIGAMOX, MAXIDEX and TRIESENCE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December 2022, we entered into an Asset Purchase Agreement (the “Purchase Agreement”) with Novartis Technology, LLC and Novartis Innovative Therapies AG (together, “Novartis”), pursuant to which the Company agreed to purchase from Novartis the exclusive commercial rights to assets associated with the following ophthalmic products (collectively, the “Fab 5 Products”) in the U.S. (the “Fab 5 Acquisition”):</w:t>
      </w:r>
    </w:p>
    <w:p>
      <w:pPr>
        <w:spacing w:after="0" w:line="149" w:lineRule="exact"/>
        <w:rPr>
          <w:sz w:val="20"/>
          <w:szCs w:val="20"/>
          <w:color w:val="auto"/>
        </w:rPr>
      </w:pPr>
    </w:p>
    <w:p>
      <w:pPr>
        <w:ind w:left="660" w:hanging="331"/>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ILEVRO® (nepafenac ophthalmic suspension) 0.3%, a non-steroidal, anti-inflammatory eye drop indicated for pain and inflammation associated with cataract surgery.</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NEVANAC® (nepafenac ophthalmic suspension) 0.1%, a non-steroidal, anti-inflammatory eye drop indicated for pain and inflammation associated with cataract surgery.</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VIGAMOX® (moxifloxacin hydrochloride ophthalmic solution) 0.5%, a fluoroquinolone antibiotic eye drop for the treatment of bacterial conjunctivitis caused by susceptible strains of organisms.</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MAXIDEX® (dexamethasone ophthalmic suspension) 0.1%, a steroid eye drop for steroid-responsive inflammatory conditions of the palpebral and bulbar conjunctiva, cornea, and anterior segment of the globe.</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TRIESENCE® (triamcinolone acetonide injectable suspension) 40 mg/ml, a steroid injection for the treatment of certain ophthalmic diseases and for visualization during vitrectomy.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closed the Fab 5 Acquisition on January 20, 2023. Under the terms of the Purchase Agreement, we made a one-time payment of $130,000,000 at closing, with up to another $45,000,000 due in a milestone payment related to the timing of the commercial availability of TRIESENCE. Pursuant to and subject to certain conditions in the Purchase Agreement and various ancillary agreements, for a period beginning immediately following the closing and ending prior to the transfer of the Fab 5 Products new drug applications (the “NDAs”) to us, Novartis will continue to sell the Products on our behalf and transfer the net profit from the sale of the Products to us. Novartis has agreed to supply certain Products to the Company for a period of time after the NDAs are transferred to us and to assist with technology transfer of the Products manufacturing to other third-party manufacturers, if needed.</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28, 2023, we transferred the NDAs for ILEVRO, NEVANAC and MAXIDEX. We expect to transfer the NDA for VIGAMOX in the second half of 2023, and the NDA for TRIESENCE around the timing of its commercial availability.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highlight w:val="white"/>
        </w:rPr>
        <w:t>IOPIDINE®, MAXITROL® EYE DROPS, MOXEZA®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2021, we acquired U.S. commercial rights to four FDA-approved ophthalmic medicines: IOPIDINE 1% and 0.5% (apraclonidine hydrochloride); MAXITROL (neomycin/polymyxin B/dexamethasone) ophthalmic suspension; and MOXEZA (moxifloxacin hydrochloride). We believe by expanding our product portfolio to include branded FDA-approved products, we will be uniquely positioned to leverage our commercial platform to introduce unique lifecycle management strategies that could grow sales and address needs of our customers that we are unable to meet with our other compounded product offerings.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time of closing the acquisition of the four products, we agreed to a transition period with the seller, which lasted six months following the closing of the transaction. During the transition period, the seller continued to sell the products and transferred the net profit from those sales to us. Following the transition period which ended in June 2022, we made IOPIDINE 1% and MAXITROL commercially available, and expect to re-launch MOXEZA at a later date.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6227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6227445"/>
                    </a:xfrm>
                    <a:prstGeom prst="rect">
                      <a:avLst/>
                    </a:prstGeom>
                    <a:noFill/>
                  </pic:spPr>
                </pic:pic>
              </a:graphicData>
            </a:graphic>
          </wp:anchor>
        </w:drawing>
        <w:t>IHEEZO</w:t>
      </w:r>
      <w:r>
        <w:rPr>
          <w:rFonts w:ascii="Arial" w:cs="Arial" w:eastAsia="Arial" w:hAnsi="Arial"/>
          <w:sz w:val="29"/>
          <w:szCs w:val="29"/>
          <w:i w:val="1"/>
          <w:iCs w:val="1"/>
          <w:color w:val="auto"/>
          <w:vertAlign w:val="superscript"/>
        </w:rPr>
        <w:t>TM</w:t>
      </w:r>
    </w:p>
    <w:p>
      <w:pPr>
        <w:spacing w:after="0" w:line="14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July 2021, we acquired the exclusive U.S. and Canadian marketing and supply rights to IHEEZO (chloroprocaine hydrochloride ophthalmic gel) 3% from Sintetica S.A. (“Sintetica”). The FDA approved IHEEZO for ocular surface anesthesia in September 2022. We commercially launched IHEEZO in the U.S. market in May 2023.</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expect our commercial focus of IHEEZO to be on ophthalmic procedures that traditionally require the eye to be anesthetized, including intravitreal injections and lens replacement procedures, which in aggregate we estimate to be over 11 million instances annually in the U.S.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IHEEZO is protected by one issued, Orange Book listed patent and another patent-pending. The issued patent includes composition of matter and method of use claims and could provide protection for IHEEZO into 2037.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MAQ-100</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highlight w:val="white"/>
        </w:rPr>
        <w:t>In August 2021, we acquired exclusive marketing rights to MAQ-100 in the U.S. and Canada from Wakamoto Pharmaceutical Co., Ltd. (“Wakamoto”). MAQ-100 is a preservative-free triamcinolone acetonide ophthalmic injection drug candidate. MAQ-100 is marketed and sold by Wakamoto in Japan as MaQaid®. Following Japan’s Ministry of Health Labor and Welfare (“MHLW”) approval, MaQaid was launched in Japan in 2010, indicated as an intravitreal injection for visualization for vitrectomy. Since its initial MHLW approval, the indication for MaQaid was expanded to include (a) treatments for alleviation of diabetic macular edema, (b) macular edema associated with retinal vein occlusion (or RVO), and (c) non-infectious uveitis. We are currently working with Wakamoto to assess a clinical pathway for MaQaid.</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highlight w:val="white"/>
        </w:rPr>
        <w:t>We are currently evaluating several programs to internally develop product candidates based on technology and know-how we own. We also expect to continue to acquire and/or develop additional FDA-approved/approvable ophthalmic products and product candidates that will allow us to leverage our commercial infrastructure to promote, sell, and ultimately bring these products to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Carved-Out Businesses (De-Consolidated Businesses)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ownership interests in Surface, Melt, and Eton Pharmaceuticals, Inc. (“Eton”) and hold royalty interests in some of Surface’s and Melt’s drug candidates. These companies are pursuing market approval for their drug candidates under the Federal Food, Drug, and Cosmetic Act, including in some instances under the abbreviated pathway described in Section 505(b)(2), which permits the submission of an NDA where at least some of the information required for approval comes from studies not conducted by or for the applicant and for which the applicant has not obtained a right of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Equity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 Pharmaceuticals, Inc.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Melt is a clinical-stage pharmaceutical company focused on the development and commercialization of proprietary non-intravenous, sedation and anesthesia therapeutics for human medical procedures in hospital, outpatient, and in-office settings. Melt is seeking regulatory approval for its proprietary technologies, where possible. In December 2018, we entered into an Asset Purchase Agreement with Melt (the “Melt Asset Purchase Agreement”), pursuant to which Harrow assigned to Melt the underlying intellectual property for Melt’s current pipeline, including its lead drug candidate MELT-300. The core intellectual property Melt owns is a patented series of combination non-opioid sedation drug formulations that we estimate to have multitudinous applications.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6" w:right="499" w:bottom="1440" w:gutter="0" w:footer="0" w:header="0"/>
        </w:sectPr>
      </w:pPr>
    </w:p>
    <w:bookmarkStart w:id="7" w:name="page8"/>
    <w:bookmarkEnd w:id="7"/>
    <w:p>
      <w:pPr>
        <w:jc w:val="both"/>
        <w:ind w:firstLine="64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7847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7847965"/>
                    </a:xfrm>
                    <a:prstGeom prst="rect">
                      <a:avLst/>
                    </a:prstGeom>
                    <a:noFill/>
                  </pic:spPr>
                </pic:pic>
              </a:graphicData>
            </a:graphic>
          </wp:anchor>
        </w:drawing>
        <w:t>MELT-300 is a novel, sublingually delivered, non-IV, opioid-free drug candidate being developed for procedural sedation. In February 2021, Melt announced data from, and the successful completion of, its Phase 1 study. In December 2022, Melt announced topline data from its Phase 2 study for MELT-300:</w:t>
      </w:r>
    </w:p>
    <w:p>
      <w:pPr>
        <w:spacing w:after="0" w:line="184" w:lineRule="exact"/>
        <w:rPr>
          <w:sz w:val="20"/>
          <w:szCs w:val="20"/>
          <w:color w:val="auto"/>
        </w:rPr>
      </w:pPr>
    </w:p>
    <w:p>
      <w:pPr>
        <w:jc w:val="both"/>
        <w:ind w:left="660" w:hanging="331"/>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 study of more than 300 patients, at nine study sites, all undergoing cataract surgery, MELT-300 achieved its primary procedural sedation endpoint, demonstrating statistical superiority for procedural sedation compared to all comparator treatment arms, including midazolam 3mg (P=0.0129) and ketamine 50mg (P=0.0096).</w:t>
      </w:r>
    </w:p>
    <w:p>
      <w:pPr>
        <w:spacing w:after="0" w:line="183"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Using the validated Ramsey Sedation Scale (RSS), MELT-300 treatment arm patients were 50% less likely to require rescue sedation compared to midazolam 3mg (P=0.0198).</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Using the RSS, MELT-300 treatment arm patients were 66% less likely to require rescue sedation pre-operatively compared to the midazolam 3mg treatment arm.</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MELT-300’s safety profile was generally comparable to the placebo arm.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2019, Melt closed an offering of its Series A Preferred Stock. At that time, we gave up our controlling interest and deconsolidated Melt from our consolidated financial statements. We own 3,500,000 shares of Melt common stock, which was approximately 46% of Melt’s equity and voting interests issued and outstanding as of March 31, 2023. In September 2021, we provided Melt with a senior secured loan with a principal amount of $13,500,000, which was used to fund the Phase 2 program of MELT-300.</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Melt is required to make mid-single digit royalty payments to the Company on net sales of MELT-300, while any patent rights remain outstanding, subject to other conditions. Melt can require the Company to cease compounding like products at the time of FDA approval of MELT-300. If approved, we do not expect a cessation of compounding like products to have a material impact on our operations and financial performance.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Opthalmics, Inc.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Surface is a clinical-stage pharmaceutical company focused on the development and commercialization of innovative therapeutics for ocular surface diseases.</w:t>
      </w:r>
    </w:p>
    <w:p>
      <w:pPr>
        <w:spacing w:after="0" w:line="170" w:lineRule="exact"/>
        <w:rPr>
          <w:sz w:val="20"/>
          <w:szCs w:val="20"/>
          <w:color w:val="auto"/>
        </w:rPr>
      </w:pPr>
    </w:p>
    <w:p>
      <w:pPr>
        <w:jc w:val="both"/>
        <w:ind w:left="660" w:hanging="655"/>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SURF-100 for Chronic Dry Eye Disease</w:t>
      </w:r>
      <w:r>
        <w:rPr>
          <w:rFonts w:ascii="Arial" w:cs="Arial" w:eastAsia="Arial" w:hAnsi="Arial"/>
          <w:sz w:val="18"/>
          <w:szCs w:val="18"/>
          <w:color w:val="auto"/>
        </w:rPr>
        <w:t>: Surface completed its 350-patient Phase 2 clinical trial, comparing five active arms of SURF-100 study drugs with the current market-leading prescription chronic dry eye treatments. According to Surface, the SURF-100 Phase 2 clinical trial achieved superiority for both signs and symptoms of chronic dry eye disease compared to market leading incumbents, as well as generating positive data on onset and duration of action.</w:t>
      </w:r>
    </w:p>
    <w:p>
      <w:pPr>
        <w:spacing w:after="0" w:line="186" w:lineRule="exact"/>
        <w:rPr>
          <w:rFonts w:ascii="Arial" w:cs="Arial" w:eastAsia="Arial" w:hAnsi="Arial"/>
          <w:sz w:val="18"/>
          <w:szCs w:val="18"/>
          <w:color w:val="auto"/>
        </w:rPr>
      </w:pPr>
    </w:p>
    <w:p>
      <w:pPr>
        <w:ind w:left="660" w:hanging="655"/>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SURF-200 for Acute Dry Eye</w:t>
      </w:r>
      <w:r>
        <w:rPr>
          <w:rFonts w:ascii="Arial" w:cs="Arial" w:eastAsia="Arial" w:hAnsi="Arial"/>
          <w:sz w:val="18"/>
          <w:szCs w:val="18"/>
          <w:color w:val="auto"/>
        </w:rPr>
        <w:t>: Surface has completed enrollment of its Phase 2 clinical trial for SURF-200 and expects to announce top-line results in 2023.</w:t>
      </w:r>
    </w:p>
    <w:p>
      <w:pPr>
        <w:spacing w:after="0" w:line="170" w:lineRule="exact"/>
        <w:rPr>
          <w:rFonts w:ascii="Arial" w:cs="Arial" w:eastAsia="Arial" w:hAnsi="Arial"/>
          <w:sz w:val="18"/>
          <w:szCs w:val="18"/>
          <w:color w:val="auto"/>
        </w:rPr>
      </w:pPr>
    </w:p>
    <w:p>
      <w:pPr>
        <w:jc w:val="both"/>
        <w:ind w:left="660" w:hanging="655"/>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SURF-201 for Pain and Inflammation Following Ocular Surgery</w:t>
      </w:r>
      <w:r>
        <w:rPr>
          <w:rFonts w:ascii="Arial" w:cs="Arial" w:eastAsia="Arial" w:hAnsi="Arial"/>
          <w:sz w:val="17"/>
          <w:szCs w:val="17"/>
          <w:color w:val="auto"/>
        </w:rPr>
        <w:t>: According to the Surface results, SURF-201 was dosed twice daily, met its primary endpoints of absence of inflammation at both Day 8 and Day 15 and was found to be safe and well-tolerated by the patient group. In addition, a secondary endpoint showed almost 90% of patients given SURF-201 were pain free at Day 15.</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2018, Surface closed an offering of its Series A Preferred Stock. At that time, we lost our controlling interest and deconsolidated Surface from our consolidated financial statements. During May, June and July of 2021, Surface closed an offering of its preferred stock at a purchase price of $4.50 per share resulting in gross proceeds to Surface of approximately $25,000,000 (the “Surface Series B Offering”). We own 3,500,000 shares of Surface common stock, which was approximately 20% of Surface’s equity and voting interests as of March 31, 2023. Harrow owns mid-single digit royalty rights on net sales of SURF-100, SURF-200 and SURF-201.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Eton Pharmaceuticals, Inc.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Eton is an innovative pharmaceutical company focused on developing, acquiring, and commercializing treatments for rare diseases. Eton currently commercializes ALKINDI SPRINKLE® and Carglumic Acid tablets and has additional rare disease products under development, including dehydrated alcohol injection and the ZENEO® hydrocortisone autoinjector. In May 2017, we gave up our controlling interest in Eton. We own 1,982,000 shares of Eton common stock, which represented less than 10% of Eton’s equity and voting interests issued and outstanding as of March 31, 2023.</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5130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5130165"/>
                    </a:xfrm>
                    <a:prstGeom prst="rect">
                      <a:avLst/>
                    </a:prstGeom>
                    <a:noFill/>
                  </pic:spPr>
                </pic:pic>
              </a:graphicData>
            </a:graphic>
          </wp:anchor>
        </w:drawing>
        <w:t>Recent Developments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VEVYE</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U.S. and Canadian Commercial Rights</w:t>
      </w:r>
    </w:p>
    <w:p>
      <w:pPr>
        <w:spacing w:after="0" w:line="1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July 18, 2023, we announced that we had acquired commercial rights of VEVYE (cyclosporine ophthalmic solution) 0.1%, an ophthalmic drug product, for the U.S. and Canadian markets (the “VEVYE Acquisition”). VEVYE, which is dispensed topically in a unique ten microliter per one drop and is labeled for twice-daily (BID) dosing, is the first and only cyclosporine-based product indicated for the treatment of both signs and symptoms of dry eye disease (DED). VEVYE was approved on May 30, 2023 by the FDA. We acquired the commercial rights to VEVYE by entering into a license agreement with Novaliq GmbH (“Novaliq”). As consideration, we will make initial payments to Novaliq totaling $8,000,000 and will pay low double-digit royalties on net sales of VEVYE along with potential commercial milestone payments.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Certain U.S. and Canadian Commercial Rights to Santen and Eyevance Products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18, 2023, we entered into an Asset Purchase Agreement with Eyevance Pharmaceuticals, LLC and a License Agreement with Santen S.A.S. (collectively, the “Santen Agreements”), each a subsidiary of Santen Pharmaceuticals Co., Ltd. (collectively, “Santen”). Pursuant to the Santen Agreements, we will be acquiring the exclusive commercial rights to assets associated with the following ophthalmic products (collectively, the “Santen Products”):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the U.S.:</w:t>
      </w:r>
    </w:p>
    <w:p>
      <w:pPr>
        <w:spacing w:after="0" w:line="225" w:lineRule="exact"/>
        <w:rPr>
          <w:sz w:val="20"/>
          <w:szCs w:val="20"/>
          <w:color w:val="auto"/>
        </w:rPr>
      </w:pPr>
    </w:p>
    <w:p>
      <w:pPr>
        <w:jc w:val="both"/>
        <w:ind w:left="660" w:hanging="331"/>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FLAREX® (fluorometholone acetate ophthalmic suspension) 0.1%, a corticosteroid prepared as a sterile topical ophthalmic suspension indicated for use in the treatment of steroid-responsive inflammatory conditions of the palpebral and bulbar conjunctiva, cornea, and anterior segment of the eye.</w:t>
      </w:r>
    </w:p>
    <w:p>
      <w:pPr>
        <w:spacing w:after="0" w:line="183"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NATACYN® (natamycin ophthalmic suspension) 5%, a sterile, antifungal drug for the treatment of fungal blepharitis, conjunctivitis, and keratitis caused by susceptible organisms, including Fusarium solani keratitis.</w:t>
      </w:r>
    </w:p>
    <w:p>
      <w:pPr>
        <w:spacing w:after="0" w:line="170" w:lineRule="exact"/>
        <w:rPr>
          <w:rFonts w:ascii="Arial" w:cs="Arial" w:eastAsia="Arial" w:hAnsi="Arial"/>
          <w:sz w:val="18"/>
          <w:szCs w:val="18"/>
          <w:color w:val="auto"/>
        </w:rPr>
      </w:pPr>
    </w:p>
    <w:p>
      <w:pPr>
        <w:jc w:val="both"/>
        <w:ind w:left="660" w:hanging="331"/>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TOBRADEX® ST (tobramycin and dexamethasone ophthalmic suspension) 0.3%/0.05%, a topical antibiotic and corticosteroid combination for steroid-responsive inflammatory ocular conditions for which a corticosteroid is indicated and where superficial bacterial ocular infection or a risk of bacterial ocular infection exists.</w:t>
      </w:r>
    </w:p>
    <w:p>
      <w:pPr>
        <w:spacing w:after="0" w:line="183"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ZERVIATE® (cetirizine ophthalmic solution) 0.24%, a histamine-1 (H1) receptor antagonist indicated for treatment of ocular itching associated with allergic conjunctivitis.</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FRESHKOTE®, a preservative-free formulation for temporary relief of symptoms of dry eye.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9" w:name="page10"/>
    <w:bookmarkEnd w:id="9"/>
    <w:p>
      <w:pPr>
        <w:ind w:left="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7025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7025005"/>
                    </a:xfrm>
                    <a:prstGeom prst="rect">
                      <a:avLst/>
                    </a:prstGeom>
                    <a:noFill/>
                  </pic:spPr>
                </pic:pic>
              </a:graphicData>
            </a:graphic>
          </wp:anchor>
        </w:drawing>
        <w:t>In the U.S. and Canada:</w:t>
      </w:r>
    </w:p>
    <w:p>
      <w:pPr>
        <w:spacing w:after="0" w:line="225" w:lineRule="exact"/>
        <w:rPr>
          <w:sz w:val="20"/>
          <w:szCs w:val="20"/>
          <w:color w:val="auto"/>
        </w:rPr>
      </w:pPr>
    </w:p>
    <w:p>
      <w:pPr>
        <w:ind w:left="660" w:hanging="331"/>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VERKAZIA® (cyclosporine ophthalmic emulsion) 0.1%, an orphan designated drug that is a calcineurin inhibitor immunosuppressant indicated for the treatment of vernal keratoconjunctivitis.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Canada:</w:t>
      </w:r>
    </w:p>
    <w:p>
      <w:pPr>
        <w:spacing w:after="0" w:line="225" w:lineRule="exact"/>
        <w:rPr>
          <w:sz w:val="20"/>
          <w:szCs w:val="20"/>
          <w:color w:val="auto"/>
        </w:rPr>
      </w:pPr>
    </w:p>
    <w:p>
      <w:pPr>
        <w:ind w:left="660" w:hanging="331"/>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CATIONORM® PLUS, a preservative-free formulation for dry eye or allergy relief.</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transactions pursuant to the Santen Agreements are referred to in this prospectus as the “Santen Products Acquisition.”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terms of the Santen Agreements, we are required to make an initial one-time payment of $8,000,000. In addition, the agreements provide for various one-time milestone payments associated with certain manufacturing-related events as well as low-double digit royalty payments on net sales of Verkazia and high-single digit royalty payments on net sales of Cationorm Plus. Under the Santen Agreements, we also assumed certain obligations associated with other third parties that require mid-single digit royalties on sales of Freshkote and Zerviate. Immediately following the closing and subject to certain conditions, for a period that we expect to last approximately four months, and prior to the transfer of the Santen Product NDAs and other marketing authorizations to us, Santen will continue to sell the Santen Products on our behalf and transfer the net profit from the sale of the Santen Products to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Oaktree Credit Agreement Amendment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July 18, 2023, we entered into the First Amendment to Credit Agreement and Guaranty and Consent (the “Oaktree Amendment”) to the Credit Agreement and Guaranty (the “Oaktree Loan”) originally entered into on March 27, 2023, with the lenders from time to time party thereto and Oaktree Fund Administration, LLC, as administrative agent for the lenders (together, “Oaktree”). Under the Oaktree Amendment, the overall credit facility size was increased from $100,000,000 to $112,500,000, and we made other changes related to the Santen Products Acquisition. Upon satisfaction of certain conditions to funding, we will draw down a principal amount of $12,500,000 (the “Loan Increase”) to fund the initial one-time payment associated with the Santen Product Acquisition and for other working capital and general corporate purposes. No other material changes to the Oaktree Loan were provided in the Oaktree Amendment. Following entry into the Oaktree Amendment and the funding of the Loan Increase upon closing of the Santen Products Acquisition, we have drawn down a total principal loan amount of $77,500,000 under the Oaktree Loan and an additional principal loan amount of up to $35,000,000 remains available to us upon the commercialization of TRIESENCE.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Guidance for the Three Months Ended June 30, 2023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to record over $31,000,000 of total revenues and over $9,300,000 of Adjusted EBITDA (a non-GAAP (as defined below) measure) for the three-month period ended June 30, 2023.</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Management utilizes Adjusted EBITDA, an unaudited financial measure that is not calculated in accordance with generally accepted accounting principles in the United States (“GAAP”), to evaluate the Company’s financial results and performance and to plan and forecast future periods. Investors are encouraged to review the Company’s complete results of operations and additional information provided in the Company’s Annual Report on Form 10-K for the year ended December 31, 2022 and Quarterly Report on Form 10-Q for the quarter ended March 31, 2023, which are incorporated by reference into this prospectus supplement. Management believes that Adjusted EBITDA reflects an additional way of viewing aspects of the Company’s operations that, when viewed in conjunction with GAAP results, provides a more complete understanding of the Company’s results of operations and the factors and trends affecting its business.</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Although we are providing management guidance on anticipated Adjusted EBITDA, we are unable to determine with reasonable certainty the ultimate outcome of certain items necessary to calculate net income, the most directly comparable GAAP measure, without unreasonable effort. These items include, but are not limited to, final calculation of investment related gains/losses, inventory reserves, profit transfers, revenue discounts, returns, chargebacks and stock-based compensation. These items are uncertain, depend on various factors, and could have a material impact on the GAAP reported results for the period. Accordingly, net income is not accessible on a forward-looking basis.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10" w:name="page11"/>
    <w:bookmarkEnd w:id="10"/>
    <w:p>
      <w:pPr>
        <w:jc w:val="both"/>
        <w:ind w:firstLine="64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5516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5516245"/>
                    </a:xfrm>
                    <a:prstGeom prst="rect">
                      <a:avLst/>
                    </a:prstGeom>
                    <a:noFill/>
                  </pic:spPr>
                </pic:pic>
              </a:graphicData>
            </a:graphic>
          </wp:anchor>
        </w:drawing>
        <w:t>All estimates presented are subject to completion of the applicable quarter-end closing procedures. Our actual results for such period will not be available until after this offering is completed and may vary from these estimates. In addition, estimated financial information is necessarily speculative in nature, and it can be expected that some or all of the assumptions underlying the estimated financial information described above will not materialize or will vary significantly from actual results. Accordingly, undue reliance should not be placed on this estimated financial information. The preliminary estimates are not necessarily indicative of any future period and should be read together with the sections titled “Risk Factors” and “Special Note Regarding Forward-Looking Statements,” and under similar headings in the documents incorporated by reference into this prospectus supplement and the accompanying prospectus as well as our financial statements, related notes and other financial information incorporated by reference in this prospectus supplement.</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foregoing guidance on anticipated results for the three months ended June 30, 2023 has not been reviewed by our auditors, is based on preliminary information as of the date hereof and is subject to material changes following completion of the quarter-end review process and other adjustments that may be made before our financial results are finalized. In addition, these preliminary unaudited results are not comprehensive financial results for the quarter ended June 30, 2023, should not be viewed as a substitute for complete GAAP financial statements or more comprehensive financial information, and are not indicative of the results for any future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Performance Vesting Restricted Stock Units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Effective as of July 18, 2023, we settled approximately 1,567,913 outstanding performance vesting restricted stock units as a result of the achievement of the stock price targets set forth in equity incentive awards previously issued to members of our management team in 2021 (the “2021 Awards”). In connection with the settlement of the 2021 Awards, an aggregate of approximately 630,000 shares are being withheld by Harrow for tax withholding from the shares otherwise issuable to the holders of the 2021 Awards and will be canceled. We intend to fund the tax withholding obligations in connection with the settlement of the 2021 Awards using a portion of the proceeds of this offering.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corporate headquarters are located at 102 Woodmont Blvd., Suite 610, Nashville, Tennessee, 37205, and our telephone number at such office is (615) 733-4730. Our website address is www.harrowinc.com. Information contained on our website is not deemed part of this prospectus supplement or the accompanying prospectus and is not incorporated in this prospectus supplement, the accompanying prospectus or any other document that we file with the SEC by reference.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11" w:name="page12"/>
    <w:bookmarkEnd w:id="11"/>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Issuer:</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Common Stock Offered by us:</w:t>
      </w:r>
    </w:p>
    <w:p>
      <w:pPr>
        <w:spacing w:after="0" w:line="225" w:lineRule="exact"/>
        <w:rPr>
          <w:sz w:val="20"/>
          <w:szCs w:val="20"/>
          <w:color w:val="auto"/>
        </w:rPr>
      </w:pPr>
    </w:p>
    <w:p>
      <w:pPr>
        <w:ind w:left="160"/>
        <w:spacing w:after="0" w:line="266" w:lineRule="auto"/>
        <w:rPr>
          <w:sz w:val="20"/>
          <w:szCs w:val="20"/>
          <w:color w:val="auto"/>
        </w:rPr>
      </w:pPr>
      <w:r>
        <w:rPr>
          <w:rFonts w:ascii="Arial" w:cs="Arial" w:eastAsia="Arial" w:hAnsi="Arial"/>
          <w:sz w:val="18"/>
          <w:szCs w:val="18"/>
          <w:b w:val="1"/>
          <w:bCs w:val="1"/>
          <w:color w:val="auto"/>
        </w:rPr>
        <w:t>Underwriters’ Option to Purchase Additional Shares of Common Stock from us:</w:t>
      </w:r>
    </w:p>
    <w:p>
      <w:pPr>
        <w:spacing w:after="0" w:line="176" w:lineRule="exact"/>
        <w:rPr>
          <w:sz w:val="20"/>
          <w:szCs w:val="20"/>
          <w:color w:val="auto"/>
        </w:rPr>
      </w:pPr>
    </w:p>
    <w:p>
      <w:pPr>
        <w:ind w:left="160" w:right="180"/>
        <w:spacing w:after="0" w:line="282" w:lineRule="auto"/>
        <w:rPr>
          <w:sz w:val="20"/>
          <w:szCs w:val="20"/>
          <w:color w:val="auto"/>
        </w:rPr>
      </w:pPr>
      <w:r>
        <w:rPr>
          <w:rFonts w:ascii="Arial" w:cs="Arial" w:eastAsia="Arial" w:hAnsi="Arial"/>
          <w:sz w:val="18"/>
          <w:szCs w:val="18"/>
          <w:b w:val="1"/>
          <w:bCs w:val="1"/>
          <w:color w:val="auto"/>
        </w:rPr>
        <w:t>Common Stock to be Outstanding After this Offering:</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ind w:left="146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-271145</wp:posOffset>
            </wp:positionV>
            <wp:extent cx="7127875" cy="7573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75736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 of our common stock, $0.001 par value per share.</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underwriters have been granted an option to purchase up to an additional shares of our common stock, which they may exercise, in whole or in part, for a period of 30 days from the date of this prospectus supplement.</w:t>
      </w:r>
    </w:p>
    <w:p>
      <w:pPr>
        <w:spacing w:after="0" w:line="184" w:lineRule="exact"/>
        <w:rPr>
          <w:sz w:val="20"/>
          <w:szCs w:val="20"/>
          <w:color w:val="auto"/>
        </w:rPr>
      </w:pPr>
    </w:p>
    <w:p>
      <w:pPr>
        <w:ind w:left="580"/>
        <w:spacing w:after="0"/>
        <w:tabs>
          <w:tab w:leader="none" w:pos="3300" w:val="left"/>
        </w:tabs>
        <w:rPr>
          <w:sz w:val="20"/>
          <w:szCs w:val="20"/>
          <w:color w:val="auto"/>
        </w:rPr>
      </w:pPr>
      <w:r>
        <w:rPr>
          <w:rFonts w:ascii="Arial" w:cs="Arial" w:eastAsia="Arial" w:hAnsi="Arial"/>
          <w:sz w:val="18"/>
          <w:szCs w:val="18"/>
          <w:color w:val="auto"/>
        </w:rPr>
        <w:t>shares of our common stock (or</w:t>
      </w:r>
      <w:r>
        <w:rPr>
          <w:sz w:val="20"/>
          <w:szCs w:val="20"/>
          <w:color w:val="auto"/>
        </w:rPr>
        <w:tab/>
      </w:r>
      <w:r>
        <w:rPr>
          <w:rFonts w:ascii="Arial" w:cs="Arial" w:eastAsia="Arial" w:hAnsi="Arial"/>
          <w:sz w:val="16"/>
          <w:szCs w:val="16"/>
          <w:color w:val="auto"/>
        </w:rPr>
        <w:t>shares if the underwriters exercise their option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purchase additional shares in full), $0.001 par value per share.</w:t>
      </w:r>
    </w:p>
    <w:p>
      <w:pPr>
        <w:spacing w:after="0" w:line="211"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We estimate that the net proceeds from this offering will be approximately $</w:t>
      </w:r>
      <w:r>
        <w:rPr>
          <w:sz w:val="20"/>
          <w:szCs w:val="20"/>
          <w:color w:val="auto"/>
        </w:rPr>
        <w:tab/>
      </w:r>
      <w:r>
        <w:rPr>
          <w:rFonts w:ascii="Arial" w:cs="Arial" w:eastAsia="Arial" w:hAnsi="Arial"/>
          <w:sz w:val="16"/>
          <w:szCs w:val="16"/>
          <w:color w:val="auto"/>
        </w:rPr>
        <w:t>(or approximately $</w:t>
      </w:r>
    </w:p>
    <w:p>
      <w:pPr>
        <w:spacing w:after="0" w:line="23" w:lineRule="exact"/>
        <w:rPr>
          <w:sz w:val="20"/>
          <w:szCs w:val="20"/>
          <w:color w:val="auto"/>
        </w:rPr>
      </w:pPr>
    </w:p>
    <w:p>
      <w:pPr>
        <w:jc w:val="both"/>
        <w:ind w:right="160"/>
        <w:spacing w:after="0" w:line="290" w:lineRule="auto"/>
        <w:rPr>
          <w:sz w:val="20"/>
          <w:szCs w:val="20"/>
          <w:color w:val="auto"/>
        </w:rPr>
      </w:pPr>
      <w:r>
        <w:rPr>
          <w:rFonts w:ascii="Arial" w:cs="Arial" w:eastAsia="Arial" w:hAnsi="Arial"/>
          <w:sz w:val="17"/>
          <w:szCs w:val="17"/>
          <w:color w:val="auto"/>
        </w:rPr>
        <w:t>if the underwriters exercise their option to purchase additional shares of common stock in full), after deducting underwriting discounts and commissions and offering expenses payable by us.</w:t>
      </w:r>
    </w:p>
    <w:p>
      <w:pPr>
        <w:spacing w:after="0" w:line="161" w:lineRule="exact"/>
        <w:rPr>
          <w:sz w:val="20"/>
          <w:szCs w:val="20"/>
          <w:color w:val="auto"/>
        </w:rPr>
      </w:pPr>
    </w:p>
    <w:p>
      <w:pPr>
        <w:jc w:val="both"/>
        <w:ind w:right="160"/>
        <w:spacing w:after="0" w:line="272" w:lineRule="auto"/>
        <w:rPr>
          <w:sz w:val="20"/>
          <w:szCs w:val="20"/>
          <w:color w:val="auto"/>
        </w:rPr>
      </w:pPr>
      <w:r>
        <w:rPr>
          <w:rFonts w:ascii="Arial" w:cs="Arial" w:eastAsia="Arial" w:hAnsi="Arial"/>
          <w:sz w:val="17"/>
          <w:szCs w:val="17"/>
          <w:color w:val="auto"/>
        </w:rPr>
        <w:t>We intend to use the net proceeds of this offering of common stock to fund the initial payment for the VEVYE Acquisition, with the remaining net proceeds available for general corporate purposes, including funding future strategic product acquisitions and related investments, making capital expenditures and funding working capital and other cash needs such as tax withholding obligations in connection with settlement of the 2021 Awards. Pending such use, we may invest the remaining net proceeds in short-term interest-bearing accounts, securities, or similar investments. See “Use of Proceeds” on page S-11 of this prospectus supplement.</w:t>
      </w:r>
    </w:p>
    <w:p>
      <w:pPr>
        <w:spacing w:after="0" w:line="173" w:lineRule="exact"/>
        <w:rPr>
          <w:sz w:val="20"/>
          <w:szCs w:val="20"/>
          <w:color w:val="auto"/>
        </w:rPr>
      </w:pPr>
    </w:p>
    <w:p>
      <w:pPr>
        <w:sectPr>
          <w:pgSz w:w="11900" w:h="16838" w:orient="portrait"/>
          <w:cols w:equalWidth="0" w:num="2">
            <w:col w:w="3400" w:space="260"/>
            <w:col w:w="7580"/>
          </w:cols>
          <w:pgMar w:left="320" w:top="904" w:right="339" w:bottom="1440" w:gutter="0" w:footer="0" w:header="0"/>
        </w:sectPr>
      </w:pPr>
    </w:p>
    <w:p>
      <w:pPr>
        <w:ind w:left="160"/>
        <w:spacing w:after="0"/>
        <w:tabs>
          <w:tab w:leader="none" w:pos="3640" w:val="left"/>
        </w:tabs>
        <w:rPr>
          <w:sz w:val="20"/>
          <w:szCs w:val="20"/>
          <w:color w:val="auto"/>
        </w:rPr>
      </w:pPr>
      <w:r>
        <w:rPr>
          <w:rFonts w:ascii="Arial" w:cs="Arial" w:eastAsia="Arial" w:hAnsi="Arial"/>
          <w:sz w:val="18"/>
          <w:szCs w:val="18"/>
          <w:b w:val="1"/>
          <w:bCs w:val="1"/>
          <w:color w:val="auto"/>
        </w:rPr>
        <w:t>Listing:</w:t>
      </w:r>
      <w:r>
        <w:rPr>
          <w:sz w:val="20"/>
          <w:szCs w:val="20"/>
          <w:color w:val="auto"/>
        </w:rPr>
        <w:tab/>
      </w:r>
      <w:r>
        <w:rPr>
          <w:rFonts w:ascii="Arial" w:cs="Arial" w:eastAsia="Arial" w:hAnsi="Arial"/>
          <w:sz w:val="18"/>
          <w:szCs w:val="18"/>
          <w:color w:val="auto"/>
        </w:rPr>
        <w:t>Our common stock is listed on Nasdaq under the symbol “HROW.”</w:t>
      </w:r>
    </w:p>
    <w:p>
      <w:pPr>
        <w:spacing w:after="0" w:line="225" w:lineRule="exact"/>
        <w:rPr>
          <w:sz w:val="20"/>
          <w:szCs w:val="20"/>
          <w:color w:val="auto"/>
        </w:rPr>
      </w:pPr>
    </w:p>
    <w:p>
      <w:pPr>
        <w:ind w:left="160"/>
        <w:spacing w:after="0"/>
        <w:tabs>
          <w:tab w:leader="none" w:pos="3640" w:val="left"/>
        </w:tabs>
        <w:rPr>
          <w:sz w:val="20"/>
          <w:szCs w:val="20"/>
          <w:color w:val="auto"/>
        </w:rPr>
      </w:pPr>
      <w:r>
        <w:rPr>
          <w:rFonts w:ascii="Arial" w:cs="Arial" w:eastAsia="Arial" w:hAnsi="Arial"/>
          <w:sz w:val="18"/>
          <w:szCs w:val="18"/>
          <w:b w:val="1"/>
          <w:bCs w:val="1"/>
          <w:color w:val="auto"/>
        </w:rPr>
        <w:t>Transfer Agent and Registrar:</w:t>
      </w:r>
      <w:r>
        <w:rPr>
          <w:sz w:val="20"/>
          <w:szCs w:val="20"/>
          <w:color w:val="auto"/>
        </w:rPr>
        <w:tab/>
      </w:r>
      <w:r>
        <w:rPr>
          <w:rFonts w:ascii="Arial" w:cs="Arial" w:eastAsia="Arial" w:hAnsi="Arial"/>
          <w:sz w:val="16"/>
          <w:szCs w:val="16"/>
          <w:color w:val="auto"/>
        </w:rPr>
        <w:t>Securities Transfer Corporation.</w:t>
      </w:r>
    </w:p>
    <w:p>
      <w:pPr>
        <w:spacing w:after="0" w:line="225" w:lineRule="exact"/>
        <w:rPr>
          <w:sz w:val="20"/>
          <w:szCs w:val="20"/>
          <w:color w:val="auto"/>
        </w:rPr>
      </w:pPr>
    </w:p>
    <w:p>
      <w:pPr>
        <w:ind w:left="160"/>
        <w:spacing w:after="0"/>
        <w:tabs>
          <w:tab w:leader="none" w:pos="364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Investing in our common stock involves risks. You should carefully consider the information set forth</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in the section of this prospectus supplement entitled “Risk Factors” beginning on page S-9 of this</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prospectus supplement, as well as the other information included in or incorporated by reference into</w:t>
      </w:r>
    </w:p>
    <w:p>
      <w:pPr>
        <w:spacing w:after="0" w:line="32"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this prospectus supplement and the accompanying prospectus before deciding whether to invest in our</w:t>
      </w:r>
    </w:p>
    <w:p>
      <w:pPr>
        <w:spacing w:after="0" w:line="32"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common stock.</w:t>
      </w:r>
    </w:p>
    <w:p>
      <w:pPr>
        <w:spacing w:after="0" w:line="211" w:lineRule="exact"/>
        <w:rPr>
          <w:sz w:val="20"/>
          <w:szCs w:val="20"/>
          <w:color w:val="auto"/>
        </w:rPr>
      </w:pPr>
    </w:p>
    <w:p>
      <w:pPr>
        <w:ind w:left="160" w:right="160" w:firstLine="648"/>
        <w:spacing w:after="0" w:line="277" w:lineRule="auto"/>
        <w:rPr>
          <w:sz w:val="20"/>
          <w:szCs w:val="20"/>
          <w:color w:val="auto"/>
        </w:rPr>
      </w:pPr>
      <w:r>
        <w:rPr>
          <w:rFonts w:ascii="Arial" w:cs="Arial" w:eastAsia="Arial" w:hAnsi="Arial"/>
          <w:sz w:val="18"/>
          <w:szCs w:val="18"/>
          <w:color w:val="auto"/>
        </w:rPr>
        <w:t>The number of shares of our common stock to be outstanding immediately after this offering is based on 30,056,370 shares of our common stock outstanding as of March 31, 2023 and excludes:</w:t>
      </w:r>
    </w:p>
    <w:p>
      <w:pPr>
        <w:spacing w:after="0" w:line="170" w:lineRule="exact"/>
        <w:rPr>
          <w:sz w:val="20"/>
          <w:szCs w:val="20"/>
          <w:color w:val="auto"/>
        </w:rPr>
      </w:pPr>
    </w:p>
    <w:p>
      <w:pPr>
        <w:ind w:left="820" w:right="160" w:hanging="331"/>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2,145,767 shares of common stock available for award under the Company’s 2017 Incentive Stock and Awards Plan (the “Plan) as of March 31, 2023;</w:t>
      </w:r>
    </w:p>
    <w:p>
      <w:pPr>
        <w:spacing w:after="0" w:line="170" w:lineRule="exact"/>
        <w:rPr>
          <w:rFonts w:ascii="Arial" w:cs="Arial" w:eastAsia="Arial" w:hAnsi="Arial"/>
          <w:sz w:val="18"/>
          <w:szCs w:val="18"/>
          <w:color w:val="auto"/>
        </w:rPr>
      </w:pPr>
    </w:p>
    <w:p>
      <w:pPr>
        <w:ind w:left="820" w:right="160" w:hanging="331"/>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2,891,026 shares of common stock issuable upon the exercise of stock options outstanding as of March 31, 2023, having a weighted average exercise price of $6.03 per share;</w:t>
      </w:r>
    </w:p>
    <w:p>
      <w:pPr>
        <w:spacing w:after="0" w:line="170" w:lineRule="exact"/>
        <w:rPr>
          <w:rFonts w:ascii="Arial" w:cs="Arial" w:eastAsia="Arial" w:hAnsi="Arial"/>
          <w:sz w:val="18"/>
          <w:szCs w:val="18"/>
          <w:color w:val="auto"/>
        </w:rPr>
      </w:pPr>
    </w:p>
    <w:p>
      <w:pPr>
        <w:ind w:left="820" w:right="160" w:hanging="331"/>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1,859,314 shares of common stock issuable upon the vesting of outstanding restricted stock units (inclusive of the 2021 Awards) as of March 31, 2023; and</w:t>
      </w:r>
    </w:p>
    <w:p>
      <w:pPr>
        <w:spacing w:after="0" w:line="170" w:lineRule="exact"/>
        <w:rPr>
          <w:rFonts w:ascii="Arial" w:cs="Arial" w:eastAsia="Arial" w:hAnsi="Arial"/>
          <w:sz w:val="18"/>
          <w:szCs w:val="18"/>
          <w:color w:val="auto"/>
        </w:rPr>
      </w:pPr>
    </w:p>
    <w:p>
      <w:pPr>
        <w:ind w:left="820" w:right="160" w:hanging="331"/>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336,264 restricted stock units awarded to directors of the Company, but issuance and delivery of the underlying shares of common stock are deferred until the director resigns.</w:t>
      </w:r>
    </w:p>
    <w:p>
      <w:pPr>
        <w:spacing w:after="0" w:line="170" w:lineRule="exact"/>
        <w:rPr>
          <w:sz w:val="20"/>
          <w:szCs w:val="20"/>
          <w:color w:val="auto"/>
        </w:rPr>
      </w:pPr>
    </w:p>
    <w:p>
      <w:pPr>
        <w:ind w:left="160" w:right="160" w:firstLine="648"/>
        <w:spacing w:after="0" w:line="291" w:lineRule="auto"/>
        <w:rPr>
          <w:sz w:val="20"/>
          <w:szCs w:val="20"/>
          <w:color w:val="auto"/>
        </w:rPr>
      </w:pPr>
      <w:r>
        <w:rPr>
          <w:rFonts w:ascii="Arial" w:cs="Arial" w:eastAsia="Arial" w:hAnsi="Arial"/>
          <w:sz w:val="16"/>
          <w:szCs w:val="16"/>
          <w:color w:val="auto"/>
        </w:rPr>
        <w:t>Except as otherwise indicated, all information in this prospectus supplement assumes no exercise of the outstanding stock options and warrants or vesting or settlement of outstanding restricted stock units described above, and no exercise by the underwriters of their option to purchase</w:t>
      </w: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up to an additional</w:t>
            </w:r>
          </w:p>
        </w:tc>
        <w:tc>
          <w:tcPr>
            <w:tcW w:w="9320" w:type="dxa"/>
            <w:vAlign w:val="bottom"/>
          </w:tcPr>
          <w:p>
            <w:pPr>
              <w:ind w:left="400"/>
              <w:spacing w:after="0"/>
              <w:rPr>
                <w:sz w:val="20"/>
                <w:szCs w:val="20"/>
                <w:color w:val="auto"/>
              </w:rPr>
            </w:pPr>
            <w:r>
              <w:rPr>
                <w:rFonts w:ascii="Arial" w:cs="Arial" w:eastAsia="Arial" w:hAnsi="Arial"/>
                <w:sz w:val="18"/>
                <w:szCs w:val="18"/>
                <w:color w:val="auto"/>
              </w:rPr>
              <w:t>shares of our common stock.</w:t>
            </w:r>
          </w:p>
        </w:tc>
      </w:tr>
      <w:tr>
        <w:trPr>
          <w:trHeight w:val="205"/>
        </w:trPr>
        <w:tc>
          <w:tcPr>
            <w:tcW w:w="20" w:type="dxa"/>
            <w:vAlign w:val="bottom"/>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9320" w:type="dxa"/>
            <w:vAlign w:val="bottom"/>
            <w:tcBorders>
              <w:bottom w:val="single" w:sz="8" w:color="auto"/>
            </w:tcBorders>
          </w:tcPr>
          <w:p>
            <w:pPr>
              <w:spacing w:after="0"/>
              <w:rPr>
                <w:sz w:val="17"/>
                <w:szCs w:val="17"/>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3580"/>
              <w:spacing w:after="0"/>
              <w:rPr>
                <w:sz w:val="20"/>
                <w:szCs w:val="20"/>
                <w:color w:val="auto"/>
              </w:rPr>
            </w:pPr>
            <w:r>
              <w:rPr>
                <w:rFonts w:ascii="Arial" w:cs="Arial" w:eastAsia="Arial" w:hAnsi="Arial"/>
                <w:sz w:val="18"/>
                <w:szCs w:val="18"/>
                <w:color w:val="auto"/>
              </w:rPr>
              <w:t>S-8</w:t>
            </w:r>
          </w:p>
        </w:tc>
      </w:tr>
    </w:tbl>
    <w:p>
      <w:pPr>
        <w:sectPr>
          <w:pgSz w:w="11900" w:h="16838" w:orient="portrait"/>
          <w:cols w:equalWidth="0" w:num="1">
            <w:col w:w="11240"/>
          </w:cols>
          <w:pgMar w:left="320" w:top="904"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Investing in our common stock involves significant risks, including the risks described below. Before making an investment in our common stock, you should carefully consider, among other factors, the risks identified under “Risk Factors” in our Annual Report on Form 10-K for the fiscal year ended December 31, 2022 and our Quarterly Report on Form 10-Q for the quarter ended March 31, 2023. Please also refer to the section above entitled “Special Note Regarding Forward-Looking Statements.” Please also see “Forward-Looking Statements” in the accompanying prospectus and the risks described in the documents incorporated by reference in this prospectus supplement and in our other filings. The risks described in the documents incorporated by reference in this prospectus supplement are not the only ones we face. Additional risks not presently known or that we currently deem immaterial could also materially and adversely affect our financial condition, results of operations, business and prospects. You should consult your own financial and legal advisors as to the risks entailed by an investment in the common stock and the suitability of investing in the common stock in light of your particular circumstances. Our business, financial condition and results of operations could be materially adversely affected by the materialization of any of these risks. The materialization of any of these risks could also result in a complete loss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market price of our common stock is likely to be highly volatile and could fluctuate widely in response to various factors, many of which are beyond our control, including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 or the “Risk Factors” sections included in our other filings with the SEC that are incorporated by referenced into this prospectus supplement.</w:t>
      </w:r>
    </w:p>
    <w:p>
      <w:pPr>
        <w:spacing w:after="0" w:line="1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From time to time,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Our general business strategy may be adversely affected by any such economic downturn, volatile business environment and continued unpredictable and unstable market conditions. If the equity and credit markets deteriorate, it may make any debt or equity financing more difficult to complete, more costly, and more dilutive. In the event the Company or one of its subsidiaries needed to access additional capital, failure to secure financing in a timely manner and on favorable terms could have a material adverse effect on our growth strategy, financial performance and stock price and could require us to delay or abandon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Downgrades in our credit ratings may increase our future borrowing costs, limit our ability to raise capital, cause our stock price to decline or reduce analyst coverage, any of which could have a material adverse impact on our business.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Credit rating agencies review their ratings periodically and, therefore, the credit rating assigned to us by any of the rating agencies may be subject to revision at any time. Factors that can affect our credit ratings include changes in our operating performance, the economic environment, our financial position, conditions in and periods of disruption in any of our principal markets and changes in our business strategy. If weak financial market conditions or competitive dynamics cause any of these factors to deteriorate, we could see a reduction in our corporate credit rating. Since investors, analysts and financial institutions often rely on credit ratings to assess a company’s creditworthiness and risk profile, make investment decisions and establish threshold requirements for investment guidelines, our ability to raise capital, our access to external financing, our stock price and analyst coverage of our stock could be negatively impacted by a downgrade to our credit rating.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common stock may never develop or be sustained.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(the “Securities Act”),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immediate and substantial dilution in the book value per share of the common stock you purchase.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Because the price per share of our common stock being offered in this offering may be substantially higher than the book value per share of our common stock, you will experience immediate and substantial dilution in the net tangible book value of the common stock you purchase in this offering. As</w:t>
      </w:r>
    </w:p>
    <w:p>
      <w:pPr>
        <w:spacing w:after="0"/>
        <w:tabs>
          <w:tab w:leader="none" w:pos="9000" w:val="left"/>
        </w:tabs>
        <w:rPr>
          <w:sz w:val="20"/>
          <w:szCs w:val="20"/>
          <w:color w:val="auto"/>
        </w:rPr>
      </w:pPr>
      <w:r>
        <w:rPr>
          <w:rFonts w:ascii="Arial" w:cs="Arial" w:eastAsia="Arial" w:hAnsi="Arial"/>
          <w:sz w:val="18"/>
          <w:szCs w:val="18"/>
          <w:color w:val="auto"/>
        </w:rPr>
        <w:t>a result, investors purchasing shares of common stock in this offering will incur immediate dilution of approximately $</w:t>
      </w:r>
      <w:r>
        <w:rPr>
          <w:sz w:val="20"/>
          <w:szCs w:val="20"/>
          <w:color w:val="auto"/>
        </w:rPr>
        <w:tab/>
      </w:r>
      <w:r>
        <w:rPr>
          <w:rFonts w:ascii="Arial" w:cs="Arial" w:eastAsia="Arial" w:hAnsi="Arial"/>
          <w:sz w:val="15"/>
          <w:szCs w:val="15"/>
          <w:color w:val="auto"/>
        </w:rPr>
        <w:t>per share, based on an offering</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price of $ per share and our pro forma net tangible book value as of March 31, 2023, after giving effect to this offering. For a further description of the dilution that you will experience immediately after this offering, see the section of this prospectus supplement entitled “Dilution” on page S-13 of this prospectus supplement.</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Existing indebtedness and offerings of debt securities or preferred equity securities, which would be senior to our common stock, may adversely affect the market price of our common stock.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2023, we had outstanding $40,250,000 aggregate principal amount of 11.875% senior notes due December 2027 and $75,000,000 aggregate principal amount of 8.625% senior notes due April 2026. In addition, we had outstanding $65,000,000 under our senior secured term loan facility with Oaktree Fund Administration, LLC, as administrative agent for the lenders as of March 31, 2023. Following the additional draw pursuant to the Oaktree Amendment, we will have outstanding $77,500,000 under the Oaktree Loan. We may also conduct additional debt or preferred stock offerings or incur other indebtedness in the future.</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we are authorized to issue 5,000,000 shares of “blank check” preferred stock, with such rights, preferences and privileges as may be determined from time to time by our board of directors.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Any payment of dividends on our common stock would depend on contractual restrictions,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fail to realize the anticipated benefits of the Santen Products Acquisition, the VEVYE Acquisition and any other acquisitions we make in the future.</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success of the Santen Products Acquisition and the VEVYE Acquisition will depend on, among other things, our ability to successfully integrate the products into our commercial platform, transfer the products’ NDAs, obtain and maintain payer reimbursement coverage, maintain an adequate supply of the products and market the products to our existing customers. We intend to pursue other product and product candidate acquisitions in the future. It is possible that we may not achieve the anticipated benefits of the Santen Products Acquisition, the VEVYE Acquisition or any future acquisitions. If we experience difficulties with the implementation of plans with respect to the recent acquisitions or any future acquisitions, the anticipated benefits of the recent acquisitions and any future acquisitions may not be realized fully or at all, or may take longer to realize than expected. Integration efforts will also divert management attention and resources. These matters could have an adverse effect during the transition period for the Santen Products Acquisition, the VEVYE Acquisition or any future acquisitions and for an undetermined period after completion of such acquisitions.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145"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net proceeds to be received by us from the sale of the common stock in this offering, after deducting underwriting discounts, commissions and</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other offering expenses payable by us, are estimated to be approximately $ (or $ if the underwriters’ option to purchase additional shares of common stock is exercised in full).</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intend to use the net proceeds of this offering of common stock to fund the initial payment for the VEVYE Acquisition, with the remaining net proceeds available for general corporate purposes, including funding future strategic product acquisitions and related investments, making capital expenditures and funding working capital and other cash needs such as tax withholding obligations in connection with settlement of the 2021 Awards.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expected use of the net proceeds from this offering represents our intentions based upon our current plans and business conditions, which could change in the future as our plans and business conditions evolve. The amounts and timing of our actual expenditures will depend on numerous factors, including the factors described under “Risk Factors” in this prospectus supplement and in the documents incorporated by reference herein, as well as the amount of cash used in our operations. We may find it necessary or advisable to use the net proceeds for other purposes, and we will have broad discretion in the application of the net proceeds. Pending such use, we may invest the remaining net proceeds in short-term interest-bearing accounts, securities, or similar investments. See “Capitalization.”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our cash and cash equivalents and our consolidated capitalization as of March 31, 2023:</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 pro forma basis, after giving effect to the Oaktree Amendment and net proceeds received from it;</w:t>
      </w:r>
    </w:p>
    <w:p>
      <w:pPr>
        <w:spacing w:after="0" w:line="5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a pro forma as adjusted basis, after giving effect to the sale of the common stock in this offering (assuming no exercise of the underwriters’</w:t>
      </w:r>
    </w:p>
    <w:p>
      <w:pPr>
        <w:spacing w:after="0" w:line="200"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option to purchase additional shares of common stock), at the offering price of $ , after deducting underwriting discounts and commissions and estimated offering expenses payable by 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does not give effect to the Santen Products Acquisition or VEVYE Acquisition.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You should read this table in conjunction with our consolidated financial statements and related notes incorporated by reference in this prospectus supplement.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w w:val="92"/>
              </w:rPr>
              <w:t>As of March 31, 2023</w:t>
            </w: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Pro Forma as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Actual</w:t>
            </w:r>
          </w:p>
        </w:tc>
        <w:tc>
          <w:tcPr>
            <w:tcW w:w="340" w:type="dxa"/>
            <w:vAlign w:val="bottom"/>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7"/>
              </w:rPr>
              <w:t>Pro Forma</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b w:val="1"/>
                <w:bCs w:val="1"/>
                <w:color w:val="auto"/>
              </w:rPr>
              <w:t>(unaudited)</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w w:val="88"/>
              </w:rPr>
              <w:t>Cash and cash equivalents</w:t>
            </w:r>
          </w:p>
        </w:tc>
        <w:tc>
          <w:tcPr>
            <w:tcW w:w="34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19,248,000</w:t>
            </w:r>
          </w:p>
        </w:tc>
        <w:tc>
          <w:tcPr>
            <w:tcW w:w="3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31,335,000</w:t>
            </w:r>
          </w:p>
        </w:tc>
        <w:tc>
          <w:tcPr>
            <w:tcW w:w="2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5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Long-term debt:</w:t>
            </w:r>
          </w:p>
        </w:tc>
        <w:tc>
          <w:tcPr>
            <w:tcW w:w="3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40" w:type="dxa"/>
            <w:vAlign w:val="bottom"/>
            <w:vMerge w:val="continue"/>
          </w:tcPr>
          <w:p>
            <w:pPr>
              <w:spacing w:after="0"/>
              <w:rPr>
                <w:sz w:val="17"/>
                <w:szCs w:val="17"/>
                <w:color w:val="auto"/>
              </w:rPr>
            </w:pPr>
          </w:p>
        </w:tc>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Oaktree Credit and Guaranty Agreement</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65,000,000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11.875% Senior Notes due December 2027</w:t>
            </w:r>
          </w:p>
        </w:tc>
        <w:tc>
          <w:tcPr>
            <w:tcW w:w="3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40,250,000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40,250,000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8.625% Senior Notes due April 2026</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75,000,000</w:t>
            </w:r>
          </w:p>
        </w:tc>
        <w:tc>
          <w:tcPr>
            <w:tcW w:w="3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Notes payable, gross</w:t>
            </w:r>
          </w:p>
        </w:tc>
        <w:tc>
          <w:tcPr>
            <w:tcW w:w="34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180,250,000</w:t>
            </w: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192,750,000</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unamortized discounts, net of premium</w:t>
            </w:r>
          </w:p>
        </w:tc>
        <w:tc>
          <w:tcPr>
            <w:tcW w:w="34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(11,400,000)</w:t>
            </w:r>
          </w:p>
        </w:tc>
        <w:tc>
          <w:tcPr>
            <w:tcW w:w="3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(11,813,000)</w:t>
            </w: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bottom w:val="single" w:sz="8" w:color="CCEEFF"/>
            </w:tcBorders>
            <w:gridSpan w:val="2"/>
          </w:tcPr>
          <w:p>
            <w:pPr>
              <w:ind w:left="360"/>
              <w:spacing w:after="0" w:line="203" w:lineRule="exact"/>
              <w:rPr>
                <w:sz w:val="20"/>
                <w:szCs w:val="20"/>
                <w:color w:val="auto"/>
              </w:rPr>
            </w:pPr>
            <w:r>
              <w:rPr>
                <w:rFonts w:ascii="Arial" w:cs="Arial" w:eastAsia="Arial" w:hAnsi="Arial"/>
                <w:sz w:val="18"/>
                <w:szCs w:val="18"/>
                <w:color w:val="auto"/>
              </w:rPr>
              <w:t>Total long-term debt, net</w:t>
            </w:r>
          </w:p>
        </w:tc>
        <w:tc>
          <w:tcPr>
            <w:tcW w:w="3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168,850,000</w:t>
            </w:r>
          </w:p>
        </w:tc>
        <w:tc>
          <w:tcPr>
            <w:tcW w:w="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180,937,000</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Common stock, $0.001 par value, 50,000,000 shares authorized,</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color w:val="auto"/>
                <w:w w:val="94"/>
              </w:rPr>
              <w:t>30,056,370 shares issued and outstanding at March 31, 2023, actual</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Arial" w:cs="Arial" w:eastAsia="Arial" w:hAnsi="Arial"/>
                <w:sz w:val="18"/>
                <w:szCs w:val="18"/>
                <w:color w:val="auto"/>
              </w:rPr>
              <w:t>and pro forma;</w:t>
            </w:r>
          </w:p>
        </w:tc>
        <w:tc>
          <w:tcPr>
            <w:tcW w:w="3460" w:type="dxa"/>
            <w:vAlign w:val="bottom"/>
          </w:tcPr>
          <w:p>
            <w:pPr>
              <w:spacing w:after="0"/>
              <w:rPr>
                <w:sz w:val="20"/>
                <w:szCs w:val="20"/>
                <w:color w:val="auto"/>
              </w:rPr>
            </w:pPr>
            <w:r>
              <w:rPr>
                <w:rFonts w:ascii="Arial" w:cs="Arial" w:eastAsia="Arial" w:hAnsi="Arial"/>
                <w:sz w:val="18"/>
                <w:szCs w:val="18"/>
                <w:color w:val="auto"/>
                <w:w w:val="96"/>
              </w:rPr>
              <w:t>shares issued and outstanding, pro forma as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80"/>
              <w:spacing w:after="0"/>
              <w:rPr>
                <w:sz w:val="20"/>
                <w:szCs w:val="20"/>
                <w:color w:val="auto"/>
              </w:rPr>
            </w:pPr>
            <w:r>
              <w:rPr>
                <w:rFonts w:ascii="Arial" w:cs="Arial" w:eastAsia="Arial" w:hAnsi="Arial"/>
                <w:sz w:val="18"/>
                <w:szCs w:val="18"/>
                <w:color w:val="auto"/>
              </w:rPr>
              <w:t>adjusted</w:t>
            </w:r>
          </w:p>
        </w:tc>
        <w:tc>
          <w:tcPr>
            <w:tcW w:w="3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137,989,000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137,989,000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(116,136,000)</w:t>
            </w:r>
          </w:p>
        </w:tc>
        <w:tc>
          <w:tcPr>
            <w:tcW w:w="36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(116,136,000)</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HARROW HEALTH STOCKHOLDERS’ EQUITY</w:t>
            </w: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21,883,000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21,883,000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180"/>
              <w:spacing w:after="0"/>
              <w:rPr>
                <w:sz w:val="20"/>
                <w:szCs w:val="20"/>
                <w:color w:val="auto"/>
              </w:rPr>
            </w:pPr>
            <w:r>
              <w:rPr>
                <w:rFonts w:ascii="Arial" w:cs="Arial" w:eastAsia="Arial" w:hAnsi="Arial"/>
                <w:sz w:val="18"/>
                <w:szCs w:val="18"/>
                <w:color w:val="auto"/>
                <w:w w:val="92"/>
              </w:rPr>
              <w:t>Noncontrolling interests</w:t>
            </w:r>
          </w:p>
        </w:tc>
        <w:tc>
          <w:tcPr>
            <w:tcW w:w="3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(355,000)</w:t>
            </w:r>
          </w:p>
        </w:tc>
        <w:tc>
          <w:tcPr>
            <w:tcW w:w="36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(355,000)</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21,528,000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21,528,000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190,378,000</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202,465,000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number of shares of our common stock to be outstanding immediately after this offering is based on 30,056,370 shares of our common stock outstanding as of March 31, 2023 and excludes:</w:t>
      </w:r>
    </w:p>
    <w:p>
      <w:pPr>
        <w:spacing w:after="0" w:line="17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2,145,767 shares of common stock available for award under the Plan as of March 31, 2023;</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2,891,026 shares of common stock issuable upon the exercise of stock options outstanding as of March 31, 2023, having a weighted average exercise price of $6.03 per share;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1,859,314 shares of common stock issuable upon the vesting of outstanding restricted stock units (inclusive of the 2021 Awards) as of March 31, 2023;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336,264 restricted stock units awarded to directors of the Company, but issuance and delivery of the underlying shares of common stock are deferred until the director resigns.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Except as otherwise indicated, all information in this prospectus supplement assumes no exercise of the outstanding stock options and warrants or vesting or settlement of outstanding restricted stock units described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price per share you pay in this offering and the net tangible book value per share of our common stock immediately after this offering.</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historical net tangible book value deficit as of March 31, 2023 was $130.8 million, or $(4.35) per share of common stock. Historical net tangible book value deficit per share represents the amount of our total tangible assets less our total liabilities, divided by the number of shares of our common stock outstanding on March 31, 2023.</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giving effect to the sale of shares of our common stock in this offering (assuming no exercise of the underwriters’ option to purchase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3"/>
          </w:tcPr>
          <w:p>
            <w:pPr>
              <w:spacing w:after="0"/>
              <w:rPr>
                <w:sz w:val="20"/>
                <w:szCs w:val="20"/>
                <w:color w:val="auto"/>
              </w:rPr>
            </w:pPr>
            <w:r>
              <w:rPr>
                <w:rFonts w:ascii="Arial" w:cs="Arial" w:eastAsia="Arial" w:hAnsi="Arial"/>
                <w:sz w:val="18"/>
                <w:szCs w:val="18"/>
                <w:color w:val="auto"/>
                <w:w w:val="97"/>
              </w:rPr>
              <w:t>additional shares of common stock) at an offering price of $</w:t>
            </w:r>
          </w:p>
        </w:tc>
        <w:tc>
          <w:tcPr>
            <w:tcW w:w="6600" w:type="dxa"/>
            <w:vAlign w:val="bottom"/>
            <w:gridSpan w:val="7"/>
          </w:tcPr>
          <w:p>
            <w:pPr>
              <w:jc w:val="right"/>
              <w:spacing w:after="0"/>
              <w:rPr>
                <w:sz w:val="20"/>
                <w:szCs w:val="20"/>
                <w:color w:val="auto"/>
              </w:rPr>
            </w:pPr>
            <w:r>
              <w:rPr>
                <w:rFonts w:ascii="Arial" w:cs="Arial" w:eastAsia="Arial" w:hAnsi="Arial"/>
                <w:sz w:val="18"/>
                <w:szCs w:val="18"/>
                <w:color w:val="auto"/>
                <w:w w:val="89"/>
              </w:rPr>
              <w:t>per share, and after deducting estimated offering expenses payable by us, our pro forma net</w:t>
            </w:r>
          </w:p>
        </w:tc>
        <w:tc>
          <w:tcPr>
            <w:tcW w:w="0" w:type="dxa"/>
            <w:vAlign w:val="bottom"/>
          </w:tcPr>
          <w:p>
            <w:pPr>
              <w:spacing w:after="0"/>
              <w:rPr>
                <w:sz w:val="1"/>
                <w:szCs w:val="1"/>
                <w:color w:val="auto"/>
              </w:rPr>
            </w:pPr>
          </w:p>
        </w:tc>
      </w:tr>
      <w:tr>
        <w:trPr>
          <w:trHeight w:val="216"/>
        </w:trPr>
        <w:tc>
          <w:tcPr>
            <w:tcW w:w="8100" w:type="dxa"/>
            <w:vAlign w:val="bottom"/>
            <w:gridSpan w:val="6"/>
          </w:tcPr>
          <w:p>
            <w:pPr>
              <w:spacing w:after="0"/>
              <w:rPr>
                <w:sz w:val="20"/>
                <w:szCs w:val="20"/>
                <w:color w:val="auto"/>
              </w:rPr>
            </w:pPr>
            <w:r>
              <w:rPr>
                <w:rFonts w:ascii="Arial" w:cs="Arial" w:eastAsia="Arial" w:hAnsi="Arial"/>
                <w:sz w:val="18"/>
                <w:szCs w:val="18"/>
                <w:color w:val="auto"/>
                <w:w w:val="91"/>
              </w:rPr>
              <w:t>tangible book value as of March 31, 2023 would have been $ million, or $ per share of common stock based on</w:t>
            </w:r>
          </w:p>
        </w:tc>
        <w:tc>
          <w:tcPr>
            <w:tcW w:w="3140" w:type="dxa"/>
            <w:vAlign w:val="bottom"/>
            <w:gridSpan w:val="4"/>
          </w:tcPr>
          <w:p>
            <w:pPr>
              <w:jc w:val="right"/>
              <w:spacing w:after="0"/>
              <w:rPr>
                <w:sz w:val="20"/>
                <w:szCs w:val="20"/>
                <w:color w:val="auto"/>
              </w:rPr>
            </w:pPr>
            <w:r>
              <w:rPr>
                <w:rFonts w:ascii="Arial" w:cs="Arial" w:eastAsia="Arial" w:hAnsi="Arial"/>
                <w:sz w:val="18"/>
                <w:szCs w:val="18"/>
                <w:color w:val="auto"/>
                <w:w w:val="98"/>
              </w:rPr>
              <w:t>shares of common stock outstanding on</w:t>
            </w:r>
          </w:p>
        </w:tc>
        <w:tc>
          <w:tcPr>
            <w:tcW w:w="0" w:type="dxa"/>
            <w:vAlign w:val="bottom"/>
          </w:tcPr>
          <w:p>
            <w:pPr>
              <w:spacing w:after="0"/>
              <w:rPr>
                <w:sz w:val="1"/>
                <w:szCs w:val="1"/>
                <w:color w:val="auto"/>
              </w:rPr>
            </w:pP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w w:val="96"/>
              </w:rPr>
              <w:t>a pro forma basis at that time. This represents an immediate increase in net tangible book value of $</w:t>
            </w:r>
          </w:p>
        </w:tc>
        <w:tc>
          <w:tcPr>
            <w:tcW w:w="3540" w:type="dxa"/>
            <w:vAlign w:val="bottom"/>
            <w:gridSpan w:val="5"/>
          </w:tcPr>
          <w:p>
            <w:pPr>
              <w:jc w:val="right"/>
              <w:spacing w:after="0"/>
              <w:rPr>
                <w:sz w:val="20"/>
                <w:szCs w:val="20"/>
                <w:color w:val="auto"/>
              </w:rPr>
            </w:pPr>
            <w:r>
              <w:rPr>
                <w:rFonts w:ascii="Arial" w:cs="Arial" w:eastAsia="Arial" w:hAnsi="Arial"/>
                <w:sz w:val="18"/>
                <w:szCs w:val="18"/>
                <w:color w:val="auto"/>
                <w:w w:val="97"/>
              </w:rPr>
              <w:t>per share to our existing stockholders and an</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w w:val="96"/>
              </w:rPr>
              <w:t>immediate dilution in net tangible book value of $</w:t>
            </w:r>
          </w:p>
        </w:tc>
        <w:tc>
          <w:tcPr>
            <w:tcW w:w="3920" w:type="dxa"/>
            <w:vAlign w:val="bottom"/>
            <w:gridSpan w:val="3"/>
          </w:tcPr>
          <w:p>
            <w:pPr>
              <w:jc w:val="right"/>
              <w:ind w:right="650"/>
              <w:spacing w:after="0"/>
              <w:rPr>
                <w:sz w:val="20"/>
                <w:szCs w:val="20"/>
                <w:color w:val="auto"/>
              </w:rPr>
            </w:pPr>
            <w:r>
              <w:rPr>
                <w:rFonts w:ascii="Arial" w:cs="Arial" w:eastAsia="Arial" w:hAnsi="Arial"/>
                <w:sz w:val="18"/>
                <w:szCs w:val="18"/>
                <w:color w:val="auto"/>
                <w:w w:val="94"/>
              </w:rPr>
              <w:t>per share to new investors in this offering.</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per share</w:t>
            </w:r>
          </w:p>
        </w:tc>
        <w:tc>
          <w:tcPr>
            <w:tcW w:w="8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156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Net tangible book value deficit per share as of March 31, 2023</w:t>
            </w:r>
          </w:p>
        </w:tc>
        <w:tc>
          <w:tcPr>
            <w:tcW w:w="96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(4.35)</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6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Pro forma increase in net tangible book value per share as of March 31, 2023</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attributable to the pro forma transaction described above</w:t>
            </w:r>
          </w:p>
        </w:tc>
        <w:tc>
          <w:tcPr>
            <w:tcW w:w="2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Pro forma net tangible book deficit per share as of March 31, 2023</w:t>
            </w: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80" w:type="dxa"/>
            <w:vAlign w:val="bottom"/>
            <w:gridSpan w:val="2"/>
          </w:tcPr>
          <w:p>
            <w:pPr>
              <w:jc w:val="right"/>
              <w:ind w:right="15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1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w:t>
            </w: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ind w:right="15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number of shares of our common stock to be outstanding immediately after this offering is based on 30,056,370 shares of our common stock outstanding as of March 31, 2023 and excludes:</w:t>
      </w:r>
    </w:p>
    <w:p>
      <w:pPr>
        <w:spacing w:after="0" w:line="170"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2,145,767 shares of common stock available for award under the Plan as of March 31, 2023;</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2,891,026 shares of common stock issuable upon the exercise of stock options outstanding as of March 31, 2023, having a weighted average exercise price of $6.03 per share;</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1,859,314 shares of common stock issuable upon the vesting of outstanding restricted stock units (inclusive of the 2021 Awards) as of March 31, 2023;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336,264 restricted stock units awarded to directors of the Company, but issuance and delivery of the underlying shares of common stock are deferred until the director resigns.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above illustration of dilution per share to investors participating in this offering assumes no exercise of outstanding options, vesting and settlement of outstanding restricted stock units or issuance of new shares at per share prices below the price to investors in this offering. To the extent that any outstanding options are exercised or outstanding restricted stock units are vested and settled, there will be no further dilution to new investors.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Any payment of dividends on our common stock would depend on contractual restrictions,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ind w:left="1260"/>
        <w:spacing w:after="0"/>
        <w:rPr>
          <w:sz w:val="20"/>
          <w:szCs w:val="20"/>
          <w:color w:val="auto"/>
        </w:rPr>
      </w:pPr>
      <w:r>
        <w:rPr>
          <w:rFonts w:ascii="Arial" w:cs="Arial" w:eastAsia="Arial" w:hAnsi="Arial"/>
          <w:sz w:val="18"/>
          <w:szCs w:val="18"/>
          <w:b w:val="1"/>
          <w:bCs w:val="1"/>
          <w:color w:val="auto"/>
        </w:rPr>
        <w:t>MATERIAL U.S. FEDERAL INCOME TAX CONSIDERATIONS FOR NON-U.S. HOLDERS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The following is a summary of the material U.S. federal income tax considerations with respect to the purchase, ownership and disposition of our common stock to a non-U.S. holder that purchases shares of our common stock in this offering and holds such shares as a capital asset (generally, property held for investment) within the meaning of Section 1221 of the Internal Revenue Code of 1986, as amended (the “Code”). This summary does not apply to any persons holding equity interests other than our common stock. For purposes of this summary, a “non-U.S. holder” means a beneficial owner of our common stock that is neither a U.S. person nor a partnership for U.S. federal income tax purposes. A “U.S. person” is any of the following:</w:t>
      </w:r>
    </w:p>
    <w:p>
      <w:pPr>
        <w:spacing w:after="0" w:line="16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 for U.S. federal income tax purposes.</w:t>
      </w:r>
    </w:p>
    <w:p>
      <w:pPr>
        <w:spacing w:after="0" w:line="18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If a partnership or other pass-through entity for U.S. federal income tax purposes holds common stock, the tax treatment of a partner in such partnership or member of such other pass-through entity generally will depend upon the status of the partner or member and the activities of the partnership or other pass-through entity. Partnerships and other pass-through entities holding common stock, and any person who is a partner or member of such entity, should consult their own tax advisor.</w:t>
      </w:r>
    </w:p>
    <w:p>
      <w:pPr>
        <w:spacing w:after="0" w:line="187"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This summary is based upon current provisions of the Code, existing and temporary Treasury Regulations promulgated thereunder and administrative pronouncements and judicial decisions thereof, all in effect on the date hereof and all of which are subject to change or differing interpretations. Those authorities may be changed, perhaps retroactively, so as to result in U.S. federal income tax consequences different from those summarized below. We cannot assure you that a change in law, possibly with retroactive application, will not alter significantly the tax consequences described in this summary. This discussion may not apply, in whole or in part, to particular non-U.S. holders in light of their individual circumstances or to holders subject to special treatment under the U.S. federal income tax laws (such as insurance companies, tax-exempt organizations, financial institutions, private foundations, brokers or dealers in securities, “controlled foreign corporations,” “passive foreign investment companies,” corporations that accumulate earnings to avoid U.S. federal income tax, non-U.S. holders that hold our common stock as part of a straddle, hedge, conversion transaction or other integrated investment and certain U.S. expatriates). In addition, this summary does not address the alternative minimum tax provisions of the Code, the U.S. federal estate or gift tax consequences, the consequences of the 3.8% Medicare tax on certain net investment income, or the consequences of holding or disposing common stock under state, local or non-U.S. tax laws. We have not sought and do not plan to seek a ruling from the IRS, with respect to the statements and conclusions set forth in the following summary, and there can be no assurance that the IRS or a court would agree with such statements and conclusions.</w:t>
      </w:r>
    </w:p>
    <w:p>
      <w:pPr>
        <w:spacing w:after="0" w:line="168"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THIS SUMMARY IS FOR GENERAL INFORMATION ONLY AND IS NOT INTENDED TO CONSTITUTE A COMPLETE DESCRIPTION OF ALL TAX CONSEQUENCES FOR NON-U.S. HOLDERS RELATING TO THE OWNERSHIP AND DISPOSITION OF COMMON STOCK. PROSPECTIVE HOLDERS OF COMMON STOCK SHOULD CONSULT WITH THEIR TAX ADVISORS REGARDING THE TAX CONSEQUENCES TO THEM (INCLUDING THE APPLICATION AND EFFECT OF ANY STATE, LOCAL, NON-U.S. INCOME AND OTHER TAX LAWS) OF THE OWNERSHIP AND DISPOSITION OF COMMON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If we make a distribution of cash or property with respect to our common stock (or complete a redemption that is treated as a distribution with respect to our common stock), such distribution would be treated as a dividend for U.S. federal income tax purposes to the extent paid from our current or accumulated earnings and profits, if any (as determined under U.S. federal income tax principles). Dividends paid to you generally would be subject to withholding of U.S. federal income tax at a rate of 30% of the gross amount of the dividends, unless you are eligible for a reduced rate of withholding tax under an applicable tax treaty and provide proper certification of your eligibility for such reduced rate. However, dividends that are effectively connected with the conduct of a trade or business by you within the United States (and, if required by an applicable tax treaty, are attributable to a U.S. permanent establishment maintained by you) would not be subject to the withholding tax, as described below, if you comply with the applicable certification and disclosure requirements. Instead, such dividends would be subject to the regular U.S. federal income tax on net taxable income at applicable graduated individual or corporate rates in the same manner as if you were a U.S. person. Any such effectively connected dividends received by a foreign corporation might also be subject to a “branch profits tax” at a rate of 30% (or such lower rate as may be specified by an applicable income tax treaty). Non-U.S. holders should consult their tax advisors regarding applicable tax treaties that may provide for different rules.</w:t>
      </w:r>
    </w:p>
    <w:p>
      <w:pPr>
        <w:spacing w:after="0" w:line="17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If the amount of a distribution paid on our common stock were to exceed our current and accumulated earnings and profits, such excess would be allocated ratably among each share of common stock with respect to which the distribution was paid. Any such excess allocated to the shares held by you would be treated first as a tax-free return of capital to the extent of your adjusted tax basis in each such share, and thereafter as capital gain from a sale or other taxable disposition of such share of common stock that is taxed to you as described below under “Gain on disposition of common stock.” Your adjusted tax basis in a share of our common stock generally would be the amount of cash contributed in exchange for such share, reduced by the amount of any such tax-free returns of capital.</w:t>
      </w:r>
    </w:p>
    <w:p>
      <w:pPr>
        <w:spacing w:after="0" w:line="192"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If you wish to claim the benefit of an applicable income tax treaty to avoid or reduce withholding of U.S. federal income tax on dividends, then you must (i) provide the withholding agent with a properly completed IRS Form W-8BEN or W-8BEN-E (or other applicable form) and certify under penalties of perjury that you are not a U.S. person and are eligible for treaty benefits or (ii) if you hold our common stock through certain foreign intermediaries (including partnerships), satisfy the relevant certification requirements of applicable U.S. Treasury regulations by providing appropriate documentation to the intermediaries (which then will be required to provide certification to the applicable withholding agent, either directly or through other intermediaries).</w:t>
      </w:r>
    </w:p>
    <w:p>
      <w:pPr>
        <w:spacing w:after="0" w:line="16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If you do not timely provide us or another applicable withholding agent with the required certification, but you are eligible for a reduced rate of U.S. federal income tax pursuant to an income tax treaty, then you may obtain a refund or credit of any excess amounts withheld by timely filing an appropriate claim with the IRS. You should consult your tax advisor regarding your entitlement to benefits under any applicable income tax treaty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2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Subject to the discussion below under “Additional withholding tax,” you generally will not be subject to U.S. federal income tax with respect to gain realized on the sale or other taxable disposition of our common stock (other than a redemption that is treated as a dividend for U.S. federal income tax purposes and taxed as described above), unless:</w:t>
      </w:r>
    </w:p>
    <w:p>
      <w:pPr>
        <w:spacing w:after="0" w:line="184"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you conduct in the United States (and, if required by an applicable tax treaty, is attributable to a U.S. permanent establishment maintained by you);</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an individual, you are present in the United States for 183 days or more in the taxable year of the sale or other taxable disposition and certain other conditions are met; or</w:t>
      </w: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at any time within the shorter of (i) the five-year period ending on the date of the sale or other taxable disposition of our common stock and (ii) your holding period for our common stock and certain other requirements are met.</w:t>
      </w:r>
    </w:p>
    <w:p>
      <w:pPr>
        <w:spacing w:after="0" w:line="190"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If you are a non-U.S. holder described in the first bullet point above (or so treated), you generally would be subject to tax on the net gain derived from the disposition under regular graduated U.S. federal income tax rates, subject to an applicable income tax treaty providing otherwise. If you are a foreign corporation described in the first bullet point above, you may also, under certain circumstances, be subject to a branch profits tax equal to 30% of your effectively connected earnings and profits (or such lower rate as may be specified by an applicable income tax treaty).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both"/>
        <w:ind w:firstLine="360"/>
        <w:spacing w:after="0" w:line="263" w:lineRule="auto"/>
        <w:rPr>
          <w:sz w:val="20"/>
          <w:szCs w:val="20"/>
          <w:color w:val="auto"/>
        </w:rPr>
      </w:pPr>
      <w:r>
        <w:rPr>
          <w:rFonts w:ascii="Arial" w:cs="Arial" w:eastAsia="Arial" w:hAnsi="Arial"/>
          <w:sz w:val="18"/>
          <w:szCs w:val="18"/>
          <w:color w:val="auto"/>
        </w:rPr>
        <w:t>If you are an individual described in the second bullet point above, you generally would be subject to a flat 30% tax (or such lower rate as may be specified by an applicable income tax treaty), on the amount by which your capital gains allocable to U.S. sources exceed capital losses allocable to U.S. sources during the taxable year of disposition.</w:t>
      </w:r>
    </w:p>
    <w:p>
      <w:pPr>
        <w:spacing w:after="0" w:line="184"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With respect to the third bullet point above, we believe that we are not currently, and we do not anticipate becoming, a U.S. real property holding corporation. In general, we would be a U.S. real property holding corporation if our U.S. real property interests comprised at least 50% of the fair market value of our worldwide real property interests and assets used or held for use in a trade or business. However, because the determination of whether we are a U.S. real property holding corporation depends on the fair market value of our United States real property interests relative to the fair market value of our global real property interests and other business assets, there can be no assurance that we have not been a United States property holding corporation or will not become one in the future. In the event we do become a U.S. real property holding corporation, you would not be subject to U.S. federal income tax on a sale or other disposition of our common stock as long as our common stock is regularly traded on an established securities market at any time during the calendar year in which the disposition occurs (within the meaning of the applicable Treasury Regulations) and you do not actually or constructively hold more than 5% of our common stock at any time during the shorter of (i) the five-year period ending on the date of the sale or disposition of our common stock or (ii) your holding period for our common stock. If gain on the sale or other taxable disposition of our common stock were subject to taxation under the third bullet point above, you would be subject to regular U.S. federal income tax with respect to such gain in generally the same manner as a U.S. person and a 15% withholding tax would apply to the gross proceeds from such sale or other taxable disposition.</w:t>
      </w:r>
    </w:p>
    <w:p>
      <w:pPr>
        <w:spacing w:after="0" w:line="168"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You should consult your tax advisor regarding potentially applicable income tax treaties that provide for different rules and the possible consequences if we are, or were to become, a U.S. real property holding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 Tax</w:t>
      </w:r>
    </w:p>
    <w:p>
      <w:pPr>
        <w:spacing w:after="0" w:line="22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In general, information returns will be filed annually with the IRS and provided to each shareholder in connection with any dividends paid to you and the amount of tax, if any, withheld with respect to such dividends.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you reside or are established.</w:t>
      </w:r>
    </w:p>
    <w:p>
      <w:pPr>
        <w:spacing w:after="0" w:line="187"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As a non-U.S. holder, you generally will be subject to information reporting requirements and backup withholding with respect to dividends paid on, and the proceeds from the disposition of, shares of our common stock, unless, generally, you certify to the withholding agent under penalties of perjury (usually on IRS Form W-8BEN or W-8BEN-E) that, among other things, you are not subject to such withholding. Non-U.S. holders generally are exempt from information reporting and backup withholding, provided, if necessary, that they demonstrate their qualification for exemption by providing a properly executed IRS Form W-8BEN, Form W-8BEN-E, or other applicable tax certification form. You should consult your own tax advisors as to their qualification for exemption from backup withholding and the procedure for obtaining such exemption. Backup withholding is not an additional tax. Any amounts withheld under the backup withholding rules from a payment to a holder generally would be allowed as a refund or a credit against such holder’s U.S. federal income tax provided the required information is timely furnished to the IRS.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FATCA</w:t>
      </w:r>
    </w:p>
    <w:p>
      <w:pPr>
        <w:spacing w:after="0" w:line="229"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Certain provisions of the Code, known as the Foreign Account Tax Compliance Act (“FATCA”), impose a 30% U.S. withholding tax on certain U.S. source payments, including interest and dividends, if paid to a foreign financial institution (including amounts paid to a foreign financial institution on behalf of a holder), unless (i) such institution enters into an agreement with the U.S. Treasury Department to collect and provide to the U.S. Treasury Department certain information (that is in addition to and significantly more onerous than, the requirement to deliver an applicable U.S. nonresident withholding tax certification form (e.g., IRS Form W-8BEN), as discussed above) regarding U.S. financial account holders, including certain account holders that are foreign entities with U.S. owners, with such institution or (ii) such institution resides in a jurisdiction that has entered into an intergovernmental agreement (“IGA”) with the United States to collect and share such information and are in compliance with the terms of such IGA and any enabling legislation or regulations. While existing U.S. Treasury regulations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FATCA also generally imposes a withholding tax of 30% on withholdable payments made to a non-financial foreign entity unless such entity provides the withholding agent with a certification that it does not have any substantial U.S. owners or a certification identifying the direct and indirect substantial U.S. owners of the entity. Depending on the status of a holder and the status of the intermediaries through which they hold their common stock, the holder could be subject to this 30% withholding tax with respect to dividends paid on the stock. Under certain circumstances, a holder may be eligible for refunds or credits of such taxes.</w:t>
      </w:r>
    </w:p>
    <w:p>
      <w:pPr>
        <w:spacing w:after="0" w:line="18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If we determine withholding is appropriate with respect to your common stock, we will withhold tax at the applicable statutory rate, and we will not pay any additional amounts in respect of such withholding. Potential investors are urged to consult with their own tax advisors regarding the possible implications of FATCA on their investment in the common stock.</w:t>
      </w:r>
    </w:p>
    <w:p>
      <w:pPr>
        <w:spacing w:after="0" w:line="184"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POTENTIAL PURCHASERS OF OUR COMMON STOCK ARE URGED TO CONSULT THEIR OWN TAX ADVISORS TO DETERMINE THE U.S. FEDERAL, STATE, LOCAL AND NON-U.S. TAX CONSIDERATIONS OF PURCHASING, OWNING AND DISPOSING OF OUR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 Riley Securities, Inc. (“BRS”) is acting as book-running manager and representative of each of the underwriters named below. Subject to the</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terms and conditions set forth in an underwriting agreement among us and the underwriters dated , 2023 (the “Underwriting Agreement”), we have agreed to sell to the underwriters, and each of the underwriters has agreed, severally and not jointly, to purchase from us, the number of shares of our common stock set forth opposite its name below.</w:t>
      </w:r>
    </w:p>
    <w:p>
      <w:pPr>
        <w:spacing w:after="0" w:line="186" w:lineRule="exact"/>
        <w:rPr>
          <w:sz w:val="20"/>
          <w:szCs w:val="20"/>
          <w:color w:val="auto"/>
        </w:rPr>
      </w:pPr>
    </w:p>
    <w:p>
      <w:pPr>
        <w:spacing w:after="0"/>
        <w:tabs>
          <w:tab w:leader="none" w:pos="9460" w:val="left"/>
        </w:tabs>
        <w:rPr>
          <w:sz w:val="20"/>
          <w:szCs w:val="20"/>
          <w:color w:val="auto"/>
        </w:rPr>
      </w:pPr>
      <w:r>
        <w:rPr>
          <w:rFonts w:ascii="Arial" w:cs="Arial" w:eastAsia="Arial" w:hAnsi="Arial"/>
          <w:sz w:val="18"/>
          <w:szCs w:val="18"/>
          <w:b w:val="1"/>
          <w:bCs w:val="1"/>
          <w:color w:val="auto"/>
        </w:rPr>
        <w:t>Underwriter</w:t>
      </w:r>
      <w:r>
        <w:rPr>
          <w:sz w:val="20"/>
          <w:szCs w:val="20"/>
          <w:color w:val="auto"/>
        </w:rPr>
        <w:tab/>
      </w:r>
      <w:r>
        <w:rPr>
          <w:rFonts w:ascii="Arial" w:cs="Arial" w:eastAsia="Arial" w:hAnsi="Arial"/>
          <w:sz w:val="18"/>
          <w:szCs w:val="18"/>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B. Riley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Lake Street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Ladenburg Thalmann &amp; Co. Inc.</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31750</wp:posOffset>
            </wp:positionV>
            <wp:extent cx="12172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48895</wp:posOffset>
            </wp:positionV>
            <wp:extent cx="12172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of common stock included in this offering are subject to approval of legal matters by counsel, including conditions contained in the Underwriting Agreement. The underwriters are obligated to purchase all the shares of common stock if any of the shares of common stock are purchased. If an underwriter defaults, the Underwriting Agreement provides that the purchase commitments of the non-defaulting underwriters may be increased or, in certain circumstances, the Underwriting Agreement may be terminated.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underwriters propose to offer part of the shares of common stock to investors directly at the offering price set forth on the cover page of this</w:t>
      </w:r>
    </w:p>
    <w:p>
      <w:pPr>
        <w:spacing w:after="0" w:line="4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prospectus supplement and part to dealers at that price less a concession not in excess of $ per share. After the offering, if all the shares of common stock are not sold at the public offering price, the offering price and other selling terms may from time to time be varied by the underwriters.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per share and total offering price, underwriting discounts and commissions that we will pay to the underwriters in connection with this offering and proceeds, before expenses, to 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20" w:type="dxa"/>
            <w:vAlign w:val="bottom"/>
          </w:tcPr>
          <w:p>
            <w:pPr>
              <w:spacing w:after="0"/>
              <w:rPr>
                <w:sz w:val="20"/>
                <w:szCs w:val="20"/>
                <w:color w:val="auto"/>
              </w:rPr>
            </w:pPr>
          </w:p>
        </w:tc>
        <w:tc>
          <w:tcPr>
            <w:tcW w:w="3040" w:type="dxa"/>
            <w:vAlign w:val="bottom"/>
            <w:gridSpan w:val="3"/>
          </w:tcPr>
          <w:p>
            <w:pPr>
              <w:jc w:val="right"/>
              <w:ind w:right="1050"/>
              <w:spacing w:after="0"/>
              <w:rPr>
                <w:sz w:val="20"/>
                <w:szCs w:val="20"/>
                <w:color w:val="auto"/>
              </w:rPr>
            </w:pPr>
            <w:r>
              <w:rPr>
                <w:rFonts w:ascii="Arial" w:cs="Arial" w:eastAsia="Arial" w:hAnsi="Arial"/>
                <w:sz w:val="18"/>
                <w:szCs w:val="18"/>
                <w:b w:val="1"/>
                <w:bCs w:val="1"/>
                <w:color w:val="auto"/>
              </w:rPr>
              <w:t>Per Share</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4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w:t>
            </w:r>
          </w:p>
        </w:tc>
      </w:tr>
      <w:tr>
        <w:trPr>
          <w:trHeight w:val="198"/>
        </w:trPr>
        <w:tc>
          <w:tcPr>
            <w:tcW w:w="4720" w:type="dxa"/>
            <w:vAlign w:val="bottom"/>
          </w:tcPr>
          <w:p>
            <w:pPr>
              <w:spacing w:after="0"/>
              <w:rPr>
                <w:sz w:val="17"/>
                <w:szCs w:val="17"/>
                <w:color w:val="auto"/>
              </w:rPr>
            </w:pPr>
          </w:p>
        </w:tc>
        <w:tc>
          <w:tcPr>
            <w:tcW w:w="13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Without Option</w:t>
            </w:r>
          </w:p>
        </w:tc>
        <w:tc>
          <w:tcPr>
            <w:tcW w:w="3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With Option to</w:t>
            </w:r>
          </w:p>
        </w:tc>
        <w:tc>
          <w:tcPr>
            <w:tcW w:w="340" w:type="dxa"/>
            <w:vAlign w:val="bottom"/>
          </w:tcPr>
          <w:p>
            <w:pPr>
              <w:spacing w:after="0"/>
              <w:rPr>
                <w:sz w:val="17"/>
                <w:szCs w:val="17"/>
                <w:color w:val="auto"/>
              </w:rPr>
            </w:pPr>
          </w:p>
        </w:tc>
        <w:tc>
          <w:tcPr>
            <w:tcW w:w="13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Without Option</w:t>
            </w:r>
          </w:p>
        </w:tc>
        <w:tc>
          <w:tcPr>
            <w:tcW w:w="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With Option to</w:t>
            </w:r>
          </w:p>
        </w:tc>
        <w:tc>
          <w:tcPr>
            <w:tcW w:w="100" w:type="dxa"/>
            <w:vAlign w:val="bottom"/>
          </w:tcPr>
          <w:p>
            <w:pPr>
              <w:spacing w:after="0"/>
              <w:rPr>
                <w:sz w:val="17"/>
                <w:szCs w:val="17"/>
                <w:color w:val="auto"/>
              </w:rPr>
            </w:pPr>
          </w:p>
        </w:tc>
      </w:tr>
      <w:tr>
        <w:trPr>
          <w:trHeight w:val="216"/>
        </w:trPr>
        <w:tc>
          <w:tcPr>
            <w:tcW w:w="47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to Purchase</w:t>
            </w:r>
          </w:p>
        </w:tc>
        <w:tc>
          <w:tcPr>
            <w:tcW w:w="3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w:t>
            </w:r>
          </w:p>
        </w:tc>
        <w:tc>
          <w:tcPr>
            <w:tcW w:w="3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to Purchase</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Purchase</w:t>
            </w:r>
          </w:p>
        </w:tc>
      </w:tr>
      <w:tr>
        <w:trPr>
          <w:trHeight w:val="216"/>
        </w:trPr>
        <w:tc>
          <w:tcPr>
            <w:tcW w:w="47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3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3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r>
      <w:tr>
        <w:trPr>
          <w:trHeight w:val="241"/>
        </w:trPr>
        <w:tc>
          <w:tcPr>
            <w:tcW w:w="47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3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3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4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33"/>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19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Underwriting discount</w:t>
            </w: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17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133"/>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119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133"/>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119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estimate that the total expenses of this offering, including registration, filing and listing fees, printing fees and legal and accounting expenses, but excluding underwriting discounts, commissions and reimbursements, will be approximately $ . We have also agreed to reimburse the underwriters for their reasonable out-of-pocket expenses in connection with this offering, including reasonable attorneys’ fees of up to $100,000.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granted to the underwriters an option, exercisable for 30 days from the date of this prospectus supplement, to purchase, from time to</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time, in whole or in part, up to an aggregate of shares from us at the public offering price set forth on the cover page of this prospectus supplement, less the underwriting discount.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our executive officers and directors have agreed, subject to limited exceptions, for a period of 90 days after the date of this prospectus supplement, not to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exchangeable or exercisable for shares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Underwriters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Until the distribution of shares of common stock is complete, SEC rules may limit the ability of the underwriters to bid for and purchase shares of our common stock. As an exception to these rules, the underwriters are permitted to engage in certain transactions which stabilize the price of the shares of common stock, which may include short sales, covering transactions and stabilizing transactions. Short sales involve sales of shares of common stock in excess of the number of shares to be purchased by the underwriters in the offering, which creates a short position. The underwriters must close out any naked short position by purchasing shares of common stock in the open market. A naked short position is more likely to be created if the underwriters are concerned that there may be downward pressure on the price of the shares of common stock in the open market after pricing that could adversely affect investors who purchase in the offering. Stabilizing transactions consist of various bids for or purchases of the shares of common stock made by the underwriters in the open market prior to the completion of the offering.</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Neither we nor the underwriters make any representation or prediction as to the direction or magnitude of any effect that the transactions described above might have on our shares of common stock. Any of these activities may have the effect of preventing or retarding a decline in the market price of our shares of common stock. They may also cause the price of the shares of common stock to be higher than the price that would otherwise exist in the open market in the absence of these transactions. The underwriters may conduct these transactions on the Nasdaq or in the over-the-counter market, or otherwise. If the underwriters commence any of these transactions, they may discontinue them at any time without notice.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and Distribution</w:t>
      </w:r>
    </w:p>
    <w:p>
      <w:pPr>
        <w:sectPr>
          <w:pgSz w:w="11900" w:h="16838" w:orient="portrait"/>
          <w:cols w:equalWidth="0" w:num="1">
            <w:col w:w="11240"/>
          </w:cols>
          <w:pgMar w:left="320" w:top="661" w:right="339" w:bottom="1440" w:gutter="0" w:footer="0" w:header="0"/>
        </w:sectPr>
      </w:pP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expect that the delivery of the shares of common stock in the offering will be made on or about day following the date of this prospectus supplement (such settlement being referred to as “T+2”).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2023, which will be the second business</w:t>
      </w:r>
    </w:p>
    <w:p>
      <w:pPr>
        <w:spacing w:after="0" w:line="463" w:lineRule="exact"/>
        <w:rPr>
          <w:sz w:val="20"/>
          <w:szCs w:val="20"/>
          <w:color w:val="auto"/>
        </w:rPr>
      </w:pPr>
    </w:p>
    <w:p>
      <w:pPr>
        <w:sectPr>
          <w:pgSz w:w="11900" w:h="16838" w:orient="portrait"/>
          <w:cols w:equalWidth="0" w:num="2">
            <w:col w:w="7880" w:space="340"/>
            <w:col w:w="3020"/>
          </w:cols>
          <w:pgMar w:left="320" w:top="661" w:right="339" w:bottom="1440" w:gutter="0" w:footer="0" w:header="0"/>
          <w:type w:val="continuous"/>
        </w:sectPr>
      </w:pPr>
    </w:p>
    <w:p>
      <w:pPr>
        <w:jc w:val="both"/>
        <w:ind w:firstLine="648"/>
        <w:spacing w:after="0" w:line="263" w:lineRule="auto"/>
        <w:rPr>
          <w:sz w:val="20"/>
          <w:szCs w:val="20"/>
          <w:color w:val="auto"/>
        </w:rPr>
      </w:pPr>
      <w:r>
        <w:rPr>
          <w:rFonts w:ascii="Arial" w:cs="Arial" w:eastAsia="Arial" w:hAnsi="Arial"/>
          <w:sz w:val="18"/>
          <w:szCs w:val="18"/>
          <w:color w:val="auto"/>
        </w:rPr>
        <w:t>A prospectus supplement in electronic format may be made available on web sites maintained by the underwriters. Other than the prospectus supplement in electronic format, the information on the underwriters’ websites and any information contained in any other website maintained by an underwriter is not part of this prospectus supplement or the accompanying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Transfer Agent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traded on the Nasdaq under the symbol “HROW.” The transfer agent and registrar for our common stock is Securities Transfer Corporation, 2901 N. Dallas Parkway, Suite 380, Plano, Texas 75093.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Additional Relationships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ordinary course of their various business activities, the underwriters and their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affiliates may provide from time to time in the future in the ordinary course of their business certain commercial banking, financial advisory, investment banking and other services to us for which they will be entitled to receive customary fees and expenses.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Notice to Prospective Investors in Canada (Alberta, British Columbia, Manitoba, Ontario and Québec Only)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shares of our common stock described herein (the “Securities”). No securities commission or similar regulatory authority in Canada has reviewed or in any way passed upon this document or on the merits of the Securities and any representation to the contrary is an offence.</w:t>
      </w:r>
    </w:p>
    <w:p>
      <w:pPr>
        <w:spacing w:after="0" w:line="18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Canadian investors are advised that this document has been prepared in reliance on section 3A.3 of National Instrument 33-105 </w:t>
      </w:r>
      <w:r>
        <w:rPr>
          <w:rFonts w:ascii="Arial" w:cs="Arial" w:eastAsia="Arial" w:hAnsi="Arial"/>
          <w:sz w:val="17"/>
          <w:szCs w:val="17"/>
          <w:b w:val="1"/>
          <w:bCs w:val="1"/>
          <w:i w:val="1"/>
          <w:iCs w:val="1"/>
          <w:color w:val="auto"/>
        </w:rPr>
        <w:t xml:space="preserve">Underwriting Conflicts </w:t>
      </w:r>
      <w:r>
        <w:rPr>
          <w:rFonts w:ascii="Arial" w:cs="Arial" w:eastAsia="Arial" w:hAnsi="Arial"/>
          <w:sz w:val="17"/>
          <w:szCs w:val="17"/>
          <w:b w:val="1"/>
          <w:bCs w:val="1"/>
          <w:color w:val="auto"/>
        </w:rPr>
        <w:t>(“NI 33-105”). Pursuant to section 3A.3 of NI 33-105, this document is exempt from the requirement that the issuer and 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underwriters in the offering provide Canadian investors with certain conflicts of interest disclosure pertaining to “connected issuer” and/or “related issuer” relationships as may otherwise be required pursuant to subsection 2.1(1) of NI 33-105.</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Resale Restrictions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offer and sale of the Securities in Canada are being made on a private placement basis only and are exempt from the prospectus requirement under applicable Canadian securities laws. Any resale of Securities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Securities outside of Canada.</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Representations of Purchasers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Each Canadian investor who purchases the Securities will be deemed to have represented to us, the selling stockholder and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in Ontario, as such term is defined in subsection 73.3(1) of the </w:t>
      </w: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(Ontario); and (iii) is a “permitted client” as such term is defined in section 1.1 of National Instrument 31-103</w:t>
      </w:r>
      <w:r>
        <w:rPr>
          <w:rFonts w:ascii="Arial" w:cs="Arial" w:eastAsia="Arial" w:hAnsi="Arial"/>
          <w:sz w:val="18"/>
          <w:szCs w:val="18"/>
          <w:i w:val="1"/>
          <w:iCs w:val="1"/>
          <w:color w:val="auto"/>
        </w:rPr>
        <w:t xml:space="preserve"> Registration Requirements, Exemptions and Ongoing Registrant Obligations</w:t>
      </w:r>
      <w:r>
        <w:rPr>
          <w:rFonts w:ascii="Arial" w:cs="Arial" w:eastAsia="Arial" w:hAnsi="Arial"/>
          <w:sz w:val="18"/>
          <w:szCs w:val="18"/>
          <w:color w:val="auto"/>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Taxation and Eligibility for Investment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Securities and, in particular, does not address any Canadian tax considerations. No representation or warranty is hereby made as to the tax consequences to a resident, or deemed resident, of Canada of an investment in the Securities or with respect to the eligibility of the Securities for investment by such investor under relevant Canadian federal and provincial legislation and regulations.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i w:val="1"/>
          <w:iCs w:val="1"/>
          <w:color w:val="auto"/>
        </w:rPr>
        <w:t>Rights of Action for Damages or Rescission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Personal Information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Prospective Canadian purchasers are advised that: (a) we may be required to provide personal information pertaining to the purchaser as required to be disclosed in Schedule 1 of Form 45-106F1 under NI 45-106 (including its name, address, telephone number, email address, if provided, and the number and type of securities purchased, the total purchase price paid for such securities, the date of the purchase and specific details of the prospectus exemption relied upon under applicable securities laws to complete such purchase) (“personal information”), which Form 45-106F1 may be required to be filed by us under NI 45-106, (b) such personal information may be delivered to the securities regulatory authority or regulator in accordance with NI 45-106, (c) such personal information is being collected indirectly by the securities regulatory authority or regulator under the authority granted to it under the securities legislation of the applicable legislation, (d) such personal information is collected for the purposes of the administration and enforcement of the securities legislation of the applicable jurisdiction, and (e) the purchaser may contact the applicable securities regulatory authority or regulator by way of the contact information provided in Schedule 2 to Form 45-106F1. Prospective Canadian purchasers that purchase securities in this offering will be deemed to have authorized the indirect collection of the personal information by each applicable securities regulatory authority or regulator, and to have acknowledged and consented to such information being disclosed to the Canadian securities regulatory authority or regulator, and to have acknowledged that such information may become available to the public in accordance with requirements of applicable Canadian laws.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Language of Documents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 les</w:t>
      </w:r>
      <w:r>
        <w:rPr>
          <w:rFonts w:ascii="Arial" w:cs="Arial" w:eastAsia="Arial" w:hAnsi="Arial"/>
          <w:sz w:val="17"/>
          <w:szCs w:val="17"/>
          <w:color w:val="auto"/>
        </w:rPr>
        <w:t xml:space="preserve"> </w:t>
      </w:r>
      <w:r>
        <w:rPr>
          <w:rFonts w:ascii="Arial" w:cs="Arial" w:eastAsia="Arial" w:hAnsi="Arial"/>
          <w:sz w:val="17"/>
          <w:szCs w:val="17"/>
          <w:i w:val="1"/>
          <w:iCs w:val="1"/>
          <w:color w:val="auto"/>
        </w:rPr>
        <w:t>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legal matters will be passed upon for us by Holland &amp; Knight LLP, Nashville, Tennessee, and for the underwriters by Duane Morris LLP,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Harrow Health, Inc. and subsidiaries appearing in the Company’s Annual Report on Form 10-K for the year ended December 31, 2022, incorporated by reference in this prospectus supplement, have been audited by KMJ Corbin &amp; Company LLP, an independent registered public accounting firm, as stated in its report appearing therein. Such consolidated financial statements are incorporated herein by reference in reliance upon the report of such firm given their authority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supplement and the accompanying prospectus by referring you to those documents. These incorporated documents contain important business and financial information about us that is not included in or delivered with this prospectus supplement and the accompanying prospectus. The information incorporated by reference is considered to be part of this prospectus supplement and the accompanying prospectus, and later information filed with the SEC will update and supersede this information.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incorporate by reference the documents listed below as well as any future filings made with the SEC under Sections 13(a), 13(c), 14 or 15(d) of the Exchange Act after the date of this prospectus supplement and prior to the termination of this offering, except that we do not incorporate any document or portion of a document that is “furnished” to the SEC, but not deemed “filed.” The following documents filed with the SEC are incorporated by reference in this prospectus supplement and the accompanying prospectus:</w:t>
      </w:r>
    </w:p>
    <w:p>
      <w:pPr>
        <w:spacing w:after="0" w:line="187"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2022, filed with the SEC on March 23, 2023;</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48">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2023, filed with the SEC on May 11, 2023;</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0000EE"/>
        </w:rPr>
      </w:pPr>
      <w:hyperlink r:id="rId49">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12,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23,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28,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23, 2023</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July 18,</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EE"/>
          </w:rPr>
          <w:t>2023</w:t>
        </w:r>
        <w:r>
          <w:rPr>
            <w:rFonts w:ascii="Arial" w:cs="Arial" w:eastAsia="Arial" w:hAnsi="Arial"/>
            <w:sz w:val="18"/>
            <w:szCs w:val="18"/>
            <w:color w:val="000000"/>
          </w:rPr>
          <w:t>; and</w:t>
        </w:r>
      </w:hyperlink>
    </w:p>
    <w:p>
      <w:pPr>
        <w:spacing w:after="0" w:line="170" w:lineRule="exact"/>
        <w:rPr>
          <w:rFonts w:ascii="Arial" w:cs="Arial" w:eastAsia="Arial" w:hAnsi="Arial"/>
          <w:sz w:val="18"/>
          <w:szCs w:val="18"/>
          <w:color w:val="0000EE"/>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0">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February 7, 2013, and any amendments or reports filed for the purpose of updating such description.</w:t>
      </w:r>
    </w:p>
    <w:p>
      <w:pPr>
        <w:spacing w:after="0" w:line="170" w:lineRule="exact"/>
        <w:rPr>
          <w:rFonts w:ascii="Arial" w:cs="Arial" w:eastAsia="Arial" w:hAnsi="Arial"/>
          <w:sz w:val="18"/>
          <w:szCs w:val="18"/>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provide without charge to each person, including any beneficial owner, to whom a prospectus is delivered, on written or oral request of that person, a copy of any or all of the documents we are incorporating by reference into this prospectus supplement and the accompanying prospectus, other than exhibits to those documents unless such exhibits are specifically incorporated by reference into those documents. Such written requests should be addressed to:</w:t>
      </w:r>
    </w:p>
    <w:p>
      <w:pPr>
        <w:spacing w:after="0" w:line="18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Harrow Health,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102 Woodmont Blvd., Suite 610</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Nashville, TN 37205</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(615) 733-4730.</w:t>
      </w:r>
    </w:p>
    <w:p>
      <w:pPr>
        <w:spacing w:after="0" w:line="22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rFonts w:ascii="Arial" w:cs="Arial" w:eastAsia="Arial" w:hAnsi="Arial"/>
          <w:sz w:val="18"/>
          <w:szCs w:val="18"/>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Copies of certain information filed by us with the SEC are also available on our web site at </w:t>
      </w:r>
      <w:r>
        <w:rPr>
          <w:rFonts w:ascii="Arial" w:cs="Arial" w:eastAsia="Arial" w:hAnsi="Arial"/>
          <w:sz w:val="17"/>
          <w:szCs w:val="17"/>
          <w:i w:val="1"/>
          <w:iCs w:val="1"/>
          <w:color w:val="auto"/>
        </w:rPr>
        <w:t>www.harrowinc.com</w:t>
      </w:r>
      <w:r>
        <w:rPr>
          <w:rFonts w:ascii="Arial" w:cs="Arial" w:eastAsia="Arial" w:hAnsi="Arial"/>
          <w:sz w:val="17"/>
          <w:szCs w:val="17"/>
          <w:color w:val="auto"/>
        </w:rPr>
        <w:t>. We have not incorporated by reference into this prospectus supplement or the accompanying prospectus the information on our website, and you should not consider it to be a part of this document.</w:t>
      </w:r>
    </w:p>
    <w:p>
      <w:pPr>
        <w:spacing w:after="0" w:line="17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this prospectus, we may offer, from time to time:</w:t>
      </w:r>
    </w:p>
    <w:p>
      <w:pPr>
        <w:spacing w:after="0" w:line="229" w:lineRule="exact"/>
        <w:rPr>
          <w:sz w:val="20"/>
          <w:szCs w:val="20"/>
          <w:color w:val="auto"/>
        </w:rPr>
      </w:pPr>
    </w:p>
    <w:p>
      <w:pPr>
        <w:ind w:left="3860" w:hanging="146"/>
        <w:spacing w:after="0"/>
        <w:tabs>
          <w:tab w:leader="none" w:pos="3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 w:lineRule="exact"/>
        <w:rPr>
          <w:rFonts w:ascii="Arial" w:cs="Arial" w:eastAsia="Arial" w:hAnsi="Arial"/>
          <w:sz w:val="18"/>
          <w:szCs w:val="18"/>
          <w:color w:val="auto"/>
        </w:rPr>
      </w:pPr>
    </w:p>
    <w:p>
      <w:pPr>
        <w:ind w:left="3860" w:hanging="146"/>
        <w:spacing w:after="0"/>
        <w:tabs>
          <w:tab w:leader="none" w:pos="3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3860" w:hanging="146"/>
        <w:spacing w:after="0"/>
        <w:tabs>
          <w:tab w:leader="none" w:pos="3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3860" w:hanging="146"/>
        <w:spacing w:after="0"/>
        <w:tabs>
          <w:tab w:leader="none" w:pos="3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3860" w:hanging="146"/>
        <w:spacing w:after="0"/>
        <w:tabs>
          <w:tab w:leader="none" w:pos="3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Units</w:t>
      </w:r>
    </w:p>
    <w:p>
      <w:pPr>
        <w:spacing w:after="0" w:line="9" w:lineRule="exact"/>
        <w:rPr>
          <w:rFonts w:ascii="Arial" w:cs="Arial" w:eastAsia="Arial" w:hAnsi="Arial"/>
          <w:sz w:val="18"/>
          <w:szCs w:val="18"/>
          <w:color w:val="auto"/>
        </w:rPr>
      </w:pPr>
    </w:p>
    <w:p>
      <w:pPr>
        <w:ind w:left="3860" w:hanging="146"/>
        <w:spacing w:after="0"/>
        <w:tabs>
          <w:tab w:leader="none" w:pos="3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“HROW.” On May 25, 2022, the closing price of our common stock on the Nasdaq Global Market was $6.50 per share.</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Investing in our securities involves risk. Please carefully read the information under “Risk Factors” beginning on page 4 of this prospectus, as well as the “Risk Factors” incorporated by reference herein from our most recent Annual Report on Form 10-K, our Quarterly Report on Form 10-Q and other reports and information that we file with the Securities and Exchange Commission, for information you should consider before investing in our securities.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prospectus is dated June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80" w:type="dxa"/>
            <w:vAlign w:val="bottom"/>
            <w:gridSpan w:val="2"/>
          </w:tcPr>
          <w:p>
            <w:pPr>
              <w:ind w:left="11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55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196"/>
        </w:trPr>
        <w:tc>
          <w:tcPr>
            <w:tcW w:w="210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94"/>
              </w:rPr>
              <w:t>PROSPECTUS SUMMARY</w:t>
            </w:r>
          </w:p>
        </w:tc>
        <w:tc>
          <w:tcPr>
            <w:tcW w:w="850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176"/>
        </w:trPr>
        <w:tc>
          <w:tcPr>
            <w:tcW w:w="10600" w:type="dxa"/>
            <w:vAlign w:val="bottom"/>
            <w:gridSpan w:val="16"/>
          </w:tcPr>
          <w:p>
            <w:pPr>
              <w:spacing w:after="0" w:line="176" w:lineRule="exact"/>
              <w:rPr>
                <w:sz w:val="20"/>
                <w:szCs w:val="20"/>
                <w:color w:val="auto"/>
              </w:rPr>
            </w:pPr>
            <w:r>
              <w:rPr>
                <w:rFonts w:ascii="Arial" w:cs="Arial" w:eastAsia="Arial" w:hAnsi="Arial"/>
                <w:sz w:val="18"/>
                <w:szCs w:val="18"/>
                <w:color w:val="0000EE"/>
              </w:rPr>
              <w:t>RISK FACTORS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5"/>
              </w:rPr>
              <w:t>FORWARD-LOOKING STATEMENTS</w:t>
            </w:r>
          </w:p>
        </w:tc>
        <w:tc>
          <w:tcPr>
            <w:tcW w:w="766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176"/>
        </w:trPr>
        <w:tc>
          <w:tcPr>
            <w:tcW w:w="10600" w:type="dxa"/>
            <w:vAlign w:val="bottom"/>
            <w:gridSpan w:val="16"/>
          </w:tcPr>
          <w:p>
            <w:pPr>
              <w:spacing w:after="0" w:line="176" w:lineRule="exact"/>
              <w:rPr>
                <w:sz w:val="20"/>
                <w:szCs w:val="20"/>
                <w:color w:val="auto"/>
              </w:rPr>
            </w:pPr>
            <w:r>
              <w:rPr>
                <w:rFonts w:ascii="Arial" w:cs="Arial" w:eastAsia="Arial" w:hAnsi="Arial"/>
                <w:sz w:val="18"/>
                <w:szCs w:val="18"/>
                <w:color w:val="0000EE"/>
              </w:rPr>
              <w:t>DILUTION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6"/>
          </w:tcPr>
          <w:p>
            <w:pPr>
              <w:spacing w:after="0" w:line="176" w:lineRule="exact"/>
              <w:rPr>
                <w:sz w:val="20"/>
                <w:szCs w:val="20"/>
                <w:color w:val="auto"/>
              </w:rPr>
            </w:pPr>
            <w:r>
              <w:rPr>
                <w:rFonts w:ascii="Arial" w:cs="Arial" w:eastAsia="Arial" w:hAnsi="Arial"/>
                <w:sz w:val="18"/>
                <w:szCs w:val="18"/>
                <w:color w:val="0000EE"/>
              </w:rPr>
              <w:t>DIVIDEND POLICY</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DESCRIPTION OF CAPITAL STOCK</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16"/>
          </w:tcPr>
          <w:p>
            <w:pPr>
              <w:spacing w:after="0" w:line="176" w:lineRule="exact"/>
              <w:rPr>
                <w:sz w:val="20"/>
                <w:szCs w:val="20"/>
                <w:color w:val="auto"/>
              </w:rPr>
            </w:pPr>
            <w:r>
              <w:rPr>
                <w:rFonts w:ascii="Arial" w:cs="Arial" w:eastAsia="Arial" w:hAnsi="Arial"/>
                <w:sz w:val="18"/>
                <w:szCs w:val="18"/>
                <w:color w:val="0000EE"/>
              </w:rPr>
              <w:t>DESCRIPTION OF THE DEPOSITARY SHARES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94"/>
              </w:rPr>
              <w:t>DESCRIPTION OF THE WARRANTS</w:t>
            </w:r>
          </w:p>
        </w:tc>
        <w:tc>
          <w:tcPr>
            <w:tcW w:w="772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175"/>
        </w:trPr>
        <w:tc>
          <w:tcPr>
            <w:tcW w:w="10600" w:type="dxa"/>
            <w:vAlign w:val="bottom"/>
            <w:gridSpan w:val="16"/>
          </w:tcPr>
          <w:p>
            <w:pPr>
              <w:spacing w:after="0" w:line="176" w:lineRule="exact"/>
              <w:rPr>
                <w:sz w:val="20"/>
                <w:szCs w:val="20"/>
                <w:color w:val="auto"/>
              </w:rPr>
            </w:pPr>
            <w:r>
              <w:rPr>
                <w:rFonts w:ascii="Arial" w:cs="Arial" w:eastAsia="Arial" w:hAnsi="Arial"/>
                <w:sz w:val="18"/>
                <w:szCs w:val="18"/>
                <w:color w:val="0000EE"/>
              </w:rPr>
              <w:t>DESCRIPTION OF THE UNITS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DESCRIPTION OF THE DEBT SECURITIES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r>
      <w:tr>
        <w:trPr>
          <w:trHeight w:val="176"/>
        </w:trPr>
        <w:tc>
          <w:tcPr>
            <w:tcW w:w="3420" w:type="dxa"/>
            <w:vAlign w:val="bottom"/>
            <w:tcBorders>
              <w:top w:val="single" w:sz="8" w:color="0000EE"/>
            </w:tcBorders>
            <w:gridSpan w:val="12"/>
          </w:tcPr>
          <w:p>
            <w:pPr>
              <w:spacing w:after="0" w:line="176" w:lineRule="exact"/>
              <w:rPr>
                <w:sz w:val="20"/>
                <w:szCs w:val="20"/>
                <w:color w:val="auto"/>
              </w:rPr>
            </w:pPr>
            <w:r>
              <w:rPr>
                <w:rFonts w:ascii="Arial" w:cs="Arial" w:eastAsia="Arial" w:hAnsi="Arial"/>
                <w:sz w:val="18"/>
                <w:szCs w:val="18"/>
                <w:color w:val="0000EE"/>
              </w:rPr>
              <w:t>PLAN OF DISTRIBUTION</w:t>
            </w:r>
          </w:p>
        </w:tc>
        <w:tc>
          <w:tcPr>
            <w:tcW w:w="718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6"/>
              </w:rPr>
              <w:t>LEGAL MATTERS</w:t>
            </w:r>
          </w:p>
        </w:tc>
        <w:tc>
          <w:tcPr>
            <w:tcW w:w="914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176"/>
        </w:trPr>
        <w:tc>
          <w:tcPr>
            <w:tcW w:w="10600" w:type="dxa"/>
            <w:vAlign w:val="bottom"/>
            <w:gridSpan w:val="16"/>
          </w:tcPr>
          <w:p>
            <w:pPr>
              <w:spacing w:after="0" w:line="176" w:lineRule="exact"/>
              <w:rPr>
                <w:sz w:val="20"/>
                <w:szCs w:val="20"/>
                <w:color w:val="auto"/>
              </w:rPr>
            </w:pPr>
            <w:r>
              <w:rPr>
                <w:rFonts w:ascii="Arial" w:cs="Arial" w:eastAsia="Arial" w:hAnsi="Arial"/>
                <w:sz w:val="18"/>
                <w:szCs w:val="18"/>
                <w:color w:val="0000EE"/>
              </w:rPr>
              <w:t>EXPERTS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15"/>
            <w:shd w:val="clear" w:color="auto" w:fill="CCEEFF"/>
          </w:tcPr>
          <w:p>
            <w:pPr>
              <w:spacing w:after="0" w:line="176" w:lineRule="exact"/>
              <w:rPr>
                <w:sz w:val="20"/>
                <w:szCs w:val="20"/>
                <w:color w:val="auto"/>
              </w:rPr>
            </w:pPr>
            <w:r>
              <w:rPr>
                <w:rFonts w:ascii="Arial" w:cs="Arial" w:eastAsia="Arial" w:hAnsi="Arial"/>
                <w:sz w:val="18"/>
                <w:szCs w:val="18"/>
                <w:color w:val="0000EE"/>
                <w:w w:val="94"/>
              </w:rPr>
              <w:t>INCORPORATION OF CERTAIN DOCUMENTS BY REFERENCE</w:t>
            </w:r>
          </w:p>
        </w:tc>
        <w:tc>
          <w:tcPr>
            <w:tcW w:w="55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175"/>
        </w:trPr>
        <w:tc>
          <w:tcPr>
            <w:tcW w:w="3820" w:type="dxa"/>
            <w:vAlign w:val="bottom"/>
            <w:tcBorders>
              <w:bottom w:val="single" w:sz="8" w:color="0000EE"/>
            </w:tcBorders>
            <w:gridSpan w:val="14"/>
          </w:tcPr>
          <w:p>
            <w:pPr>
              <w:spacing w:after="0" w:line="176" w:lineRule="exact"/>
              <w:rPr>
                <w:sz w:val="20"/>
                <w:szCs w:val="20"/>
                <w:color w:val="auto"/>
              </w:rPr>
            </w:pPr>
            <w:r>
              <w:rPr>
                <w:rFonts w:ascii="Arial" w:cs="Arial" w:eastAsia="Arial" w:hAnsi="Arial"/>
                <w:sz w:val="18"/>
                <w:szCs w:val="18"/>
                <w:color w:val="0000EE"/>
                <w:w w:val="97"/>
              </w:rPr>
              <w:t>WHERE YOU CAN FIND MORE INFORMATION</w:t>
            </w:r>
          </w:p>
        </w:tc>
        <w:tc>
          <w:tcPr>
            <w:tcW w:w="6780" w:type="dxa"/>
            <w:vAlign w:val="bottom"/>
            <w:gridSpan w:val="2"/>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$300,000,000.</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about us or itself that is different from, or in addition to, that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4763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PROSPECTUS SUMMARY</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The following summary highlights information contained in this prospectus or incorporated by reference. While we have included what we believe to be the most important information about the company, the following summary may not contain all the information that may be important to you. You should read this entire prospectus carefully, including the risks of investing discussed under “Risk Factors” beginning on page 4, the information to which we refer you and the information incorporated into this prospectus by reference, for a complete understanding of our business and the terms of any offering. References in this prospectus to “our company,” “we,” “our,” “Harrow” and “us” refer to Harrow Health, Inc.</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an ophthalmic-focused healthcare company. Our business specializes in the development, production, sale, and distribution of innovative prescription medications that offer unique competitive advantages and serve unmet needs in the marketplace through our subsidiaries and deconsolidated companies. We own and operate ImprimisRx, one of the nation’s leading ophthalmology-focused pharmaceutical businesses, and Visionology, Inc., or Visionology, a direct-to-consumer digital eyecare subsidiary. In addition to wholly owning ImprimisRx and Visionology, we also have non-controlling equity positions in Surface Ophthalmics, Inc., or Surface, and Melt Pharmaceuticals, Inc., or Melt.</w:t>
      </w:r>
    </w:p>
    <w:p>
      <w:pPr>
        <w:spacing w:after="0" w:line="17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ImprimisRx is our </w:t>
      </w:r>
      <w:r>
        <w:rPr>
          <w:rFonts w:ascii="Arial" w:cs="Arial" w:eastAsia="Arial" w:hAnsi="Arial"/>
          <w:sz w:val="16"/>
          <w:szCs w:val="16"/>
          <w:color w:val="auto"/>
          <w:highlight w:val="white"/>
        </w:rPr>
        <w:t>ophthalmology-focused prescription pharmaceutical business.</w:t>
      </w:r>
      <w:r>
        <w:rPr>
          <w:rFonts w:ascii="Arial" w:cs="Arial" w:eastAsia="Arial" w:hAnsi="Arial"/>
          <w:sz w:val="16"/>
          <w:szCs w:val="16"/>
          <w:color w:val="auto"/>
        </w:rPr>
        <w:t xml:space="preserve"> We offer to over 10,000 physician customers and their patients medically necessary prescription drugs to meet their needs that are otherwise unmet by commercially available drugs. We make our formulations available at prices that are, in most cases, lower than non-customized commercial drugs. Our current ophthalmic formulary includes over twenty compounded formulations, many of which are patented or patent-pending, and are customizable for the specific needs of a patient. Some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federal current good manufacturing practices, or cGMPs, or other U.S. Food and Drug Administration, or FDA, guidance documents, in our FDA-registered outsourcing facility located in New Jersey.</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highlight w:val="white"/>
        </w:rPr>
        <w:t>Over the past two years, in order to more fully serve the needs of our growing customer base, we have invested in broadening ImprimisRx’s product portfolio to include FDA-approved products. Our investments in this regard have led to commercial partnerships to sell DEXYCU® and Avenova, the acquisition of two later stage drug candidates, and the recent acquisition of U.S. rights to four FDA-approved ophthalmic products. These transactions, and those we are continuing to pursue, are focused in eyecare pharmaceuticals. We believe that our continued investments in these and other products will result in our ability to provide more physician prescribers and their patients with access to a complete portfolio of affordable eyecare pharmaceuticals to address their clinical needs.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under Section 503B of the Federal Food, Drug &amp; Cosmetic Act, or the FDCA. The other New Jersey facility,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minority ownership interests in Surface, Melt and Eton Pharmaceuticals, Inc., all companies that began as our subsidiaries, and hold royalty interests in some of Surface’s and Melt’s drug candidates. These companies are pursuing market approval for their drug candidates under the FDCA, including in some instances under the abbreviated pathway described in Section 505(b)(2), which permits the submission of a new drug application, or NDA, where at least some of the information required for approval comes from studies not conducted by or for the applicant and for which the applicant has not obtained a right of reference. We expect any new subsidiaries to be focused on eye care.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1147" w:right="499" w:bottom="1440" w:gutter="0" w:footer="0" w:header="0"/>
        </w:sectPr>
      </w:pPr>
    </w:p>
    <w:bookmarkStart w:id="31" w:name="page32"/>
    <w:bookmarkEnd w:id="31"/>
    <w:p>
      <w:pPr>
        <w:jc w:val="both"/>
        <w:ind w:firstLine="648"/>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202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27875" cy="6202045"/>
                    </a:xfrm>
                    <a:prstGeom prst="rect">
                      <a:avLst/>
                    </a:prstGeom>
                    <a:noFill/>
                  </pic:spPr>
                </pic:pic>
              </a:graphicData>
            </a:graphic>
          </wp:anchor>
        </w:drawing>
        <w:t>We have incurred significant operating losses and negative cash flows from operations over the course of our business. As of March 31, 2022, we had an accumulated deficit of approximately $97.8 million. Our current projections indicate that we will have operating income and/or net income during 2022; however, these projections may not be correct and our plans could change. Also, we could incur increasing operating losses in the foreseeable future for our commercialization activities, research and development, and our pharmaceutical business, which would impact net income. Recent changes to the accounting for equity investments require those investments to be measured at fair market value, which may cause our earnings (losses) to become volatile as the stock prices of those equity investments fluctuate. Although we have been generating revenue from our pharmaceutical operations, our ability to generate the revenues necessary to achieve profitability will depend on many factors.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During the summer of 2019, we relocated our executive office previously based in San Diego, California to its current location at 102 Woodmont Blvd., Suite 610, Nashville, Tennessee and our telephone number at such office is (615) 733-4730. Our website address is </w:t>
      </w:r>
      <w:r>
        <w:rPr>
          <w:rFonts w:ascii="Arial" w:cs="Arial" w:eastAsia="Arial" w:hAnsi="Arial"/>
          <w:sz w:val="18"/>
          <w:szCs w:val="18"/>
          <w:i w:val="1"/>
          <w:iCs w:val="1"/>
          <w:color w:val="auto"/>
        </w:rPr>
        <w:t>harrowinc.com</w:t>
      </w:r>
      <w:r>
        <w:rPr>
          <w:rFonts w:ascii="Arial" w:cs="Arial" w:eastAsia="Arial" w:hAnsi="Arial"/>
          <w:sz w:val="18"/>
          <w:szCs w:val="18"/>
          <w:color w:val="auto"/>
        </w:rPr>
        <w:t>. Information contained on our website is not deemed part of this prospectus and is not incorporated in this prospectus or any other document that we file with the SEC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offer up to $300.0 million of common stock, preferred stock, depositary shares, warrants, units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5" w:right="4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693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27875" cy="4693285"/>
                    </a:xfrm>
                    <a:prstGeom prst="rect">
                      <a:avLst/>
                    </a:prstGeom>
                    <a:noFill/>
                  </pic:spPr>
                </pic:pic>
              </a:graphicData>
            </a:graphic>
          </wp:anchor>
        </w:drawing>
        <w:t>Preferred Stock and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Harrow Health,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offer units composed of one or more of the other securities that may be offered under this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but we may be subject to the terms of other debt to which the senior debt is otherwise subordinate.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An investment in our securities involves a high degree of risk. Before purchasing any of our securities, you should carefully consider the risk factors incorporated by reference into this prospectus from our most recent Annual Report on Form 10-K, our subsequent Quarterly Report on Form 10-Q and the other reports and information that we file with the SEC, including any risk factors and other information contained in any applicable prospectus supplement. In particular, please see the risk factors described in our Annual Report on Form 10-K for the year ended December 31, 2021, which is incorporated by reference into this prospectus. The risks and uncertainties that we have described are not the only ones facing our company. Additional risks and uncertainties not presently known to us or that we currently deem immaterial may also affect us. The occurrence of any of these risks could materially and adversely impact our business, cash flows, condition (financial or otherwise), liquidity, prospects and/or results of operations. Please also refer to the section below entitled “Forward-Looking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as amended, or the Securities Act, and Section 21E of the Securities Exchange Act of 1934, as amended, or the Exchange Act. Forward-looking statements deal with our current plans, intentions, beliefs and expectations and statements of future economic performance. Statements containing terms such as “will”, “may”, “should”, “expects”, “plans”, “anticipates”, “believes”, “estimates”, “predicts”, “forecasts”, “potential” or “continue” or the negative of these terms or other comparable terminology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in the “Risk Factors” and “Management’s Discussion and Analysis of Financial Condition and Results of Operations” sections of our most recent Annual Report on Form 10-K and Quarterly Report on Form 10-Q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to the purchasers of equity interests which they purchase in an offering under this prospectus:</w:t>
      </w:r>
    </w:p>
    <w:p>
      <w:pPr>
        <w:spacing w:after="0" w:line="17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net tangible book value per share before and after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of the increase in such net tangible book value per share attributable to the cash payments made by purchasers in the offering;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the purchasers.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products, businesses or partnerships. We have not determined the amounts we plan to spend on the areas listed above or the timing of these expenditures.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equity securities. Moreover, we do not anticipate paying cash dividends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is a summary of the rights of our common and preferred stock and of certain provisions of our Amended and Restated Certificate of Incorporation, as amended, or the Certificate of Incorporation, and Amended and Restated Bylaws, or the Bylaws. For more detailed information, please see our Certificate of Incorporation and Bylaws, which are filed as exhibits to the registration statement of which this prospectus forms a part.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authorized capital stock consists of 55,000,000 shares, 50,000,000 of which are designated as common stock, par value $0.001 per share, and 5,000,000 of which are designated as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May 4, 2022, there were approximately 82 stockholders of record (excluding an indeterminable number of stockholders whose shares are held in street or “nominee” name) of our common stock. In addition, as of March 31, 2022, there were outstanding (i) options to acquire 3,083,796 shares of our common stock with a weighted average exercise price of $5.76 per share, (ii) warrants to purchase 373,847 shares of common stock with a weighted average exercise price of $2.08 per share, (iii) 2,088,558 unvested restricted stock units, and (iv) 277,405 vested restricted stock units for which delivery of the shares had been deferred.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authorized to issue 50,000,000 shares of common stock, par value $0.001 per share. The holders of our common stock are entitled to one vote per share on all matters submitted to a vote of the stockholders, including the election of directors. Our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no shares of preferred stock are outstanding and we currently have no plan to issue any shares of preferred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Liability and Indemnification of Directors and Officers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Certificate of Incorporation and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Transfer Agent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“HROW”. The transfer agent and registrar for our common stock is Action Stock Transfer Corporation, 2469 E. Fort Union Blvd., Suite 214, Salt Lake City, UT 84121.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our option, we may elect to offer fractional shares of preferred stock, rather than full shares of preferred stock. If we do elect to offer fractional shares of preferred stock, we will issue receipts for depositary shares and each of these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summary of terms of the depositary shares contained in this prospectus is not complete, and is subject to modification in any prospectus supplement for any issuance of depositary shares. You should refer to the forms of the deposit agreement, our Certificate of Incorporation and the certificate of designation that are, or will be, filed with the SEC for the applicable series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amount distributed to holders of depositary shares will be reduced by any amounts required to be withheld by us or the depositary on account of taxes or other governmental charges.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w:t>
      </w:r>
    </w:p>
    <w:p>
      <w:pPr>
        <w:spacing w:after="0" w:line="17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initial deposit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initial issuance of the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redemption of the preferred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withdrawals of preferred stock by owners of depositary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refuse to transfer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withhold dividends and distributions;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the depositary shares evidenced by the depositary receipt.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written advice of counsel or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information provided by holders of depositary receipts or other persons believed in good faith to be competent to give such information;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17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designation and terms of the debt securities, including any conversion rights, purchasable upon exercise of the debt warrants;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the currency or currency units in which the offering price, if any, and the exercise price are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170"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5540" w:right="1660" w:hanging="4884"/>
        <w:spacing w:after="0" w:line="527" w:lineRule="auto"/>
        <w:tabs>
          <w:tab w:leader="none" w:pos="9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660" w:right="200" w:hanging="4"/>
        <w:spacing w:after="0" w:line="500" w:lineRule="auto"/>
        <w:tabs>
          <w:tab w:leader="none" w:pos="98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UNITS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 summarizes the material terms and provisions of the units that we may offer under this prospectus and the related unit agreements. While the terms summarized below will apply generally to any units we may offer, we will describe the particular terms of any series of units in more detail in the applicable prospectus supplement.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applicable prospectus supplement will describe the following terms of the units in respect of which this prospectus is being delivered:</w:t>
      </w:r>
    </w:p>
    <w:p>
      <w:pPr>
        <w:spacing w:after="0" w:line="225" w:lineRule="exact"/>
        <w:rPr>
          <w:sz w:val="20"/>
          <w:szCs w:val="20"/>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material provisions relating to the issuance, payment, settlement, transfer or exchange of the units or the securities comprising the units;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units will be issued fully registered or in global form;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description in the applicable prospectus supplement and other offering material of any units we offer will not necessarily be complete and will be qualified in its entirety by reference to the applicable unit agreement, which will be filed with the SEC if we offer units.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debt securities may be either secured or unsecured and may be characterized as senior debt securities or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April, May and June, 2021, we completed the sale of an aggregate principal amount of $75,000,000 unsecured senior notes in public offerings, which are all treated as a single series (collectively, the “Senior Notes”). The Senior Notes were issued pursuant to that certain Indenture (the “Base Indenture”) and that certain First Supplemental Indenture (the “First Supplemental Indenture” and, together with the Base Indenture, the “Indenture”) each dated April 20, 2021, between the Company and U.S. Bank National Association, as trustee (the “Trustee”). The Senior Notes bear interest at the rate of 8.625% per annum and mature on April 30, 2026. Interest on the Senior Notes is payable quarterly in arrears on January 31, April 30, July 31 and October 31 of each year. The Senior Notes are listed on the Nasdaq Global Market under the symbol “HROWL.”</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Senior Notes are senior unsecured obligations of the Company and rank equally in right of payment with all of the Company’s other existing and future senior unsecured and unsubordinated indebtedness. The Senior Notes are effectively subordinated in right of payment to all of the Company’s existing and future secured indebtedness and structurally subordinated to all existing and future indebtedness of the Company’s subsidiaries, including trade payables.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February 1, 2026, the Company may, at its option, redeem the Senior Notes, in whole at any time or in part from time to time, at a redemption price equal to 100% of the principal amount of the Senior Notes to be redeemed, plus a make-whole amount that is further described in the First Supplemental Indenture, if any, plus accrued and unpaid interest to, but excluding, the date of redemption. The Company may redeem the Senior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Senior Notes.</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is incorporated by reference into the registration statement of which this prospectus is a part.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“Harrow,” “we,” “us,” or “our” refer only to Harrow Health, Inc. and not to any of our subsidiaries, unless we expressly state or the context otherwise requires.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2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method for determining how the principal, premium, if any, or interest will be calculated by reference to an index or formula;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certificate;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subordination provisions applicable to the subordinated debt securities if different from those described below under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acceleration provisions or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appoint the trustee as the initial security registrar. Any trustee, in addition to the security registrar initially designated by us, will be named in the prospectus supplement. We may designate additional trustees or change trustees or change the office of the trustee. However, we will be required to maintain a trustee in each place of payment for the debt securities of each series.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certificates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debt securities of any series may be represented, in whole or in part, by one or more global certificates. Each global certificate will:</w:t>
      </w:r>
    </w:p>
    <w:p>
      <w:pPr>
        <w:spacing w:after="0" w:line="237"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certificate may be exchanged in whole or in part for debt securities registered in the name of any person other than the depositary or any nominee unless:</w:t>
      </w:r>
    </w:p>
    <w:p>
      <w:pPr>
        <w:spacing w:after="0" w:line="170"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long as the depositary, or its nominee, is the registered owner of a global certificate, the depositary or nominee will be considered the sole owner and holder of the debt securities represented by the global certificate for all purposes under the indentures. Except in the above limited circumstances, owners of beneficial interests in a global certificate will not be:</w:t>
      </w:r>
    </w:p>
    <w:p>
      <w:pPr>
        <w:spacing w:after="0" w:line="184"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Payments on a global certificate will be made to the depositary or its nominee as the holder of the global certificate. Some jurisdictions have laws that require that certain purchasers of securities take physical delivery of such securities in definitive form. These laws may impair the ability to transfer beneficial interests in a global certificate.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certificate will be limited to participants and to persons that may hold beneficial interests through participants. The depositary will credit, on its book-entry registration and transfer system, the respective principal amounts of debt securities represented by the global certificate to the accounts of its participants.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certificate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jc w:val="both"/>
        <w:ind w:firstLine="648"/>
        <w:spacing w:after="0" w:line="263" w:lineRule="auto"/>
        <w:rPr>
          <w:sz w:val="20"/>
          <w:szCs w:val="20"/>
          <w:color w:val="auto"/>
        </w:rPr>
      </w:pPr>
      <w:r>
        <w:rPr>
          <w:rFonts w:ascii="Arial" w:cs="Arial" w:eastAsia="Arial" w:hAnsi="Arial"/>
          <w:sz w:val="18"/>
          <w:szCs w:val="18"/>
          <w:color w:val="auto"/>
        </w:rPr>
        <w:t>Payments, transfers and exchanges relating to beneficial interests in a global certificate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certificate.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indicate otherwise in a prospectus supplement with respect to a particular series of debt securities, we may not consolidate with or merge into any other person (other than a wholly owned subsidiary of us) or sell, transfer, lease, convey or otherwise dispose of all or substantially all of our property to, any person (other than a subsidiary of us), unless:</w:t>
      </w:r>
    </w:p>
    <w:p>
      <w:pPr>
        <w:spacing w:after="0" w:line="184" w:lineRule="exact"/>
        <w:rPr>
          <w:sz w:val="20"/>
          <w:szCs w:val="20"/>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shall be the surviving person, or the successor entity, if any, is a U.S. corporation, limited liability company, partnership, trust or other business entity;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successor entity (if other than the Company) expressly assumes our obligations on the debt securities and under the indentures;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the transaction, no default or event of default shall have occurred and be continuing;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170"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60 days after it becomes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648"/>
        <w:spacing w:after="0" w:line="301"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13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 with respect to the debt securities of that series;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170"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providing for our successor to assume the covenants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adding covenants or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securing the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curing any ambiguities or inconsistencies;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changes specified in the indenture.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70"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59"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6"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0" w:name="page51"/>
    <w:bookmarkEnd w:id="50"/>
    <w:p>
      <w:pPr>
        <w:jc w:val="both"/>
        <w:ind w:firstLine="648"/>
        <w:spacing w:after="0" w:line="255" w:lineRule="auto"/>
        <w:rPr>
          <w:sz w:val="20"/>
          <w:szCs w:val="20"/>
          <w:color w:val="auto"/>
        </w:rPr>
      </w:pPr>
      <w:r>
        <w:rPr>
          <w:rFonts w:ascii="Arial" w:cs="Arial" w:eastAsia="Arial" w:hAnsi="Arial"/>
          <w:sz w:val="18"/>
          <w:szCs w:val="18"/>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be subject to U.S. federal income tax differently than if we did not make the election and instead paid the amounts due on the debt securities as and when due.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left="980" w:hanging="324"/>
        <w:spacing w:after="0" w:line="279"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1"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firstLine="648"/>
        <w:spacing w:after="0" w:line="263"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 or different subordination provisions may be described in a prospectus supplement relating to a particular series of debt securities.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70"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jc w:val="both"/>
        <w:ind w:left="980" w:hanging="324"/>
        <w:spacing w:after="0" w:line="263"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65" w:lineRule="exact"/>
        <w:rPr>
          <w:sz w:val="20"/>
          <w:szCs w:val="20"/>
          <w:color w:val="auto"/>
        </w:rPr>
      </w:pPr>
    </w:p>
    <w:p>
      <w:pPr>
        <w:jc w:val="both"/>
        <w:ind w:left="980" w:hanging="324"/>
        <w:spacing w:after="0" w:line="263"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7"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securities being offered hereby has been passed upon by Waller Lansden Dortch &amp; Davis, LLP.</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KMJ Corbin &amp; Company LLP, an independent registered public accounting firm, has audited our consolidated financial statements included in our Annual Report on Form 10-K for the year ended December 31, 2021, as set forth in its report, which is incorporated by reference in this prospectus and elsewhere in the registration statement. Our consolidated financial statements are incorporated by reference in reliance upon the report of such firm given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57"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85">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2021 filed with the SEC on March 10, 2022;</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86">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as amended, filed with the SEC on April 26, 2022;</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87">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2022, filed with the SEC on May 5, 2022;</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88">
        <w:r>
          <w:rPr>
            <w:rFonts w:ascii="Arial" w:cs="Arial" w:eastAsia="Arial" w:hAnsi="Arial"/>
            <w:sz w:val="18"/>
            <w:szCs w:val="18"/>
            <w:u w:val="single" w:color="auto"/>
            <w:color w:val="0000EE"/>
          </w:rPr>
          <w:t>March 31,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9">
        <w:r>
          <w:rPr>
            <w:rFonts w:ascii="Arial" w:cs="Arial" w:eastAsia="Arial" w:hAnsi="Arial"/>
            <w:sz w:val="18"/>
            <w:szCs w:val="18"/>
            <w:u w:val="single" w:color="auto"/>
            <w:color w:val="0000EE"/>
          </w:rPr>
          <w:t>April 13,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0">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February 7, 2013, and any amendments or reports filed for the purpose of updating such description; and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description of our 8.625% Senior Notes due 2026 contained in our Registration Statement on </w:t>
      </w:r>
      <w:hyperlink r:id="rId90">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April 20, 2021 (File No. 001-35814), pursuant to Section 12(b) of the Exchange Act, including any amendment or report filed for the purpose of updating such description.</w:t>
      </w:r>
    </w:p>
    <w:p>
      <w:pPr>
        <w:spacing w:after="0" w:line="184" w:lineRule="exact"/>
        <w:rPr>
          <w:rFonts w:ascii="Arial" w:cs="Arial" w:eastAsia="Arial" w:hAnsi="Arial"/>
          <w:sz w:val="18"/>
          <w:szCs w:val="18"/>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6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Harrow Health,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102 Woodmont Blvd., Suite 610</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Nashville, TN 37205</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(615) 733-4730.</w:t>
      </w:r>
    </w:p>
    <w:p>
      <w:pPr>
        <w:spacing w:after="0" w:line="22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http://www.harrowinc.com. We have not incorporated by reference into this prospectus the information on our website, and you should not consider it to be a part of this document.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2002790</wp:posOffset>
            </wp:positionH>
            <wp:positionV relativeFrom="paragraph">
              <wp:posOffset>571500</wp:posOffset>
            </wp:positionV>
            <wp:extent cx="1714500" cy="900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171450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Harrow Health,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Book-Running Manage</w:t>
      </w:r>
      <w:r>
        <w:rPr>
          <w:rFonts w:ascii="Arial" w:cs="Arial" w:eastAsia="Arial" w:hAnsi="Arial"/>
          <w:sz w:val="18"/>
          <w:szCs w:val="18"/>
          <w:color w:val="auto"/>
        </w:rPr>
        <w:t>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 Riley Securities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Lead Manager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Lake Street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Co-Manager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Ladenburg Thalmann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702945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728980</wp:posOffset>
            </wp:positionV>
            <wp:extent cx="71323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1045845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lvl w:ilvl="1">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jpe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47" Type="http://schemas.openxmlformats.org/officeDocument/2006/relationships/hyperlink" Target="https://www.sec.gov/ix?doc=/Archives/edgar/data/1360214/000149315223008718/form10-k.htm" TargetMode="External"/><Relationship Id="rId48" Type="http://schemas.openxmlformats.org/officeDocument/2006/relationships/hyperlink" Target="https://www.sec.gov/ix?doc=/Archives/edgar/data/1360214/000149315223016414/form10-q.htm" TargetMode="External"/><Relationship Id="rId49" Type="http://schemas.openxmlformats.org/officeDocument/2006/relationships/hyperlink" Target="https://www.sec.gov/Archives/edgar/data/1360214/000149315223024851/form8-k.htm" TargetMode="External"/><Relationship Id="rId50" Type="http://schemas.openxmlformats.org/officeDocument/2006/relationships/hyperlink" Target="https://www.sec.gov/Archives/edgar/data/1360214/000135448813000459/immy_8a12b.htm" TargetMode="External"/><Relationship Id="rId85" Type="http://schemas.openxmlformats.org/officeDocument/2006/relationships/hyperlink" Target="https://www.sec.gov/ix?doc=/Archives/edgar/data/1360214/000149315222006525/form-10k.htm" TargetMode="External"/><Relationship Id="rId86" Type="http://schemas.openxmlformats.org/officeDocument/2006/relationships/hyperlink" Target="https://www.sec.gov/Archives/edgar/data/1360214/000149315222011171/formdef14a.htm" TargetMode="External"/><Relationship Id="rId87" Type="http://schemas.openxmlformats.org/officeDocument/2006/relationships/hyperlink" Target="https://www.sec.gov/ix?doc=/Archives/edgar/data/1360214/000149315222012261/form10q.htm" TargetMode="External"/><Relationship Id="rId88" Type="http://schemas.openxmlformats.org/officeDocument/2006/relationships/hyperlink" Target="https://www.sec.gov/ix?doc=/Archives/edgar/data/1360214/000149315222008268/form8-k.htm" TargetMode="External"/><Relationship Id="rId89" Type="http://schemas.openxmlformats.org/officeDocument/2006/relationships/hyperlink" Target="https://www.sec.gov/ix?doc=/Archives/edgar/data/1360214/000149315222009817/form8-k.htm" TargetMode="External"/><Relationship Id="rId90" Type="http://schemas.openxmlformats.org/officeDocument/2006/relationships/hyperlink" Target="https://www.sec.gov/Archives/edgar/data/1360214/000149315221009251/form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2023-07-18T16:08:15Z</dcterms:created>
  <dcterms:modified xsi:type="dcterms:W3CDTF">2023-07-18T16:08:15Z</dcterms:modified>
</cp:coreProperties>
</file>