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ind w:left="400"/>
              <w:spacing w:after="0"/>
              <w:rPr>
                <w:sz w:val="20"/>
                <w:szCs w:val="20"/>
                <w:color w:val="auto"/>
              </w:rPr>
            </w:pPr>
            <w:r>
              <w:rPr>
                <w:rFonts w:ascii="Arial" w:cs="Arial" w:eastAsia="Arial" w:hAnsi="Arial"/>
                <w:sz w:val="17"/>
                <w:szCs w:val="17"/>
                <w:color w:val="0000FF"/>
              </w:rPr>
              <w:t>01/28/2022</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5,000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6.8873</w:t>
            </w:r>
            <w:r>
              <w:rPr>
                <w:rFonts w:ascii="Arial" w:cs="Arial" w:eastAsia="Arial" w:hAnsi="Arial"/>
                <w:sz w:val="22"/>
                <w:szCs w:val="22"/>
                <w:color w:val="008000"/>
                <w:w w:val="93"/>
                <w:vertAlign w:val="superscript"/>
              </w:rPr>
              <w:t>(3)</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3,140,000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ind w:left="400"/>
              <w:spacing w:after="0"/>
              <w:rPr>
                <w:sz w:val="20"/>
                <w:szCs w:val="20"/>
                <w:color w:val="auto"/>
              </w:rPr>
            </w:pPr>
            <w:r>
              <w:rPr>
                <w:rFonts w:ascii="Arial" w:cs="Arial" w:eastAsia="Arial" w:hAnsi="Arial"/>
                <w:sz w:val="17"/>
                <w:szCs w:val="17"/>
                <w:color w:val="0000FF"/>
              </w:rPr>
              <w:t>01/28/2022</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jc w:val="right"/>
              <w:ind w:right="171"/>
              <w:spacing w:after="0"/>
              <w:rPr>
                <w:sz w:val="20"/>
                <w:szCs w:val="20"/>
                <w:color w:val="auto"/>
              </w:rPr>
            </w:pPr>
            <w:r>
              <w:rPr>
                <w:rFonts w:ascii="Arial" w:cs="Arial" w:eastAsia="Arial" w:hAnsi="Arial"/>
                <w:sz w:val="17"/>
                <w:szCs w:val="17"/>
                <w:color w:val="0000FF"/>
              </w:rPr>
              <w:t>1,343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6.8873</w:t>
            </w:r>
            <w:r>
              <w:rPr>
                <w:rFonts w:ascii="Arial" w:cs="Arial" w:eastAsia="Arial" w:hAnsi="Arial"/>
                <w:sz w:val="22"/>
                <w:szCs w:val="22"/>
                <w:color w:val="008000"/>
                <w:w w:val="93"/>
                <w:vertAlign w:val="superscript"/>
              </w:rPr>
              <w:t>(3)</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rPr>
              <w:t>150,000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15" w:lineRule="exact"/>
        <w:rPr>
          <w:rFonts w:ascii="Arial" w:cs="Arial" w:eastAsia="Arial" w:hAnsi="Arial"/>
          <w:sz w:val="13"/>
          <w:szCs w:val="13"/>
          <w:color w:val="008000"/>
        </w:rPr>
      </w:pPr>
    </w:p>
    <w:p>
      <w:pPr>
        <w:jc w:val="both"/>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$6.8873. The range of purchase prices on the transaction date was $6.88 to $6.90 per share. The reporting person undertakes to provide, upon request by the SEC staff, the issuer, or a security holder of the issuer, full information regarding the number of shares purchased at each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01/31/2022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2022-01-31T15:09:07Z</dcterms:created>
  <dcterms:modified xsi:type="dcterms:W3CDTF">2022-01-31T15:09:07Z</dcterms:modified>
</cp:coreProperties>
</file>