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29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2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Sullivan Patrick William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HARROW,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1A BURTON HILLS BLVD.,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HARROW,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HROW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3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-2184400</wp:posOffset>
            </wp:positionV>
            <wp:extent cx="29210" cy="21894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8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5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("RSU's) granted under the Issuers 2025 Incentive and Awards Plan, (the "Plan"). Each RSU represents a right to receive one share of common stock of the Issuer upon vesting. The RSU's have a five-year term and vest when Harrow's revenue reaches $230,000,000 in a calendar quarterly period.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granted under the Plan. Each RSU represents a right to receive one share of common stock of the Issuer upon vesting. The RSU's will vest in full after 3 years from the date of the award on 1/30/2029.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Andrew R. Boll as Attorney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Patrick Sullivan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1544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05707" TargetMode="External"/><Relationship Id="rId14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2026-02-02T07:29:43Z</dcterms:created>
  <dcterms:modified xsi:type="dcterms:W3CDTF">2026-02-02T07:29:43Z</dcterms:modified>
</cp:coreProperties>
</file>