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132715</wp:posOffset>
            </wp:positionV>
            <wp:extent cx="2503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240" w:right="1800" w:hanging="3989"/>
        <w:spacing w:after="0" w:line="500" w:lineRule="auto"/>
        <w:tabs>
          <w:tab w:leader="none" w:pos="6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-520700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409"/>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right="1850"/>
              <w:spacing w:after="0"/>
              <w:rPr>
                <w:sz w:val="20"/>
                <w:szCs w:val="20"/>
                <w:color w:val="auto"/>
              </w:rPr>
            </w:pPr>
            <w:r>
              <w:rPr>
                <w:rFonts w:ascii="Arial" w:cs="Arial" w:eastAsia="Arial" w:hAnsi="Arial"/>
                <w:sz w:val="18"/>
                <w:szCs w:val="18"/>
                <w:b w:val="1"/>
                <w:bCs w:val="1"/>
                <w:color w:val="auto"/>
                <w:w w:val="89"/>
              </w:rPr>
              <w:t>45-0567010</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8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w w:val="90"/>
              </w:rPr>
              <w:t>102 Woodmont Blvd.</w:t>
            </w:r>
            <w:r>
              <w:rPr>
                <w:rFonts w:ascii="Arial" w:cs="Arial" w:eastAsia="Arial" w:hAnsi="Arial"/>
                <w:sz w:val="18"/>
                <w:szCs w:val="18"/>
                <w:color w:val="auto"/>
                <w:w w:val="90"/>
              </w:rPr>
              <w:t>, Suite 610</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w w:val="91"/>
              </w:rPr>
              <w:t>Nashville</w:t>
            </w:r>
            <w:r>
              <w:rPr>
                <w:rFonts w:ascii="Arial" w:cs="Arial" w:eastAsia="Arial" w:hAnsi="Arial"/>
                <w:sz w:val="18"/>
                <w:szCs w:val="18"/>
                <w:color w:val="auto"/>
                <w:w w:val="91"/>
              </w:rPr>
              <w:t>, TN 37205</w:t>
            </w:r>
          </w:p>
        </w:tc>
        <w:tc>
          <w:tcPr>
            <w:tcW w:w="3560" w:type="dxa"/>
            <w:vAlign w:val="bottom"/>
          </w:tcPr>
          <w:p>
            <w:pPr>
              <w:spacing w:after="0"/>
              <w:rPr>
                <w:sz w:val="19"/>
                <w:szCs w:val="19"/>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92"/>
              </w:rPr>
              <w:t>(Address of Principal Executive Offices)(Zip Code)</w:t>
            </w:r>
          </w:p>
        </w:tc>
        <w:tc>
          <w:tcPr>
            <w:tcW w:w="3560" w:type="dxa"/>
            <w:vAlign w:val="bottom"/>
          </w:tcPr>
          <w:p>
            <w:pPr>
              <w:spacing w:after="0"/>
              <w:rPr>
                <w:sz w:val="20"/>
                <w:szCs w:val="20"/>
                <w:color w:val="auto"/>
              </w:rPr>
            </w:pPr>
          </w:p>
        </w:tc>
      </w:tr>
      <w:tr>
        <w:trPr>
          <w:trHeight w:val="418"/>
        </w:trPr>
        <w:tc>
          <w:tcPr>
            <w:tcW w:w="768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90"/>
              </w:rPr>
              <w:t xml:space="preserve">(615) </w:t>
            </w:r>
            <w:r>
              <w:rPr>
                <w:rFonts w:ascii="Arial" w:cs="Arial" w:eastAsia="Arial" w:hAnsi="Arial"/>
                <w:sz w:val="18"/>
                <w:szCs w:val="18"/>
                <w:color w:val="auto"/>
                <w:w w:val="90"/>
              </w:rPr>
              <w:t>733-4730</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Trading</w:t>
            </w:r>
          </w:p>
        </w:tc>
        <w:tc>
          <w:tcPr>
            <w:tcW w:w="4260" w:type="dxa"/>
            <w:vAlign w:val="bottom"/>
          </w:tcPr>
          <w:p>
            <w:pPr>
              <w:spacing w:after="0"/>
              <w:rPr>
                <w:sz w:val="18"/>
                <w:szCs w:val="18"/>
                <w:color w:val="auto"/>
              </w:rPr>
            </w:pPr>
          </w:p>
        </w:tc>
      </w:tr>
      <w:tr>
        <w:trPr>
          <w:trHeight w:val="241"/>
        </w:trPr>
        <w:tc>
          <w:tcPr>
            <w:tcW w:w="4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Title of Each Class</w:t>
            </w: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r>
        <w:rPr>
          <w:rFonts w:ascii="Arial" w:cs="Arial" w:eastAsia="Arial" w:hAnsi="Arial"/>
          <w:sz w:val="17"/>
          <w:szCs w:val="17"/>
          <w:color w:val="auto"/>
        </w:rPr>
        <w:t xml:space="preserve">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0" w:gutter="0" w:footer="0" w:header="0"/>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5" w:lineRule="exact"/>
        <w:rPr>
          <w:sz w:val="24"/>
          <w:szCs w:val="24"/>
          <w:color w:val="auto"/>
        </w:rPr>
      </w:pPr>
    </w:p>
    <w:p>
      <w:pPr>
        <w:sectPr>
          <w:pgSz w:w="11900" w:h="16838" w:orient="portrait"/>
          <w:cols w:equalWidth="0" w:num="2">
            <w:col w:w="4900" w:space="720"/>
            <w:col w:w="5620"/>
          </w:cols>
          <w:pgMar w:left="320" w:top="746" w:right="339" w:bottom="0" w:gutter="0" w:footer="0" w:header="0"/>
          <w:type w:val="continuous"/>
        </w:sectPr>
      </w:pPr>
    </w:p>
    <w:p>
      <w:pPr>
        <w:spacing w:after="0" w:line="3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746" w:right="3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aggregate market value of the common stock held by non-affiliates of the registrant was approximately $125 million, based on the closing price of $5.21 for the registrant’s common stock as quoted on The NASDAQ Capital Market on that date. For purposes of this calculation, it has been assumed that shares of common stock held by each director, each officer 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March 8, 2021, there were 25,983,364 shares of the registrant’s common stock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registrant’s definitive proxy statement for its 2021 Annual Meeting of Stockholders are incorporated by reference in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78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820" w:type="dxa"/>
            <w:vAlign w:val="bottom"/>
            <w:tcBorders>
              <w:bottom w:val="single" w:sz="8" w:color="CCEEFF"/>
            </w:tcBorders>
          </w:tcPr>
          <w:p>
            <w:pPr>
              <w:spacing w:after="0"/>
              <w:rPr>
                <w:sz w:val="24"/>
                <w:szCs w:val="24"/>
                <w:color w:val="auto"/>
              </w:rPr>
            </w:pPr>
          </w:p>
        </w:tc>
        <w:tc>
          <w:tcPr>
            <w:tcW w:w="97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ind w:left="1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6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1B.</w:t>
            </w:r>
          </w:p>
        </w:tc>
        <w:tc>
          <w:tcPr>
            <w:tcW w:w="9780" w:type="dxa"/>
            <w:vAlign w:val="bottom"/>
          </w:tcPr>
          <w:p>
            <w:pPr>
              <w:ind w:left="1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Unresolved Staff Comments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Properties</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tcPr>
          <w:p>
            <w:pPr>
              <w:ind w:left="1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ind w:left="16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PART II</w:t>
              </w:r>
            </w:hyperlink>
          </w:p>
        </w:tc>
        <w:tc>
          <w:tcPr>
            <w:tcW w:w="6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tcPr>
          <w:p>
            <w:pPr>
              <w:ind w:left="1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Selected Financial Data</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7.</w:t>
            </w:r>
          </w:p>
        </w:tc>
        <w:tc>
          <w:tcPr>
            <w:tcW w:w="9780" w:type="dxa"/>
            <w:vAlign w:val="bottom"/>
          </w:tcPr>
          <w:p>
            <w:pPr>
              <w:ind w:left="1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8.</w:t>
            </w:r>
          </w:p>
        </w:tc>
        <w:tc>
          <w:tcPr>
            <w:tcW w:w="9780" w:type="dxa"/>
            <w:vAlign w:val="bottom"/>
          </w:tcPr>
          <w:p>
            <w:pPr>
              <w:ind w:left="1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Financial Statements and Supplementary Data</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Changes in and Disagreements with Accountants on Accounting and Financial Disclosure</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9A.</w:t>
            </w:r>
          </w:p>
        </w:tc>
        <w:tc>
          <w:tcPr>
            <w:tcW w:w="9780" w:type="dxa"/>
            <w:vAlign w:val="bottom"/>
          </w:tcPr>
          <w:p>
            <w:pPr>
              <w:ind w:left="1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ind w:left="160"/>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PART III</w:t>
              </w:r>
            </w:hyperlink>
          </w:p>
        </w:tc>
        <w:tc>
          <w:tcPr>
            <w:tcW w:w="6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tcPr>
          <w:p>
            <w:pPr>
              <w:ind w:left="1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Directors, Executive Officers and Corporate Governance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Executive Compensation</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tcPr>
          <w:p>
            <w:pPr>
              <w:ind w:left="1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Security Ownership of Certain Beneficial Owners and Management and Related Stockholder Matters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Certain Relationships and Related Transactions, and Director Independence</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14.</w:t>
            </w:r>
          </w:p>
        </w:tc>
        <w:tc>
          <w:tcPr>
            <w:tcW w:w="9780" w:type="dxa"/>
            <w:vAlign w:val="bottom"/>
          </w:tcPr>
          <w:p>
            <w:pPr>
              <w:ind w:left="1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Principal Accountant Fees and Services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ind w:left="16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PART IV</w:t>
              </w:r>
            </w:hyperlink>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Exhibits, Financial Statement Schedules</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16.</w:t>
            </w:r>
          </w:p>
        </w:tc>
        <w:tc>
          <w:tcPr>
            <w:tcW w:w="9780" w:type="dxa"/>
            <w:vAlign w:val="bottom"/>
          </w:tcPr>
          <w:p>
            <w:pPr>
              <w:ind w:left="1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Form 10-K Summary</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0" w:type="dxa"/>
            <w:vAlign w:val="bottom"/>
            <w:gridSpan w:val="2"/>
            <w:shd w:val="clear" w:color="auto" w:fill="CCEEFF"/>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439"/>
        </w:trPr>
        <w:tc>
          <w:tcPr>
            <w:tcW w:w="8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both"/>
        <w:ind w:right="20" w:firstLine="648"/>
        <w:spacing w:after="0" w:line="277" w:lineRule="auto"/>
        <w:rPr>
          <w:sz w:val="20"/>
          <w:szCs w:val="20"/>
          <w:color w:val="auto"/>
        </w:rPr>
      </w:pPr>
      <w:r>
        <w:rPr>
          <w:rFonts w:ascii="Arial" w:cs="Arial" w:eastAsia="Arial" w:hAnsi="Arial"/>
          <w:sz w:val="18"/>
          <w:szCs w:val="18"/>
          <w:i w:val="1"/>
          <w:iCs w:val="1"/>
          <w:color w:val="auto"/>
        </w:rPr>
        <w:t>As used in this Annual Report, unless indicated or the context requires otherwise, the terms the “Company,” “Harrow,” “we,” “us” and “our” refer to Harrow Health, Inc. and its consolidated subsidiaries.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We have registered trademarks, copyrights and/or pending trademark and copyright applications for a number of proprietary names in the United States, including, but not limited to: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Harrow Health</w:t>
      </w:r>
      <w:r>
        <w:rPr>
          <w:rFonts w:ascii="Arial" w:cs="Arial" w:eastAsia="Arial" w:hAnsi="Arial"/>
          <w:sz w:val="26"/>
          <w:szCs w:val="26"/>
          <w:color w:val="auto"/>
          <w:vertAlign w:val="superscript"/>
        </w:rPr>
        <w:t>®</w:t>
      </w:r>
      <w:r>
        <w:rPr>
          <w:rFonts w:ascii="Arial" w:cs="Arial" w:eastAsia="Arial" w:hAnsi="Arial"/>
          <w:sz w:val="16"/>
          <w:szCs w:val="16"/>
          <w:color w:val="auto"/>
        </w:rPr>
        <w:t>, Visionology</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Klarity-C</w:t>
      </w:r>
      <w:r>
        <w:rPr>
          <w:rFonts w:ascii="Arial" w:cs="Arial" w:eastAsia="Arial" w:hAnsi="Arial"/>
          <w:sz w:val="29"/>
          <w:szCs w:val="29"/>
          <w:color w:val="auto"/>
          <w:vertAlign w:val="superscript"/>
        </w:rPr>
        <w:t>®</w:t>
      </w:r>
      <w:r>
        <w:rPr>
          <w:rFonts w:ascii="Arial" w:cs="Arial" w:eastAsia="Arial" w:hAnsi="Arial"/>
          <w:sz w:val="18"/>
          <w:szCs w:val="18"/>
          <w:color w:val="auto"/>
        </w:rPr>
        <w:t>, Dropless Therapy</w:t>
      </w:r>
      <w:r>
        <w:rPr>
          <w:rFonts w:ascii="Arial" w:cs="Arial" w:eastAsia="Arial" w:hAnsi="Arial"/>
          <w:sz w:val="29"/>
          <w:szCs w:val="29"/>
          <w:color w:val="auto"/>
          <w:vertAlign w:val="superscript"/>
        </w:rPr>
        <w:t>®</w:t>
      </w:r>
      <w:r>
        <w:rPr>
          <w:rFonts w:ascii="Arial" w:cs="Arial" w:eastAsia="Arial" w:hAnsi="Arial"/>
          <w:sz w:val="18"/>
          <w:szCs w:val="18"/>
          <w:color w:val="auto"/>
        </w:rPr>
        <w:t>, MKO Melt</w:t>
      </w:r>
      <w:r>
        <w:rPr>
          <w:rFonts w:ascii="Arial" w:cs="Arial" w:eastAsia="Arial" w:hAnsi="Arial"/>
          <w:sz w:val="29"/>
          <w:szCs w:val="29"/>
          <w:color w:val="auto"/>
          <w:vertAlign w:val="superscript"/>
        </w:rPr>
        <w:t>®</w:t>
      </w:r>
      <w:r>
        <w:rPr>
          <w:rFonts w:ascii="Arial" w:cs="Arial" w:eastAsia="Arial" w:hAnsi="Arial"/>
          <w:sz w:val="18"/>
          <w:szCs w:val="18"/>
          <w:color w:val="auto"/>
        </w:rPr>
        <w:t>, and Simple Drops</w:t>
      </w:r>
      <w:r>
        <w:rPr>
          <w:rFonts w:ascii="Arial" w:cs="Arial" w:eastAsia="Arial" w:hAnsi="Arial"/>
          <w:sz w:val="29"/>
          <w:szCs w:val="29"/>
          <w:color w:val="auto"/>
          <w:vertAlign w:val="superscript"/>
        </w:rPr>
        <w:t>®</w:t>
      </w:r>
      <w:r>
        <w:rPr>
          <w:rFonts w:ascii="Arial" w:cs="Arial" w:eastAsia="Arial" w:hAnsi="Arial"/>
          <w:sz w:val="18"/>
          <w:szCs w:val="18"/>
          <w:color w:val="auto"/>
        </w:rPr>
        <w:t>. We may choose to pursue trademark protection in other jurisdictions for one or more of these or other marks in the future. All other trademarks, service marks and trade names included or incorporated by reference into this Annual Report, are the property of their respective owners.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specializes in the development, production and sale of innovative medications that offer unique competitive advantages and serve unmet needs in the marketplace through our subsidiaries and deconsolidated companies. We own and operate one of the nation’s leading ophthalmic pharmaceutical businesses, ImprimisRx. In addition to wholly owning ImprimisRx, we also have non-controlling equity positions in Eton Pharmaceuticals, Inc. (“Eton”), Surface Ophthalmics, Inc. (“Surface”), and Melt Pharmaceuticals, Inc. (“Melt”), all companies that began as subsidiaries of Harrow. We also recently launched a new business called Visionology and are exploring opportunities to launch other subsidiaries. We own royalty rights in various drug candidates being developed by Surface and Melt. We intend to continue to create and hold equity and royalty rights in new businesses that commercialize drug candidates that are internally developed or otherwise acquired or licensed from third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ophthalmic focused prescription pharmaceutical business. We offer to over 9,000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FDA guidance documents, in our FDA-registered New Jersey Outsourcing Facility (“NJOF”).</w:t>
      </w:r>
    </w:p>
    <w:p>
      <w:pPr>
        <w:spacing w:after="0" w:line="17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On August 1, 2020, ImprimisRx entered into a Commercial Alliance Agreement (the “Dexycu Agreement”) with Eyepoint Pharmaceuticals, Inc. (“Eyepoint”), pursuant to which Eyepoint granted ImprimisRx the non-exclusive right to co-promote 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pays ImprimisRx a fee that is calculated based on the quarterly sales of DEXCYU in excess of predefined volumes to specific customers of ImprimisRx in the U.S.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acquire and/or develop additional FDA-approved ophthalmic drugs that allow us to leverage the commercial infrastructure of ImprimisRx to promote, sell, and ultimately bring these products to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Visionology is a membership-based online eye health and medication platform. Visionology leverages our experience in the ophthalmic pharmaceutical business, our relationships with eyecare professionals across the United States, and our expertise in developing and deploying telemedicine software. We recently launched a proof-of-concept for Visionology in certain states in the southeast area of the U.S. If successful, we expect Visionology will expand access to its service later in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Ophthalmology Market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any ocular procedure, a surgeon may require drugs for sedation, dilation, and inflammation and infection prevention. The cataract surgery market continues to experience significant growth. According to Market Scope, approximately 4.2 million cataract surgeries were performed in the U.S. in 2019. The National Eye Institute estimates that over 24 million Americans currently have cataracts and that this number will grow to 38 million by 2030 and reach more than 50 million by 2050. In addition,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According to the Glaucoma Research Foundation, there are over 3 million Americans with glaucoma but only half are aware they have it. Open-angle glaucoma (the most common type of glaucoma) is a condition of increased intraocular pressure that causes gradual loss of sight. Glaucoma is incurable, and if not managed can lead to blindness. Generally, the first line of treatment consists of a prostaglandin analogue (PGA) eye drop regimen. As the disease progresses, non-PGA products are generally added as a second line treatment. Topical agents, other than PGAs, include beta blockers, alpha agonists, miotics and steroids. According to a 2013 article in </w:t>
      </w:r>
      <w:r>
        <w:rPr>
          <w:rFonts w:ascii="Arial" w:cs="Arial" w:eastAsia="Arial" w:hAnsi="Arial"/>
          <w:sz w:val="16"/>
          <w:szCs w:val="16"/>
          <w:i w:val="1"/>
          <w:iCs w:val="1"/>
          <w:color w:val="auto"/>
        </w:rPr>
        <w:t>Glaucoma Today</w:t>
      </w:r>
      <w:r>
        <w:rPr>
          <w:rFonts w:ascii="Arial" w:cs="Arial" w:eastAsia="Arial" w:hAnsi="Arial"/>
          <w:sz w:val="16"/>
          <w:szCs w:val="16"/>
          <w:color w:val="auto"/>
        </w:rPr>
        <w:t>, up to 50 percent of glaucoma patients require more than one drug following a few months of initial treatment and there is a direct correlation between the number of glaucoma bottles and decreased adherence; however, the FDA has</w:t>
      </w:r>
    </w:p>
    <w:p>
      <w:pPr>
        <w:spacing w:after="0" w:line="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yet to approve a PGA combination product despite combination products including a PGA (Xalacom</w:t>
      </w:r>
      <w:r>
        <w:rPr>
          <w:rFonts w:ascii="Arial" w:cs="Arial" w:eastAsia="Arial" w:hAnsi="Arial"/>
          <w:sz w:val="29"/>
          <w:szCs w:val="29"/>
          <w:color w:val="auto"/>
          <w:vertAlign w:val="superscript"/>
        </w:rPr>
        <w:t>®</w:t>
      </w:r>
      <w:r>
        <w:rPr>
          <w:rFonts w:ascii="Arial" w:cs="Arial" w:eastAsia="Arial" w:hAnsi="Arial"/>
          <w:sz w:val="18"/>
          <w:szCs w:val="18"/>
          <w:color w:val="auto"/>
        </w:rPr>
        <w:t>, DuoTrav</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Ganfort</w:t>
      </w:r>
      <w:r>
        <w:rPr>
          <w:rFonts w:ascii="Arial" w:cs="Arial" w:eastAsia="Arial" w:hAnsi="Arial"/>
          <w:sz w:val="29"/>
          <w:szCs w:val="29"/>
          <w:color w:val="auto"/>
          <w:vertAlign w:val="superscript"/>
        </w:rPr>
        <w:t>®</w:t>
      </w:r>
      <w:r>
        <w:rPr>
          <w:rFonts w:ascii="Arial" w:cs="Arial" w:eastAsia="Arial" w:hAnsi="Arial"/>
          <w:sz w:val="18"/>
          <w:szCs w:val="18"/>
          <w:color w:val="auto"/>
        </w:rPr>
        <w:t>) available outside of the U.S. According to a 2017 Market Scope report, the glaucoma pharmaceuticals market is expected to reach $5.3 billion in 2022.</w:t>
      </w:r>
    </w:p>
    <w:p>
      <w:pPr>
        <w:spacing w:after="0" w:line="20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Dry eye occurs when the eye does not produce enough tears, or when the tears are not of the correct consistency and evaporate too quickly. Inflammation of the surface of the eye may also occur. We believe that dry eye disease, or DED, affects over 30 million people in the U.S., and a major epidemiological study, the Beaver Dam Offspring Study, published in 2014 in the American Journal of Ophthalmology, reported that in a cohort of over 3,000 patients, DED was self-reported by 14.5% of the patients. According to a 2017 Market Scope report, the global dry eye treatments market is expected to grow from $3.7 billion in 2017 to $4.9 billion in 2022. Dry eye is among the most common conditions seen by eye care professionals.</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Presbyopia is the normal loss of near focusing ability that occurs with age. Most people begin to notice the effects of presbyopia sometime after age 40, when they start having trouble seeing small print clearly. According to an American Academy of Ophthalmology report from 2018, there are an estimated 1.8 billion people worldwide who suffer from presbyopia, with eye glasses (more commonly referred to as “readers”) being the most common treatment option. Based on our understanding, there are currently four eyedrops undergoing clinical trials/development in the U.S. aiming to be first to market topical eye drops to treat the symptoms associated with presbyopia. We believe most of these are designed to enhance depth of field via a “pinhole effect” and in one case to reduce lens stiffening; and some of these medications could be synergistic with each other or combined with refractive surgery to enhance outcomes. However, as of the date of this Annual Report, none of these drug candidates has received market approval from the FDA.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medical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and transparent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operate two compounding facilities located in Ledgewood, New Jersey. Our New Jersey operations are comprised of two separate entities and facilities, one of which is registered with the FDA as an outsourcing facility under Section 503B of the FDCA. The other New Jersey facility (“RxNJ”) is a licensed pharmacy operating under Section 503A of the FDCA. All products that we sell, produce and dispense are made in the United States.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production related redundancy, and distribution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ownership interests in Eton, Surface and Melt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and 2019, we formed and created subsidiaries named Radley Pharmaceuticals, Inc. (“Radley”), Mayfield Pharmaceuticals, Inc. (“Mayfield”) and Stowe Pharmaceuticals, Inc. (“Stowe”). In addition, we may create additional subsidiaries that will be focused on the development and FDA approval of certain proprietary drug formulations that we currently own, will in-license/acquire and/or otherwise develop. We expect any new subsidiaries to be focused on eye 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De-Consolidated Businesses (Noncontrolling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Ophthalmics,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Surface is a clinical-stage pharmaceutical company focused on development and commercialization of innovative therapeutics for ocular surface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January 2021, Surface announced positive top-line results from a phase 2 trial of its drug candidate SURF-201, a 0.2% betamethasone, preservative-free ophthalmic solution in the Klarity delivery vehicle for the treatment of post cataract surgery pain and inflammation.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 SURF-201 marks the first ophthalmic therapeutic in the United States to utilize betamethasone as well as being the first preservative-free unit dose therapy for the treatment of post-operative pain and inflammation.</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Also in January 2021, Surface announced the first patient dosed in a head-to-head phase 2 trial for its drug candidate SURF-100 (mycophenolate sodium and betamethasone in Klarity vehicle) for the treatment of chronic dry eye disease. The head-to-head study will compare SURF-100 against leading on-market competitors lifitegrast ophthalmic solution 5% (marketed as Xiidra®) and cyclosporine ophthalmic emulsion 0.05% (marketed as Restasis®).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2021, Surface announced the first patient dosed in a phase 2 trial for its drug candidate SURF-200 (betamethasone in Klarity vehicle) for the treatment of episodic dry eye flares. The dose ranging study for SURF-200 will be administered in two different low concentration formulations of betamethasone in the Klarity vehicle. The trial will enroll 120 to 140 patients with a primary endpoint of Symptom Improvement of one unit based on the University of North Carolina Dry Eye Management Scale by the eighth day.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2018, Surface closed on an offering of its Series A Preferred Stock. At that time, we lost our controlling interest and deconsolidated Surface from our consolidated financial statements. We own 3,500,000 shares of Surface, which was approximately 30% of the equity and voting interests as of December 31, 2020. Harrow owns mid-single digit royalty rights on net sales of SURF-100, SURF-200 and SURF-201. We expect Surface to complete another round of financing within the next twelve months.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MELT-100 is a novel, sublingually delivered, non-IV, opioid-free drug candidate being developed for procedural sedation. Melt filed an investigational new drug application (“IND”) with the FDA in June 2020 and began its clinical program for MELT-100. In February 2021, Melt announced data from, and the successful completion of, its phase 1 study. Melt expects to begin its phase 2 study for MELT-100 in the second half of 2021.</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2019, Melt closed an offering of its Series A Preferred Stock. At that time, we lost our controlling interest and deconsolidated Melt from our consolidated financial statements. We own 3,500,000 shares of Melt common stock, which was approximately 44% of the equity and voting interests issued and outstanding as of December 31, 2020. We expect Melt to complete another round of financing within the next twelve months. Pursuant to the terms of the Melt Asset Purchase Agreement, Melt is required to make mid-single digit royalty payments to the Company on net sales of MELT-100, while any patent rights remain outstanding, subject to other conditions. Melt can require the Company to cease compounding like products at the time of FDA approval of MELT-100. If approved, we do not expect a cessation of compounding like products to have a material impact on our operations and financial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Eton is a commercial-stage pharmaceutical company focused on developing and commercializing innovative drug products. Its pipeline includes several products and drug candidates in various stages of development across a variety of dosage forms. In May 2017, Eton closed an offering of its Series A Preferred Stock. At that time, we gave up our controlling interest and deconsolidated Eton from our consolidated financial statements. In November 2019, Eton completed an initial public offering of its common stock. We own 3,500,000 shares of Eton common stock, which was less than 20% of the equity and voting interests issued and outstanding as of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Businesses (Controlling Equity Interests)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Mayfield, Stowe and Radley are consolidated subsidiaries of Harrow. Mayfield is a development-stage pharmaceutical company focused on developing urology related drug candidates. Stowe is focused on the development of proprietary ophthalmic drug candidates. Radley is a development-stage pharmaceutical company that has been focused on the development of proprietary drug candidates focused on rare diseases. Recently, we discontinued nearly all of the activities related to Mayfield, Stowe and Radley, and may not resume those activities in the near term.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control over 50% of the equity and voting interests issued and outstanding of Mayfield, Stowe and Radley as of the date of this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New Drug Applications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505(b)(2) path to approval are drugs that have a new dosage form, strength, route of administration, formulation or indication.</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w:t>
      </w:r>
    </w:p>
    <w:p>
      <w:pPr>
        <w:spacing w:after="0" w:line="2"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listed patent has expired; (iii) the listed patent has not expired, but will expire on a particular date and approval is sought after patent expiration; or</w:t>
      </w:r>
    </w:p>
    <w:p>
      <w:pPr>
        <w:spacing w:after="0" w:line="32" w:lineRule="exact"/>
        <w:rPr>
          <w:rFonts w:ascii="Arial" w:cs="Arial" w:eastAsia="Arial" w:hAnsi="Arial"/>
          <w:sz w:val="16"/>
          <w:szCs w:val="16"/>
          <w:color w:val="auto"/>
        </w:rPr>
      </w:pPr>
    </w:p>
    <w:p>
      <w:pPr>
        <w:jc w:val="both"/>
        <w:ind w:firstLine="8"/>
        <w:spacing w:after="0" w:line="253" w:lineRule="auto"/>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listed patent is invalid or will not be infringed by the new product. The Section 505(b)(2) application also will not be approved until any non-patent exclusivity, such as exclusivity for obtaining approval of a new chemical entity, listed in the Orange Book for the reference product has expired. Thus, the Section 505(b)(2) applicant may invest a significant amount of time and expense in the development of its products only to be subject to significant delay and patent litigation before its products may be commercialized.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focus of our sales and marketing is in the United States. We do, however, believe that our proprietary drug formulations could have commercial appeal in international markets, and we have engaged distributors and entered into out-licensing arrangements for certain of our proprietary formulations in certain non-U.S. markets, including Canada. Our sales and marketing efforts are currently organized into two teams, the larger of which focuses on our ophthalmology pharmaceutical business and the other on our non-ophthalmology pharmaceutical compounding business. Our sales and marketing activities consist primarily of efforts to educate doctors, ambulatory surgery centers, healthcare systems, hospitals and other users throughout the U.S. about our compounded formulations. We expect that we may experience growth in the sales of our proprietary pharmaceutical compounded formulations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acquire and/or develop additional FDA-approved ophthalmic drugs that allow us to leverage the commercial infrastructure of ImprimisRx to promote, sell, and ultimately bring these products to market. As we execute this strategy, we will likely expand our sales and marketing team, expertise and expenses. This would include the addition of market access expertise and team members, where roles include discussions with payors regarding the costs and benefits of our products for their members, assisting with the addition of our products to the medical policy of payors, and providing the market with assistance regarding reimbursement queries.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entered into various sales and marketing agreements with certain organizations to provide exclusive sales and marketing representation services to ImprimisRx in select geographies in the U.S., in connection with our pharmaceutical products and compounded formulations. Under the terms of the sales and marketing agreements, we are required to make commission payments, generally equal to 10% to 14% of net sales for products above and beyond the initial existing sales amounts. In addition, we are required to make periodic milestone payments to certain organizations in shares of our restricted common stock if net sales in the assigned territory reach certain future levels by the end of their terms, as applicable. We believe these sales and marketing agreements will continue to accelerate launches of our new ophthalmology programs and limit our initial capital requirements commonly associated with new product launches and increased sizes of sales forces.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some of our compounded formulations in accordance with cGMP standards and our other formulations are produced according to the standards provided by United States Pharmacopoeia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operating under Section 503A of the FDCA,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though we have registered NJOF with the FDA, our business may not be scalable on the scope available to our competitors that produce FDA-approved drugs, which may limit our potential for profitable operations. These facets of our operations may subject our business to limitations our competitors offering FDA-approved drugs may not face.</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are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Options and Pricing Optimization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conceivably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third-payor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Additionally, we have previously made efforts to receive reimbursement and/or optimize the pricing for some of our currently available pharmaceutical compounded formulations, including applying for transitional pass-through reimbursement status for one of our formulations. Pass-through status allows for separate payment (i.e., outside the bundled payment) under Medicare Part B for new drugs and other medical technologies that meet well-established criteria specified by federal regulations governing CMS spending. In September 2020, we were informed by CMS that our application for pass-through payment was denied for one of our formulations. Any future efforts to attain optimized pricing or reimbursement of our other proprietary compounded formulations could fail, which could make our products less attractive or unavailable to some patients or could reduce our margins.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success and ability to compete depends upon our ability to protect our intellectual property. We conduct a fulsome analysis of the intellectual property landscape prior to acquiring rights to formulations and filing patent applications. In addition, as of March 1, 2021, we owned and/or licensed 105 total issued and pending patent applications, which include 16 U.S. issued patents, 10 international issued patents, and 79 U.S. and foreign/international patent pending applications. We expect to file additional patent applications in the U.S. and pursue patent protection for certain of our formulations in other important international jurisdictions in the future.</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As of March 1, 2021, we had, on a worldwide basis, 275 issued trademarks, pending trademark and copyright applications, or registered copyright and/or trademarks including, but not limited to: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Harrow Health</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Cataract Therapy</w:t>
      </w:r>
      <w:r>
        <w:rPr>
          <w:rFonts w:ascii="Arial" w:cs="Arial" w:eastAsia="Arial" w:hAnsi="Arial"/>
          <w:sz w:val="29"/>
          <w:szCs w:val="29"/>
          <w:color w:val="auto"/>
          <w:vertAlign w:val="superscript"/>
        </w:rPr>
        <w:t>®</w:t>
      </w:r>
      <w:r>
        <w:rPr>
          <w:rFonts w:ascii="Arial" w:cs="Arial" w:eastAsia="Arial" w:hAnsi="Arial"/>
          <w:sz w:val="18"/>
          <w:szCs w:val="18"/>
          <w:color w:val="auto"/>
        </w:rPr>
        <w:t>, Dropless Therapy</w:t>
      </w:r>
      <w:r>
        <w:rPr>
          <w:rFonts w:ascii="Arial" w:cs="Arial" w:eastAsia="Arial" w:hAnsi="Arial"/>
          <w:sz w:val="29"/>
          <w:szCs w:val="29"/>
          <w:color w:val="auto"/>
          <w:vertAlign w:val="superscript"/>
        </w:rPr>
        <w:t>®</w:t>
      </w:r>
      <w:r>
        <w:rPr>
          <w:rFonts w:ascii="Arial" w:cs="Arial" w:eastAsia="Arial" w:hAnsi="Arial"/>
          <w:sz w:val="18"/>
          <w:szCs w:val="18"/>
          <w:color w:val="auto"/>
        </w:rPr>
        <w:t>, MKO Melt</w:t>
      </w:r>
      <w:r>
        <w:rPr>
          <w:rFonts w:ascii="Arial" w:cs="Arial" w:eastAsia="Arial" w:hAnsi="Arial"/>
          <w:sz w:val="29"/>
          <w:szCs w:val="29"/>
          <w:color w:val="auto"/>
          <w:vertAlign w:val="superscript"/>
        </w:rPr>
        <w:t>®</w:t>
      </w:r>
      <w:r>
        <w:rPr>
          <w:rFonts w:ascii="Arial" w:cs="Arial" w:eastAsia="Arial" w:hAnsi="Arial"/>
          <w:sz w:val="18"/>
          <w:szCs w:val="18"/>
          <w:color w:val="auto"/>
        </w:rPr>
        <w:t>, and Simple Drops</w:t>
      </w:r>
      <w:r>
        <w:rPr>
          <w:rFonts w:ascii="Arial" w:cs="Arial" w:eastAsia="Arial" w:hAnsi="Arial"/>
          <w:sz w:val="29"/>
          <w:szCs w:val="29"/>
          <w:color w:val="auto"/>
          <w:vertAlign w:val="superscript"/>
        </w:rPr>
        <w:t>®</w:t>
      </w:r>
      <w:r>
        <w:rPr>
          <w:rFonts w:ascii="Arial" w:cs="Arial" w:eastAsia="Arial" w:hAnsi="Arial"/>
          <w:sz w:val="18"/>
          <w:szCs w:val="18"/>
          <w:color w:val="auto"/>
        </w:rPr>
        <w:t>. We may choose to pursue trademark protection in other jurisdictions for any one or more of these or other marks in the future.</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(“HIPAA”); the Health Care Reform Law; statutes and regulations of the FDA, the U.S. Federal Trade Commission, the U.S. Drug Enforcement Administration and the U.S. Consumer Product Safety Commission, as well as regulations promulgated by comparable state agencies concerning the sale, advertisement and promotion of the products we sell. The regulatory and quality compliance environment for compounded drugs has become significantly more rigorous, complex and strict since the passage of The Drug Quality and Security Act of 2013. The complexity of the current state and federal regulatory environment, as well as the expected continued evolution of state and federal laws governing pharmaceutical compounding, have and will continue to present potentially significant challenges to our business model and the fulfillment of our mission as a company. Below are descriptions of some of the various federal and state laws and regulations which may govern or impact our current and planned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Regulation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Federal law limits compounding pharmacies from engaging in the practice of anticipatory compounding, which involves preparing compounded medications before the actual receipt of a prescription or practitioner’s order, unless the compounding pharmacy has a history of filling certain prescriptions for a customer. In such cases, it is acceptable to engage in anticipatory compounding or the preparation of larger batches so that medications will be ready when they are needed. Anticipatory compounding also reduces the cost of compounded medications, as economies of scale can be realized by producing larger batches. Anticipatory compounding also leads to less wasted chemicals, dilutions, fillers, and other associated products are produced, and greater accuracy and uniformity in finished medications, as larger batches decrease the variation caused by preparing multiple, smaller batches. Based on our history of meeting the needs of our customers, we are able to anticipatorily compound batches of our formulations for our customers, per the applicable regulations.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9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Further, under federal law, Section 503A of the FDCA previously had language that implied a limitation of the amount of compounded products that a pharmacy can distribute interstate. The interpretation and enforcement of this provision is dependent on the FDA entering into a standard Memorandum of Understanding (“MOU”) with each state setting forth limits on shipments of interstate compounding. In January of 2019, the FDA released a “2018 Compounding Policy Priorities Plan” (the “2018 Compounding Plan”) which provided an overview of the key priorities the FDA planned to focus on in 2018 in connection with compounding regulations. One of the priorities outlined in the 2018 Compounding Plan addressed the FDA’s plan to release a revised MOU (the “Revised MOU”). Pursuant to the statements in the 2018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On October 27, 2020, the FDA announced availability of a final MOU, Addressing Certain Distributions of Compounded Human Drug Products Between the State Board of Pharmacy or Other Appropriate State Agency and the Food and Drug Administration (the “Final MOU”). The Final MOU describes the responsibilities of a state board of pharmacy, or other appropriate state agency that chooses to sign the Final MOU, in investigating and responding to complaints related to drug products compounded in such state and distributed outside such state and in addressing the interstate distribution of inordinate amounts of compounded human drug products. Additionally, as part of the Final MOU, FDA refined the definition of “inordinate amount,” a threshold for certain information identification and sharing which does not place a limit on the distribution of compounded human drug products interstate by a pharmacy located in a state that has entered into the Final MOU. Section 503A of the FDCA sets a five percent limit on compounded drugs distributed outside the state by a pharmacist, pharmacy or physician located in a state that has not entered into the Final MOU. States have 365 days to sign the Final MOU, before the FDA intends to enforce the five percent limit described in Section 503A of the FDCA in states that have not signed the Final MOU. Our pharmacy is based in the state of New Jersey, and based on feedback we have received from the state board of pharmacy in New Jersey, we believe the state board of pharmacy in New Jersey will sign the MOU and as a result, our operations will not be materially affected by the Final MOU. In the event New Jersey does not sign the Final MOU, our pharmacy that operates under Section 503A may be materially affected and we will transition as many prescription orders as possible to our outsourcing facility, which is not subject to the Final MOU.</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648"/>
        <w:spacing w:after="0" w:line="290" w:lineRule="auto"/>
        <w:rPr>
          <w:sz w:val="20"/>
          <w:szCs w:val="20"/>
          <w:color w:val="auto"/>
        </w:rPr>
      </w:pPr>
      <w:r>
        <w:rPr>
          <w:rFonts w:ascii="Arial" w:cs="Arial" w:eastAsia="Arial" w:hAnsi="Arial"/>
          <w:sz w:val="16"/>
          <w:szCs w:val="16"/>
          <w:color w:val="auto"/>
        </w:rPr>
        <w:t>Certain provisions of the FDCA govern the preparation, handling, storage, marketing and distribution of pharmaceutical products. The Drug Quality and Security Act of 2013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DQSA also contained new Section 503B of the FDCA, which established an outsourcing facility as a new form of entity that is permitted to compound larger quantities of drug formulations without a prescription, thus permitting the practice of anticipatory compounding, and distributing them out of state without limitation, if the drug formulations appear on the FDA’s drug shortage list or the bulk drug substances contained in the formulations appear on a “clinical need” list to be established by the FDA. In January 2017, the FDA issued an </w:t>
      </w:r>
      <w:r>
        <w:rPr>
          <w:rFonts w:ascii="Arial" w:cs="Arial" w:eastAsia="Arial" w:hAnsi="Arial"/>
          <w:sz w:val="17"/>
          <w:szCs w:val="17"/>
          <w:i w:val="1"/>
          <w:iCs w:val="1"/>
          <w:color w:val="auto"/>
        </w:rPr>
        <w:t>Interim Policy on Compounding Using Bulk Drug Substances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Under Section 503B of the FFDCA </w:t>
      </w:r>
      <w:r>
        <w:rPr>
          <w:rFonts w:ascii="Arial" w:cs="Arial" w:eastAsia="Arial" w:hAnsi="Arial"/>
          <w:sz w:val="17"/>
          <w:szCs w:val="17"/>
          <w:color w:val="auto"/>
        </w:rPr>
        <w:t>(“Interim Policy”) that informs stakeholders about how the FDA intends to exercise its enforcement discretion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compounding with those substances on a “Category 1 list” while the agency compiles and evaluates its clinical needs list, as well as in March 2019 the FDA issued guidance for industry </w:t>
      </w:r>
      <w:r>
        <w:rPr>
          <w:rFonts w:ascii="Arial" w:cs="Arial" w:eastAsia="Arial" w:hAnsi="Arial"/>
          <w:sz w:val="17"/>
          <w:szCs w:val="17"/>
          <w:i w:val="1"/>
          <w:iCs w:val="1"/>
          <w:color w:val="auto"/>
        </w:rPr>
        <w:t>Evaluation of Bulk Substances Nominated for Use in Compounding Under Section 503B of the Federal Food, Drug and</w:t>
      </w:r>
      <w:r>
        <w:rPr>
          <w:rFonts w:ascii="Arial" w:cs="Arial" w:eastAsia="Arial" w:hAnsi="Arial"/>
          <w:sz w:val="17"/>
          <w:szCs w:val="17"/>
          <w:color w:val="auto"/>
        </w:rPr>
        <w:t xml:space="preserve"> </w:t>
      </w:r>
      <w:r>
        <w:rPr>
          <w:rFonts w:ascii="Arial" w:cs="Arial" w:eastAsia="Arial" w:hAnsi="Arial"/>
          <w:sz w:val="17"/>
          <w:szCs w:val="17"/>
          <w:i w:val="1"/>
          <w:iCs w:val="1"/>
          <w:color w:val="auto"/>
        </w:rPr>
        <w:t>Cosmetic Act</w:t>
      </w:r>
      <w:r>
        <w:rPr>
          <w:rFonts w:ascii="Arial" w:cs="Arial" w:eastAsia="Arial" w:hAnsi="Arial"/>
          <w:sz w:val="17"/>
          <w:szCs w:val="17"/>
          <w:color w:val="auto"/>
        </w:rPr>
        <w:t>, which further describes the FDA’s policy for evaluating bulk drug substances nominated for use in compounding by outsourcing facilities.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voluntarily registering as outsourcing facilities are subject to cGMP requirements and regular FDA inspection, among other requirements. As described above, our current pharmacy operations in NJ are governed by Section 503A of the FDCA, and our NJ based outsourcing facility is governed by Section 503B of the FDCA.</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 In addition, during September 2020 through January 2021, NJOF was inspected by the FDA (the “2020 Inspection”) and certain observations were made by FDA in a Form</w:t>
      </w:r>
    </w:p>
    <w:p>
      <w:pPr>
        <w:spacing w:after="0" w:line="2"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Five observations made during the 2020 Inspection were considered repeat observations from a 2017 FDA inspection of NJOF. In addition, during the</w:t>
      </w:r>
    </w:p>
    <w:p>
      <w:pPr>
        <w:spacing w:after="0" w:line="32"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color w:val="auto"/>
        </w:rPr>
        <w:t>2020 Inspection, the FDA noted that we were compounding drugs for which there is no change that produces for an individual patient a clinical difference,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two recent California federal court decisions, </w:t>
      </w:r>
      <w:r>
        <w:rPr>
          <w:rFonts w:ascii="Arial" w:cs="Arial" w:eastAsia="Arial" w:hAnsi="Arial"/>
          <w:sz w:val="17"/>
          <w:szCs w:val="17"/>
          <w:i w:val="1"/>
          <w:iCs w:val="1"/>
          <w:color w:val="auto"/>
        </w:rPr>
        <w:t>Allergan USA, Inc. v. Prescribers Choice, Inc.</w:t>
      </w:r>
      <w:r>
        <w:rPr>
          <w:rFonts w:ascii="Arial" w:cs="Arial" w:eastAsia="Arial" w:hAnsi="Arial"/>
          <w:sz w:val="17"/>
          <w:szCs w:val="17"/>
          <w:color w:val="auto"/>
        </w:rPr>
        <w:t xml:space="preserve"> and </w:t>
      </w:r>
      <w:r>
        <w:rPr>
          <w:rFonts w:ascii="Arial" w:cs="Arial" w:eastAsia="Arial" w:hAnsi="Arial"/>
          <w:sz w:val="17"/>
          <w:szCs w:val="17"/>
          <w:i w:val="1"/>
          <w:iCs w:val="1"/>
          <w:color w:val="auto"/>
        </w:rPr>
        <w:t>Allergan USA, Inc. v. Imprimis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Inc., </w:t>
      </w:r>
      <w:r>
        <w:rPr>
          <w:rFonts w:ascii="Arial" w:cs="Arial" w:eastAsia="Arial" w:hAnsi="Arial"/>
          <w:sz w:val="17"/>
          <w:szCs w:val="17"/>
          <w:color w:val="auto"/>
        </w:rPr>
        <w:t>the Court made rulings which impact 503B and 503A facilities operating in and shipping to the state of California. In the</w:t>
      </w:r>
      <w:r>
        <w:rPr>
          <w:rFonts w:ascii="Arial" w:cs="Arial" w:eastAsia="Arial" w:hAnsi="Arial"/>
          <w:sz w:val="17"/>
          <w:szCs w:val="17"/>
          <w:i w:val="1"/>
          <w:iCs w:val="1"/>
          <w:color w:val="auto"/>
        </w:rPr>
        <w:t xml:space="preserve"> Prescribers Choice </w:t>
      </w:r>
      <w:r>
        <w:rPr>
          <w:rFonts w:ascii="Arial" w:cs="Arial" w:eastAsia="Arial" w:hAnsi="Arial"/>
          <w:sz w:val="17"/>
          <w:szCs w:val="17"/>
          <w:color w:val="auto"/>
        </w:rPr>
        <w:t>case, the Court determined that while the FDA’s interim policies do not override the statutory obligations of the DQSA, the Court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supported the FDA’s authority and flexibility as it determines what clinical needs exist and finalizes the bulk drug substances list. The Court would not hold a party liable under California’s Sherman Food, Drug and Cosmetic Law (“Sherman Law”) for selling, delivering, or giving away any new drug that has not been approved by the California Department of Health Services or FDA if that party has complied with the FDA’s Interim Policy. In other words, it is not unlawful in California to utilize bulk drugs appearing on the Category 1 list while the FDA finalizes its clinical needs list. In the </w:t>
      </w:r>
      <w:r>
        <w:rPr>
          <w:rFonts w:ascii="Arial" w:cs="Arial" w:eastAsia="Arial" w:hAnsi="Arial"/>
          <w:sz w:val="17"/>
          <w:szCs w:val="17"/>
          <w:i w:val="1"/>
          <w:iCs w:val="1"/>
          <w:color w:val="auto"/>
        </w:rPr>
        <w:t>Imprimis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w:t>
      </w:r>
      <w:r>
        <w:rPr>
          <w:rFonts w:ascii="Arial" w:cs="Arial" w:eastAsia="Arial" w:hAnsi="Arial"/>
          <w:sz w:val="17"/>
          <w:szCs w:val="17"/>
          <w:color w:val="auto"/>
        </w:rPr>
        <w:t>case, the Court made clear that its rulings related to violations of California’s Unfair Competition Law (“UCL”) (Cal. Bus. Prof. Code</w:t>
      </w:r>
      <w:r>
        <w:rPr>
          <w:rFonts w:ascii="Arial" w:cs="Arial" w:eastAsia="Arial" w:hAnsi="Arial"/>
          <w:sz w:val="17"/>
          <w:szCs w:val="17"/>
          <w:i w:val="1"/>
          <w:iCs w:val="1"/>
          <w:color w:val="auto"/>
        </w:rPr>
        <w:t xml:space="preserve"> </w:t>
      </w:r>
      <w:r>
        <w:rPr>
          <w:rFonts w:ascii="Arial" w:cs="Arial" w:eastAsia="Arial" w:hAnsi="Arial"/>
          <w:sz w:val="17"/>
          <w:szCs w:val="17"/>
          <w:color w:val="auto"/>
        </w:rPr>
        <w:t>§17200) were limited in geographical scope to drugs prepared in, dispensed from within or shipped to the State of California. With respect to 503A facilities, the Court followed FDA’s guidance allowing compounding pharmacies to ship more than 5% of its medications out of state while finalizing the MOUs. It further held that 503A facilities operating within or shipping into the state of California must follow statutory guidance found in 21 U.S.C. 353(a). With respect to the statutory guidance related to compounding in response to valid prescription orders, the Court added a requirement that the valid prescription order must contain language that “an FDA-approved drug is not medically appropriate.” The practical effect of these two rulings is that 503A and 503B facilities operating within or shipping drugs into the State of California now have clear guidance as to what is, and is not, lawful behavior with respect the California’s UCL and Sherman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Confidentiality, Privacy and HIPAA</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and certain other countries have enacted privacy and security laws that protect identifiable patient information that is not health-related. For example, California recently enacted the California Consumer Privacy Act, or CCPA, that creates new individual privacy rights for consumers and places increased privacy and security obligations on entities handling personal data of consumers or households. Effective January 1, 2020, the CCPA gives California residents expanded privacy rights and protections, and provides civil penalties for violations and a private right of action for data breaches. The CCPA will likely impact our business activities and exemplifies the vulnerability of our business to not only cyber threats but also the evolving regulatory environment related to personal data and protected health information. Other countries also have, or are developing, laws governing the collection, use and transmission of personal information, such as the General Data Protection Regulation (“GDPR”) in the European Union (the “EU”) that became effective in May 2018 and the Personal Information Protection and Electronic Documents Act that became effective in Canada in April 2000.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Medicaid Reimbursement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Medicare is a federally funded program that provides health insurance coverage for qualified persons age 65 or older and for some disabled persons with certain specific conditions. State-funded Medicaid programs provide medical benefits to groups of low-income and disabled individuals, some of whom may have inadequate or no medical insurance. Currently, most of our compounded formulations are sold in cash transactions, and the customers decide whether or not to seek reimbursement opportunities from Medicare, Medicaid and other third parties.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Care Reform Law may have a considerable impact on the existing U.S. system for the delivery and financing of health care and could conceivably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the extent we obtain third-party reimbursement for our compounded formulations, we may become subject to Medicare, Medicaid and other publicly financed health benefit plan regulations prohibiting kickbacks, beneficiary inducement and the submission of false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New Drug Application Process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discussed in other sections of this report, we are and may continue to, alone or with project partners, pursue FDA approval to market and sell one or more of our formulations through the FDA’s NDA process. 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pursue commercialization of our proprietary formulations in countries other than the United States,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Other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novel strain of coronavirus was first identified in Wuhan, China in December 2020.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response to the pandemic and business disruptions, first and foremost, we have prioritized the health and safety of our employees, customers, suppliers and others with whom we partner in our business activities. We have instructed employees to work from home when possible and to maintain recommended physical distancing when working in our facilities. We also have eliminated non-essential in-person contact with customers, suppliers and other third parties.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the Company’s customers use its drugs in procedures that were impacted by the CMS guidance to limit elective procedures. In addition, the Company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Given the unprecedented and dynamic nature of the COVID-19 pandemic, we cannot reasonably estimate the impacts it may have on our financial condition, results of operations or cash flows in the future. However, the reduction in elective procedures in response to CMS guidance has had a material adverse impact, on our revenues, profitability and cash flows, in particular during the second quarter of 2020. The extent and duration of future impact will depend upon the extent of procedure postponements, the duration of the pandemic and any resurgences of it, especially within certain geographies and states that have retained restrictive measures and social distancing policies. In May 2020 and the following months, some U.S. states and geographies began easing restrictions associated with the COVID-19 pandemic including those restrictions related to elective procedures, as restrictions were lifted in those areas there was a correlation with an increase in our revenues. Despite the recent resurgence of the COVID-19 pandemic in certain parts of the U.S., we are hopeful that the general trend of easing of restrictions will continue and sales of our products will return to historical norms and historical growth trends, as other states and governmental authorities continue to ease restrictions associated with elective procedures and the COVID-19 pandemic.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research and development expenses incurred in 2020 and 2019 primarily include expenses related to the development of intellectual property, researcher and investigator-initiated evaluations, and research and formulation development related primarily to our ophthalmic formulations and certain other assets, in addition to costs associated with our drug candidate development programs.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2020, we incurred $2,413,000 in research and development expenses, compared to $2,083,000 during the year ended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Beginning on January 1, 2019, the Company began evaluating performance of the Company based on operating segments. Segment performance for its two operating segments will be based on segment contribution. Our reportable segments consist of (i) our commercial stage pharmaceutical business (Pharmaceutical Compounding), generally including the operations of our ImprimisRx business; and (ii) our start-up operations associated with pharmaceutical drug development business (Pharmaceutical Drug Development). Segment contribution for our segments represents net revenues less cost of sales, research and development, selling and marketing expenses, and select general and administrative expenses. The Company does not evaluate the following items at the segment level:</w:t>
      </w:r>
    </w:p>
    <w:p>
      <w:pPr>
        <w:spacing w:after="0" w:line="192" w:lineRule="exact"/>
        <w:rPr>
          <w:sz w:val="20"/>
          <w:szCs w:val="20"/>
          <w:color w:val="auto"/>
        </w:rPr>
      </w:pPr>
    </w:p>
    <w:p>
      <w:pPr>
        <w:ind w:left="1300" w:right="2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general and administrative expenses that result from shared infrastructure, including certain expenses associated with legal matters, our board of directors and principal executive officers, investor relations and other like shared expenses;</w:t>
      </w:r>
    </w:p>
    <w:p>
      <w:pPr>
        <w:spacing w:after="0" w:line="170" w:lineRule="exact"/>
        <w:rPr>
          <w:rFonts w:ascii="Arial" w:cs="Arial" w:eastAsia="Arial" w:hAnsi="Arial"/>
          <w:sz w:val="18"/>
          <w:szCs w:val="18"/>
          <w:color w:val="auto"/>
        </w:rPr>
      </w:pPr>
    </w:p>
    <w:p>
      <w:pPr>
        <w:ind w:left="1300" w:hanging="320"/>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select revenues and operating expenses including R&amp;D expenses, amortization, and asset sales and impairments, net as not all such information has been accounted for at the segment level, or such information has not been used by all segments; and</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The Company defines segment net revenues as pharmaceutical compounded drug sales, revenues from licenses and other revenue derived from related agreements.</w:t>
      </w:r>
    </w:p>
    <w:p>
      <w:pPr>
        <w:spacing w:after="0" w:line="170"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See Note 18 to our consolidated financial statements included in this Annual Report for more information about our reportable segments.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1, 2021, we had 125 employees. Our employees are engaged in pharmacy operations, sales, marketing, research, development, and general and administrative functions. We expect to add additional employees in all departmental functions as we carry out our business plan in the next 12 months. We are not party to any collective bargaining agreements with any of our employees. We have never experienced a work stoppage, and we believe our employee relations are good. We hire independent contractor labor and consultants on an as-needed basis, our salesforce is comprised primarily of contract sales organizations and contract labor.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Acquisition and Retention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recognize that our employees largely contribute to our success. To this end, we support business growth by seeking to attract and retain best-in-class talent. Our talent acquisition team uses internal and external resources to recruit highly skilled candidates in the US. We believe that we continue to attract and retain superior talent as measured by our minimal turnover rate and a high employee service tenure.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Rewards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total rewards philosophy has been to create investment in our workforce by offering competitive compensation and benefits packages. We provide employees with compensation packages that include base salary, annual incentive bonuses, and long-term equity awards. We also offer comprehensive employee benefits, such as life, disability, and health insurance, health savings and flexible spending accounts, paid time off, and a 401(k) plan. It is our expressed intent to be an employer of choice in our industry by providing market-competitive compensation and benefits packages.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investments and the prioritization of employee health, safety, and wellness took on particular significance in 2020 in light of COVID-19. To protect and support our essential team members, we have implemented health and safety measures that included maximizing personal workspaces, changing shift schedules, providing personal protective equipment (PPE), and instituting screening before accessing buildings. In response to local stay-at-home orders and in alignment with CDC recommendations, we have limited our employees onsite in our office location based in San Diego, California. To aid in containing the spread of COVID-19, we have implemented remote-work options when appropriate and are limiting employee travel. We will continue to seek programs to educate and assist employees whenever possible.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686"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believe a diverse workforce is critical to our success. Our mission is to value differences in races, ethnicities, religions, nationalities, genders, ages, sexual orientations, as well as education, skill sets and experience. We are focused on inclusive hiring practices, fair and equitable treatment, organizational flexibility, and training and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in encouraging employees in becoming lifelong learners by providing ongoing learning, training and leadership opportunities. We provide our employees with a tuition reimbursement program, and in certain instances onsite training programs. While we strive to provide real-time recognition of employee performance, we have a formal annual review process not only to determine pay and equity adjustments tied to individual contributions, but to identify areas where training and development may be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summer of 2019, we relocated our executive office previously based in San Diego, California to its current location at 102 Woodmont Blvd., Suite 610, Nashville, Tennessee and our telephone number at such office is (615) 733-4730. Our website address is harrowinc.com. Information contained on our website is not deemed part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a variety of risks and uncertainties, including risks related to our financial position and need for additional capital, the commercialization of our product candidates, our operations, regulatory approval and other legal compliance matters, human capital, product development, intellectual property and our common stock, which could have a material adverse effect on our business results of operations, financial condition and prospects. Risks that we deem material are described under “Risk Factors” below and include, but are not limited to, the following:</w:t>
      </w:r>
    </w:p>
    <w:p>
      <w:pPr>
        <w:spacing w:after="0" w:line="17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profitability for our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market, commercialize, and sell current and future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adverse impact of health epidemics, including the recent coronavirus outbreak;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Securing and maintaining patent or other intellectual property protection for our products and related improvements;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compounded drugs and pharmacies;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research, develop and timely manufacture our current and future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regulations that burden operations or narrow the market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liabilities and reputation harm if our products give rise to defects, recalls, patient injury or death;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indebtedness and ability to access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customers and increase sales of current and future products;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marketing approval and ongoing expense associated with it for any of our drug candidates, including those we own royalty rights of;</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for manufacturing certain components and to conduct clinical trials;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enforce protect our intellectual property rights along with the potential of future legal proceedings filed against us claiming intellectual property infringement;</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Retention, recruitment, and training of senior management and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of the price of our common stock;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falling as a result of future offerings or sales.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Our business, financial condition, results of operations and stock price could be materially adversely affected by any of these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Until 2018, we incurred losses in every year of our operations, and we may not be profitable in the future.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Until 2018, we incurred losses in every year of our operations. As of December 31, 2020, our accumulated deficit was $(77,400,000). Our current projections indicate that we will have operating income and/or net income during 2021;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loan under the Paycheck Protection Program may not be forgiven or may subject us to challenges and investigations regarding qualification for the loan.</w:t>
      </w:r>
    </w:p>
    <w:p>
      <w:pPr>
        <w:spacing w:after="0" w:line="170" w:lineRule="exact"/>
        <w:rPr>
          <w:sz w:val="20"/>
          <w:szCs w:val="20"/>
          <w:color w:val="auto"/>
        </w:rPr>
      </w:pPr>
    </w:p>
    <w:p>
      <w:pPr>
        <w:jc w:val="both"/>
        <w:ind w:firstLine="635"/>
        <w:spacing w:after="0" w:line="273" w:lineRule="auto"/>
        <w:rPr>
          <w:sz w:val="20"/>
          <w:szCs w:val="20"/>
          <w:color w:val="auto"/>
        </w:rPr>
      </w:pPr>
      <w:r>
        <w:rPr>
          <w:rFonts w:ascii="Arial" w:cs="Arial" w:eastAsia="Arial" w:hAnsi="Arial"/>
          <w:sz w:val="17"/>
          <w:szCs w:val="17"/>
          <w:color w:val="auto"/>
        </w:rPr>
        <w:t>In April 2020, we entered into an unsecured promissory note and related Business Loan Agreement with Renasant Bank, as lender, for a loan (the “PPP Loan”), which was established under the Federal Coronavirus Aid, Relief, and Economic Security Act (the “CARES Act”) in the principal amount of $1,967,000. Pursuant to Section 1106 of the CARES Act, during the year ended December 31 ,2020, we applied for forgiveness for all of the PPP Loan, however as of the date of this Annual Report the U.S. Small Business Administration (the “SBA”) has not made a decision related to our application for forgiveness. Such forgiveness will be determined, subject to limitations, based on the use of the loan proceeds for qualifying expenses, which include payroll costs, rent, and utility costs over the allowable measurement period following receipt of the loan proceeds.</w:t>
      </w:r>
    </w:p>
    <w:p>
      <w:pPr>
        <w:spacing w:after="0" w:line="178"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The SBA continues to develop and issue new and updated guidance regarding the PPP Loan application and forgiveness process, including guidance regarding required borrower certifications and requirements for forgiveness of loans made under the program. Given the evolving nature of the guidance and depending upon our ability to use the loan proceeds for qualifying expenses, we cannot give any assurance that our PPP Loan will be forgiven in whole or in part.</w:t>
      </w:r>
    </w:p>
    <w:p>
      <w:pPr>
        <w:spacing w:after="0" w:line="187" w:lineRule="exact"/>
        <w:rPr>
          <w:sz w:val="20"/>
          <w:szCs w:val="20"/>
          <w:color w:val="auto"/>
        </w:rPr>
      </w:pPr>
    </w:p>
    <w:p>
      <w:pPr>
        <w:jc w:val="both"/>
        <w:ind w:firstLine="635"/>
        <w:spacing w:after="0" w:line="286" w:lineRule="auto"/>
        <w:rPr>
          <w:sz w:val="20"/>
          <w:szCs w:val="20"/>
          <w:color w:val="auto"/>
        </w:rPr>
      </w:pPr>
      <w:r>
        <w:rPr>
          <w:rFonts w:ascii="Arial" w:cs="Arial" w:eastAsia="Arial" w:hAnsi="Arial"/>
          <w:sz w:val="16"/>
          <w:szCs w:val="16"/>
          <w:color w:val="auto"/>
        </w:rPr>
        <w:t>Additionally, the PPP Loan application required us to certify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Paycheck Protection Program of the CARES Act, the certification described above does not contain any objective criteria and is subject to interpretation. In addition, the SBA has stated that it is unlikely that a public company with substantial market value and access to capital markets will be able to make the required certification in good faith. The lack of clarity regarding loan eligibility under the program has resulted in significant media coverage and controversy with respect to public companies applying for and receiving loans. If, despite our good faith belief that we satisfied all eligibility requirements for the PPP Loan, we are found to have been ineligible to receive the PPP Loan or in violation of any of the laws or regulations that apply to us in connection with the PPP Loan, including the False Claims Act, we may be subject to penalties, including significant civil, criminal and administrative penalties, and would be required to repay the PPP Loan. We were also required to make certain certifications in our application for forgiveness, which will be subject to audit and review by governmental entities and could subject us to significant penalties and liabilities if found to be inaccurate, including being required to repay the PPP loan. In addition, our receipt of the PPP Loan may result in adverse publicity and damage to our reputation, and a review or audit by the SBA or other government entity or claims under the False Claims Act could consume significant financial and management resources. Any of these events could materially harm our business, results of operations and financial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and corporate development opportunities since 2014,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 with SWK Funding LLC (“SWK”) contains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$59,000,000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254" w:gutter="0" w:footer="0" w:header="0"/>
        </w:sectPr>
      </w:pPr>
    </w:p>
    <w:bookmarkStart w:id="17" w:name="page18"/>
    <w:bookmarkEnd w:id="17"/>
    <w:p>
      <w:pPr>
        <w:jc w:val="both"/>
        <w:ind w:firstLine="648"/>
        <w:spacing w:after="0" w:line="275" w:lineRule="auto"/>
        <w:rPr>
          <w:sz w:val="20"/>
          <w:szCs w:val="20"/>
          <w:color w:val="auto"/>
        </w:rPr>
      </w:pPr>
      <w:r>
        <w:rPr>
          <w:rFonts w:ascii="Arial" w:cs="Arial" w:eastAsia="Arial" w:hAnsi="Arial"/>
          <w:sz w:val="17"/>
          <w:szCs w:val="17"/>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August 2017, the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We no longer compound curcumin emulsion products.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are taking steps to address the items outlined in the FDA letter. In June 2019, our outsourcing facility was issued a warning letter related to an April 2017 inspection and our use of certain active pharmaceutical ingredients in our compounded medications. During September 2020 through January 2021, our New Jersey based outsourcing facility was inspected by the FDA (the “2020 Inspection”) and certain observations were made by the FDA in a Form 483. Five observations made during the 2020 Inspection were considered repeat observations from a 2017 FDA inspection. In addition, during the 2020 Inspection, the FDA noted that we were compounding drugs for which there is no change that produces for an individual patient a clinical difference,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will continue to work and communicate with the FDA to assure that all allegations in the warning letters and 483s have been addressed. We believe, to date, we have addressed all of the material items of concern in the FDA’s 483, warning letters and those related to the MedWatch notification (and any other requirements observed by the FDA and noted to us), and we do not believe there will be any further action taken by the FDA in these matters. Nonetheless, these items increased further scrutiny and negative publicity on us as a company. As part of our commitment to actively work with regulators, at times, we have become aware of concerns related to certain formulations, and as a result, discontinued compounding certain drug formulations in an attempt to help mitigate potential regulatory risk. As a result of the MedWatch notice, warning letters and other regulatory notifications, some physicians may be hesitant to prescribe and some patients may be hesitant to purchase and use non-FDA-approved compounded formulations, particularly when an FDA-approved potential alternative is available. For other reasons, physicians may be unwilling to prescribe or patients may be unwilling to use our proprietary compounded formulations, including the following: legal prohibitions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i w:val="1"/>
          <w:iCs w:val="1"/>
          <w:color w:val="auto"/>
        </w:rPr>
        <w:t>There are many competitive risks related to marketing and selling our proprietary formulations and operating our compounding pharmacy business.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Care Reform Law may have a considerable impact on the existing U.S. system for the delivery and financing of health care and could conceivably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902"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COVID-19 pandemic has had an adverse effect on our business and results of operations and is expected to continue to have further adverse effects, which could be material, on our business, results of operations, financial condition, liquidity, and capital investments.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11, 2020, the World Health Organization declared the COVID-19 outbreak a global pandemic. The COVID-19 pandemic has negatively impacted the global economy, disrupted supply chains and created significant volatility in financial markets. We have implemented business policies intended to protect our employees from the spread of COVID-19. Those policies include employees working from home when possible and employees in our facilities increasing physical distancing.</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18, 2020, the Centers for Medicare &amp; Medicaid Services (“CMS”) released guidance for U.S. healthcare providers to limit all elective medical procedures in order to conserve personal protective equipment and limit exposure to COVID-19 during the pendency of the pandemic. Many of our customers use our products in procedures impacted by the guidance. In addition to limiting medical procedures, many hospitals and other healthcare providers have strictly limited access to their facilities during the pandemic. We cannot predict the duration or scope of the pandemic, actions that may be taken by governments and businesses in response to the pandemic, or the impacts of the pandemic on healthcare systems. The impacts of the pandemic may include, but are not limited to:</w:t>
      </w:r>
    </w:p>
    <w:p>
      <w:pPr>
        <w:spacing w:after="0" w:line="192" w:lineRule="exact"/>
        <w:rPr>
          <w:sz w:val="20"/>
          <w:szCs w:val="20"/>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revenues from our customers, including our major customers, whose products are impacted by CMS guidance to limit elective medical procedures;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Diminished ability or willingness of third parties to market, distribute and sell our products, due to reduced demand from, or lack of access to, healthcare facilities and providers;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Diminished ability, or inability, to complete clinical trials and other activities required to achieve regulatory clearance of our products under development due to lack of access to healthcare facilities, healthcare providers and patients;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Diminished or lost access to third party service providers that we use in our research and development or marketing efforts;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cash flow from our operations due to reductions in revenues or collections from our customers and increases in operating costs related to actions we have taken in response to the pandemic;</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business productivity due to inefficiencies in employees working from home or increasing physical distancing and other pandemic response protocols in our production facilities;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source sufficient components used in our products due to disruptions in supply chains;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Diminished ability to identify, evaluate and acquire, or effectively integrate, complementary businesses, products, materials or technologies due to travel restrictions, physical distancing protocols, and lack of access to third party service providers related to our development activities;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manufacturing capacity, which could lead to failures to meet product delivery commitments, or increased operating costs if one of our facilities were to experience a COVID-19 outbreak;</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assessing and securing intellectual property rights due to lack of access to, or delayed responsiveness of, third party service providers or governmental agencies;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Diminished ability to retain personnel over concerns about workplace exposure to COVID-19, or to hire and effectively train new personnel, due to physical distancing protocols;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 of goodwill or other assets due to reductions in the fair value of our reporting units.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and other factors relating to, or arising from, the pandemic could have material adverse effects on our business, results of operations, cash flows, financial condition, and capital investments. Actual or anticipated adverse effects on our cash flows or financial condition may lead us to seek additional funding.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We cannot be certain that additional funding will be available on acceptable terms, if at all. If we do not have, or are not able to obtain, sufficient funds, we may have to delay development or commercialization of our products or otherwise curtail our operations. Any of these events could materially harm our business and operating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jc w:val="both"/>
        <w:ind w:firstLine="506"/>
        <w:spacing w:after="0" w:line="273" w:lineRule="auto"/>
        <w:rPr>
          <w:sz w:val="20"/>
          <w:szCs w:val="20"/>
          <w:color w:val="auto"/>
        </w:rPr>
      </w:pPr>
      <w:r>
        <w:rPr>
          <w:rFonts w:ascii="Arial" w:cs="Arial" w:eastAsia="Arial" w:hAnsi="Arial"/>
          <w:sz w:val="17"/>
          <w:szCs w:val="17"/>
          <w:color w:val="auto"/>
        </w:rPr>
        <w:t>Our operations, and those of contract research organizations (or CROs), contractors and consultants, could be subject to power shortages, telecommunications failures, wildfires, water shortages, floods, earthquakes, hurricanes, typhoons, fires, extreme weather conditions, medical epidemics, such as the COVID-19 pandemic,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our contract manufacturers, or the contract manufacturers of our development partners, are affected by a man-made or natural disaster or other business interruption.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sell our proprietary formulations primarily through pharmaceutical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have two compounding facilities in New Jersey. We may plan to expand our pharmacy operations and personnel and develop our facilities into a unified group compounding pharmacy facilities. We have developed “ImprimisRx” as a uniform brand for our compounding facilities and ophthalmology focused pharmaceutical compounding business. We have limited experience acquiring, building or operating compounding pharmacies or other prescription dispensing facilities or commercializing our formulations through ownership of or licensing arrangements with pharmacies. In addition, as we have in the past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9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relation to expansion efforts;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achieve or maintain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For example, the CCPA became effective on January 1, 2020 and gave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clinical trials data, and HIPAA-protected health information, the law may increase our compliance costs and potential liability with respect to other personal information we collect about California residents. The CCPA has prompted a number of proposals for new federal and state privacy legislation. Other countries also have, or are developing, laws governing the collection, use and transmission of personal information, such as the GDPR in the EU that became effective in May 2018 and the Personal Information Protection and Electronic Documents Act that became effective in Canada in April 2000. We anticipate that over time we may expand our business to include operations outside of the United States. With such expansion, we would be subject to increased governmental regulation in the EU countries in which we might operate, including the GDPR. These laws and similar laws adopted in the future could increase our potential liability, increase our compliance costs and adversely affect our business.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jc w:val="both"/>
        <w:ind w:firstLine="506"/>
        <w:spacing w:after="0" w:line="270" w:lineRule="auto"/>
        <w:rPr>
          <w:sz w:val="20"/>
          <w:szCs w:val="20"/>
          <w:color w:val="auto"/>
        </w:rPr>
      </w:pPr>
      <w:r>
        <w:rPr>
          <w:rFonts w:ascii="Arial" w:cs="Arial" w:eastAsia="Arial" w:hAnsi="Arial"/>
          <w:sz w:val="17"/>
          <w:szCs w:val="17"/>
          <w:color w:val="auto"/>
        </w:rPr>
        <w:t>From time to time, including recently as a result of the COVID-19 pandemic,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118" w:gutter="0" w:footer="0" w:header="0"/>
        </w:sectPr>
      </w:pPr>
    </w:p>
    <w:bookmarkStart w:id="22" w:name="page23"/>
    <w:bookmarkEnd w:id="22"/>
    <w:p>
      <w:pPr>
        <w:jc w:val="both"/>
        <w:ind w:firstLine="648"/>
        <w:spacing w:after="0" w:line="290" w:lineRule="auto"/>
        <w:rPr>
          <w:sz w:val="20"/>
          <w:szCs w:val="20"/>
          <w:color w:val="auto"/>
        </w:rPr>
      </w:pPr>
      <w:r>
        <w:rPr>
          <w:rFonts w:ascii="Arial" w:cs="Arial" w:eastAsia="Arial" w:hAnsi="Arial"/>
          <w:sz w:val="16"/>
          <w:szCs w:val="16"/>
          <w:color w:val="auto"/>
        </w:rPr>
        <w:t>Our pharmacy business is impacted by federal and state laws and regulations governing the following: the purchase, distribution, management, compounding, dispensing, reimbursement, marketing and labeling of prescription drugs and related services including: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27, 2020, the FDA announced availability of a final Memorandum of Understanding, Addressing Certain Distributions of Compounded Human Drug Products Between the State Board of Pharmacy or Other Appropriate State Agency and the Food and Drug Administration (the “MOU”). The MOU describes the responsibilities of a state board of pharmacy, or other appropriate state agency that chooses to sign the MOU, in investigating and responding to complaints related to drug products compounded in such state and distributed outside such state and in addressing the interstate distribution of inordinate amounts of compounded human drug products. Additionally, as part of the MOU, FDA refined the definition of “inordinate amount,” a threshold for certain information identification and sharing which does not place a limit on the distribution of compounded human drug products interstate by a pharmacy located in a state that has entered into the MOU. Section 503A of the FDCA sets a five percent limit on compounded drugs distributed outside the state by a pharmacist, pharmacy or physician located in a state that has not entered into the MOU.</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States have 365 days to sign the MOU, before the FDA intends to enforce the five percent limit described in Section 503A of the FDCA in states that have not signed the MOU. Our pharmacy is based in the state of New Jersey, and we believe the state board of pharmacy in New Jersey will sign the MOU and as a result, our operations will not be materially affected by the MOU. In the event New Jersey does not sign the MOU, our pharmacy that operates under Section 503A may be materially affected, and we will transition as many prescription orders as possible to our outsourcing facility, which is not subject to the MOU.</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one of our pharmacies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one of our pharmacies, or one with which we may partner, is found not to comply with state pharmacy and controlled substance laws and regulations, the pharmacy could be required to cease operations or become subject to burdensome restrictions and limitations on its business. For example, in March 2018, the California Board of Pharmacy filed an accusation against our subsidiary Park related to a compounded formulation we believe was legally dispensed and was, without our knowledge, inappropriately administered to a patient unknown to us, by the prescribing healthcare professionals. While we dispute all claims against Park, we did enter into a settlement agreement with the California Board of Pharmacy and surrendered Park’s pharmacy license and ceased its sterile compounding operations. We have transferred approximately half of Park’s business to our New Jersey based pharmacy. Although we distribute our proprietary formulations through other compounding pharmacies, and not solely through Park, the loss of Park’s ability to compound sterile formulations could have an adverse impact on our ability to implement our business plan in a timely manner.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 Additionally, the permanent injunction entered on July 22, 2019, by the United States District Court of the Central District of California in the Allergan litigation (also referenced in Item. 3 Legal Proceedings), enjoins the Company from engaging in activities that are inconsistent with current FDA guidelines for 503A and 503B operations. While the Company believes its operations fully comply with the injunction, if the Court were to find the Company to be in violation of the injunction, further sanctions including fines and limitations on the pharmacies’ operations could occur.</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seek FDA approval to market and sell any of our proprietary formulations, such as drug candidates that we have royalty interests in that are being developed by Melt and Surface, we may be unable to demonstrate the necessary safety and efficacy to obtain such FDA approval.</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We recently have, and in the future may, alone or with project partners,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Human Capital Matters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our Chief Executive Officer, Mark L. Baum, and other key persons for the continued growth and development of our Company.</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the President of ImprimisRx, John P. Saharek.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 In addition, any staffing interruptions resulting from geopolitical actions, including war and terrorism, adverse public health developments such as the outbreak of the COVID-19 novel coronavirus, or natural disasters including earthquakes, typhoons, floods and fires, could have a material adverse effect on our business.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drug candidates are in the early stages of clinical development. We do not generate revenues from any FDA-approved drug products. We expect to submit an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any required regulatory approvals for our drug candidates, we will not be able to commercialize our drug candidate and our ability to generate revenue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(the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Excluding any activities through our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willingness of patients to pay out-of-pocket in the absence of third-party coverage or reimbursement or government pricing approvals.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254" w:gutter="0" w:footer="0" w:header="0"/>
        </w:sectPr>
      </w:pPr>
    </w:p>
    <w:bookmarkStart w:id="28" w:name="page29"/>
    <w:bookmarkEnd w:id="28"/>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4"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United States, the Medicare Modernization Act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NDAs for drugs containing the original active agent. Even if our drug candidates are considered to be reference products eligible for three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4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existing and potential products. Any business interruptions resulting from geopolitical actions, including war and terrorism, adverse public health developments such as the outbreak of the COVID-19 coronavirus, or natural disasters including earthquakes, typhoons, floods and fires, could affect our supply chain.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firstLine="648"/>
        <w:spacing w:after="0" w:line="287" w:lineRule="auto"/>
        <w:rPr>
          <w:sz w:val="20"/>
          <w:szCs w:val="20"/>
          <w:color w:val="auto"/>
        </w:rPr>
      </w:pPr>
      <w:r>
        <w:rPr>
          <w:rFonts w:ascii="Arial" w:cs="Arial" w:eastAsia="Arial" w:hAnsi="Arial"/>
          <w:sz w:val="16"/>
          <w:szCs w:val="16"/>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discussed in Item 9A of this Annual Report, our management concluded that our internal controls over financial reporting were effective as of December 31, 2020.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contractual restrictions, such as those contained in our SWK loan agreement,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lease approximately 10,200 square feet of office space in San Diego, California, the current lease term for which expires on December 31, 2021 and includes an option to extend the lease through December 31, 2026. This office generally supports the sales, general and administrative functions of ImprimisRx.</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lease approximately 26,400 square feet of lab, warehouse and office space in Ledgewood, New Jersey, in two separate suites. The current lease term expires on July 31, 2026 and includes options to extend the lease term through 2036. This space serves as an outsourcing facility and pharmacy for ImprimisRx.</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5,500 square feet of office space in Nashville, Tennessee. The current lease term expires on December 31, 2024 and includes options to extend the lease term through 2034. This office serves as our corporate headquarters.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additional space will be required in the near-term.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this Annual Report for information on various legal proceedings,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“HROW”.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1, 2021, there were approximately 96 stockholders of record (excluding an indeterminable number of stockholders whose shares are held in street or “nominee” name)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not paid any dividends on our common stock since our inception and do not expect to pay dividends on our common stock in the foreseeable future. Further, our SWK loan agreement, described in Note 12 to our consolidated financial statements included in this Annual Report, restricts our ability to pay cash dividends on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equity securities during the period covered by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the related notes contained in this annual report on Form 10-K (Annual Report). Our consolidated financial statements have been prepared and, unless otherwise stated, the information derived therefrom as presented in this discussion and analysis is presented, in accordance with accounting principles generally accepted in the United States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As used in this discussion and analysis, unless the context indicates otherwise, the terms the “Company,” “Harrow” “we,” “us” and “our” refer to Harrow Health, Inc. and its consolidated subsidiaries, consisting of Imprimis Rx NJ, LLC, Imprimis NJOF, LLC, ImprimisRx, LLC, Radley Pharmaceuticals, Inc., Stowe Pharmaceuticals, Inc. and Mayfield Pharmaceuticals,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specializes in the development, production and sale of innovative medications that offer unique competitive advantages and serve unmet needs in the marketplace through our subsidiaries and deconsolidated companies. We own and operate one of the nation’s leading ophthalmic pharmaceutical businesses, ImprimisRx. In addition to wholly-owning ImprimisRx, we also have non-controlling equity positions in Eton Pharmaceuticals, Inc. (“Eton”), Surface Ophthalmics, Inc. (“Surface”), and Melt Pharmaceuticals, Inc. (“Melt”), all companies that began as subsidiaries of Harrow. We also recently launched a new business called Visionology and are exploring opportunities to launch other subsidiaries. We own royalty rights in various drug candidates being developed by Surface and Melt. We intend to continue to create and hold equity and royalty rights in new businesses that commercialize drug candidates that are internally developed or otherwise acquired or licensed from third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ophthalmic focused prescription pharmaceutical business. We offer to over 9,000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FDA guidance documents, in our FDA-registered New Jersey Outsourcing Facility (“NJOF”).</w:t>
      </w:r>
    </w:p>
    <w:p>
      <w:pPr>
        <w:spacing w:after="0" w:line="17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On August 1, 2020, ImprimisRx entered into a Commercial Alliance Agreement (the “Dexycu Agreement”) with Eyepoint Pharmaceuticals, Inc. (“Eyepoint”), pursuant to which Eyepoint granted ImprimisRx the non-exclusive right to co-promote 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pays ImprimisRx a fee that is calculated based on the quarterly sales of DEXCYU in excess of predefined volumes to specific customers of ImprimisRx in the U.S.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acquire and/or develop additional FDA-approved ophthalmic drugs that allow us to leverage the commercial infrastructure of ImprimisRx to promote, sell, and ultimately bring these products to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Visionology is a membership-based online eye health and medication platform. Visionology leverages our experience in the ophthalmic pharmaceutical business, our relationships with eyecare professionals across the United States, and our expertise in developing and deploying telemedicine software. We recently launched a proof-of-concept for Visionology in certain states in the southeast area of the U.S. If successful, we expect Visionology will expand access to the Visionology service later in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medical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and transparent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operate two compounding facilities located in Ledgewood, New Jersey. Our New Jersey operations are comprised of two separate entities and facilities, one of which is registered with the FDA as an outsourcing facility under Section 503B of the FDCA. The other New Jersey facility (“RxNJ”), is a licensed pharmacy operating under Section 503A of the FDCA. All products that we sell, produce and dispense are made in the United States.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production related redundancy, and distribution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ownership interests in Eton, Surface and Melt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and 2019, we formed and created subsidiaries named Radley Pharmaceuticals, Inc. (“Radley”), Mayfield Pharmaceuticals, Inc. (“Mayfield”) and Stowe Pharmaceuticals, Inc. (“Stowe”). In addition, we may create additional subsidiaries that will be focused on the development and FDA approval of certain proprietary drug formulations that we currently own, will in-license/acquire and/or otherwise develop, we expect any new subsidiaries to be focused on eye 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De-Consolidated Businesses (Noncontrolling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Ophthalmics,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Surface is a clinical-stage pharmaceutical company focused on development and commercialization of innovative therapeutics for ocular surface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January 2021, Surface announced positive top-line results from a phase 2 trial of its drug candidate SURF-201, a 0.2% betamethasone, preservative-free ophthalmic solution in the Klarity delivery vehicle for the treatment of post cataract surgery pain and inflammation. According to the Surface, SURF-201 was dosed twice daily, and met its primary endpoints of absence of inflammation at both Day 8 and Day 15 and was found to be safe and well-tolerated by the patient group. In addition, a secondary endpoint showed almost 90% of patients given SURF-201 were pain free at Day 15. SURF-201 marks the first ophthalmic therapeutic in the United States to utilize betamethasone as well as being the first preservative-free unit dose therapy for the treatment of post-operative pain and inflammation.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Also in January 2021, Surface announced the first patient dosed in a head-to-head phase 2 trial for its drug candidate SURF-100 (mycophenolate sodium and betamethasone in Klarity vehicle) for the treatment of chronic dry eye disease. The head-to-head study will compare SURF-100 against two leading on-market competitors lifitegrast ophthalmic solution 5% and cyclosporine ophthalmic emulsion 0.05%.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In February 2021, Surface announced the first patient dosed in a phase 2 trial for its drug candidate SURF-200 (betamethasone in Klarity vehicle) for the treatment of episodic dry eye flares. The dose ranging study for SURF-200 will be administered in two different low concentration formulations of betamethasone in the Klarity vehicle. The trial will enroll 120 to 140 patients with a primary endpoint of Symptom Improvement of one unit based on the University of North Carolina Dry Eye Management Scale by the eighth day.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2018, Surface closed on an offering of its Series A Preferred Stock. At that time, we lost our controlling interest and deconsolidated Surface from our consolidated financial statements. We own 3,500,000 shares of Surface which is approximately 30% of the equity and voting interests as of December 31, 2020. Harrow owns mid-single digit royalty rights on net sales of SURF-100, SURF-200 and SURF-201. We expect Surface to complete another round of financing within the next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MELT-100 is a novel, sublingually delivered, non-IV, opioid-free drug candidate being developed for procedural sedation. Melt filed an IND in June 2020 and began its clinical program for MELT-100. In February 2021, Melt announced data from, and successful completion of, its phase 1 study. Melt expects to begin its phase 2 study for MELT-100 in the second half of 2021.</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2019, Melt closed an offering of its Series A Preferred Stock. At that time, we lost our controlling interest and deconsolidated Melt from our consolidated financial statements. We own 3,500,000 shares of Melt common stock, which was approximately 44% of the equity and voting interests issued and outstanding, as of December 31, 2020. We expect Melt to complete another round of financing within the next twelve months. Pursuant to the terms of the Melt Asset Purchase Agreement, Melt is required to make mid-single digit royalty payments to the Company on net sales of MELT-100, while any patent rights remain outstanding, subject to other conditions. Melt can require the Company to cease compounding like products at the time of FDA approval of MELT-100. If approved, we do not expect a cessation of compounding like products to have a material impact on our operations and financial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Eton is a commercial-stage pharmaceutical company focused on developing and commercializing innovative drug products. Its pipeline includes several products and drug candidates in various stages of development across a variety of dosage forms. In May 2017, Eton closed an offering of its Series A Preferred Stock. At that time, we lost our controlling interest and deconsolidated Eton from our consolidated financial statements. In November 2019, Eton completed an initial public offering of its common stock. We own 3,500,000 shares of Eton common stock, which was less than 20% of the equity and voting interests issued and outstanding of Eton as of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Businesses (Controlling Equity Interests)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Mayfield, Stowe and Radley are consolidated subsidiaries of Harrow. Mayfield is a development-stage pharmaceutical company focused on developing urology related drug candidates. Stowe is focused on the development of proprietary ophthalmic drug candidates. Radley is a development-stage pharmaceutical company that has been focused on the development of proprietary drug candidates focused on rare diseases. Recently, and as part of our strategic focus within eyecare, we discontinued nearly all of the activities related to Mayfield, Stowe and Radley, and may not resume those activities in the near term.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control over 50% of the equity and voting interests issued and outstanding of Mayfield, Stowe and Radley as of the date of this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describes certain developments in 2020 to date that are important to understand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our consolidated financial statements included in this report for additional information about each of these developments.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novel strain of coronavirus was first identified in Wuhan, China in December 2020.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response to the pandemic and business disruptions, first and foremost, we have prioritized the health and safety of our employees, customers, suppliers and others with whom we partner in our business activities. We have instructed employees to work from home when possible and to maintain recommended physical distancing when working in our facilities. We also have eliminated non-essential in-person contact with customers, suppliers and other third parties.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the Company’s customers use its drugs in procedures that were impacted by the CMS guidance to limit elective procedures. In addition, the Company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Given the unprecedented and dynamic nature of the COVID-19 pandemic, we cannot reasonably estimate the impacts it may have on our financial condition, results of operations or cash flows in the future. However, the reduction in elective procedures in response to CMS guidance has had a material adverse impact, on our revenues, profitability and cash flows, in particular during the second quarter of 2020. The extent and duration of that impact will depend upon the extent of procedure postponements, the duration of the pandemic and any resurgences of it, especially within certain geographies and states that have retained restrictive measures and social distancing policies. In May 2020, some U.S. states and geographies began easing restrictions associated with the COVID-19 pandemic including those restrictions related to elective procedures, as restrictions were lifted in those areas there was a correlation with an increase in our revenues. Despite the recent resurgence of the COVID-19 pandemic in certain parts of the U.S., we are hopeful that the general trend of easing of restrictions will continue, and sales of our products will return to historical norms and historical growth trends, as other states and governmental authorities continue to ease restrictions associated with elective procedures and the COVID-19 pandemic. Assuming the strictest of lockdown scenarios are avoided, we believe we have sufficient liquidity resources to sustain our planned level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SWK Amendment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April 2020, the Company and several of its wholly-owned subsidiaries entered into a second amendment (the “SWK Amendment”) to the term loan and security agreement dated as of July 19, 2017, as amended (the “SWK Loan”), with SWK Funding LLC, as lender and collateral agent, and certain other lenders (collectively, “SWK”). A summary of the material changes contained in the SWK Amendment are as follows: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●SWK agreed to make available to the Company, and the Company drew down on, an additional principal amount of $1,000,000;</w:t>
      </w:r>
    </w:p>
    <w:p>
      <w:pPr>
        <w:spacing w:after="0" w:line="225" w:lineRule="exact"/>
        <w:rPr>
          <w:sz w:val="20"/>
          <w:szCs w:val="20"/>
          <w:color w:val="auto"/>
        </w:rPr>
      </w:pPr>
    </w:p>
    <w:p>
      <w:pPr>
        <w:ind w:left="780" w:right="20" w:hanging="120"/>
        <w:spacing w:after="0" w:line="277" w:lineRule="auto"/>
        <w:rPr>
          <w:sz w:val="20"/>
          <w:szCs w:val="20"/>
          <w:color w:val="auto"/>
        </w:rPr>
      </w:pPr>
      <w:r>
        <w:rPr>
          <w:rFonts w:ascii="Arial" w:cs="Arial" w:eastAsia="Arial" w:hAnsi="Arial"/>
          <w:sz w:val="18"/>
          <w:szCs w:val="18"/>
          <w:color w:val="auto"/>
        </w:rPr>
        <w:t>●The definition of the first amortization date was changed to August 14, 2020, permitting the Company to pay interest only on the principal amount loaned for the next payment (payments are due on a quarterly basis) following the SWK Amendment; and</w:t>
      </w:r>
    </w:p>
    <w:p>
      <w:pPr>
        <w:spacing w:after="0" w:line="170" w:lineRule="exact"/>
        <w:rPr>
          <w:sz w:val="20"/>
          <w:szCs w:val="20"/>
          <w:color w:val="auto"/>
        </w:rPr>
      </w:pPr>
    </w:p>
    <w:p>
      <w:pPr>
        <w:ind w:left="780" w:hanging="120"/>
        <w:spacing w:after="0" w:line="277" w:lineRule="auto"/>
        <w:rPr>
          <w:sz w:val="20"/>
          <w:szCs w:val="20"/>
          <w:color w:val="auto"/>
        </w:rPr>
      </w:pPr>
      <w:r>
        <w:rPr>
          <w:rFonts w:ascii="Arial" w:cs="Arial" w:eastAsia="Arial" w:hAnsi="Arial"/>
          <w:sz w:val="18"/>
          <w:szCs w:val="18"/>
          <w:color w:val="auto"/>
        </w:rPr>
        <w:t>●The interest payment due May 14, 2020 will be paid in-kind by increasing the principal amount of the term loans by an amount equal to the interest that has accrued.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2020, we entered into the PPP Loan with Renasant Bank in the principal amount of $1,967,100 and received cash proceeds of the same amount, pursuant to the PPP under the CARES Act, which was enacted March 27, 2020. The PPP is administered by the SBA.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PPP Loan, interest accrues on the outstanding principal at the rate of 1.0% per annum. The term of the PPP Loan is two years, unless payment is sooner required in connection with an event of default under the PPP Loan. To the extent the PPP Loan amount is not forgiven under the PPP, the Company is obligated to make equal monthly payments of principal and interest, beginning seven months from the date of the PPP Loan, until the maturity date.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applied for forgiveness for all of the PPP Loan during the year ended December 31, 2020, however as of the date of this Annual Report the SBA has not made a decision related to the Company’s application for forgiveness. The amount of loan proceeds eligible for forgiveness is based on a formula that takes into account a number of factors, including the amount of loan proceeds used by us during the twenty-four-week period after the loan origination for certain purposes including payroll costs, interest on certain mortgage obligations, rent payments on certain leases, and certain qualified utility payments (it being anticipated that at least 75% of the loan amount will be required to be used for eligible payroll costs); the employer maintaining or rehiring employees and maintaining salaries at certain levels; and other factors. Subject to the other requirements and limitations on loan forgiveness, only loan proceeds spent on payroll and other eligible expenses during the covered twenty-four-week period will qualify for forgiveness. While we used proceeds from the PPP Loan for such qualifying expenses, in particular maintaining continuity of our payroll and workforce (including staff critical to the timely production and dispensing of medicines we make), no assurance can be provided that we will obtain forgiveness of the PPP Loan in whole or in part.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Eyepoint Commercial Alliance Agreement</w:t>
      </w:r>
    </w:p>
    <w:p>
      <w:pPr>
        <w:spacing w:after="0" w:line="2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August 1, 2020, our wholly owned subsidiary ImprimisRx entered into a Commercial Alliance Agreement (the “Dexycu Agreement”) with Eyepoint Pharmaceuticals, Inc. (“Eyepoint”), pursuant to which Eyepoint granted ImprimisRx the non-exclusive right to co-promote 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will pay ImprimisRx a fee calculated based on the quarterly sales of DEXCYU in excess of predefined volumes to specific customers of ImprimisRx in the U.S. Under the terms of the Dexycu Agreement, ImprimisRx shall use commercially reasonable efforts to promote and market DEXCYU in the U.S.</w:t>
      </w:r>
    </w:p>
    <w:p>
      <w:pPr>
        <w:spacing w:after="0" w:line="20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early termination, the Dexycu Agreement expires on August 1, 2025. Subject to specified notice periods and specified limitations, either party may terminate the Dexycu Agreement in the event of (i) uncured material breach by the other party or (ii) if DEXCYU ceases to have “pass-through” payment status. In addition, subject to certain limitations, ImprimisRx may terminate the Dexycu Agreement (i) for convenience subject to an extended specified notice period or (ii) in the event Eyepoint undergoes a change of control. Eyepoint may terminate the Dexycu Agreement, subject to specified notice periods and specified limitations, if ImprimisRx fails to achieve certain minimum sales levels during specified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period-to-period comparisons of our financial results are not necessarily indicative of results for any future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and non-proprietary pharmaceutical compounded drug formulations and revenues received from royalty and milestone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72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Year Ended December 31,</w:t>
            </w:r>
          </w:p>
        </w:tc>
        <w:tc>
          <w:tcPr>
            <w:tcW w:w="300" w:type="dxa"/>
            <w:vAlign w:val="bottom"/>
          </w:tcPr>
          <w:p>
            <w:pPr>
              <w:spacing w:after="0"/>
              <w:rPr>
                <w:sz w:val="22"/>
                <w:szCs w:val="22"/>
                <w:color w:val="auto"/>
              </w:rPr>
            </w:pPr>
          </w:p>
        </w:tc>
        <w:tc>
          <w:tcPr>
            <w:tcW w:w="138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r>
      <w:tr>
        <w:trPr>
          <w:trHeight w:val="223"/>
        </w:trPr>
        <w:tc>
          <w:tcPr>
            <w:tcW w:w="5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48,479,000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51,137,000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Other revenues</w:t>
            </w:r>
          </w:p>
        </w:tc>
        <w:tc>
          <w:tcPr>
            <w:tcW w:w="340" w:type="dxa"/>
            <w:vAlign w:val="bottom"/>
          </w:tcPr>
          <w:p>
            <w:pPr>
              <w:spacing w:after="0"/>
              <w:rPr>
                <w:sz w:val="19"/>
                <w:szCs w:val="19"/>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392,000</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28,000</w:t>
            </w:r>
          </w:p>
        </w:tc>
        <w:tc>
          <w:tcPr>
            <w:tcW w:w="300" w:type="dxa"/>
            <w:vAlign w:val="bottom"/>
          </w:tcPr>
          <w:p>
            <w:pPr>
              <w:spacing w:after="0"/>
              <w:rPr>
                <w:sz w:val="19"/>
                <w:szCs w:val="19"/>
                <w:color w:val="auto"/>
              </w:rPr>
            </w:pPr>
          </w:p>
        </w:tc>
        <w:tc>
          <w:tcPr>
            <w:tcW w:w="1480" w:type="dxa"/>
            <w:vAlign w:val="bottom"/>
            <w:gridSpan w:val="2"/>
          </w:tcPr>
          <w:p>
            <w:pPr>
              <w:jc w:val="right"/>
              <w:ind w:right="21"/>
              <w:spacing w:after="0"/>
              <w:rPr>
                <w:sz w:val="20"/>
                <w:szCs w:val="20"/>
                <w:color w:val="auto"/>
              </w:rPr>
            </w:pPr>
            <w:r>
              <w:rPr>
                <w:rFonts w:ascii="Arial" w:cs="Arial" w:eastAsia="Arial" w:hAnsi="Arial"/>
                <w:sz w:val="18"/>
                <w:szCs w:val="18"/>
                <w:color w:val="auto"/>
              </w:rPr>
              <w:t>364,000</w:t>
            </w:r>
          </w:p>
        </w:tc>
      </w:tr>
      <w:tr>
        <w:trPr>
          <w:trHeight w:val="216"/>
        </w:trPr>
        <w:tc>
          <w:tcPr>
            <w:tcW w:w="5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48,871,000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51,165,000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revenue between periods was largely attributable to the COVID-19 pandemic and CMS guidance to limit elective procedures during parts of the first and second quarters of 2020. Net revenues generated from our New Jersey based outsourcing facility (“NJOF”) totaled $32,949,000 for the year ended December 31, 2020, compared to $33,240,000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0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Year Ended December 31,</w:t>
            </w:r>
          </w:p>
        </w:tc>
        <w:tc>
          <w:tcPr>
            <w:tcW w:w="200" w:type="dxa"/>
            <w:vAlign w:val="bottom"/>
          </w:tcPr>
          <w:p>
            <w:pPr>
              <w:spacing w:after="0"/>
              <w:rPr>
                <w:sz w:val="22"/>
                <w:szCs w:val="22"/>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r>
      <w:tr>
        <w:trPr>
          <w:trHeight w:val="236"/>
        </w:trPr>
        <w:tc>
          <w:tcPr>
            <w:tcW w:w="4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3"/>
              </w:rPr>
              <w:t>Variance</w:t>
            </w: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16,749,000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our cost of sales between periods was largely due to a decrease in unit volumes sold impacted by the COVID-19 pandemic, partially offset by continued improved utilization of capacity at our compounding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6"/>
          </w:tcPr>
          <w:p>
            <w:pPr>
              <w:jc w:val="right"/>
              <w:ind w:right="450"/>
              <w:spacing w:after="0"/>
              <w:rPr>
                <w:sz w:val="20"/>
                <w:szCs w:val="20"/>
                <w:color w:val="auto"/>
              </w:rPr>
            </w:pPr>
            <w:r>
              <w:rPr>
                <w:rFonts w:ascii="Arial" w:cs="Arial" w:eastAsia="Arial" w:hAnsi="Arial"/>
                <w:sz w:val="18"/>
                <w:szCs w:val="18"/>
                <w:b w:val="1"/>
                <w:bCs w:val="1"/>
                <w:color w:val="auto"/>
                <w:w w:val="92"/>
              </w:rPr>
              <w:t>For the Year Ended December 31,</w:t>
            </w:r>
          </w:p>
        </w:tc>
        <w:tc>
          <w:tcPr>
            <w:tcW w:w="220" w:type="dxa"/>
            <w:vAlign w:val="bottom"/>
          </w:tcPr>
          <w:p>
            <w:pPr>
              <w:spacing w:after="0"/>
              <w:rPr>
                <w:sz w:val="24"/>
                <w:szCs w:val="24"/>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9"/>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34,416,000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70.4</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67.3</w:t>
            </w:r>
          </w:p>
        </w:tc>
        <w:tc>
          <w:tcPr>
            <w:tcW w:w="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gross margin between periods is largely attributable to increased utilization of capacities as a result of increased output, in particular, at NJOF and increased per unit sales prices. We estimate gross margins at NJOF were greater than 71% during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0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Year Ended December 31,</w:t>
            </w:r>
          </w:p>
        </w:tc>
        <w:tc>
          <w:tcPr>
            <w:tcW w:w="200" w:type="dxa"/>
            <w:vAlign w:val="bottom"/>
          </w:tcPr>
          <w:p>
            <w:pPr>
              <w:spacing w:after="0"/>
              <w:rPr>
                <w:sz w:val="22"/>
                <w:szCs w:val="22"/>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r>
      <w:tr>
        <w:trPr>
          <w:trHeight w:val="237"/>
        </w:trPr>
        <w:tc>
          <w:tcPr>
            <w:tcW w:w="4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3"/>
              </w:rPr>
              <w:t>Variance</w:t>
            </w: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31,247,000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33,088,000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selling, general and administrative expenses between periods was largely attributable to decreased legal expenses incurred associated with certain litigation matters that concluded during 2019, and certain expenses that are correlated with our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0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Year Ended December 31,</w:t>
            </w:r>
          </w:p>
        </w:tc>
        <w:tc>
          <w:tcPr>
            <w:tcW w:w="200" w:type="dxa"/>
            <w:vAlign w:val="bottom"/>
          </w:tcPr>
          <w:p>
            <w:pPr>
              <w:spacing w:after="0"/>
              <w:rPr>
                <w:sz w:val="22"/>
                <w:szCs w:val="22"/>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r>
      <w:tr>
        <w:trPr>
          <w:trHeight w:val="236"/>
        </w:trPr>
        <w:tc>
          <w:tcPr>
            <w:tcW w:w="4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Variance</w:t>
            </w: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research and development expenses between periods was primarily attributable to the increase in formulation development studies with our ImprimisRx subsidiary and the clinical development programs for our subsidiaries Radley, Mayfield and Stowe that occurred during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2020, we recorded a loss of $363,000 related to the impairment of patents and patent applications. During the year ended December 31, 2019, we recorded a loss of $4,040,000 related to the impairment and disposal of long-lived assets. Of these costs $3,781,000 were related to the Park Restructuring and $259,000 of these expenses were related to the impairment of patents and patent applications related to a terminated asset purchase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net was $2,236,000 for the year ended December 31, 2020 compared to $2,500,000 in 2019. The decrease during the year ended December 31, 2020 compared to 2019 was primarily due to interest expense recognition related to a decrease in the amortization of our finance lease obligations and reduction of the principal balance of our term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Melt, net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December 31, 2020, we recorded a loss of $2,313,000 for our share of losses based on our ownership of Melt. During the year ended December 31, 2019, we recorded a net gain of $3,968,000 related to our investment in Melt. In 2019, we recorded a gain of $5,810,000 for the deconsolidation of Melt, and a loss of $(1,842,000) for our share of losses based on our ownership of Melt after its deconsolidation. We began using the equity method accounting for our investment in Melt beginning on January 30, 2019, the date we no longer had a controlling interest. Prior to that date, Melt’s losses were consolidated within our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Investment Loss from Surface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2020, we recorded a loss of $2,433,000 for our share of losses based on our ownership of Surface. During the year ended December 31, 2019, we recorded a loss of $1,200,000 for our share of losses based on our ownership of Surface. We began using the equity method accounting for our investment in Surface beginning on June 11, 2018, the date we no longer had a controlling interest. Prior to that date, Surface’s losses were consolidated within our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from Eton, net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recorded a gain of $3,255,000 related to the change in fair market value of Eton’s common stock for the year ended December 31, 2020. We recorded a gain of $3,780,000 related to the change in fair market value of Eton’s common stock for the year ended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year ended December 31, 2020, we recorded other expense, net of $(73,000). This was primarily the result of income of $13,000 related to equipment from our Park facility that was sold during the year ended December 31, 2020 and $(105,000) related to the disposal of property, plant and equipment related to the discontinued use of certain computer software and hardware. During the year ended December 31, 2019, we recorded other income, net of $630,000 related to expenses that were paid by us and were reimbursed by Melt following its deconsolidation.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income (loss) for the years ended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2680" w:type="dxa"/>
            <w:vAlign w:val="bottom"/>
            <w:gridSpan w:val="6"/>
          </w:tcPr>
          <w:p>
            <w:pPr>
              <w:ind w:left="20"/>
              <w:spacing w:after="0"/>
              <w:rPr>
                <w:sz w:val="20"/>
                <w:szCs w:val="20"/>
                <w:color w:val="auto"/>
              </w:rPr>
            </w:pPr>
            <w:r>
              <w:rPr>
                <w:rFonts w:ascii="Arial" w:cs="Arial" w:eastAsia="Arial" w:hAnsi="Arial"/>
                <w:sz w:val="18"/>
                <w:szCs w:val="18"/>
                <w:b w:val="1"/>
                <w:bCs w:val="1"/>
                <w:color w:val="auto"/>
                <w:w w:val="91"/>
              </w:rPr>
              <w:t>For the Year Ended December 31,</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(loss) income attributable to Harrow Health, Inc.</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(3,357,000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168,000</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Net income per share, basic</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share, diluted</w:t>
            </w: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(including restricted cash) at December 31, 2020 was $4,301,000, compared to $4,949,000 at December 31, 2019. Since inception through December 31, 2020, we have incurred aggregate losses of $77,400,000.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the date of this Annual Report, we believe that cash and cash equivalents of $4,101,000 and restricted investments of $200,000, totaling approximately $4,301,000 at December 31, 2020, will be sufficient to sustain our planned level of operations and capital expenditures for at least the next 12 months. We also may consider the sale of certain assets including, but not limited to, part of, or all of, our ownership interest in Eton, Surface, Melt, and/or any of our consolidated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to use our current cash position and funds generated from our operations and any financing to pursue our business plan, which includes developing and commercializing compounded formulations, FDA-approved products and technologies, integrating and developing our compounding operations, pursuing potential future strategic transactions as opportunities arise, including potential acquisitions of products, compounding pharmacies and outsourcing facilities, drug companies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Net 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years ended December 31, 2020 and 2019:</w:t>
      </w:r>
    </w:p>
    <w:p>
      <w:pPr>
        <w:spacing w:after="0" w:line="221"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Year Ended</w:t>
      </w:r>
    </w:p>
    <w:p>
      <w:pPr>
        <w:spacing w:after="0" w:line="9"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1"/>
                <w:szCs w:val="2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(1,100,000)</w:t>
            </w:r>
          </w:p>
        </w:tc>
        <w:tc>
          <w:tcPr>
            <w:tcW w:w="5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950,000</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(1,833,000)</w:t>
            </w: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1,433,000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(1,006,000)</w:t>
            </w:r>
          </w:p>
        </w:tc>
      </w:tr>
      <w:tr>
        <w:trPr>
          <w:trHeight w:val="216"/>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38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4,949,000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6,838,000</w:t>
            </w:r>
          </w:p>
        </w:tc>
      </w:tr>
      <w:tr>
        <w:trPr>
          <w:trHeight w:val="229"/>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cash (used in) provided by operating activities was $(1,100,000) in 2020, compared to $950,000 in the prior year. Net cash (used in) provided by operating activities during the years ended December 31, 2020 was primarily the result of paydown of aged accounts payable and accrued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in 2020 and 2019 was $(981,000) and $(1,833,000), respectively. Cash used in investing activities in 2020 and 2019 were primarily associated with additional equipment purchases, software upgrades, facility expansions and upgrades, and investments in our intellectual property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(used in) financing activities in 2020 and 2019 was $1,433,000 and $(1,006,000), respectively. The cash provided by financing activities during 2020 is primarily related to proceeds received from the amendment to our loan and security agreement with SWK as well as proceeds received from the PPP Loan. The cash used in financing activities during 2019 is primarily attributable to the principal payments on the SWK loan payable and finance leases.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principal sources of cash consist of cash provided by operating activities from our pharmaceutical compounding business. We may also sell some or all of our ownership interests in Eton, Surface, Melt or our other subsidiaries. We produced cash from operations during 2019; however, we currently are experiencing a downturn in revenues mostly as a result of the COVID-19 pandemic which will have an impact on our ability to produce cash in the current year. In addition, prior to 2017, we had not generated sufficient revenues to support our operations and may not be able to do so in the future.</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changing trends and overall economic outlook in light of the COVID-19 pandemic, including the related interim stay at home orders and bans on elective surgeries, have created uncertainty surrounding our operating outlook and may impact our future operating results.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916"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account for contracts with customers in accordance with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We have three primary streams of revenue: (1) revenue recognized from our sale of products within our pharmacy services (2) revenue recognized from a commission agreement with a third party and (3) revenue recognized from intellectual property license and asset purchase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sell prescription drugs directly through our pharmacy and outsourcing facility network. Revenue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principles of ASC 606, we have identified the following:</w:t>
      </w:r>
    </w:p>
    <w:p>
      <w:pPr>
        <w:spacing w:after="0" w:line="1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We record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We will defer any revenues received for a product that has not been delivered or is subject to refund until such time that we and the customer jointly determine that the product has been delivered and no refund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year ended December 31, 2020, the Company entered into an agreement whereby it is paid a fee calculated based on sales it generates from a pharmaceutical product that is owned by a third party. The revenue earned from this arrangement is recognized at the time a customer has ordered the pharmaceutical product and it has shipped from the third party (or one of its distributors or affiliates), at which point there is no future performance obligation required by the Company and no consequential continuing involvement on the part of the Company to recognize the associated revenue.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hold four intellectual property license and related agreements in which we have promised to grant a license or sale which provides a customer with right to access our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each of which revenue is recognized at the point of time the performance obligation is met.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Non-refundable fees that are not contingent on any future performance by us and require no consequential continuing involvement on our part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it has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its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Eton Pharmaceuticals, Inc.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own 3,500,000 shares of Eton common stock, which represents approximately 14.4% of the equity and voting interests of Eton as of December 31, 2020. At December 31, 2020, the fair market value of Eton’s common stock was $8.13 per share. In accordance with Accounting Standard Update (“ASU”) 2016-01, </w:t>
      </w:r>
      <w:r>
        <w:rPr>
          <w:rFonts w:ascii="Arial" w:cs="Arial" w:eastAsia="Arial" w:hAnsi="Arial"/>
          <w:sz w:val="17"/>
          <w:szCs w:val="17"/>
          <w:i w:val="1"/>
          <w:iCs w:val="1"/>
          <w:color w:val="auto"/>
        </w:rPr>
        <w:t>Financial Instruments-Overall (Subtopic 825-10): Recognition and Measurement of Financial Assets and Financial Liabilities</w:t>
      </w:r>
      <w:r>
        <w:rPr>
          <w:rFonts w:ascii="Arial" w:cs="Arial" w:eastAsia="Arial" w:hAnsi="Arial"/>
          <w:sz w:val="17"/>
          <w:szCs w:val="17"/>
          <w:color w:val="auto"/>
        </w:rPr>
        <w:t>, for the years ended December 31, 2020 and 2019, we recorded an investment gains from its Eton common stock position of $3,255 and $3,780, respectively, related to the change in fair market value of our investment in Eton during the measurement periods. As of December 31, 2020 and 2019, the fair market value of our investment in Eton was $28,455 and $25,200,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 Baum, our Chief Executive Officer, is a member of the board of directors of Eton.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Surface Ophthalmics, Inc. – Related Party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own 3,500,000 common shares (which is approximately 30% of the equity interests as of December 31, 2020) of Surface and uses the equity method of accounting for this investment, as management has determined that we have the ability to exercise significant influence over the operating and financial decisions of Surface. Under this method, we recognize earnings and losses in Surface in its consolidated financial statements and adjusts the carrying amount of its investment in Surface accordingly. Our share of earnings and losses are based on our ownership interest of Surface. Any intra-entity profits and losses are eliminated. We recorded equity in the net loss of Surface of $1,200 during the year ended December 31, 2019. We recorded equity in the net loss of Surface of $2,433 during the year ended December 31, 2020. As of December 31, 2020 and 2019, the carrying value of our investment in Surface was $1,314 and $3,747,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Melt Pharmaceuticals, Inc. – Related Party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April 2018, we formed Melt as a wholly-owned subsidiary. In January and March of 2019, Melt entered into definitive stock purchase agreements (collectively, the “Melt Series A Preferred Stock Agreement”) with certain investors and closed on the purchase and sale of Melt’s Series A Preferred Stock (the “Melt Series A Stock”), totaling approximately $11,400,000 of proceeds (collectively the “Melt Series A Round”) at a purchase price of $5.00 per share. As a result, we lost voting and ownership control of Melt and ceased consolidating Melt’s financial statements. In connection with the Melt Series A Preferred Stock Agreement, Melt also entered into a Registration Rights Agreement and agreed to use commercially reasonable efforts to file, or confidentially submit, a registration statement on Form S-1 with the United States Securities and Exchange Commission (“SEC”) by September 30, 2020 relating to an initial public offering of its common stock, however, during the year ended December 31, 2020 this requirement was waived by the majority of Series A Preferred Stock holders.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At the time of deconsolidation, we recorded a gain of $5,810,000 and adjusted the carrying value in Melt to reflect the increased valuation of Melt and our new ownership interest in accordance with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own 3,500,000 common shares (which is approximately 44% of the equity interest as of December 31, 2020) of Melt and uses the equity method of accounting for this investment, as management has determined that we have the ability to exercise significant influence over the operating and financial decisions of Melt. Under this method, we recognize earnings and losses of Melt in its consolidated financial statements and adjusts the carrying amount of its investment in Melt accordingly. Our share of earnings and losses are based on our ownership interest of Melt. Any intra-entity profits and losses are eliminated. We recorded equity in net loss of Melt of $2,313,000 during the year ended December 31, 2020. As of December 31, 2020, our investment in Melt was $2,506,000 of which $1,655,000 was the carrying value of our investment in Melt and $851,000 due from Melt for reimbursable expenses and amounts due under the Melt Master Service Agreement (“Melt MSA”).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stock-based payments to employees, directors and consultants, including grants of stock options, warrants, restricted stock units and restricted stock, are recognized in the consolidated financial statements based upon their estimated fair values. We use the Black-Scholes option pricing model and Monte-Carlo simulation model to estimate the fair value of stock-based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We must assess the likelihood that the deferred tax assets will be recovered from future taxable income and, to the extent we believe that recovery is not more likely than not, a valuation allowance must be established which reduces the amount of deferred tax assets recorded on the consolidated balance sheets. To the extent we establish a valuation allowance or increase or decrease this allowance in a period, the impact will be included in income tax expense in the consolidated statements of operations.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account for income taxes under the provisions of Financial Accounting Standards Board (the “FASB”)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As of December 31, 2020 and 2019, there were no unrecognized tax benefits included in the consolidated balance sheets that would, if recognized, affect the effective tax rate. Our practice is to recognize interest and/or penalties related to income tax matters in income tax expense. We had no accrual for interest or penalties in its consolidated balance sheets at December 31, 2020 and 2019, and have not recognized interest and/or penalties in the consolidated statements of operations for the years ended December 31, 2020 and 2019. We are subject to taxation in the United States, California, Florida, Georgia, Illinois, New Jersey, New York, Tennessee, and Wisconsin. Our tax years since 2000 may be subject to examination by the federal and state tax authorities due to the carryforward of unutilized net operating losses.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expense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below). We began capitalizing certain costs associated with acquiring intellectual property rights during 2015, if costs are not capitalized, they are expensed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we capitalize third 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ind w:firstLine="648"/>
        <w:spacing w:after="0" w:line="263" w:lineRule="auto"/>
        <w:rPr>
          <w:sz w:val="20"/>
          <w:szCs w:val="20"/>
          <w:color w:val="auto"/>
        </w:rPr>
      </w:pPr>
      <w:r>
        <w:rPr>
          <w:rFonts w:ascii="Arial" w:cs="Arial" w:eastAsia="Arial" w:hAnsi="Arial"/>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underperformance of the our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decline in the our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Step 2. If further analysis is required, we compare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issuance costs and the debt discount are recorded net of loans payable in the consolidated balance sheet. Amortization of debt issuance costs and the debt discount is calculated using the effective interest method over the term of the debt and is recorded in interest expense in the accompanying consolidated statement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2020, the end of the period covered by this Annual Report, pursuant to Rules 13a-15(b) and 15d-15(b) under the Securities Exchange Act of 1934, as amended (the “Exchange Act”).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that evaluation, our CEO and CFO concluded that, as of December 31, 2020,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Based on such evaluation, management concluded that our internal control over financial reporting was effective as of December 31, 2020.</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regarding internal control over financial reporting, in accordance with applicable SEC rules that permit us to provide only management’s report in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year ended December 31, 2020,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including our CEO and CFO,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118"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“Election of Directors,” “Executive Officers,” “Corporate Governance,” “Corporate Governance — Delinquent Section 16(a) Reports,” and “Corporate Governance — Code of Business Conduct and Ethics” in the Company’s Proxy Statement for the 2021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“Executive Compensation” and “Director Compensation” in the Company’s Proxy Statement for the 2021 Annual Meeting of Stockholders.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“Security Ownership of Certain Beneficial Owners and Management and Related Stockholder Matters” and “Executive Compensation — Securities Authorized for Issuance Under Equity Compensation Plans” in the Company’s Proxy Statement for the 2021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“Corporate Governance — Transactions with Related Persons” and “Corporate Governance — Director Independence” in the Company’s Proxy Statement for the 2021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set forth under the caption “Ratification of Selection of Independent Registered Public Accounting Firm” in the Company’s Proxy Statement for the 2021 Annual Meeting of Stockholders.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List of the following documents filed as part of the report: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See the index to our consolidated financial statements on page F-1 for a list of the financial statements being filed in this Annual Report.</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required information is shown in the consolidated financial statements or the notes thereto.</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See Item 15(b) below for all exhibits being filed or incorporated by reference herein.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jc w:val="both"/>
        <w:ind w:left="780" w:hanging="768"/>
        <w:spacing w:after="0" w:line="286"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2.1</w:t>
      </w:r>
      <w:r>
        <w:rPr>
          <w:sz w:val="20"/>
          <w:szCs w:val="20"/>
          <w:color w:val="auto"/>
        </w:rPr>
        <w:tab/>
      </w:r>
      <w:hyperlink r:id="rId66">
        <w:r>
          <w:rPr>
            <w:rFonts w:ascii="Arial" w:cs="Arial" w:eastAsia="Arial" w:hAnsi="Arial"/>
            <w:sz w:val="17"/>
            <w:szCs w:val="17"/>
            <w:u w:val="single" w:color="auto"/>
            <w:color w:val="0000EE"/>
          </w:rPr>
          <w:t>Agreement and Plan of Merger, dated as of September 17, 2007, by and among Imprimis Pharmaceuticals, Inc., Transdel Pharmaceuticals</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Holdings, Inc. and Trans-Pharma Acquisition Corp. Incorporation (incorporated herein by reference to Exhibit 2.1 to the Current Report on Form</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8-K of Imprimis Pharmaceuticals, Inc. filed with the Securities and Exchange Commission on September 21, 2007)</w:t>
        </w:r>
      </w:hyperlink>
    </w:p>
    <w:p>
      <w:pPr>
        <w:spacing w:after="0" w:line="165" w:lineRule="exact"/>
        <w:rPr>
          <w:rFonts w:ascii="Arial" w:cs="Arial" w:eastAsia="Arial" w:hAnsi="Arial"/>
          <w:sz w:val="17"/>
          <w:szCs w:val="17"/>
          <w:u w:val="single" w:color="auto"/>
          <w:color w:val="0000EE"/>
        </w:rPr>
      </w:pPr>
    </w:p>
    <w:p>
      <w:pPr>
        <w:jc w:val="both"/>
        <w:ind w:left="780" w:hanging="768"/>
        <w:spacing w:after="0" w:line="259"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7">
        <w:r>
          <w:rPr>
            <w:rFonts w:ascii="Arial" w:cs="Arial" w:eastAsia="Arial" w:hAnsi="Arial"/>
            <w:sz w:val="18"/>
            <w:szCs w:val="18"/>
            <w:u w:val="single" w:color="auto"/>
            <w:color w:val="0000EE"/>
          </w:rPr>
          <w:t>Amended and Restated Certificate of Incorporation, as amended by the Certificate of Amendment to Amended and Restated Certificate of</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Incorporation effective February 28, 2012, as further amended by the Certificate of Amendment to Amended and Restated Certificate of</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Incorporation effective February 7, 2013, and as further amended by the Certificate of Amendment to Amended and Restated Certificate of</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Incorporation effective September 10, 2014</w:t>
        </w:r>
      </w:hyperlink>
    </w:p>
    <w:p>
      <w:pPr>
        <w:spacing w:after="0" w:line="187"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68">
        <w:r>
          <w:rPr>
            <w:rFonts w:ascii="Arial" w:cs="Arial" w:eastAsia="Arial" w:hAnsi="Arial"/>
            <w:sz w:val="16"/>
            <w:szCs w:val="16"/>
            <w:u w:val="single" w:color="auto"/>
            <w:color w:val="0000EE"/>
          </w:rPr>
          <w:t>Amended and Restated Bylaws of Imprimis Pharmaceuticals, Inc. (incorporated herein by reference to Exhibit 3.2 to the Annual Report on Form</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8-K of Imprimis Pharmaceuticals, Inc. filed with the Securities and Exchange Commission on March 28, 2014)</w:t>
        </w:r>
      </w:hyperlink>
    </w:p>
    <w:p>
      <w:pPr>
        <w:spacing w:after="0" w:line="211"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69">
        <w:r>
          <w:rPr>
            <w:rFonts w:ascii="Arial" w:cs="Arial" w:eastAsia="Arial" w:hAnsi="Arial"/>
            <w:sz w:val="18"/>
            <w:szCs w:val="18"/>
            <w:u w:val="single" w:color="auto"/>
            <w:color w:val="0000EE"/>
          </w:rPr>
          <w:t>Certificate of Designation of Series A Convertible Preferred Stock of Imprimis Pharmaceuticals, Inc. (incorporated herein by reference to</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Exhibit 3.1 to the Current Report on Form 8-K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December 20, 2011)</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70">
        <w:r>
          <w:rPr>
            <w:rFonts w:ascii="Arial" w:cs="Arial" w:eastAsia="Arial" w:hAnsi="Arial"/>
            <w:sz w:val="18"/>
            <w:szCs w:val="18"/>
            <w:u w:val="single" w:color="auto"/>
            <w:color w:val="0000EE"/>
          </w:rPr>
          <w:t>Amended and Restated Certificate of Incorporation, filed July 2, 2018 (incorporated herein by reference to Exhibit 3.1 to the Current Report on</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Form 8-K of Imprimis Pharmaceuticals, Inc. filed with the Securities and Exchange Commission on July 2, 2018)</w:t>
        </w:r>
      </w:hyperlink>
    </w:p>
    <w:p>
      <w:pPr>
        <w:spacing w:after="0" w:line="170"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71">
        <w:r>
          <w:rPr>
            <w:rFonts w:ascii="Arial" w:cs="Arial" w:eastAsia="Arial" w:hAnsi="Arial"/>
            <w:sz w:val="18"/>
            <w:szCs w:val="18"/>
            <w:u w:val="single" w:color="auto"/>
            <w:color w:val="0000EE"/>
          </w:rPr>
          <w:t>Amendment to the Restated Certificate of Incorporation for the name change, filed as of December 27, 2018 (incorporated herein by reference to</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Exhibit 3.1 to the Current Report on Form 8-K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December 31, 2018)</w:t>
        </w:r>
      </w:hyperlink>
    </w:p>
    <w:p>
      <w:pPr>
        <w:spacing w:after="0" w:line="184"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94">
        <w:r>
          <w:rPr>
            <w:rFonts w:ascii="Arial" w:cs="Arial" w:eastAsia="Arial" w:hAnsi="Arial"/>
            <w:sz w:val="16"/>
            <w:szCs w:val="16"/>
            <w:u w:val="single" w:color="auto"/>
            <w:color w:val="0000EE"/>
          </w:rPr>
          <w:t>Description of the Company’s Securities</w:t>
        </w:r>
      </w:hyperlink>
    </w:p>
    <w:p>
      <w:pPr>
        <w:spacing w:after="0" w:line="225" w:lineRule="exact"/>
        <w:rPr>
          <w:rFonts w:ascii="Arial" w:cs="Arial" w:eastAsia="Arial" w:hAnsi="Arial"/>
          <w:sz w:val="18"/>
          <w:szCs w:val="18"/>
          <w:u w:val="single" w:color="auto"/>
          <w:color w:val="0000EE"/>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72">
        <w:r>
          <w:rPr>
            <w:rFonts w:ascii="Arial" w:cs="Arial" w:eastAsia="Arial" w:hAnsi="Arial"/>
            <w:sz w:val="18"/>
            <w:szCs w:val="18"/>
            <w:u w:val="single" w:color="auto"/>
            <w:color w:val="0000EE"/>
          </w:rPr>
          <w:t>Form of Directors and Officers Indemnification Agreement (incorporated herein by reference to Exhibit 10.8 to the Current Report on Form 8-K</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of Imprimis Pharmaceuticals, Inc. filed with the Securities and Exchange Commission on September 21, 2007)</w:t>
        </w:r>
      </w:hyperlink>
    </w:p>
    <w:p>
      <w:pPr>
        <w:spacing w:after="0" w:line="170" w:lineRule="exact"/>
        <w:rPr>
          <w:sz w:val="20"/>
          <w:szCs w:val="20"/>
          <w:color w:val="auto"/>
        </w:rPr>
      </w:pPr>
    </w:p>
    <w:p>
      <w:pPr>
        <w:jc w:val="both"/>
        <w:ind w:left="780" w:hanging="768"/>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73">
        <w:r>
          <w:rPr>
            <w:rFonts w:ascii="Arial" w:cs="Arial" w:eastAsia="Arial" w:hAnsi="Arial"/>
            <w:sz w:val="16"/>
            <w:szCs w:val="16"/>
            <w:u w:val="single" w:color="auto"/>
            <w:color w:val="0000EE"/>
          </w:rPr>
          <w:t>Imprimis Pharmaceuticals, Inc. Amended and Restated 2007 Stock Incentive and Awards Plan (incorporated herein by reference to Exhibit 10.3</w:t>
        </w:r>
      </w:hyperlink>
      <w:r>
        <w:rPr>
          <w:rFonts w:ascii="Arial" w:cs="Arial" w:eastAsia="Arial" w:hAnsi="Arial"/>
          <w:sz w:val="16"/>
          <w:szCs w:val="16"/>
          <w:u w:val="single" w:color="auto"/>
          <w:color w:val="0000EE"/>
        </w:rPr>
        <w:t xml:space="preserve"> </w:t>
      </w:r>
      <w:hyperlink r:id="rId73">
        <w:r>
          <w:rPr>
            <w:rFonts w:ascii="Arial" w:cs="Arial" w:eastAsia="Arial" w:hAnsi="Arial"/>
            <w:sz w:val="16"/>
            <w:szCs w:val="16"/>
            <w:u w:val="single" w:color="auto"/>
            <w:color w:val="0000EE"/>
          </w:rPr>
          <w:t>to the Quarterly Report on Form 10-Q of Imprimis Pharmaceuticals, Inc. filed with the Securities and Exchange Commission on May 8, 2013)</w:t>
        </w:r>
      </w:hyperlink>
    </w:p>
    <w:p>
      <w:pPr>
        <w:spacing w:after="0" w:line="124"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74">
        <w:r>
          <w:rPr>
            <w:rFonts w:ascii="Arial" w:cs="Arial" w:eastAsia="Arial" w:hAnsi="Arial"/>
            <w:sz w:val="18"/>
            <w:szCs w:val="18"/>
            <w:u w:val="single" w:color="auto"/>
            <w:color w:val="0000EE"/>
          </w:rPr>
          <w:t>Amendment No. 1 to Imprimis Pharmaceuticals, Inc. Amended and Restated 2007 Incentive Stock and Awards Plan (incorporated herein by</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reference to Exhibit 10.3 to the Quarterly Report on Form 10-Q of Imprimis Pharmaceuticals, Inc. filed with the Securities and Exchange</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Commission on November 6, 2013)</w:t>
        </w:r>
      </w:hyperlink>
    </w:p>
    <w:p>
      <w:pPr>
        <w:spacing w:after="0" w:line="184" w:lineRule="exact"/>
        <w:rPr>
          <w:rFonts w:ascii="Arial" w:cs="Arial" w:eastAsia="Arial" w:hAnsi="Arial"/>
          <w:sz w:val="18"/>
          <w:szCs w:val="18"/>
          <w:u w:val="single" w:color="auto"/>
          <w:color w:val="0000EE"/>
        </w:rPr>
      </w:pPr>
    </w:p>
    <w:p>
      <w:pPr>
        <w:jc w:val="both"/>
        <w:ind w:left="780" w:right="2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75">
        <w:r>
          <w:rPr>
            <w:rFonts w:ascii="Arial" w:cs="Arial" w:eastAsia="Arial" w:hAnsi="Arial"/>
            <w:sz w:val="18"/>
            <w:szCs w:val="18"/>
            <w:u w:val="single" w:color="auto"/>
            <w:color w:val="0000EE"/>
          </w:rPr>
          <w:t>Form of Incentive Stock Option Agreement (incorporated herein by reference to Exhibit 10.12 to the Current Report on Form 8-K of Imprimis</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Pharmaceuticals, Inc. filed with the Securities and Exchange Commission on September 21, 2007)</w:t>
        </w:r>
      </w:hyperlink>
    </w:p>
    <w:p>
      <w:pPr>
        <w:spacing w:after="0" w:line="170" w:lineRule="exact"/>
        <w:rPr>
          <w:sz w:val="20"/>
          <w:szCs w:val="20"/>
          <w:color w:val="auto"/>
        </w:rPr>
      </w:pPr>
    </w:p>
    <w:p>
      <w:pPr>
        <w:jc w:val="both"/>
        <w:ind w:left="780" w:right="2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76">
        <w:r>
          <w:rPr>
            <w:rFonts w:ascii="Arial" w:cs="Arial" w:eastAsia="Arial" w:hAnsi="Arial"/>
            <w:sz w:val="18"/>
            <w:szCs w:val="18"/>
            <w:u w:val="single" w:color="auto"/>
            <w:color w:val="0000EE"/>
          </w:rPr>
          <w:t>Form of Non-Qualified Stock Option Agreement (incorporated herein by reference to Exhibit 10.13 to the Current Report on Form 8-K of</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Imprimis Pharmaceuticals, Inc. filed with the Securities and Exchange Commission on September 21, 2007)</w:t>
        </w:r>
      </w:hyperlink>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78">
        <w:r>
          <w:rPr>
            <w:rFonts w:ascii="Arial" w:cs="Arial" w:eastAsia="Arial" w:hAnsi="Arial"/>
            <w:sz w:val="18"/>
            <w:szCs w:val="18"/>
            <w:u w:val="single" w:color="auto"/>
            <w:color w:val="0000EE"/>
          </w:rPr>
          <w:t>Form of Restricted Stock Unit Agreement (incorporated herein by reference to Exhibit 10.4 to the Quarterly Report on Form 10-Q of Imprimis</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Pharmaceuticals, Inc. filed with the Securities and Exchange Commission on May 8, 2013)</w:t>
        </w:r>
      </w:hyperlink>
    </w:p>
    <w:p>
      <w:pPr>
        <w:spacing w:after="0" w:line="170" w:lineRule="exact"/>
        <w:rPr>
          <w:sz w:val="20"/>
          <w:szCs w:val="20"/>
          <w:color w:val="auto"/>
        </w:rPr>
      </w:pPr>
    </w:p>
    <w:p>
      <w:pPr>
        <w:jc w:val="both"/>
        <w:ind w:left="780" w:hanging="768"/>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79">
        <w:r>
          <w:rPr>
            <w:rFonts w:ascii="Arial" w:cs="Arial" w:eastAsia="Arial" w:hAnsi="Arial"/>
            <w:sz w:val="16"/>
            <w:szCs w:val="16"/>
            <w:u w:val="single" w:color="auto"/>
            <w:color w:val="0000EE"/>
          </w:rPr>
          <w:t>Stand-alone Restricted Stock Unit Agreement, dated July 18, 2012, granted by Imprimis Pharmaceuticals, Inc. to Mark L. Baum (incorporated</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herein by reference to Exhibit 10.40 to the Company’s Registration Statement on Form S-1 (File No. 333-182846) filed on July 25, 2012)</w:t>
        </w:r>
      </w:hyperlink>
    </w:p>
    <w:p>
      <w:pPr>
        <w:spacing w:after="0" w:line="124"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80">
        <w:r>
          <w:rPr>
            <w:rFonts w:ascii="Arial" w:cs="Arial" w:eastAsia="Arial" w:hAnsi="Arial"/>
            <w:sz w:val="18"/>
            <w:szCs w:val="18"/>
            <w:u w:val="single" w:color="auto"/>
            <w:color w:val="0000EE"/>
          </w:rPr>
          <w:t>Stand-alone Restricted Stock Unit Agreement, dated July 18, 2012, granted by Imprimis Pharmaceuticals, Inc. to Robert J. Kammer</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(incorporated herein by reference to Exhibit 10.41 to the Company’s Registration Statement on Form S-1 (File No. 333-182846) filed on July 25,</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2012)</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81">
        <w:r>
          <w:rPr>
            <w:rFonts w:ascii="Arial" w:cs="Arial" w:eastAsia="Arial" w:hAnsi="Arial"/>
            <w:sz w:val="18"/>
            <w:szCs w:val="18"/>
            <w:u w:val="single" w:color="auto"/>
            <w:color w:val="0000EE"/>
          </w:rPr>
          <w:t>Form of Underwriter’s Warrant (incorporated herein by reference to Exhibit 10.41 to the Company’s Registration Statement on Form S-1 (File</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No. 333-182846) filed on October 26, 2012)</w:t>
        </w:r>
      </w:hyperlink>
    </w:p>
    <w:p>
      <w:pPr>
        <w:spacing w:after="0" w:line="170"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82">
        <w:r>
          <w:rPr>
            <w:rFonts w:ascii="Arial" w:cs="Arial" w:eastAsia="Arial" w:hAnsi="Arial"/>
            <w:sz w:val="18"/>
            <w:szCs w:val="18"/>
            <w:u w:val="single" w:color="auto"/>
            <w:color w:val="0000EE"/>
          </w:rPr>
          <w:t>Amended and Restated Employment Agreement, dated May 2, 2013, by and between Imprimis Pharmaceuticals, Inc. and Mark L. Baum</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(incorporated herein by reference to Exhibit 10.2 to the Quarterly Report on Form 10-Q of Imprimis Pharmaceuticals, Inc. filed with the</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Securities and Exchange Commission on May 8, 2013)</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83">
        <w:r>
          <w:rPr>
            <w:rFonts w:ascii="Arial" w:cs="Arial" w:eastAsia="Arial" w:hAnsi="Arial"/>
            <w:sz w:val="18"/>
            <w:szCs w:val="18"/>
            <w:u w:val="single" w:color="auto"/>
            <w:color w:val="0000EE"/>
          </w:rPr>
          <w:t>Performance Stock Units Agreement, dated May 2, 2013, by and between Imprimis Pharmaceuticals, Inc. and Mark L. Baum (incorporated</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herein by reference to Exhibit 10.4 to the Quarterly Report on Form 10-Q of Imprimis Pharmaceuticals, Inc. filed with the Securities and</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Exchange Commission on August 14, 2013)</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84">
        <w:r>
          <w:rPr>
            <w:rFonts w:ascii="Arial" w:cs="Arial" w:eastAsia="Arial" w:hAnsi="Arial"/>
            <w:sz w:val="18"/>
            <w:szCs w:val="18"/>
            <w:u w:val="single" w:color="auto"/>
            <w:color w:val="0000EE"/>
          </w:rPr>
          <w:t>Amended and Restated Employment Agreement, effective as of February 1, 2015, by and between Imprimis Pharmaceuticals, Inc. and Andrew</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R. Boll (incorporated herein by reference to Exhibit 10.1 to the Current Report on Form 8-K of Imprimis Pharmaceuticals, Inc. filed with the</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Securities and Exchange Commission on February 2, 2015)</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85">
        <w:r>
          <w:rPr>
            <w:rFonts w:ascii="Arial" w:cs="Arial" w:eastAsia="Arial" w:hAnsi="Arial"/>
            <w:sz w:val="18"/>
            <w:szCs w:val="18"/>
            <w:u w:val="single" w:color="auto"/>
            <w:color w:val="0000EE"/>
          </w:rPr>
          <w:t>Performance Stock Units Award Agreement, effective as of February 1, 2015, by and between Imprimis Pharmaceuticals, Inc. and Andrew R.</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Boll (incorporated herein by reference to Exhibit 10.2 to the Current Report on Form 8-K of Imprimis Pharmaceuticals, Inc. filed with the</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Securities and Exchange Commission on February 2, 2015)</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86">
        <w:r>
          <w:rPr>
            <w:rFonts w:ascii="Arial" w:cs="Arial" w:eastAsia="Arial" w:hAnsi="Arial"/>
            <w:sz w:val="18"/>
            <w:szCs w:val="18"/>
            <w:u w:val="single" w:color="auto"/>
            <w:color w:val="0000EE"/>
          </w:rPr>
          <w:t>Employment Agreement, effective as of February 1, 2015, by and between Imprimis Pharmaceuticals, Inc. and John P. Saharek (incorporated</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herein by reference to Exhibit 10.3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Commission on February 2, 2015)</w:t>
        </w:r>
      </w:hyperlink>
    </w:p>
    <w:p>
      <w:pPr>
        <w:spacing w:after="0" w:line="184" w:lineRule="exact"/>
        <w:rPr>
          <w:rFonts w:ascii="Arial" w:cs="Arial" w:eastAsia="Arial" w:hAnsi="Arial"/>
          <w:sz w:val="18"/>
          <w:szCs w:val="18"/>
          <w:u w:val="single" w:color="auto"/>
          <w:color w:val="0000EE"/>
        </w:rPr>
      </w:pPr>
    </w:p>
    <w:p>
      <w:pPr>
        <w:jc w:val="both"/>
        <w:ind w:left="780" w:hanging="768"/>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87">
        <w:r>
          <w:rPr>
            <w:rFonts w:ascii="Arial" w:cs="Arial" w:eastAsia="Arial" w:hAnsi="Arial"/>
            <w:sz w:val="16"/>
            <w:szCs w:val="16"/>
            <w:u w:val="single" w:color="auto"/>
            <w:color w:val="0000EE"/>
          </w:rPr>
          <w:t>Warrant to Purchase Stock, dated May 11, 2015, issued by Imprimis Pharmaceuticals, Inc. (incorporated herein by reference to Exhibit 10.2 to</w:t>
        </w:r>
      </w:hyperlink>
      <w:r>
        <w:rPr>
          <w:rFonts w:ascii="Arial" w:cs="Arial" w:eastAsia="Arial" w:hAnsi="Arial"/>
          <w:sz w:val="16"/>
          <w:szCs w:val="16"/>
          <w:u w:val="single" w:color="auto"/>
          <w:color w:val="0000EE"/>
        </w:rPr>
        <w:t xml:space="preserve"> </w:t>
      </w:r>
      <w:hyperlink r:id="rId87">
        <w:r>
          <w:rPr>
            <w:rFonts w:ascii="Arial" w:cs="Arial" w:eastAsia="Arial" w:hAnsi="Arial"/>
            <w:sz w:val="16"/>
            <w:szCs w:val="16"/>
            <w:u w:val="single" w:color="auto"/>
            <w:color w:val="0000EE"/>
          </w:rPr>
          <w:t>the Current Report on Form 8-K of Imprimis Pharmaceuticals, Inc. filed with the Securities and Exchange Commission on May 12, 2015)</w:t>
        </w:r>
      </w:hyperlink>
    </w:p>
    <w:p>
      <w:pPr>
        <w:spacing w:after="0" w:line="124"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88">
        <w:r>
          <w:rPr>
            <w:rFonts w:ascii="Arial" w:cs="Arial" w:eastAsia="Arial" w:hAnsi="Arial"/>
            <w:sz w:val="18"/>
            <w:szCs w:val="18"/>
            <w:u w:val="single" w:color="auto"/>
            <w:color w:val="0000EE"/>
          </w:rPr>
          <w:t>Warrant Amendment to Purchase Stock, dated December 27, 2016, issued by Imprimis Pharmaceuticals, Inc. (incorporated herein by reference</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to Exhibit 10.3 to the Current Report on Form 8-K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December 29, 2016)</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89">
        <w:r>
          <w:rPr>
            <w:rFonts w:ascii="Arial" w:cs="Arial" w:eastAsia="Arial" w:hAnsi="Arial"/>
            <w:sz w:val="18"/>
            <w:szCs w:val="18"/>
            <w:u w:val="single" w:color="auto"/>
            <w:color w:val="0000EE"/>
          </w:rPr>
          <w:t>Form of Securities Purchase Agreement, dated March 21, 2017, between the Registrant and the Investors (incorporated herein by reference to</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Exhibit 10.1 to the Current Report on Form 8-K of Imprimis Pharmaceuticals, Inc. filed with the Securities and Exchange Commission on March</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22, 2017)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90">
        <w:r>
          <w:rPr>
            <w:rFonts w:ascii="Arial" w:cs="Arial" w:eastAsia="Arial" w:hAnsi="Arial"/>
            <w:sz w:val="18"/>
            <w:szCs w:val="18"/>
            <w:u w:val="single" w:color="auto"/>
            <w:color w:val="0000EE"/>
          </w:rPr>
          <w:t>License Agreement dated April 1, 2017 between Imprimis Pharmaceuticals, Inc. and Richard L. Lindstrom, M.D. (incorporated herein by</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reference to Exhibit 10.1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Commission on April 6,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91">
        <w:r>
          <w:rPr>
            <w:rFonts w:ascii="Arial" w:cs="Arial" w:eastAsia="Arial" w:hAnsi="Arial"/>
            <w:sz w:val="18"/>
            <w:szCs w:val="18"/>
            <w:u w:val="single" w:color="auto"/>
            <w:color w:val="0000EE"/>
          </w:rPr>
          <w:t>Strategic Sales &amp; Marketing Agreement dated April 13, 2017 between Imprimis Pharmaceuticals, Inc. and Cameron Ehlen Group, Inc.</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(incorporated herein by reference to Exhibit 10.1 to the Current Report on Form 8-K of Imprimis Pharmaceuticals, Inc. filed with the Securities</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and Exchange Commission on April 17,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92">
        <w:r>
          <w:rPr>
            <w:rFonts w:ascii="Arial" w:cs="Arial" w:eastAsia="Arial" w:hAnsi="Arial"/>
            <w:sz w:val="18"/>
            <w:szCs w:val="18"/>
            <w:u w:val="single" w:color="auto"/>
            <w:color w:val="0000EE"/>
          </w:rPr>
          <w:t>Strategic Sales &amp; Marketing Agreement dated April 28, 2017 between Imprimis Pharmaceuticals, Inc. and SightLife Surgical, Inc. (incorporated</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herein by reference to Exhibit 10.1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Commission on May 2, 2017)</w:t>
        </w:r>
      </w:hyperlink>
    </w:p>
    <w:p>
      <w:pPr>
        <w:spacing w:after="0" w:line="184"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93">
        <w:r>
          <w:rPr>
            <w:rFonts w:ascii="Arial" w:cs="Arial" w:eastAsia="Arial" w:hAnsi="Arial"/>
            <w:sz w:val="16"/>
            <w:szCs w:val="16"/>
            <w:u w:val="single" w:color="auto"/>
            <w:color w:val="0000EE"/>
          </w:rPr>
          <w:t>Consulting Agreement dated May 1, 2017 between Eton Pharmaceuticals, Inc. and Mark L. Baum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93">
        <w:r>
          <w:rPr>
            <w:rFonts w:ascii="Arial" w:cs="Arial" w:eastAsia="Arial" w:hAnsi="Arial"/>
            <w:sz w:val="16"/>
            <w:szCs w:val="16"/>
            <w:u w:val="single" w:color="auto"/>
            <w:color w:val="0000EE"/>
          </w:rPr>
          <w:t>10.8 to the Quarterly Report on Form 10-Q of Imprimis Pharmaceuticals, Inc. filed with the Securities and Exchange Commission on August 10,</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2017)</w:t>
        </w:r>
      </w:hyperlink>
    </w:p>
    <w:p>
      <w:pPr>
        <w:spacing w:after="0" w:line="211"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94">
        <w:r>
          <w:rPr>
            <w:rFonts w:ascii="Arial" w:cs="Arial" w:eastAsia="Arial" w:hAnsi="Arial"/>
            <w:sz w:val="16"/>
            <w:szCs w:val="16"/>
            <w:u w:val="single" w:color="auto"/>
            <w:color w:val="0000EE"/>
          </w:rPr>
          <w:t>Consulting Agreement dated May 1, 2017 between Eton Pharmaceuticals, Inc. and Andrew R. Boll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94">
        <w:r>
          <w:rPr>
            <w:rFonts w:ascii="Arial" w:cs="Arial" w:eastAsia="Arial" w:hAnsi="Arial"/>
            <w:sz w:val="16"/>
            <w:szCs w:val="16"/>
            <w:u w:val="single" w:color="auto"/>
            <w:color w:val="0000EE"/>
          </w:rPr>
          <w:t>10.9 to the Quarterly Report on Form 10-Q of Imprimis Pharmaceuticals, Inc. filed with the Securities and Exchange Commission on August 10,</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2017)</w:t>
        </w:r>
      </w:hyperlink>
    </w:p>
    <w:p>
      <w:pPr>
        <w:spacing w:after="0" w:line="211"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95">
        <w:r>
          <w:rPr>
            <w:rFonts w:ascii="Arial" w:cs="Arial" w:eastAsia="Arial" w:hAnsi="Arial"/>
            <w:sz w:val="16"/>
            <w:szCs w:val="16"/>
            <w:u w:val="single" w:color="auto"/>
            <w:color w:val="0000EE"/>
          </w:rPr>
          <w:t>Consulting Agreement dated May 1, 2017 between Eton Pharmaceuticals, Inc. and John P. Saharek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95">
        <w:r>
          <w:rPr>
            <w:rFonts w:ascii="Arial" w:cs="Arial" w:eastAsia="Arial" w:hAnsi="Arial"/>
            <w:sz w:val="16"/>
            <w:szCs w:val="16"/>
            <w:u w:val="single" w:color="auto"/>
            <w:color w:val="0000EE"/>
          </w:rPr>
          <w:t>10.10 to the Quarterly Report on Form 10-Q of Imprimis Pharmaceuticals, Inc. filed with the Securities and Exchange Commission on August</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10, 2017)</w:t>
        </w:r>
      </w:hyperlink>
    </w:p>
    <w:p>
      <w:pPr>
        <w:spacing w:after="0" w:line="21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686" w:gutter="0" w:footer="0" w:header="0"/>
        </w:sectPr>
      </w:pPr>
    </w:p>
    <w:bookmarkStart w:id="54" w:name="page55"/>
    <w:bookmarkEnd w:id="54"/>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97">
        <w:r>
          <w:rPr>
            <w:rFonts w:ascii="Arial" w:cs="Arial" w:eastAsia="Arial" w:hAnsi="Arial"/>
            <w:sz w:val="18"/>
            <w:szCs w:val="18"/>
            <w:u w:val="single" w:color="auto"/>
            <w:color w:val="0000EE"/>
          </w:rPr>
          <w:t>Asset Purchase and License Agreement (pentoxifylline) dated May 9, 2017 between Imprimis Pharmaceuticals, Inc. and Eton Pharmaceuticals,</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Inc. (incorporated herein by reference to Exhibit 10.1 to the Current Report on Form 8-K of Imprimis Pharmaceuticals, Inc. filed with the</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Securities and Exchange Commission on June 20,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98">
        <w:r>
          <w:rPr>
            <w:rFonts w:ascii="Arial" w:cs="Arial" w:eastAsia="Arial" w:hAnsi="Arial"/>
            <w:sz w:val="18"/>
            <w:szCs w:val="18"/>
            <w:u w:val="single" w:color="auto"/>
            <w:color w:val="0000EE"/>
          </w:rPr>
          <w:t>Asset Purchase and License Agreement (corticotropin) dated May 9, 2017 between Imprimis Pharmaceuticals, Inc. and Eton Pharmaceuticals,</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Inc. (incorporated herein by reference to Exhibit 10.2 to the Current Report on Form 8-K of Imprimis Pharmaceuticals, Inc. filed with the</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Securities and Exchange Commission on June 20,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99">
        <w:r>
          <w:rPr>
            <w:rFonts w:ascii="Arial" w:cs="Arial" w:eastAsia="Arial" w:hAnsi="Arial"/>
            <w:sz w:val="18"/>
            <w:szCs w:val="18"/>
            <w:u w:val="single" w:color="auto"/>
            <w:color w:val="0000EE"/>
          </w:rPr>
          <w:t>Management Services Agreement dated May 1, 2017 between Imprimis Pharmaceuticals, Inc. and Eton Pharmaceuticals, Inc. (incorporated</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herein by reference to Exhibit 10.4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Commission on June 20,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00">
        <w:r>
          <w:rPr>
            <w:rFonts w:ascii="Arial" w:cs="Arial" w:eastAsia="Arial" w:hAnsi="Arial"/>
            <w:sz w:val="18"/>
            <w:szCs w:val="18"/>
            <w:u w:val="single" w:color="auto"/>
            <w:color w:val="0000EE"/>
          </w:rPr>
          <w:t>Loan and Security Agreement, dated July 19, 2017, by and between Imprimis Pharmaceuticals, Inc. and SWK Funding LLC (incorporated</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herein by reference to Exhibit 10.1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Commission on July 20,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30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10.28</w:t>
      </w:r>
      <w:r>
        <w:rPr>
          <w:sz w:val="20"/>
          <w:szCs w:val="20"/>
          <w:color w:val="auto"/>
        </w:rPr>
        <w:tab/>
      </w:r>
      <w:hyperlink r:id="rId101">
        <w:r>
          <w:rPr>
            <w:rFonts w:ascii="Arial" w:cs="Arial" w:eastAsia="Arial" w:hAnsi="Arial"/>
            <w:sz w:val="17"/>
            <w:szCs w:val="17"/>
            <w:u w:val="single" w:color="auto"/>
            <w:color w:val="0000EE"/>
          </w:rPr>
          <w:t>Imprimis Pharmaceuticals, Inc. 2017 Incentive Stock and Awards Plan (incorporated herein by reference to Exhibit 10.1 to the Registration</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Statement on Form S-8 of Imprimis Pharmaceuticals, Inc. filed with the Securities and Exchange Commission on August 25, 2017)</w:t>
        </w:r>
      </w:hyperlink>
    </w:p>
    <w:p>
      <w:pPr>
        <w:spacing w:after="0" w:line="146" w:lineRule="exact"/>
        <w:rPr>
          <w:sz w:val="20"/>
          <w:szCs w:val="20"/>
          <w:color w:val="auto"/>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02">
        <w:r>
          <w:rPr>
            <w:rFonts w:ascii="Arial" w:cs="Arial" w:eastAsia="Arial" w:hAnsi="Arial"/>
            <w:sz w:val="18"/>
            <w:szCs w:val="18"/>
            <w:u w:val="single" w:color="auto"/>
            <w:color w:val="0000EE"/>
          </w:rPr>
          <w:t>Form of Incentive Stock Option Agreement (incorporated herein by reference to Exhibit 10.1 to the Current Report on Form 8-K of Imprimis</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Pharmaceuticals, Inc. filed with the Securities and Exchange Commission on June 16, 2017)</w:t>
        </w:r>
      </w:hyperlink>
    </w:p>
    <w:p>
      <w:pPr>
        <w:spacing w:after="0" w:line="170" w:lineRule="exact"/>
        <w:rPr>
          <w:sz w:val="20"/>
          <w:szCs w:val="20"/>
          <w:color w:val="auto"/>
        </w:rPr>
      </w:pPr>
    </w:p>
    <w:p>
      <w:pPr>
        <w:jc w:val="both"/>
        <w:ind w:left="780" w:right="2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03">
        <w:r>
          <w:rPr>
            <w:rFonts w:ascii="Arial" w:cs="Arial" w:eastAsia="Arial" w:hAnsi="Arial"/>
            <w:sz w:val="18"/>
            <w:szCs w:val="18"/>
            <w:u w:val="single" w:color="auto"/>
            <w:color w:val="0000EE"/>
          </w:rPr>
          <w:t>Form of Non-Statutory Stock Option Agreement (incorporated herein by reference to Exhibit 10.2 to the Current Report on Form 8-K of</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Imprimis Pharmaceuticals, Inc. filed with the Securities and Exchange Commission on June 16, 2017)</w:t>
        </w:r>
      </w:hyperlink>
    </w:p>
    <w:p>
      <w:pPr>
        <w:spacing w:after="0" w:line="170" w:lineRule="exact"/>
        <w:rPr>
          <w:sz w:val="20"/>
          <w:szCs w:val="20"/>
          <w:color w:val="auto"/>
        </w:rPr>
      </w:pPr>
    </w:p>
    <w:p>
      <w:pPr>
        <w:jc w:val="both"/>
        <w:ind w:left="780" w:right="2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04">
        <w:r>
          <w:rPr>
            <w:rFonts w:ascii="Arial" w:cs="Arial" w:eastAsia="Arial" w:hAnsi="Arial"/>
            <w:sz w:val="18"/>
            <w:szCs w:val="18"/>
            <w:u w:val="single" w:color="auto"/>
            <w:color w:val="0000EE"/>
          </w:rPr>
          <w:t>Form of Restricted Stock Award Agreement (incorporated herein by reference to Exhibit 10.3 to the Current Report on Form 8-K of Imprimis</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Pharmaceuticals, Inc. filed with the Securities and Exchange Commission on June 16, 2017)</w:t>
        </w:r>
      </w:hyperlink>
    </w:p>
    <w:p>
      <w:pPr>
        <w:spacing w:after="0" w:line="170" w:lineRule="exact"/>
        <w:rPr>
          <w:sz w:val="20"/>
          <w:szCs w:val="20"/>
          <w:color w:val="auto"/>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05">
        <w:r>
          <w:rPr>
            <w:rFonts w:ascii="Arial" w:cs="Arial" w:eastAsia="Arial" w:hAnsi="Arial"/>
            <w:sz w:val="18"/>
            <w:szCs w:val="18"/>
            <w:u w:val="single" w:color="auto"/>
            <w:color w:val="0000EE"/>
          </w:rPr>
          <w:t>Form of Restricted Stock Unit Agreement (incorporated herein by reference to Exhibit 10.4 to the Current Report on Form 8-K of Imprimis</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Pharmaceuticals, Inc. filed with the Securities and Exchange Commission on June 16, 2017)</w:t>
        </w:r>
      </w:hyperlink>
    </w:p>
    <w:p>
      <w:pPr>
        <w:spacing w:after="0" w:line="170"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06">
        <w:r>
          <w:rPr>
            <w:rFonts w:ascii="Arial" w:cs="Arial" w:eastAsia="Arial" w:hAnsi="Arial"/>
            <w:sz w:val="18"/>
            <w:szCs w:val="18"/>
            <w:u w:val="single" w:color="auto"/>
            <w:color w:val="0000EE"/>
          </w:rPr>
          <w:t>Consulting Agreement dated October 27, 2017 between Surface Pharmaceuticals, Inc. and Mark L. Baum (incorporated herein by reference to</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Exhibit 10.53 to the Annual Report on Form 10-K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March 8,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07">
        <w:r>
          <w:rPr>
            <w:rFonts w:ascii="Arial" w:cs="Arial" w:eastAsia="Arial" w:hAnsi="Arial"/>
            <w:sz w:val="18"/>
            <w:szCs w:val="18"/>
            <w:u w:val="single" w:color="auto"/>
            <w:color w:val="0000EE"/>
          </w:rPr>
          <w:t>Consulting Agreement dated October 27, 2017 between Surface Pharmaceuticals, Inc. and Andrew R. Boll (incorporated herein by reference to</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Exhibit 10.54 to the Annual Report on Form 10-K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March 8,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08">
        <w:r>
          <w:rPr>
            <w:rFonts w:ascii="Arial" w:cs="Arial" w:eastAsia="Arial" w:hAnsi="Arial"/>
            <w:sz w:val="18"/>
            <w:szCs w:val="18"/>
            <w:u w:val="single" w:color="auto"/>
            <w:color w:val="0000EE"/>
          </w:rPr>
          <w:t>Consulting Agreement dated October 27, 2017 between Surface Pharmaceuticals, Inc. and John P. Saharek (incorporated herein by reference to</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Exhibit 10.55 to the Annual Report on Form 10-K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March 8,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09">
        <w:r>
          <w:rPr>
            <w:rFonts w:ascii="Arial" w:cs="Arial" w:eastAsia="Arial" w:hAnsi="Arial"/>
            <w:sz w:val="18"/>
            <w:szCs w:val="18"/>
            <w:u w:val="single" w:color="auto"/>
            <w:color w:val="0000EE"/>
          </w:rPr>
          <w:t>Asset Purchase and License Agreement dated September 28, 2017 between Imprimis Pharmaceuticals, Inc. and Surface Pharmaceuticals, Inc.</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(incorporated herein by reference to Exhibit 10.1 to the Current Report on Form 8-K of Imprimis Pharmaceuticals, Inc. filed with the Securities</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and Exchange Commission on May 15,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10">
        <w:r>
          <w:rPr>
            <w:rFonts w:ascii="Arial" w:cs="Arial" w:eastAsia="Arial" w:hAnsi="Arial"/>
            <w:sz w:val="18"/>
            <w:szCs w:val="18"/>
            <w:u w:val="single" w:color="auto"/>
            <w:color w:val="0000EE"/>
          </w:rPr>
          <w:t>Amended and Restated Asset Purchase and License Agreement dated April 10, 2018 between Imprimis Pharmaceuticals, Inc. and Surface</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Pharmaceuticals, Inc. (incorporated herein by reference to Exhibit 10.2 to the Current Report on Form 8-K of Imprimis Pharmaceuticals, Inc.</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filed with the Securities and Exchange Commission on May 15,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11">
        <w:r>
          <w:rPr>
            <w:rFonts w:ascii="Arial" w:cs="Arial" w:eastAsia="Arial" w:hAnsi="Arial"/>
            <w:sz w:val="18"/>
            <w:szCs w:val="18"/>
            <w:u w:val="single" w:color="auto"/>
            <w:color w:val="0000EE"/>
          </w:rPr>
          <w:t>Amended and Restated License Agreement dated April 10, 2018 between Imprimis Pharmaceuticals, Inc. and Richard L. Lindstrom, M.D.</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(incorporated herein by reference to Exhibit 10.3 to the Quarterly Report on Form 10-Q of Imprimis Pharmaceuticals, Inc. filed with the</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Securities and Exchange Commission on August 6,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12">
        <w:r>
          <w:rPr>
            <w:rFonts w:ascii="Arial" w:cs="Arial" w:eastAsia="Arial" w:hAnsi="Arial"/>
            <w:sz w:val="18"/>
            <w:szCs w:val="18"/>
            <w:u w:val="single" w:color="auto"/>
            <w:color w:val="0000EE"/>
          </w:rPr>
          <w:t>Consulting Agreement dated March 1, 2018 between Surface Pharmaceuticals, Inc. and Richard L. Lindstrom, M.D. (incorporated herein by</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reference to Exhibit 10.4 to the Quarterly Report on Form 10-Q of Imprimis Pharmaceuticals, Inc. filed with the Securities and Exchange</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Commission on August 6, 2018)</w:t>
        </w:r>
      </w:hyperlink>
    </w:p>
    <w:p>
      <w:pPr>
        <w:spacing w:after="0" w:line="184"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10.40#</w:t>
      </w:r>
      <w:r>
        <w:rPr>
          <w:sz w:val="20"/>
          <w:szCs w:val="20"/>
          <w:color w:val="auto"/>
        </w:rPr>
        <w:tab/>
      </w:r>
      <w:hyperlink r:id="rId113">
        <w:r>
          <w:rPr>
            <w:rFonts w:ascii="Arial" w:cs="Arial" w:eastAsia="Arial" w:hAnsi="Arial"/>
            <w:sz w:val="16"/>
            <w:szCs w:val="16"/>
            <w:u w:val="single" w:color="auto"/>
            <w:color w:val="0000EE"/>
          </w:rPr>
          <w:t>Consulting Agreement dated May 1, 2018 between Melt Pharmaceuticals, Inc. and Mark L. Baum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113">
        <w:r>
          <w:rPr>
            <w:rFonts w:ascii="Arial" w:cs="Arial" w:eastAsia="Arial" w:hAnsi="Arial"/>
            <w:sz w:val="16"/>
            <w:szCs w:val="16"/>
            <w:u w:val="single" w:color="auto"/>
            <w:color w:val="0000EE"/>
          </w:rPr>
          <w:t>10.1 to the Quarterly Report on Form 10-Q of Imprimis Pharmaceuticals, Inc. filed with the Securities and Exchange Commission on November</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13, 2018)</w:t>
        </w:r>
      </w:hyperlink>
    </w:p>
    <w:p>
      <w:pPr>
        <w:spacing w:after="0" w:line="211"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10.41#</w:t>
      </w:r>
      <w:r>
        <w:rPr>
          <w:sz w:val="20"/>
          <w:szCs w:val="20"/>
          <w:color w:val="auto"/>
        </w:rPr>
        <w:tab/>
      </w:r>
      <w:hyperlink r:id="rId114">
        <w:r>
          <w:rPr>
            <w:rFonts w:ascii="Arial" w:cs="Arial" w:eastAsia="Arial" w:hAnsi="Arial"/>
            <w:sz w:val="16"/>
            <w:szCs w:val="16"/>
            <w:u w:val="single" w:color="auto"/>
            <w:color w:val="0000EE"/>
          </w:rPr>
          <w:t>Consulting Agreement dated May 1, 2018 between Melt Pharmaceuticals, Inc. and Andrew R. Boll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10.2 to the Quarterly Report on Form 10-Q of Imprimis Pharmaceuticals, Inc. filed with the Securities and Exchange Commission on November</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13, 2018)</w:t>
        </w:r>
      </w:hyperlink>
    </w:p>
    <w:p>
      <w:pPr>
        <w:spacing w:after="0" w:line="21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902" w:gutter="0" w:footer="0" w:header="0"/>
        </w:sectPr>
      </w:pPr>
    </w:p>
    <w:bookmarkStart w:id="55" w:name="page56"/>
    <w:bookmarkEnd w:id="55"/>
    <w:p>
      <w:pPr>
        <w:spacing w:after="0" w:line="2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10.42#</w:t>
      </w:r>
      <w:r>
        <w:rPr>
          <w:sz w:val="20"/>
          <w:szCs w:val="20"/>
          <w:color w:val="auto"/>
        </w:rPr>
        <w:tab/>
      </w:r>
      <w:hyperlink r:id="rId116">
        <w:r>
          <w:rPr>
            <w:rFonts w:ascii="Arial" w:cs="Arial" w:eastAsia="Arial" w:hAnsi="Arial"/>
            <w:sz w:val="16"/>
            <w:szCs w:val="16"/>
            <w:u w:val="single" w:color="auto"/>
            <w:color w:val="0000EE"/>
          </w:rPr>
          <w:t>Consulting Agreement dated May 1, 2018 between Melt Pharmaceuticals, Inc. and John P. Saharek (incorporated herein by reference to Exhibit</w:t>
        </w:r>
      </w:hyperlink>
    </w:p>
    <w:p>
      <w:pPr>
        <w:spacing w:after="0" w:line="23" w:lineRule="exact"/>
        <w:rPr>
          <w:sz w:val="20"/>
          <w:szCs w:val="20"/>
          <w:color w:val="auto"/>
        </w:rPr>
      </w:pPr>
    </w:p>
    <w:p>
      <w:pPr>
        <w:ind w:left="840"/>
        <w:spacing w:after="0"/>
        <w:rPr>
          <w:rFonts w:ascii="Arial" w:cs="Arial" w:eastAsia="Arial" w:hAnsi="Arial"/>
          <w:sz w:val="16"/>
          <w:szCs w:val="16"/>
          <w:u w:val="single" w:color="auto"/>
          <w:color w:val="0000EE"/>
        </w:rPr>
      </w:pPr>
      <w:hyperlink r:id="rId116">
        <w:r>
          <w:rPr>
            <w:rFonts w:ascii="Arial" w:cs="Arial" w:eastAsia="Arial" w:hAnsi="Arial"/>
            <w:sz w:val="16"/>
            <w:szCs w:val="16"/>
            <w:u w:val="single" w:color="auto"/>
            <w:color w:val="0000EE"/>
          </w:rPr>
          <w:t>10.3 to the Quarterly Report on Form 10-Q of Imprimis Pharmaceuticals, Inc. filed with the Securities and Exchange Commission on November</w:t>
        </w:r>
      </w:hyperlink>
    </w:p>
    <w:p>
      <w:pPr>
        <w:spacing w:after="0" w:line="32" w:lineRule="exact"/>
        <w:rPr>
          <w:sz w:val="20"/>
          <w:szCs w:val="20"/>
          <w:color w:val="auto"/>
        </w:rPr>
      </w:pPr>
    </w:p>
    <w:p>
      <w:pPr>
        <w:ind w:left="840"/>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13, 2018)</w:t>
        </w:r>
      </w:hyperlink>
    </w:p>
    <w:p>
      <w:pPr>
        <w:spacing w:after="0" w:line="211" w:lineRule="exact"/>
        <w:rPr>
          <w:sz w:val="20"/>
          <w:szCs w:val="20"/>
          <w:color w:val="auto"/>
        </w:rPr>
      </w:pPr>
    </w:p>
    <w:p>
      <w:pPr>
        <w:jc w:val="both"/>
        <w:ind w:left="840" w:right="2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10.43</w:t>
      </w:r>
      <w:r>
        <w:rPr>
          <w:sz w:val="20"/>
          <w:szCs w:val="20"/>
          <w:color w:val="auto"/>
        </w:rPr>
        <w:tab/>
      </w:r>
      <w:hyperlink r:id="rId117">
        <w:r>
          <w:rPr>
            <w:rFonts w:ascii="Arial" w:cs="Arial" w:eastAsia="Arial" w:hAnsi="Arial"/>
            <w:sz w:val="18"/>
            <w:szCs w:val="18"/>
            <w:u w:val="single" w:color="auto"/>
            <w:color w:val="0000EE"/>
          </w:rPr>
          <w:t>Asset Purchase Agreement dated December 11, 2018 between Harrow Health, Inc. (fka Imprimis Pharmaceuticals, Inc.) and Melt</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Pharmaceuticals, Inc. (incorporated herein by reference to Exhibit 10.1 to the Current Report on Form 8-K of Harrow Health, Inc. filed with the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Securities and Exchange Commission on February 5, 2019)</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r:id="rId118">
        <w:r>
          <w:rPr>
            <w:rFonts w:ascii="Arial" w:cs="Arial" w:eastAsia="Arial" w:hAnsi="Arial"/>
            <w:sz w:val="18"/>
            <w:szCs w:val="18"/>
            <w:u w:val="single" w:color="auto"/>
            <w:color w:val="0000EE"/>
          </w:rPr>
          <w:t>Asset Purchase Agreement dated February 1, 2019 between Harrow Health, Inc. and Mayfield Pharmaceuticals, Inc. (incorporated herein by</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reference to Exhibit 10.2 to the Quarterly Report on Form 10-Q of Harrow Health, Inc. filed with the Securities and Exchange Commission on</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May 9, 2019)</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119">
        <w:r>
          <w:rPr>
            <w:rFonts w:ascii="Arial" w:cs="Arial" w:eastAsia="Arial" w:hAnsi="Arial"/>
            <w:sz w:val="18"/>
            <w:szCs w:val="18"/>
            <w:u w:val="single" w:color="auto"/>
            <w:color w:val="0000EE"/>
          </w:rPr>
          <w:t>Asset Purchase Agreement dated February 1, 2019 between Harrow Health, Inc. and Elle Pharmaceuticals, Inc. (incorporated herein by</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reference to Exhibit 10.3 to the Quarterly Report on Form 10-Q of Harrow Health, Inc. filed with the Securities and Exchange Commission on</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May 9, 2019)</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10.46</w:t>
      </w:r>
      <w:r>
        <w:rPr>
          <w:sz w:val="20"/>
          <w:szCs w:val="20"/>
          <w:color w:val="auto"/>
        </w:rPr>
        <w:tab/>
      </w:r>
      <w:hyperlink r:id="rId120">
        <w:r>
          <w:rPr>
            <w:rFonts w:ascii="Arial" w:cs="Arial" w:eastAsia="Arial" w:hAnsi="Arial"/>
            <w:sz w:val="18"/>
            <w:szCs w:val="18"/>
            <w:u w:val="single" w:color="auto"/>
            <w:color w:val="0000EE"/>
          </w:rPr>
          <w:t>Joinder and First Amendment to Loan and Security Agreement, dated May 24, 2019, by and between Harrow Health, Inc., each of its wholly-</w:t>
        </w:r>
      </w:hyperlink>
      <w:hyperlink r:id="rId120">
        <w:r>
          <w:rPr>
            <w:rFonts w:ascii="Arial" w:cs="Arial" w:eastAsia="Arial" w:hAnsi="Arial"/>
            <w:sz w:val="18"/>
            <w:szCs w:val="18"/>
            <w:u w:val="single" w:color="auto"/>
            <w:color w:val="0000EE"/>
          </w:rPr>
          <w:t>owned subsidiaries and SWK Funding LLC. (incorporated herein by reference to Exhibit 10.1 to the Current Report on Form 8-K of Harrow</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Health, Inc. filed with the Securities and Exchange Commission on May 29, 2019)</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10.47#</w:t>
      </w:r>
      <w:r>
        <w:rPr>
          <w:sz w:val="20"/>
          <w:szCs w:val="20"/>
          <w:color w:val="auto"/>
        </w:rPr>
        <w:tab/>
      </w:r>
      <w:hyperlink r:id="rId121">
        <w:r>
          <w:rPr>
            <w:rFonts w:ascii="Arial" w:cs="Arial" w:eastAsia="Arial" w:hAnsi="Arial"/>
            <w:sz w:val="18"/>
            <w:szCs w:val="18"/>
            <w:u w:val="single" w:color="auto"/>
            <w:color w:val="0000EE"/>
          </w:rPr>
          <w:t>Consulting Agreement dated June 3, 2019 between Mayfield Pharmaceuticals, Inc. and Mark L. Baum (incorporated herein by reference to</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Exhibit 10.3 to the Quarterly Report on Form 10-Q of Harrow Health, Inc. filed with the Securities and Exchange Commission on August 14,</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2019)</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10.48#</w:t>
      </w:r>
      <w:r>
        <w:rPr>
          <w:sz w:val="20"/>
          <w:szCs w:val="20"/>
          <w:color w:val="auto"/>
        </w:rPr>
        <w:tab/>
      </w:r>
      <w:hyperlink r:id="rId122">
        <w:r>
          <w:rPr>
            <w:rFonts w:ascii="Arial" w:cs="Arial" w:eastAsia="Arial" w:hAnsi="Arial"/>
            <w:sz w:val="18"/>
            <w:szCs w:val="18"/>
            <w:u w:val="single" w:color="auto"/>
            <w:color w:val="0000EE"/>
          </w:rPr>
          <w:t>Consulting Agreement dated June 3, 2019 between Mayfield Pharmaceuticals, Inc. and Andrew R. Boll (incorporated herein by reference to</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Exhibit 10.2 to the Quarterly Report on Form 10-Q of Harrow Health, Inc. filed with the Securities and Exchange Commission on August 14,</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2019)</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10.49#</w:t>
      </w:r>
      <w:r>
        <w:rPr>
          <w:sz w:val="20"/>
          <w:szCs w:val="20"/>
          <w:color w:val="auto"/>
        </w:rPr>
        <w:tab/>
      </w:r>
      <w:hyperlink r:id="rId123">
        <w:r>
          <w:rPr>
            <w:rFonts w:ascii="Arial" w:cs="Arial" w:eastAsia="Arial" w:hAnsi="Arial"/>
            <w:sz w:val="18"/>
            <w:szCs w:val="18"/>
            <w:u w:val="single" w:color="auto"/>
            <w:color w:val="0000EE"/>
          </w:rPr>
          <w:t>Consulting Agreement dated June 3, 2019 between Mayfield Pharmaceuticals, Inc. and John P. Saharek (incorporated herein by reference to</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Exhibit 10.4 to the Quarterly Report on Form 10-Q of Harrow Health, Inc. filed with the Securities and Exchange Commission on August 14,</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2019)</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10.50</w:t>
      </w:r>
      <w:r>
        <w:rPr>
          <w:sz w:val="20"/>
          <w:szCs w:val="20"/>
          <w:color w:val="auto"/>
        </w:rPr>
        <w:tab/>
      </w:r>
      <w:hyperlink r:id="rId124">
        <w:r>
          <w:rPr>
            <w:rFonts w:ascii="Arial" w:cs="Arial" w:eastAsia="Arial" w:hAnsi="Arial"/>
            <w:sz w:val="18"/>
            <w:szCs w:val="18"/>
            <w:u w:val="single" w:color="auto"/>
            <w:color w:val="0000EE"/>
          </w:rPr>
          <w:t>License Agreement, dated July 28, 2019, among Mayfield Pharmaceuticals, Inc., TGV-Health, LLC and TGV-Gyneconix, LLC (incorporated</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herein by reference to Exhibit 10.3 to the Quarterly Report on Form 10-Q of Harrow Health, Inc. filed with the Securities and Exchange</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Commission on November 13, 2019)</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10.51</w:t>
      </w:r>
      <w:r>
        <w:rPr>
          <w:sz w:val="20"/>
          <w:szCs w:val="20"/>
          <w:color w:val="auto"/>
        </w:rPr>
        <w:tab/>
      </w:r>
      <w:hyperlink r:id="rId125">
        <w:r>
          <w:rPr>
            <w:rFonts w:ascii="Arial" w:cs="Arial" w:eastAsia="Arial" w:hAnsi="Arial"/>
            <w:sz w:val="18"/>
            <w:szCs w:val="18"/>
            <w:u w:val="single" w:color="auto"/>
            <w:color w:val="0000EE"/>
          </w:rPr>
          <w:t>License Agreement, dated July 29, 2019, among Stowe Pharmaceuticals, Inc., TGV-Health, LLC and TGV-Ophthalnix, LLC (incorporated</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herein by reference to Exhibit 10.4 to the Quarterly Report on Form 10-Q of Harrow Health, Inc. filed with the Securities and Exchange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Commission on November 13, 2019)</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10.52#</w:t>
      </w:r>
      <w:r>
        <w:rPr>
          <w:sz w:val="20"/>
          <w:szCs w:val="20"/>
          <w:color w:val="auto"/>
        </w:rPr>
        <w:tab/>
      </w:r>
      <w:hyperlink r:id="rId126">
        <w:r>
          <w:rPr>
            <w:rFonts w:ascii="Arial" w:cs="Arial" w:eastAsia="Arial" w:hAnsi="Arial"/>
            <w:sz w:val="18"/>
            <w:szCs w:val="18"/>
            <w:u w:val="single" w:color="auto"/>
            <w:color w:val="0000EE"/>
          </w:rPr>
          <w:t>Consulting Agreement dated February 13, 2020 between Stowe Pharmaceuticals, Inc. and Mark L. Baum (incorporated herein by reference to</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Exhibit 10.64 to the Annual Report on Form 10-K of Harrow Health, Inc. filed with the Securities and Exchange Commission on March 13,</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2020)</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10.53#</w:t>
      </w:r>
      <w:r>
        <w:rPr>
          <w:sz w:val="20"/>
          <w:szCs w:val="20"/>
          <w:color w:val="auto"/>
        </w:rPr>
        <w:tab/>
      </w:r>
      <w:hyperlink r:id="rId127">
        <w:r>
          <w:rPr>
            <w:rFonts w:ascii="Arial" w:cs="Arial" w:eastAsia="Arial" w:hAnsi="Arial"/>
            <w:sz w:val="18"/>
            <w:szCs w:val="18"/>
            <w:u w:val="single" w:color="auto"/>
            <w:color w:val="0000EE"/>
          </w:rPr>
          <w:t>Consulting Agreement dated February 13, 2020 between Stowe Pharmaceuticals, Inc. and Andrew R. Boll (incorporated herein by reference to</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Exhibit 10.65 to the Annual Report on Form 10-K of Harrow Health, Inc. filed with the Securities and Exchange Commission on March 13,</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2020)</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10.54#</w:t>
      </w:r>
      <w:r>
        <w:rPr>
          <w:sz w:val="20"/>
          <w:szCs w:val="20"/>
          <w:color w:val="auto"/>
        </w:rPr>
        <w:tab/>
      </w:r>
      <w:hyperlink r:id="rId128">
        <w:r>
          <w:rPr>
            <w:rFonts w:ascii="Arial" w:cs="Arial" w:eastAsia="Arial" w:hAnsi="Arial"/>
            <w:sz w:val="18"/>
            <w:szCs w:val="18"/>
            <w:u w:val="single" w:color="auto"/>
            <w:color w:val="0000EE"/>
          </w:rPr>
          <w:t>Consulting Agreement dated February 13, 2020 between Stowe Pharmaceuticals, Inc. and John P. Saharek (incorporated herein by reference to</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Exhibit 10.66 to the Annual Report on Form 10-K of Harrow Health, Inc. filed with the Securities and Exchange Commission on March 13,</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2020)</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10.55</w:t>
      </w:r>
      <w:r>
        <w:rPr>
          <w:sz w:val="20"/>
          <w:szCs w:val="20"/>
          <w:color w:val="auto"/>
        </w:rPr>
        <w:tab/>
      </w:r>
      <w:hyperlink r:id="rId129">
        <w:r>
          <w:rPr>
            <w:rFonts w:ascii="Arial" w:cs="Arial" w:eastAsia="Arial" w:hAnsi="Arial"/>
            <w:sz w:val="18"/>
            <w:szCs w:val="18"/>
            <w:u w:val="single" w:color="auto"/>
            <w:color w:val="0000EE"/>
          </w:rPr>
          <w:t>Second Amendment, dated as of April 1, 2020, to the Loan and Security Agreement by and among Harrow Health, Inc., several of its wholly-</w:t>
        </w:r>
      </w:hyperlink>
      <w:hyperlink r:id="rId129">
        <w:r>
          <w:rPr>
            <w:rFonts w:ascii="Arial" w:cs="Arial" w:eastAsia="Arial" w:hAnsi="Arial"/>
            <w:sz w:val="18"/>
            <w:szCs w:val="18"/>
            <w:u w:val="single" w:color="auto"/>
            <w:color w:val="0000EE"/>
          </w:rPr>
          <w:t>owned subsidiaries and the Lenders named therein (incorporated herein by reference to Exhibit 10.1 to the Current Report on Form 8-K of</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Harrow Health, Inc. filed with the Securities and Exchange Commission on April 4, 2020)</w:t>
        </w:r>
      </w:hyperlink>
    </w:p>
    <w:p>
      <w:pPr>
        <w:spacing w:after="0" w:line="184"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10.56</w:t>
      </w:r>
      <w:r>
        <w:rPr>
          <w:sz w:val="20"/>
          <w:szCs w:val="20"/>
          <w:color w:val="auto"/>
        </w:rPr>
        <w:tab/>
      </w:r>
      <w:hyperlink r:id="rId130">
        <w:r>
          <w:rPr>
            <w:rFonts w:ascii="Arial" w:cs="Arial" w:eastAsia="Arial" w:hAnsi="Arial"/>
            <w:sz w:val="18"/>
            <w:szCs w:val="18"/>
            <w:u w:val="single" w:color="auto"/>
            <w:color w:val="0000EE"/>
          </w:rPr>
          <w:t>Business Loan Agreement with Renasant Bank pursuant to the Paycheck Protection Program, dated April 27, 2020 (incorporated herein by</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reference to Exhibit 10.1 to the Quarterly Report on Form 10-Q of Harrow Health, Inc. filed with the Securities and Exchange Commission 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August 10, 2020)</w:t>
        </w:r>
      </w:hyperlink>
    </w:p>
    <w:p>
      <w:pPr>
        <w:spacing w:after="0" w:line="184" w:lineRule="exact"/>
        <w:rPr>
          <w:rFonts w:ascii="Arial" w:cs="Arial" w:eastAsia="Arial" w:hAnsi="Arial"/>
          <w:sz w:val="18"/>
          <w:szCs w:val="18"/>
          <w:u w:val="single" w:color="auto"/>
          <w:color w:val="0000EE"/>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10.57#*</w:t>
      </w:r>
      <w:r>
        <w:rPr>
          <w:sz w:val="20"/>
          <w:szCs w:val="20"/>
          <w:color w:val="auto"/>
        </w:rPr>
        <w:tab/>
      </w:r>
      <w:hyperlink w:anchor="page96">
        <w:r>
          <w:rPr>
            <w:rFonts w:ascii="Arial" w:cs="Arial" w:eastAsia="Arial" w:hAnsi="Arial"/>
            <w:sz w:val="16"/>
            <w:szCs w:val="16"/>
            <w:u w:val="single" w:color="auto"/>
            <w:color w:val="0000EE"/>
          </w:rPr>
          <w:t>Consulting Agreement dated July 1, 2020 between Visionology, Inc. and Mark L. Baum</w:t>
        </w:r>
      </w:hyperlink>
    </w:p>
    <w:p>
      <w:pPr>
        <w:spacing w:after="0" w:line="225" w:lineRule="exact"/>
        <w:rPr>
          <w:rFonts w:ascii="Arial" w:cs="Arial" w:eastAsia="Arial" w:hAnsi="Arial"/>
          <w:sz w:val="18"/>
          <w:szCs w:val="18"/>
          <w:u w:val="single" w:color="auto"/>
          <w:color w:val="0000EE"/>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10.58#*</w:t>
      </w:r>
      <w:r>
        <w:rPr>
          <w:sz w:val="20"/>
          <w:szCs w:val="20"/>
          <w:color w:val="auto"/>
        </w:rPr>
        <w:tab/>
      </w:r>
      <w:hyperlink w:anchor="page107">
        <w:r>
          <w:rPr>
            <w:rFonts w:ascii="Arial" w:cs="Arial" w:eastAsia="Arial" w:hAnsi="Arial"/>
            <w:sz w:val="16"/>
            <w:szCs w:val="16"/>
            <w:u w:val="single" w:color="auto"/>
            <w:color w:val="0000EE"/>
          </w:rPr>
          <w:t>Consulting Agreement dated July 1, 2020 between Visionology, Inc. and Andrew R. Boll</w:t>
        </w:r>
      </w:hyperlink>
    </w:p>
    <w:p>
      <w:pPr>
        <w:spacing w:after="0" w:line="225" w:lineRule="exact"/>
        <w:rPr>
          <w:rFonts w:ascii="Arial" w:cs="Arial" w:eastAsia="Arial" w:hAnsi="Arial"/>
          <w:sz w:val="18"/>
          <w:szCs w:val="18"/>
          <w:u w:val="single" w:color="auto"/>
          <w:color w:val="0000EE"/>
        </w:rPr>
      </w:pPr>
    </w:p>
    <w:p>
      <w:pPr>
        <w:jc w:val="both"/>
        <w:ind w:left="8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10.59++</w:t>
      </w:r>
      <w:r>
        <w:rPr>
          <w:sz w:val="20"/>
          <w:szCs w:val="20"/>
          <w:color w:val="auto"/>
        </w:rPr>
        <w:tab/>
      </w:r>
      <w:hyperlink r:id="rId131">
        <w:r>
          <w:rPr>
            <w:rFonts w:ascii="Arial" w:cs="Arial" w:eastAsia="Arial" w:hAnsi="Arial"/>
            <w:sz w:val="18"/>
            <w:szCs w:val="18"/>
            <w:u w:val="single" w:color="auto"/>
            <w:color w:val="0000EE"/>
          </w:rPr>
          <w:t>Commercial Alliance Agreement between Eyepoint Pharmaceuticals, Inc. and ImprimisRx, LLC dated August 1, 2020. (incorporated herein by</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reference to Exhibit 10.1 to Quarterly Report on Form 10-Q of Harrow Health, Inc. filed with the Securities and Exchange Commission on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November 9, 2020)</w:t>
        </w:r>
      </w:hyperlink>
    </w:p>
    <w:p>
      <w:pPr>
        <w:spacing w:after="0" w:line="184" w:lineRule="exact"/>
        <w:rPr>
          <w:rFonts w:ascii="Arial" w:cs="Arial" w:eastAsia="Arial" w:hAnsi="Arial"/>
          <w:sz w:val="18"/>
          <w:szCs w:val="18"/>
          <w:u w:val="single" w:color="auto"/>
          <w:color w:val="0000EE"/>
        </w:rPr>
      </w:pPr>
    </w:p>
    <w:p>
      <w:pPr>
        <w:spacing w:after="0"/>
        <w:rPr>
          <w:rFonts w:ascii="Arial" w:cs="Arial" w:eastAsia="Arial" w:hAnsi="Arial"/>
          <w:sz w:val="17"/>
          <w:szCs w:val="17"/>
          <w:color w:val="auto"/>
        </w:rPr>
      </w:pPr>
      <w:r>
        <w:rPr>
          <w:rFonts w:ascii="Arial" w:cs="Arial" w:eastAsia="Arial" w:hAnsi="Arial"/>
          <w:sz w:val="17"/>
          <w:szCs w:val="17"/>
          <w:color w:val="auto"/>
        </w:rPr>
        <w:t xml:space="preserve">10.60*++  </w:t>
      </w:r>
      <w:hyperlink w:anchor="page118">
        <w:r>
          <w:rPr>
            <w:rFonts w:ascii="Arial" w:cs="Arial" w:eastAsia="Arial" w:hAnsi="Arial"/>
            <w:sz w:val="17"/>
            <w:szCs w:val="17"/>
            <w:u w:val="single" w:color="auto"/>
            <w:color w:val="0000EE"/>
          </w:rPr>
          <w:t>First Amendment to Commercial Alliance Agreement between Eyepoint Pharmaceuticals, Inc. and ImprimisRx, LLC dated November 13,</w:t>
        </w:r>
      </w:hyperlink>
    </w:p>
    <w:p>
      <w:pPr>
        <w:spacing w:after="0" w:line="35" w:lineRule="exact"/>
        <w:rPr>
          <w:rFonts w:ascii="Arial" w:cs="Arial" w:eastAsia="Arial" w:hAnsi="Arial"/>
          <w:sz w:val="18"/>
          <w:szCs w:val="18"/>
          <w:u w:val="single" w:color="auto"/>
          <w:color w:val="0000EE"/>
        </w:rPr>
      </w:pPr>
    </w:p>
    <w:p>
      <w:pPr>
        <w:ind w:left="84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2020.</w:t>
        </w:r>
      </w:hyperlink>
    </w:p>
    <w:p>
      <w:pPr>
        <w:spacing w:after="0" w:line="211" w:lineRule="exact"/>
        <w:rPr>
          <w:rFonts w:ascii="Arial" w:cs="Arial" w:eastAsia="Arial" w:hAnsi="Arial"/>
          <w:sz w:val="18"/>
          <w:szCs w:val="18"/>
          <w:u w:val="single" w:color="auto"/>
          <w:color w:val="0000EE"/>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122">
        <w:r>
          <w:rPr>
            <w:rFonts w:ascii="Arial" w:cs="Arial" w:eastAsia="Arial" w:hAnsi="Arial"/>
            <w:sz w:val="16"/>
            <w:szCs w:val="16"/>
            <w:u w:val="single" w:color="auto"/>
            <w:color w:val="0000EE"/>
          </w:rPr>
          <w:t>List of Subsidiaries</w:t>
        </w:r>
      </w:hyperlink>
    </w:p>
    <w:p>
      <w:pPr>
        <w:spacing w:after="0" w:line="22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2">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8" w:orient="portrait"/>
          <w:cols w:equalWidth="0" w:num="1">
            <w:col w:w="11240"/>
          </w:cols>
          <w:pgMar w:left="320" w:top="692" w:right="33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340" w:type="dxa"/>
            <w:vAlign w:val="bottom"/>
            <w:gridSpan w:val="5"/>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Consent of Independent Registered Public Accounting Firm</w:t>
              </w:r>
            </w:hyperlink>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24.1*</w:t>
            </w:r>
          </w:p>
        </w:tc>
        <w:tc>
          <w:tcPr>
            <w:tcW w:w="10340" w:type="dxa"/>
            <w:vAlign w:val="bottom"/>
            <w:gridSpan w:val="5"/>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Power of Attorney (included on the signature page to this Annual Report)</w:t>
              </w:r>
            </w:hyperlink>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Certification of Mark L. Baum, Chief Executive Officer, pursuant to Rule 13a-14(a) or 15d-14(a) of the Securities and Exchange Act of 1934,</w:t>
              </w:r>
            </w:hyperlink>
          </w:p>
        </w:tc>
      </w:tr>
      <w:tr>
        <w:trPr>
          <w:trHeight w:val="196"/>
        </w:trPr>
        <w:tc>
          <w:tcPr>
            <w:tcW w:w="900" w:type="dxa"/>
            <w:vAlign w:val="bottom"/>
          </w:tcPr>
          <w:p>
            <w:pPr>
              <w:spacing w:after="0"/>
              <w:rPr>
                <w:sz w:val="17"/>
                <w:szCs w:val="17"/>
                <w:color w:val="auto"/>
              </w:rPr>
            </w:pPr>
          </w:p>
        </w:tc>
        <w:tc>
          <w:tcPr>
            <w:tcW w:w="51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as adopted pursuant to Section 302 of the Sarbanes-Oxley Act of 2002.</w:t>
              </w:r>
            </w:hyperlink>
          </w:p>
        </w:tc>
        <w:tc>
          <w:tcPr>
            <w:tcW w:w="5220" w:type="dxa"/>
            <w:vAlign w:val="bottom"/>
            <w:gridSpan w:val="2"/>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gridSpan w:val="5"/>
          </w:tcPr>
          <w:p>
            <w:pPr>
              <w:spacing w:after="0"/>
              <w:rPr>
                <w:rFonts w:ascii="Arial" w:cs="Arial" w:eastAsia="Arial" w:hAnsi="Arial"/>
                <w:sz w:val="18"/>
                <w:szCs w:val="18"/>
                <w:color w:val="0000EE"/>
                <w:w w:val="92"/>
              </w:rPr>
            </w:pPr>
            <w:hyperlink w:anchor="page125">
              <w:r>
                <w:rPr>
                  <w:rFonts w:ascii="Arial" w:cs="Arial" w:eastAsia="Arial" w:hAnsi="Arial"/>
                  <w:sz w:val="18"/>
                  <w:szCs w:val="18"/>
                  <w:color w:val="0000EE"/>
                  <w:w w:val="92"/>
                </w:rPr>
                <w:t>Certification of Andrew R. Boll, Chief Financial Officer, pursuant to Rule 13a-14(a) or 15d-14(a) of the Securities and Exchange Act of 1934,</w:t>
              </w:r>
            </w:hyperlink>
          </w:p>
        </w:tc>
      </w:tr>
      <w:tr>
        <w:trPr>
          <w:trHeight w:val="196"/>
        </w:trPr>
        <w:tc>
          <w:tcPr>
            <w:tcW w:w="90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as adopted pursuant to Section 302 of the Sarbanes-Oxley Act of 2002.</w:t>
              </w:r>
            </w:hyperlink>
          </w:p>
        </w:tc>
        <w:tc>
          <w:tcPr>
            <w:tcW w:w="5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26">
              <w:r>
                <w:rPr>
                  <w:rFonts w:ascii="Arial" w:cs="Arial" w:eastAsia="Arial" w:hAnsi="Arial"/>
                  <w:sz w:val="18"/>
                  <w:szCs w:val="18"/>
                  <w:color w:val="0000EE"/>
                  <w:w w:val="91"/>
                </w:rPr>
                <w:t>Certification pursuant to 18 U.S.C. Section 1350, as adopted pursuant to Section 906 of the Sarbanes-Oxley Act of 2002, executed by Mark L.</w:t>
              </w:r>
            </w:hyperlink>
          </w:p>
        </w:tc>
      </w:tr>
      <w:tr>
        <w:trPr>
          <w:trHeight w:val="196"/>
        </w:trPr>
        <w:tc>
          <w:tcPr>
            <w:tcW w:w="900" w:type="dxa"/>
            <w:vAlign w:val="bottom"/>
          </w:tcPr>
          <w:p>
            <w:pPr>
              <w:spacing w:after="0"/>
              <w:rPr>
                <w:sz w:val="17"/>
                <w:szCs w:val="17"/>
                <w:color w:val="auto"/>
              </w:rPr>
            </w:pPr>
          </w:p>
        </w:tc>
        <w:tc>
          <w:tcPr>
            <w:tcW w:w="228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Baum, Chief Executive Officer.</w:t>
              </w:r>
            </w:hyperlink>
          </w:p>
        </w:tc>
        <w:tc>
          <w:tcPr>
            <w:tcW w:w="8060" w:type="dxa"/>
            <w:vAlign w:val="bottom"/>
            <w:gridSpan w:val="4"/>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Certification pursuant to 18 U.S.C. Section 1350, as adopted pursuant to Section 906 of the Sarbanes-Oxley Act of 2002, executed by Andrew</w:t>
              </w:r>
            </w:hyperlink>
          </w:p>
        </w:tc>
      </w:tr>
      <w:tr>
        <w:trPr>
          <w:trHeight w:val="196"/>
        </w:trPr>
        <w:tc>
          <w:tcPr>
            <w:tcW w:w="90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R. Boll, Chief Financial Officer.</w:t>
              </w:r>
            </w:hyperlink>
          </w:p>
        </w:tc>
        <w:tc>
          <w:tcPr>
            <w:tcW w:w="8020" w:type="dxa"/>
            <w:vAlign w:val="bottom"/>
            <w:gridSpan w:val="3"/>
          </w:tcPr>
          <w:p>
            <w:pPr>
              <w:spacing w:after="0"/>
              <w:rPr>
                <w:sz w:val="17"/>
                <w:szCs w:val="17"/>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5"/>
          </w:tcPr>
          <w:p>
            <w:pPr>
              <w:spacing w:after="0"/>
              <w:rPr>
                <w:sz w:val="20"/>
                <w:szCs w:val="20"/>
                <w:color w:val="auto"/>
              </w:rPr>
            </w:pPr>
            <w:r>
              <w:rPr>
                <w:rFonts w:ascii="Arial" w:cs="Arial" w:eastAsia="Arial" w:hAnsi="Arial"/>
                <w:sz w:val="18"/>
                <w:szCs w:val="18"/>
                <w:color w:val="auto"/>
                <w:w w:val="91"/>
              </w:rPr>
              <w:t>XBRL Instant Document - the instance document does not appear in the Interactive Data File because its XBRL tags are embedded within the</w:t>
            </w:r>
          </w:p>
        </w:tc>
      </w:tr>
      <w:tr>
        <w:trPr>
          <w:trHeight w:val="230"/>
        </w:trPr>
        <w:tc>
          <w:tcPr>
            <w:tcW w:w="900" w:type="dxa"/>
            <w:vAlign w:val="bottom"/>
          </w:tcPr>
          <w:p>
            <w:pPr>
              <w:spacing w:after="0"/>
              <w:rPr>
                <w:sz w:val="20"/>
                <w:szCs w:val="20"/>
                <w:color w:val="auto"/>
              </w:rPr>
            </w:pPr>
          </w:p>
        </w:tc>
        <w:tc>
          <w:tcPr>
            <w:tcW w:w="10340" w:type="dxa"/>
            <w:vAlign w:val="bottom"/>
            <w:gridSpan w:val="5"/>
          </w:tcPr>
          <w:p>
            <w:pPr>
              <w:spacing w:after="0"/>
              <w:rPr>
                <w:sz w:val="20"/>
                <w:szCs w:val="20"/>
                <w:color w:val="auto"/>
              </w:rPr>
            </w:pPr>
            <w:r>
              <w:rPr>
                <w:rFonts w:ascii="Arial" w:cs="Arial" w:eastAsia="Arial" w:hAnsi="Arial"/>
                <w:sz w:val="18"/>
                <w:szCs w:val="18"/>
                <w:color w:val="auto"/>
              </w:rPr>
              <w:t>Inline XBRL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gridSpan w:val="5"/>
          </w:tcPr>
          <w:p>
            <w:pPr>
              <w:spacing w:after="0"/>
              <w:rPr>
                <w:sz w:val="20"/>
                <w:szCs w:val="20"/>
                <w:color w:val="auto"/>
              </w:rPr>
            </w:pPr>
            <w:r>
              <w:rPr>
                <w:rFonts w:ascii="Arial" w:cs="Arial" w:eastAsia="Arial" w:hAnsi="Arial"/>
                <w:sz w:val="18"/>
                <w:szCs w:val="18"/>
                <w:color w:val="auto"/>
                <w:w w:val="92"/>
              </w:rPr>
              <w:t>The cover page from the Company’s Annual Report on Form 10-K for the year ended December 31, 2020 has been formatted in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6560" w:firstLine="8"/>
        <w:spacing w:after="0" w:line="258"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9" w:lineRule="exact"/>
        <w:rPr>
          <w:rFonts w:ascii="Arial" w:cs="Arial" w:eastAsia="Arial" w:hAnsi="Arial"/>
          <w:sz w:val="18"/>
          <w:szCs w:val="18"/>
          <w:color w:val="auto"/>
        </w:rPr>
      </w:pPr>
    </w:p>
    <w:p>
      <w:pPr>
        <w:ind w:left="340" w:hanging="324"/>
        <w:spacing w:after="0" w:line="250" w:lineRule="auto"/>
        <w:rPr>
          <w:rFonts w:ascii="Arial" w:cs="Arial" w:eastAsia="Arial" w:hAnsi="Arial"/>
          <w:sz w:val="18"/>
          <w:szCs w:val="18"/>
          <w:color w:val="auto"/>
        </w:rPr>
      </w:pPr>
      <w:r>
        <w:rPr>
          <w:rFonts w:ascii="Arial" w:cs="Arial" w:eastAsia="Arial" w:hAnsi="Arial"/>
          <w:sz w:val="18"/>
          <w:szCs w:val="18"/>
          <w:color w:val="auto"/>
        </w:rPr>
        <w:t>+ 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Portions of this exhibit have been omitted in compliance with item 601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8,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r>
      <w:tr>
        <w:trPr>
          <w:trHeight w:val="453"/>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20" w:type="dxa"/>
            <w:vAlign w:val="bottom"/>
          </w:tcPr>
          <w:p>
            <w:pPr>
              <w:spacing w:after="0"/>
              <w:rPr>
                <w:sz w:val="24"/>
                <w:szCs w:val="24"/>
                <w:color w:val="auto"/>
              </w:rPr>
            </w:pPr>
          </w:p>
        </w:tc>
        <w:tc>
          <w:tcPr>
            <w:tcW w:w="59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Director</w:t>
            </w:r>
          </w:p>
        </w:tc>
        <w:tc>
          <w:tcPr>
            <w:tcW w:w="224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Mark L. Baum</w:t>
            </w:r>
          </w:p>
        </w:tc>
        <w:tc>
          <w:tcPr>
            <w:tcW w:w="220" w:type="dxa"/>
            <w:vAlign w:val="bottom"/>
          </w:tcPr>
          <w:p>
            <w:pPr>
              <w:spacing w:after="0"/>
              <w:rPr>
                <w:sz w:val="20"/>
                <w:szCs w:val="20"/>
                <w:color w:val="auto"/>
              </w:rPr>
            </w:pPr>
          </w:p>
        </w:tc>
        <w:tc>
          <w:tcPr>
            <w:tcW w:w="596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(Principal Executive Officer)</w:t>
            </w:r>
          </w:p>
        </w:tc>
        <w:tc>
          <w:tcPr>
            <w:tcW w:w="2240" w:type="dxa"/>
            <w:vAlign w:val="bottom"/>
          </w:tcPr>
          <w:p>
            <w:pPr>
              <w:spacing w:after="0"/>
              <w:rPr>
                <w:sz w:val="20"/>
                <w:szCs w:val="20"/>
                <w:color w:val="auto"/>
              </w:rPr>
            </w:pPr>
          </w:p>
        </w:tc>
      </w:tr>
      <w:tr>
        <w:trPr>
          <w:trHeight w:val="452"/>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20" w:type="dxa"/>
            <w:vAlign w:val="bottom"/>
          </w:tcPr>
          <w:p>
            <w:pPr>
              <w:spacing w:after="0"/>
              <w:rPr>
                <w:sz w:val="24"/>
                <w:szCs w:val="24"/>
                <w:color w:val="auto"/>
              </w:rPr>
            </w:pPr>
          </w:p>
        </w:tc>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224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Andrew R. Boll</w:t>
            </w:r>
          </w:p>
        </w:tc>
        <w:tc>
          <w:tcPr>
            <w:tcW w:w="220" w:type="dxa"/>
            <w:vAlign w:val="bottom"/>
          </w:tcPr>
          <w:p>
            <w:pPr>
              <w:spacing w:after="0"/>
              <w:rPr>
                <w:sz w:val="20"/>
                <w:szCs w:val="20"/>
                <w:color w:val="auto"/>
              </w:rPr>
            </w:pPr>
          </w:p>
        </w:tc>
        <w:tc>
          <w:tcPr>
            <w:tcW w:w="59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2240" w:type="dxa"/>
            <w:vAlign w:val="bottom"/>
          </w:tcPr>
          <w:p>
            <w:pPr>
              <w:spacing w:after="0"/>
              <w:rPr>
                <w:sz w:val="20"/>
                <w:szCs w:val="20"/>
                <w:color w:val="auto"/>
              </w:rPr>
            </w:pPr>
          </w:p>
        </w:tc>
      </w:tr>
      <w:tr>
        <w:trPr>
          <w:trHeight w:val="452"/>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20" w:type="dxa"/>
            <w:vAlign w:val="bottom"/>
          </w:tcPr>
          <w:p>
            <w:pPr>
              <w:spacing w:after="0"/>
              <w:rPr>
                <w:sz w:val="24"/>
                <w:szCs w:val="24"/>
                <w:color w:val="auto"/>
              </w:rPr>
            </w:pPr>
          </w:p>
        </w:tc>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Chairman of the Board of Directors</w:t>
            </w:r>
          </w:p>
        </w:tc>
        <w:tc>
          <w:tcPr>
            <w:tcW w:w="224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Robert J. Kammer</w:t>
            </w:r>
          </w:p>
        </w:tc>
        <w:tc>
          <w:tcPr>
            <w:tcW w:w="2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Teresa F. Sparks</w:t>
            </w:r>
          </w:p>
        </w:tc>
        <w:tc>
          <w:tcPr>
            <w:tcW w:w="220" w:type="dxa"/>
            <w:vAlign w:val="bottom"/>
          </w:tcPr>
          <w:p>
            <w:pPr>
              <w:spacing w:after="0"/>
              <w:rPr>
                <w:sz w:val="24"/>
                <w:szCs w:val="24"/>
                <w:color w:val="auto"/>
              </w:rPr>
            </w:pPr>
          </w:p>
        </w:tc>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Teresa F. Sparks</w:t>
            </w:r>
          </w:p>
        </w:tc>
        <w:tc>
          <w:tcPr>
            <w:tcW w:w="2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20" w:type="dxa"/>
            <w:vAlign w:val="bottom"/>
          </w:tcPr>
          <w:p>
            <w:pPr>
              <w:spacing w:after="0"/>
              <w:rPr>
                <w:sz w:val="24"/>
                <w:szCs w:val="24"/>
                <w:color w:val="auto"/>
              </w:rPr>
            </w:pPr>
          </w:p>
        </w:tc>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Richard L. Lindstrom</w:t>
            </w:r>
          </w:p>
        </w:tc>
        <w:tc>
          <w:tcPr>
            <w:tcW w:w="2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 Lawrence Van Horn</w:t>
            </w:r>
          </w:p>
        </w:tc>
        <w:tc>
          <w:tcPr>
            <w:tcW w:w="220" w:type="dxa"/>
            <w:vAlign w:val="bottom"/>
          </w:tcPr>
          <w:p>
            <w:pPr>
              <w:spacing w:after="0"/>
              <w:rPr>
                <w:sz w:val="24"/>
                <w:szCs w:val="24"/>
                <w:color w:val="auto"/>
              </w:rPr>
            </w:pPr>
          </w:p>
        </w:tc>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R. Lawrence Van Horn</w:t>
            </w:r>
          </w:p>
        </w:tc>
        <w:tc>
          <w:tcPr>
            <w:tcW w:w="2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jc w:val="right"/>
              <w:ind w:right="297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jc w:val="center"/>
              <w:ind w:left="2010"/>
              <w:spacing w:after="0"/>
              <w:rPr>
                <w:sz w:val="20"/>
                <w:szCs w:val="20"/>
                <w:color w:val="auto"/>
              </w:rPr>
            </w:pPr>
            <w:r>
              <w:rPr>
                <w:rFonts w:ascii="Arial" w:cs="Arial" w:eastAsia="Arial" w:hAnsi="Arial"/>
                <w:sz w:val="18"/>
                <w:szCs w:val="18"/>
                <w:b w:val="1"/>
                <w:bCs w:val="1"/>
                <w:color w:val="auto"/>
                <w:w w:val="99"/>
              </w:rPr>
              <w:t>FINANCIAL STATEMENTS</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40" w:type="dxa"/>
            <w:vAlign w:val="bottom"/>
          </w:tcPr>
          <w:p>
            <w:pPr>
              <w:jc w:val="center"/>
              <w:ind w:left="2010"/>
              <w:spacing w:after="0"/>
              <w:rPr>
                <w:sz w:val="20"/>
                <w:szCs w:val="20"/>
                <w:color w:val="auto"/>
              </w:rPr>
            </w:pPr>
            <w:r>
              <w:rPr>
                <w:rFonts w:ascii="Arial" w:cs="Arial" w:eastAsia="Arial" w:hAnsi="Arial"/>
                <w:sz w:val="18"/>
                <w:szCs w:val="18"/>
                <w:b w:val="1"/>
                <w:bCs w:val="1"/>
                <w:color w:val="auto"/>
                <w:w w:val="95"/>
              </w:rPr>
              <w:t>Harrow Health, Inc.</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40" w:type="dxa"/>
            <w:vAlign w:val="bottom"/>
          </w:tcPr>
          <w:p>
            <w:pPr>
              <w:jc w:val="center"/>
              <w:ind w:left="201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Report of Independent Registered Public Accounting Firm</w:t>
              </w:r>
            </w:hyperlink>
          </w:p>
        </w:tc>
        <w:tc>
          <w:tcPr>
            <w:tcW w:w="210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81"/>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Balance Sheets at December 31, 2020 and 2019</w:t>
              </w:r>
            </w:hyperlink>
          </w:p>
        </w:tc>
        <w:tc>
          <w:tcPr>
            <w:tcW w:w="210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81"/>
              </w:rPr>
              <w:t>F-3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Operations for the years ended December 31, 2020 and 2019</w:t>
              </w:r>
            </w:hyperlink>
          </w:p>
        </w:tc>
        <w:tc>
          <w:tcPr>
            <w:tcW w:w="210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81"/>
              </w:rPr>
              <w:t>F-4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Statements of Stockholders’ Equity for the years ended December 31, 2020 and 2019</w:t>
              </w:r>
            </w:hyperlink>
          </w:p>
        </w:tc>
        <w:tc>
          <w:tcPr>
            <w:tcW w:w="210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81"/>
              </w:rPr>
              <w:t>F-5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Statements of Cash Flows for the years ended December 31, 2020 and 2019</w:t>
              </w:r>
            </w:hyperlink>
          </w:p>
        </w:tc>
        <w:tc>
          <w:tcPr>
            <w:tcW w:w="210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81"/>
              </w:rPr>
              <w:t>F-6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Notes to the Consolidated Financial Statements</w:t>
              </w:r>
            </w:hyperlink>
          </w:p>
        </w:tc>
        <w:tc>
          <w:tcPr>
            <w:tcW w:w="210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81"/>
              </w:rPr>
              <w:t>F-7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color w:val="auto"/>
                <w:w w:val="88"/>
              </w:rPr>
              <w:t>F-1</w:t>
            </w:r>
          </w:p>
        </w:tc>
        <w:tc>
          <w:tcPr>
            <w:tcW w:w="2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59" w:name="page60"/>
    <w:bookmarkEnd w:id="59"/>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Harrow Health, Inc. and subsidiaries (the “Company”) as of December 31, 2020 and 2019, the related consolidated statements of operations, stockholders’ equity and cash flows for each of the two years in the period ended December 31, 2020, and the related notes (collectively referred to as the “consolidated financial statements”). In our opinion, the consolidated financial statements referred to above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 Modified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further in Note 14 to the consolidated financial statements, during the year ended December 31, 2020, the Company amended an employee option to purchase 600,000 shares of the Company’s common stock, which is subject to the satisfaction of certain market-based vesting criteria, by extending the vesting term and contractual term. Management performed a valuation of the stock option at the date of modification with the assistance of a third-party valuation specialist, which involved estimation of the fair value of the modified option. The Company estimated the fair value of the modified stock option using the Monte-Carlo simulation and Black-Scholes option pricing models.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Auditing management’s valuation of the modified stock option required auditor judgment and required a high degree of subjectivity as estimates underlying the determination of fair value were based on various inputs and significant assumptions used in the Monte-Carlo simulation and Black-Scholes option pricing models, including the probability of triggering the market-based targets, and the number of shares to be vested.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audit procedures included, among others, reading the relevant Board of Directors minutes and modified stock option agreement for accuracy and completeness of the modified stock option terms. We involved our valuation specialist to assist in the evaluation of the Company’s determination of the fair value of the modified stock option, which included testing the appropriateness of the methodologies and underlying assumptions used, and whether the methods used for determining fair value were applied consistently with the valuation of similar grants in prior periods. We evaluated the significant assumptions used by management to calculate the fair value of the modified stock option, which included the expected option term and an independent calculation of the expected volatility based upon actual historical stock price movements over a period equal to the expected option term. We developed an independent estimate of the fair value for the modified stock option with the assistance of our valuation specialist and compared our estimate of fair value to the fair value determined by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15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4,301</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28,455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25,200</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3,301</w:t>
            </w:r>
          </w:p>
        </w:tc>
      </w:tr>
      <w:tr>
        <w:trPr>
          <w:trHeight w:val="24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r>
      <w:tr>
        <w:trPr>
          <w:trHeight w:val="203"/>
        </w:trPr>
        <w:tc>
          <w:tcPr>
            <w:tcW w:w="66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40,131</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36,045</w:t>
            </w:r>
          </w:p>
        </w:tc>
        <w:tc>
          <w:tcPr>
            <w:tcW w:w="100" w:type="dxa"/>
            <w:vAlign w:val="bottom"/>
            <w:tcBorders>
              <w:top w:val="single" w:sz="8" w:color="CCEEFF"/>
            </w:tcBorders>
          </w:tcPr>
          <w:p>
            <w:pPr>
              <w:spacing w:after="0"/>
              <w:rPr>
                <w:sz w:val="17"/>
                <w:szCs w:val="17"/>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6,799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6,559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Investment in Surface Ophthalmics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3,747</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w:t>
            </w: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30"/>
        </w:trPr>
        <w:tc>
          <w:tcPr>
            <w:tcW w:w="6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3,932</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r>
      <w:tr>
        <w:trPr>
          <w:trHeight w:val="24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Current portion of paycheck protection program loan payable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loan payable, net of unamortized debt discount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2,639</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r>
      <w:tr>
        <w:trPr>
          <w:trHeight w:val="243"/>
        </w:trPr>
        <w:tc>
          <w:tcPr>
            <w:tcW w:w="666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r>
      <w:tr>
        <w:trPr>
          <w:trHeight w:val="25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03"/>
        </w:trPr>
        <w:tc>
          <w:tcPr>
            <w:tcW w:w="66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10,799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12,284</w:t>
            </w:r>
          </w:p>
        </w:tc>
        <w:tc>
          <w:tcPr>
            <w:tcW w:w="100" w:type="dxa"/>
            <w:vAlign w:val="bottom"/>
            <w:tcBorders>
              <w:top w:val="single" w:sz="8" w:color="CCEEFF"/>
            </w:tcBorders>
          </w:tcPr>
          <w:p>
            <w:pPr>
              <w:spacing w:after="0"/>
              <w:rPr>
                <w:sz w:val="17"/>
                <w:szCs w:val="17"/>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Finance lease obligations, net of current portion</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Paycheck protection program loan payable, net of current portion</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Loan payable, net of current portion and unamortized debt discount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12,219</w:t>
            </w:r>
          </w:p>
        </w:tc>
      </w:tr>
      <w:tr>
        <w:trPr>
          <w:trHeight w:val="210"/>
        </w:trPr>
        <w:tc>
          <w:tcPr>
            <w:tcW w:w="66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30,646</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31,667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$0.001 par value, 50,000,000 shares authorized, 25,749,875 and</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25,526,931 shares issued and outstanding at December 31, 2020 and December 31,</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2019, respectively</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104,557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101,728</w:t>
            </w:r>
          </w:p>
        </w:tc>
      </w:tr>
      <w:tr>
        <w:trPr>
          <w:trHeight w:val="24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(77,400)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(74,043)</w:t>
            </w:r>
          </w:p>
        </w:tc>
      </w:tr>
      <w:tr>
        <w:trPr>
          <w:trHeight w:val="203"/>
        </w:trPr>
        <w:tc>
          <w:tcPr>
            <w:tcW w:w="66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HARROW HEALTH STOCKHOLDERS’ EQUITY</w:t>
            </w: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27,183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27,711</w:t>
            </w:r>
          </w:p>
        </w:tc>
        <w:tc>
          <w:tcPr>
            <w:tcW w:w="100" w:type="dxa"/>
            <w:vAlign w:val="bottom"/>
            <w:tcBorders>
              <w:top w:val="single" w:sz="8" w:color="CCEEFF"/>
            </w:tcBorders>
          </w:tcPr>
          <w:p>
            <w:pPr>
              <w:spacing w:after="0"/>
              <w:rPr>
                <w:sz w:val="17"/>
                <w:szCs w:val="17"/>
                <w:color w:val="auto"/>
              </w:rPr>
            </w:pPr>
          </w:p>
        </w:tc>
      </w:tr>
      <w:tr>
        <w:trPr>
          <w:trHeight w:val="25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r>
      <w:tr>
        <w:trPr>
          <w:trHeight w:val="210"/>
        </w:trPr>
        <w:tc>
          <w:tcPr>
            <w:tcW w:w="66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EQUITY</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26,828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27,418</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92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1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48,479</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48,871</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51,165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(14,463)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34,408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34,416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31,247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4,040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Income (loss) from operations</w:t>
            </w:r>
          </w:p>
        </w:tc>
        <w:tc>
          <w:tcPr>
            <w:tcW w:w="1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gain from Melt Pharmaceuticals, net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Investment loss from Surface Ophthalmics, net</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gain from Eton Pharmaceuticals, net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Other (loss) income, net</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(loss) income, net</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Loss before income tax provision</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(3,415)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(117)</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net loss including noncontrolling interests</w:t>
            </w: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(3,419)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 income attributable to Harrow Health, Inc.</w:t>
            </w:r>
          </w:p>
        </w:tc>
        <w:tc>
          <w:tcPr>
            <w:tcW w:w="11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net (loss) income per share of common stock</w:t>
            </w:r>
          </w:p>
        </w:tc>
        <w:tc>
          <w:tcPr>
            <w:tcW w:w="1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Diluted net (loss) income per share of common stock</w:t>
            </w:r>
          </w:p>
        </w:tc>
        <w:tc>
          <w:tcPr>
            <w:tcW w:w="1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 basic</w:t>
            </w:r>
          </w:p>
        </w:tc>
        <w:tc>
          <w:tcPr>
            <w:tcW w:w="1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25,895,352</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25,323,159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 diluted</w:t>
            </w:r>
          </w:p>
        </w:tc>
        <w:tc>
          <w:tcPr>
            <w:tcW w:w="1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25,895,352</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26,466,098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center"/>
              <w:ind w:right="70"/>
              <w:spacing w:after="0"/>
              <w:rPr>
                <w:sz w:val="20"/>
                <w:szCs w:val="20"/>
                <w:color w:val="auto"/>
              </w:rPr>
            </w:pPr>
            <w:r>
              <w:rPr>
                <w:rFonts w:ascii="Arial" w:cs="Arial" w:eastAsia="Arial" w:hAnsi="Arial"/>
                <w:sz w:val="18"/>
                <w:szCs w:val="18"/>
                <w:color w:val="auto"/>
                <w:w w:val="96"/>
              </w:rPr>
              <w:t>Harrow</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Health,</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81"/>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2460" w:type="dxa"/>
            <w:vAlign w:val="bottom"/>
          </w:tcPr>
          <w:p>
            <w:pPr>
              <w:spacing w:after="0"/>
              <w:rPr>
                <w:sz w:val="21"/>
                <w:szCs w:val="21"/>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8"/>
                <w:szCs w:val="18"/>
                <w:color w:val="auto"/>
              </w:rPr>
              <w:t>Common Stock</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Inc.</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gridSpan w:val="3"/>
          </w:tcPr>
          <w:p>
            <w:pPr>
              <w:jc w:val="right"/>
              <w:ind w:right="21"/>
              <w:spacing w:after="0"/>
              <w:rPr>
                <w:sz w:val="20"/>
                <w:szCs w:val="20"/>
                <w:color w:val="auto"/>
              </w:rPr>
            </w:pPr>
            <w:r>
              <w:rPr>
                <w:rFonts w:ascii="Arial" w:cs="Arial" w:eastAsia="Arial" w:hAnsi="Arial"/>
                <w:sz w:val="18"/>
                <w:szCs w:val="18"/>
                <w:color w:val="auto"/>
                <w:w w:val="93"/>
              </w:rPr>
              <w:t>Noncontrolling</w:t>
            </w:r>
          </w:p>
        </w:tc>
        <w:tc>
          <w:tcPr>
            <w:tcW w:w="580" w:type="dxa"/>
            <w:vAlign w:val="bottom"/>
          </w:tcPr>
          <w:p>
            <w:pPr>
              <w:spacing w:after="0"/>
              <w:rPr>
                <w:sz w:val="21"/>
                <w:szCs w:val="21"/>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2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Par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Paid-in</w:t>
            </w:r>
          </w:p>
        </w:tc>
        <w:tc>
          <w:tcPr>
            <w:tcW w:w="1580" w:type="dxa"/>
            <w:vAlign w:val="bottom"/>
            <w:gridSpan w:val="4"/>
          </w:tcPr>
          <w:p>
            <w:pPr>
              <w:ind w:left="80"/>
              <w:spacing w:after="0"/>
              <w:rPr>
                <w:sz w:val="20"/>
                <w:szCs w:val="20"/>
                <w:color w:val="auto"/>
              </w:rPr>
            </w:pPr>
            <w:r>
              <w:rPr>
                <w:rFonts w:ascii="Arial" w:cs="Arial" w:eastAsia="Arial" w:hAnsi="Arial"/>
                <w:sz w:val="18"/>
                <w:szCs w:val="18"/>
                <w:color w:val="auto"/>
              </w:rPr>
              <w:t>Accumulated</w:t>
            </w:r>
          </w:p>
        </w:tc>
        <w:tc>
          <w:tcPr>
            <w:tcW w:w="1220" w:type="dxa"/>
            <w:vAlign w:val="bottom"/>
            <w:gridSpan w:val="3"/>
          </w:tcPr>
          <w:p>
            <w:pPr>
              <w:spacing w:after="0"/>
              <w:rPr>
                <w:sz w:val="20"/>
                <w:szCs w:val="20"/>
                <w:color w:val="auto"/>
              </w:rPr>
            </w:pPr>
            <w:r>
              <w:rPr>
                <w:rFonts w:ascii="Arial" w:cs="Arial" w:eastAsia="Arial" w:hAnsi="Arial"/>
                <w:sz w:val="18"/>
                <w:szCs w:val="18"/>
                <w:color w:val="auto"/>
              </w:rPr>
              <w:t>Stockholders’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0"/>
              <w:spacing w:after="0"/>
              <w:rPr>
                <w:sz w:val="20"/>
                <w:szCs w:val="20"/>
                <w:color w:val="auto"/>
              </w:rPr>
            </w:pPr>
            <w:r>
              <w:rPr>
                <w:rFonts w:ascii="Arial" w:cs="Arial" w:eastAsia="Arial" w:hAnsi="Arial"/>
                <w:sz w:val="18"/>
                <w:szCs w:val="18"/>
                <w:color w:val="auto"/>
                <w:w w:val="91"/>
              </w:rPr>
              <w:t>Equity</w:t>
            </w:r>
          </w:p>
        </w:tc>
        <w:tc>
          <w:tcPr>
            <w:tcW w:w="1240" w:type="dxa"/>
            <w:vAlign w:val="bottom"/>
            <w:gridSpan w:val="4"/>
          </w:tcPr>
          <w:p>
            <w:pPr>
              <w:ind w:left="140"/>
              <w:spacing w:after="0"/>
              <w:rPr>
                <w:sz w:val="20"/>
                <w:szCs w:val="20"/>
                <w:color w:val="auto"/>
              </w:rPr>
            </w:pPr>
            <w:r>
              <w:rPr>
                <w:rFonts w:ascii="Arial" w:cs="Arial" w:eastAsia="Arial" w:hAnsi="Arial"/>
                <w:sz w:val="18"/>
                <w:szCs w:val="18"/>
                <w:color w:val="auto"/>
                <w:w w:val="99"/>
              </w:rPr>
              <w:t>Stockholders’</w:t>
            </w:r>
          </w:p>
        </w:tc>
      </w:tr>
      <w:tr>
        <w:trPr>
          <w:trHeight w:val="237"/>
        </w:trPr>
        <w:tc>
          <w:tcPr>
            <w:tcW w:w="246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672"/>
              <w:spacing w:after="0"/>
              <w:rPr>
                <w:sz w:val="20"/>
                <w:szCs w:val="20"/>
                <w:color w:val="auto"/>
              </w:rPr>
            </w:pPr>
            <w:r>
              <w:rPr>
                <w:rFonts w:ascii="Arial" w:cs="Arial" w:eastAsia="Arial" w:hAnsi="Arial"/>
                <w:sz w:val="18"/>
                <w:szCs w:val="18"/>
                <w:color w:val="auto"/>
              </w:rPr>
              <w:t>Deficit</w:t>
            </w:r>
          </w:p>
        </w:tc>
        <w:tc>
          <w:tcPr>
            <w:tcW w:w="180" w:type="dxa"/>
            <w:vAlign w:val="bottom"/>
          </w:tcPr>
          <w:p>
            <w:pPr>
              <w:spacing w:after="0"/>
              <w:rPr>
                <w:sz w:val="20"/>
                <w:szCs w:val="20"/>
                <w:color w:val="auto"/>
              </w:rPr>
            </w:pPr>
          </w:p>
        </w:tc>
        <w:tc>
          <w:tcPr>
            <w:tcW w:w="1040" w:type="dxa"/>
            <w:vAlign w:val="bottom"/>
            <w:gridSpan w:val="2"/>
          </w:tcPr>
          <w:p>
            <w:pPr>
              <w:jc w:val="right"/>
              <w:ind w:right="390"/>
              <w:spacing w:after="0"/>
              <w:rPr>
                <w:sz w:val="20"/>
                <w:szCs w:val="20"/>
                <w:color w:val="auto"/>
              </w:rPr>
            </w:pPr>
            <w:r>
              <w:rPr>
                <w:rFonts w:ascii="Arial" w:cs="Arial" w:eastAsia="Arial" w:hAnsi="Arial"/>
                <w:sz w:val="18"/>
                <w:szCs w:val="18"/>
                <w:color w:val="auto"/>
              </w:rPr>
              <w:t>Equity</w:t>
            </w:r>
          </w:p>
        </w:tc>
        <w:tc>
          <w:tcPr>
            <w:tcW w:w="880" w:type="dxa"/>
            <w:vAlign w:val="bottom"/>
          </w:tcPr>
          <w:p>
            <w:pPr>
              <w:spacing w:after="0"/>
              <w:rPr>
                <w:sz w:val="20"/>
                <w:szCs w:val="20"/>
                <w:color w:val="auto"/>
              </w:rPr>
            </w:pPr>
          </w:p>
        </w:tc>
        <w:tc>
          <w:tcPr>
            <w:tcW w:w="900" w:type="dxa"/>
            <w:vAlign w:val="bottom"/>
            <w:gridSpan w:val="3"/>
          </w:tcPr>
          <w:p>
            <w:pPr>
              <w:jc w:val="right"/>
              <w:ind w:right="210"/>
              <w:spacing w:after="0"/>
              <w:rPr>
                <w:sz w:val="20"/>
                <w:szCs w:val="20"/>
                <w:color w:val="auto"/>
              </w:rPr>
            </w:pPr>
            <w:r>
              <w:rPr>
                <w:rFonts w:ascii="Arial" w:cs="Arial" w:eastAsia="Arial" w:hAnsi="Arial"/>
                <w:sz w:val="18"/>
                <w:szCs w:val="18"/>
                <w:color w:val="auto"/>
                <w:w w:val="96"/>
              </w:rPr>
              <w:t>Interest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16"/>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24,339,610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98,938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1,142,528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813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02"/>
        </w:trPr>
        <w:tc>
          <w:tcPr>
            <w:tcW w:w="2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 employee</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net of tax</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withholding</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02"/>
        </w:trPr>
        <w:tc>
          <w:tcPr>
            <w:tcW w:w="2460" w:type="dxa"/>
            <w:vAlign w:val="bottom"/>
          </w:tcPr>
          <w:p>
            <w:pPr>
              <w:ind w:left="180"/>
              <w:spacing w:after="0" w:line="201" w:lineRule="exact"/>
              <w:rPr>
                <w:sz w:val="20"/>
                <w:szCs w:val="20"/>
                <w:color w:val="auto"/>
              </w:rPr>
            </w:pPr>
            <w:r>
              <w:rPr>
                <w:rFonts w:ascii="Arial" w:cs="Arial" w:eastAsia="Arial" w:hAnsi="Arial"/>
                <w:sz w:val="18"/>
                <w:szCs w:val="18"/>
                <w:color w:val="auto"/>
              </w:rPr>
              <w:t>Stock-based payment for</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services provided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234</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1,789</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r>
      <w:tr>
        <w:trPr>
          <w:trHeight w:val="236"/>
        </w:trPr>
        <w:tc>
          <w:tcPr>
            <w:tcW w:w="2460" w:type="dxa"/>
            <w:vAlign w:val="bottom"/>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52"/>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168</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25,526,931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101,728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(74,043)</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460" w:type="dxa"/>
            <w:vAlign w:val="bottom"/>
          </w:tcPr>
          <w:p>
            <w:pPr>
              <w:ind w:left="180"/>
              <w:spacing w:after="0" w:line="201" w:lineRule="exact"/>
              <w:rPr>
                <w:sz w:val="20"/>
                <w:szCs w:val="20"/>
                <w:color w:val="auto"/>
              </w:rPr>
            </w:pPr>
            <w:r>
              <w:rPr>
                <w:rFonts w:ascii="Arial" w:cs="Arial" w:eastAsia="Arial" w:hAnsi="Arial"/>
                <w:sz w:val="18"/>
                <w:szCs w:val="18"/>
                <w:color w:val="auto"/>
              </w:rPr>
              <w:t>Exercise of employee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options, net of tax</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withholding</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02"/>
        </w:trPr>
        <w:tc>
          <w:tcPr>
            <w:tcW w:w="2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vesting of RSUs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185,785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60" w:type="dxa"/>
            <w:vAlign w:val="bottom"/>
          </w:tcPr>
          <w:p>
            <w:pPr>
              <w:ind w:left="180"/>
              <w:spacing w:after="0" w:line="201" w:lineRule="exact"/>
              <w:rPr>
                <w:sz w:val="20"/>
                <w:szCs w:val="20"/>
                <w:color w:val="auto"/>
              </w:rPr>
            </w:pPr>
            <w:r>
              <w:rPr>
                <w:rFonts w:ascii="Arial" w:cs="Arial" w:eastAsia="Arial" w:hAnsi="Arial"/>
                <w:sz w:val="18"/>
                <w:szCs w:val="18"/>
                <w:color w:val="auto"/>
              </w:rPr>
              <w:t>Stock-based payment for</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services provided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83</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2,775</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w:t>
            </w:r>
          </w:p>
        </w:tc>
      </w:tr>
      <w:tr>
        <w:trPr>
          <w:trHeight w:val="237"/>
        </w:trPr>
        <w:tc>
          <w:tcPr>
            <w:tcW w:w="24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92"/>
              <w:spacing w:after="0"/>
              <w:rPr>
                <w:sz w:val="20"/>
                <w:szCs w:val="20"/>
                <w:color w:val="auto"/>
              </w:rPr>
            </w:pPr>
            <w:r>
              <w:rPr>
                <w:rFonts w:ascii="Arial" w:cs="Arial" w:eastAsia="Arial" w:hAnsi="Arial"/>
                <w:sz w:val="18"/>
                <w:szCs w:val="18"/>
                <w:color w:val="auto"/>
              </w:rPr>
              <w:t>(3,357)</w:t>
            </w:r>
          </w:p>
        </w:tc>
        <w:tc>
          <w:tcPr>
            <w:tcW w:w="18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(3,357)</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(3,419)</w:t>
            </w:r>
          </w:p>
        </w:tc>
      </w:tr>
      <w:tr>
        <w:trPr>
          <w:trHeight w:val="230"/>
        </w:trPr>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December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25,749,875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104,557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(77,400</w:t>
            </w:r>
          </w:p>
        </w:tc>
        <w:tc>
          <w:tcPr>
            <w:tcW w:w="540" w:type="dxa"/>
            <w:vAlign w:val="bottom"/>
            <w:tcBorders>
              <w:top w:val="single" w:sz="8" w:color="CCEEFF"/>
              <w:bottom w:val="single" w:sz="8" w:color="CCEEFF"/>
            </w:tcBorders>
            <w:shd w:val="clear" w:color="auto" w:fill="CCEEFF"/>
          </w:tcPr>
          <w:p>
            <w:pPr>
              <w:jc w:val="right"/>
              <w:ind w:right="39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8"/>
                <w:szCs w:val="18"/>
                <w:color w:val="auto"/>
              </w:rPr>
              <w:t>For the Years Ended December 31,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87"/>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Net loss (including noncontrolling interests)</w:t>
            </w:r>
          </w:p>
        </w:tc>
        <w:tc>
          <w:tcPr>
            <w:tcW w:w="152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(3,419)</w:t>
            </w:r>
          </w:p>
        </w:tc>
        <w:tc>
          <w:tcPr>
            <w:tcW w:w="1300" w:type="dxa"/>
            <w:vAlign w:val="bottom"/>
            <w:gridSpan w:val="2"/>
          </w:tcPr>
          <w:p>
            <w:pPr>
              <w:jc w:val="right"/>
              <w:ind w:right="1127"/>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loss to net cash (used in) provided by operating activities: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bad debt expense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Interest paid-in-kind on SWK Loan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Investment gain from Eton Pharmaceuticals, net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(3,255)</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loss from Surface Ophthalmics,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2,433</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Investment loss (gain) from Melt Pharmaceuticals, net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2,313</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equipment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payment of consulting services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2,775</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(661)</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(4,655)</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PROVIDED BY OPERATING ACTIVITIES</w:t>
            </w:r>
          </w:p>
        </w:tc>
        <w:tc>
          <w:tcPr>
            <w:tcW w:w="22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Proceeds on sale and disposal of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finance lease obligations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Proceeds from SWK loan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SWK loan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(1,497)</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Payments of costs related to amendment of SWK loan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Paycheck protection program loan payable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1,967</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360"/>
              <w:spacing w:after="0" w:line="201" w:lineRule="exact"/>
              <w:rPr>
                <w:sz w:val="20"/>
                <w:szCs w:val="20"/>
                <w:color w:val="auto"/>
              </w:rPr>
            </w:pPr>
            <w:r>
              <w:rPr>
                <w:rFonts w:ascii="Arial" w:cs="Arial" w:eastAsia="Arial" w:hAnsi="Arial"/>
                <w:sz w:val="18"/>
                <w:szCs w:val="18"/>
                <w:color w:val="auto"/>
                <w:w w:val="96"/>
              </w:rPr>
              <w:t>Net proceeds from exercise of warrants and stock options, net of taxes remitted for</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760" w:type="dxa"/>
            <w:vAlign w:val="bottom"/>
            <w:vMerge w:val="restart"/>
          </w:tcPr>
          <w:p>
            <w:pPr>
              <w:ind w:left="360"/>
              <w:spacing w:after="0"/>
              <w:rPr>
                <w:sz w:val="20"/>
                <w:szCs w:val="20"/>
                <w:color w:val="auto"/>
              </w:rPr>
            </w:pPr>
            <w:r>
              <w:rPr>
                <w:rFonts w:ascii="Arial" w:cs="Arial" w:eastAsia="Arial" w:hAnsi="Arial"/>
                <w:sz w:val="18"/>
                <w:szCs w:val="18"/>
                <w:color w:val="auto"/>
              </w:rPr>
              <w:t>RSU’s and options</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6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40" w:type="dxa"/>
            <w:vAlign w:val="bottom"/>
            <w:gridSpan w:val="2"/>
          </w:tcPr>
          <w:p>
            <w:pPr>
              <w:jc w:val="right"/>
              <w:ind w:right="241"/>
              <w:spacing w:after="0" w:line="68" w:lineRule="exact"/>
              <w:rPr>
                <w:sz w:val="20"/>
                <w:szCs w:val="20"/>
                <w:color w:val="auto"/>
              </w:rPr>
            </w:pPr>
            <w:r>
              <w:rPr>
                <w:rFonts w:ascii="Arial" w:cs="Arial" w:eastAsia="Arial" w:hAnsi="Arial"/>
                <w:sz w:val="7"/>
                <w:szCs w:val="7"/>
                <w:color w:val="auto"/>
              </w:rPr>
              <w:t>(29</w:t>
            </w:r>
          </w:p>
        </w:tc>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color w:val="auto"/>
              </w:rPr>
              <w:t>NET CHANGE IN CASH, CASH EQUIVALENTS AND RESTRICTED CASH</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(648)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(1,889)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4,949</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top w:val="single" w:sz="8" w:color="CCEEFF"/>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OF CASH, CASH EQUIVALENTS AND RESTRICTED CASH</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4,101</w:t>
            </w:r>
          </w:p>
        </w:tc>
        <w:tc>
          <w:tcPr>
            <w:tcW w:w="1300" w:type="dxa"/>
            <w:vAlign w:val="bottom"/>
            <w:gridSpan w:val="2"/>
          </w:tcPr>
          <w:p>
            <w:pPr>
              <w:jc w:val="right"/>
              <w:ind w:right="112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top w:val="single" w:sz="8" w:color="CCEEFF"/>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76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152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ind w:right="112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6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line="195" w:lineRule="exact"/>
              <w:rPr>
                <w:sz w:val="20"/>
                <w:szCs w:val="20"/>
                <w:color w:val="auto"/>
              </w:rPr>
            </w:pPr>
            <w:r>
              <w:rPr>
                <w:rFonts w:ascii="Arial" w:cs="Arial" w:eastAsia="Arial" w:hAnsi="Arial"/>
                <w:sz w:val="18"/>
                <w:szCs w:val="18"/>
                <w:color w:val="auto"/>
                <w:w w:val="99"/>
              </w:rPr>
              <w:t>SUPPLEMENTAL DISCLOSURES OF NON-CASH INVESTING AND FINANCING</w:t>
            </w: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Purchase of property, plant and equipment included in accounts payable and accrued</w:t>
            </w:r>
          </w:p>
        </w:tc>
        <w:tc>
          <w:tcPr>
            <w:tcW w:w="1520" w:type="dxa"/>
            <w:vAlign w:val="bottom"/>
            <w:gridSpan w:val="2"/>
            <w:vMerge w:val="restart"/>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241"/>
              <w:spacing w:after="0"/>
              <w:rPr>
                <w:sz w:val="20"/>
                <w:szCs w:val="20"/>
                <w:color w:val="auto"/>
              </w:rPr>
            </w:pPr>
            <w:r>
              <w:rPr>
                <w:rFonts w:ascii="Arial" w:cs="Arial" w:eastAsia="Arial" w:hAnsi="Arial"/>
                <w:sz w:val="18"/>
                <w:szCs w:val="18"/>
                <w:color w:val="auto"/>
              </w:rPr>
              <w:t>214</w:t>
            </w:r>
          </w:p>
        </w:tc>
        <w:tc>
          <w:tcPr>
            <w:tcW w:w="1300" w:type="dxa"/>
            <w:vAlign w:val="bottom"/>
            <w:gridSpan w:val="2"/>
            <w:vMerge w:val="restart"/>
            <w:shd w:val="clear" w:color="auto" w:fill="CCEEFF"/>
          </w:tcPr>
          <w:p>
            <w:pPr>
              <w:jc w:val="right"/>
              <w:ind w:right="1127"/>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52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8"/>
              </w:rPr>
              <w:t>New and revaluation of right-of-use assets obtained in exchange for lease obligation</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936</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are expressed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Harrow Health, Inc. (together with its subsidiaries, partially owned companies and royalty arrangements unless the context indicates or otherwise requires, the “Company” or “Harrow”) specializes in the development, production and sale of innovative medications that offer unique competitive advantages and serve unmet needs in the marketplace through its subsidiaries and deconsolidated companies. The Company owns one of the nation’s leading ophthalmology-focused pharmaceutical businesses, ImprimisRx. In addition to wholly owning ImprimisRx, the Company also has equity positions in Eton Pharmaceuticals, Inc. (“Eton”), Surface Ophthalmics, Inc. (“Surface”), and Melt Pharmaceuticals, Inc. (“Melt”), all companies that began as subsidiaries of Harrow. In 2020, Harrow created Visionology, Inc. (“Visionology”), which intends to launch an online eye health platform business. Harrow also owns royalty rights in various drug candidates being developed by Surface and Melt. The Company intends to continue to create, and hold equity and royalty rights in, new businesses that commercialize drug candidates that are internally developed or otherwise acquired or licensed from third parties.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and subsequent to the year ended December 31, 2020, the Company discontinued the majority of operational efforts related to its subsidiaries Stowe Pharmaceuticals, Inc. (“Stowe”), Radley Pharmaceuticals, Inc. (“Radley”) and Mayfield Pharmaceuticals, Inc. (“Mayfield”) to allocate resources to other areas of the Company’s business. The Company does not expect the suspension of these operations to have a material impact on the financial results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Harrow has prepared the accompanying consolidated financial statements in accordance with accounting principles generally accepted in the United States of America (“GAAP”). The accompanying consolidated financial statements include the accounts of the Company and its wholly-owned subsidiaries, as well as Mayfield, 79% majority controlled, and Stowe, 70% majority controlled as of December 31, 2020. The remaining 21% of Mayfield is owned by Elle Pharmaceutical, LLC (“Elle”), TGV-Health, LLC and its affiliated entities (collectively “TGV”) or other consultants. Mayfield was organized to develop women’s health and urological focused drug candidates. The remaining 30% of Stowe was owned by TGV. Stowe was organized to develop ophthalmic drug candidates. The Company controls 100% of the equity interests in Visionology. All inter-company accounts and transactions have been eliminated in consolidation.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Harrow consolidates entities in which we have a controlling financial interest. We consolidate subsidiaries in which we hold and/or control, directly or indirectly, more than 50% of the voting rights.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renewal periods and discount rates for leases, realizability of inventories, valuation of investments, realizability of deferred taxes, recoverability of goodwill and long-lived assets, valuation of contingent acquisition obligations and deferred acquisition obligations, fair value of loans payable, and valuation of stock-based transactions with employees and non-employees. Actual results could differ from those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subject to risks and uncertainties as a result of the COVID-19 pandemic. On March 18, 2020, the Centers for Medicare &amp; Medicaid Services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recommendations, stay-at-home orders and other restrictive measures, and created significant volatility in financial markets.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18"/>
          <w:szCs w:val="18"/>
          <w:color w:val="auto"/>
        </w:rPr>
        <w:t>Many of the Company’s customers use its drugs in procedures impacted by the CMS guidance to limit elective procedures. In addition, the Company and our business partners need access to healthcare providers and facilities to conduct clinical trials and other activities required to achieve regulatory clearance of products under development.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believes reductions in elective procedures in response to CMS guidance have had, and will continue to have, an adverse impact, which may be material, on the Company’s financial condition, liquidity and results of operations. The severity of the impact of the COVID-19 pandemic on the Company’s business will depend on a number of factors, including, but not limited to, the duration and severity of the pandemic and the extent and severity of the impact on its customers, all of which are uncertain and cannot be predicted. As of the date of the filing of this Annual Report on Form 10-K, the extent to which the COVID-19 pandemic may materially impact the Company’s financial condition, liquidity or results of operations is uncertain. In addition, the Company is subject to certain regulatory standards,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2020, the Company had incurred significant operating losses and negative cash flows from operations since its inception. The Company recorded operating income of $385 for the year ended December 31, 2020 and recorded an operating loss of $4,795 for the year ended December 31, 2019. The Company has an accumulated deficit of $77,400 and $74,043 as of December 31, 2020 and 2019, respectively. In addition, the Company used cash in operating activities of $1,100 for the year ended December 31, 2020 and cash provided by operating activities was $950 for the year ended December 31, 2019.</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there is no assurance, management of the Company believes existing cash resources and restricted cash of $4,301 at December 31, 2020 together with cash generated from operations, will be sufficient to sustain the Company’s planned level of operations for at least the next twelve months. However, estimates of operating expenses and working capital requirements and the future impact of the COVID-19 pandemic on its business could be incorrect. The Company could use its cash resources faster than anticipated. Further, some or all of the ongoing or planned activities may not be successful and could result in further losses.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may seek to increase liquidity and capital resources through a variety of means which may include, but are not limited to: the sale of assets, investments and/or businesses, obtaining financing through the issuance of equity, debt, or convertible securities; and working to increase revenue growth through sales. There is no guarantee that the Company will be able to obtain capital when needed on terms management deems acceptable, or at all.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presented as operating segments. The Company has identified two operating segments as reportable segments. See Note 18 for more information regarding the Company’s reportable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consolidated financial statements. A noncontrolling interest represents the portion of equity ownership in a less-than-wholly-owned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loss attributable to noncontrolling interests in consolidated net loss on the face of the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consolidated statements of stockholders’ equity a reconciliation at the beginning and the end of the period of the carrying amount of total equity, equity attributable to the parent, and equity attributable to the noncontrolling interests that separately discloses:</w:t>
      </w:r>
    </w:p>
    <w:p>
      <w:pPr>
        <w:spacing w:after="0" w:line="14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recognizes revenue at the time of transfer of promised goods to customers in an amount that reflects the consideration to which the Company expects to be entitled in exchange for those goods or services (see Note 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other products sold, including active pharmaceutical ingredients, personnel costs, packaging, storage, royalties,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issuance costs and the debt discount are recorded net of loans payable and finance lease obligations in the consolidated balance sheets. Amortization of debt issuance costs and the debt discount is calculated using the effective interest method over the term of the related debt and is recorded in interest expense in the accompanying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below). The Company began capitalizing certain costs associated with acquiring intellectual property rights during 2015; if costs are not capitalized they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accounts for income taxes under the provisions of Financial Accounting Standards Board (“FASB”)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As part of the process of preparing the Company’s consolidated financial statements, the Company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The Company must assess the likelihood that the deferred tax assets will be recovered from future taxable income and, to the extent the Company believes that recovery is not more likely than not, a valuation allowance must be established which reduces the amount of deferred tax assets recorded on the consolidated balance sheets. To the extent the Company establishes a valuation allowance or increase or decrease this allowance in a period, the impact will be included in income tax expense in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places its cash with financial institutions deemed by management to be of high credit quality. The Federal Deposit Insurance Corporation (“FDIC”) provides basic deposit coverage with limits up to $250 per owner. From time to time the Company has cash deposits in excess of FDIC limits.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Investment in Eton Pharmaceuticals, Inc. – Related Party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owns 3,500,000 shares of Eton common stock, which represents approximately 14.4% of the equity and voting interests of Eton as of December 31, 2020. At December 31, 2020, the fair market value of Eton’s common stock was $8.13 per share. In accordance with Accounting Standard Update (“ASU”) 2016-01, </w:t>
      </w:r>
      <w:r>
        <w:rPr>
          <w:rFonts w:ascii="Arial" w:cs="Arial" w:eastAsia="Arial" w:hAnsi="Arial"/>
          <w:sz w:val="17"/>
          <w:szCs w:val="17"/>
          <w:i w:val="1"/>
          <w:iCs w:val="1"/>
          <w:color w:val="auto"/>
        </w:rPr>
        <w:t>Financial Instruments-Overall (Subtopic 825-10): Recognition and Measurement of Financial Assets and Financial Liabilities</w:t>
      </w:r>
      <w:r>
        <w:rPr>
          <w:rFonts w:ascii="Arial" w:cs="Arial" w:eastAsia="Arial" w:hAnsi="Arial"/>
          <w:sz w:val="17"/>
          <w:szCs w:val="17"/>
          <w:color w:val="auto"/>
        </w:rPr>
        <w:t>, for the years ended December 31, 2020 and 2019, the Company recorded investment gains from its Eton common stock position of $3,255 and $3,780, respectively, related to the change in fair market value of the Company’s investment in Eton during the measurement periods. As of December 31, 2020 and 2019, the fair market value of the Company’s investment in Eton was $28,455 and $25,200,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Mark Baum, the Company’s Chief Executive Officer, is a member of the board of directors of Eton.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Accounts receivable are presented net of allowances for doubtful accounts and contractual adjustments in the amount of $98 and $76 as of December 31,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stated at the lower of cost or net realizable value.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2018, the Company formed Melt as a wholly-owned subsidiary. In January and March of 2019, Melt entered into definitive stock purchase agreements (collectively, the “Melt Series A Preferred Stock Agreement”) with certain investors and closed on the sale of Melt’s Series A Preferred Stock (the “Melt Series A Stock”), totaling approximately $11,400 of proceeds (collectively, the “Melt Series A Round”) at a purchase price of $5.00 per share. As a result, the Company lost voting and ownership control of Melt and ceased consolidating Melt’s financial statements.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January 2019, the Company deconsolidated Melt and recorded a gain of $5,810 and adjusted the carrying value in Melt to reflect the increased valuation of Melt and the Company’s new ownership interest in accordance with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owns 3,500,000 common shares of Melt (which is approximately 44% of the equity interests as of December 31, 2020) and uses the equity method of accounting for this investment, as management has determined that the Company has the ability to exercise significant influence over the operating and financial decisions of Melt. Under this method, the Company recognizes earnings and losses in Melt in its consolidated financial statements and adjusts the carrying amount of its investment in Melt accordingly. The Company’s share of earnings and losses are based on the Company’s ownership interest of Melt. Any intra-entity profits and losses are eliminated. The Company recorded equity in the net gain of Melt of $3,968 during the year ended December 31, 2019. The Company recorded equity in the net loss of Melt of $2,313 during the year ended December 31, 2020. As of December 31, 2020 and 2019, the Company’s investment in Melt was $2,506 and $4,690, respectively, which includes $851 and $722, respectively, due from Melt for reimbursable expenses and amounts due under the Melt Master Services Agreement (“MSA”).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owns 3,500,000 common shares (which is approximately 30% of the equity interests as of December 31, 2020)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the net loss of Surface of $1,200 during the year ended December 31, 2019. The Company recorded equity in the net loss of Surface of $2,433 during the year ended December 31, 2020. As of December 31, 2020 and 2019, the carrying value of the Company’s investment in Surface was $1,314 and $3,747,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Computer software and hardware and furniture and equipment are depreciated over three to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the Company has acquired or may acquire in the future include but are not limited to:</w:t>
      </w:r>
    </w:p>
    <w:p>
      <w:pPr>
        <w:spacing w:after="0" w:line="157" w:lineRule="exact"/>
        <w:rPr>
          <w:sz w:val="20"/>
          <w:szCs w:val="20"/>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the Company capitalizes third-party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spacing w:after="0" w:line="286" w:lineRule="auto"/>
        <w:rPr>
          <w:sz w:val="20"/>
          <w:szCs w:val="20"/>
          <w:color w:val="auto"/>
        </w:rPr>
      </w:pPr>
      <w:r>
        <w:rPr>
          <w:rFonts w:ascii="Arial" w:cs="Arial" w:eastAsia="Arial" w:hAnsi="Arial"/>
          <w:sz w:val="17"/>
          <w:szCs w:val="17"/>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 Restructuring</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2019, the Company’s subsidiary, Park Compounding, Inc. (“Park”), and Noice Rx, LLC (“Noice”) terminated an Asset Purchase Agreement dated July 26, 2019 (the “Park Purchase Agreement”), between the parties. Under the terms of the Park Purchase Agreement, Park had agreed to sell substantially all its assets associated with its non-ophthalmology pharmaceutical compounding business to Noice, including its pharmacy facility and equipment located in Irvine, California. The closing of the sale transaction was dependent on the California State Board of Pharmacy approving of the sale and issuing a temporary pharmacy and sterile license permit to Noice, which did not occur and led to Park ceasing operations at the close of business on August 27, 2019. As a result, the Company restructured its Park business, ceased operations at its Irvine, California-based pharmacy, and facilitated the transition of certain compounded formulations and related equipment from Park to the Company’s New Jersey-based compounded pharmaceutical production facilities (the “Park Restructuring”). As a result of the Park Restructuring, the Company incurred non-cash impairment costs of approximately $3,781 related to assets held at Park, primarily associated with property, plant, equipment, inventory, goodwill and other intangible assets, and $480 in one-time costs related to severance packages and other costs associated with the Park Restructuring during the year ended December 31, 2019.</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reduced the Park compounded product formulary to seven base formulations, based on factors including unit order volumes, revenues and gross margin percentages, and ImprimisRx retained approximately half of Park’s historical revenues during the first quarter of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hanging="332"/>
        <w:spacing w:after="0" w:line="274"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jc w:val="both"/>
        <w:ind w:left="3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and 2019, the Company measured its investment in Eton on a recurring basis. The Company’s investment in Eton is classified as Level 1 as the fair value is determined using quoted market prices in active markets for the same securities. As of December 31, 2020 and 2019, the fair market value of the Company’s investment in Eton was $28,455 and $25,200,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8"/>
          <w:szCs w:val="18"/>
          <w:color w:val="auto"/>
        </w:rPr>
        <w:t>The Company’s financial instruments include cash and cash equivalents, restricted cash, investment in Eton, accounts receivable, accounts payable and accrued expenses, accrued payroll and related liabilities, deferred revenue and customer deposits, loans payable and operating and finance lease liabilities. The carrying amount of these financial instruments, except for loans payable and operating and finance lease liabilities, approximates fair value due to the short-term maturities of these instruments. The Company’s restricted cash which is comprised of short-term investments are carried at amortized cost, which approximates fair value. Based on borrowing rates currently available to the Company, the carrying values of the loans payable and operating and finance lease liabilities approximate their respective fair values.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stock-based payments to employees, directors and consultants, including grants of stock options, warrants, restricted stock units (“RSUs”) and restricted stock, are recognized in the consolidated financial statements based upon their estimated fair values. The Company uses the Black-Scholes-Merton option pricing model and Monte Carlo simulation model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and warrants, outstanding during the period.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and diluted net income (loss) per share is computed using the weighted average number of shares of common stock outstanding during the period. Common stock equivalents (using the treasury stock or “if converted” method) from stock options, unvested restricted stock units (“RSUs”) and warrants were 5,411,929 and 4,848,459 at December 31, 2020 and 2019, respectively, and are excluded in the calculation of diluted net income (loss) per share for the periods presented, because the effect is anti-dilutive for that time period. Included in the basic and diluted net income (loss) per share calculation were RSUs awarded to directors that had vested, but the issuance and delivery of the shares are deferred until the director resigns. The number of shares underlying vested RSUs at December 31, 2020 and 2019 was 200,463 and 324,303, respectively.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computation of basic net income (loss) per share of common stock for the years ended December 31, 2020 and 2019 (in 000’s,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Numerator – net (loss) income attributable to Harrow</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Health, Inc.</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(3,357)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Denominator – weighted average number of shares</w:t>
            </w: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140" w:type="dxa"/>
            <w:vAlign w:val="bottom"/>
          </w:tcPr>
          <w:p>
            <w:pPr>
              <w:spacing w:after="0"/>
              <w:rPr>
                <w:sz w:val="20"/>
                <w:szCs w:val="20"/>
                <w:color w:val="auto"/>
              </w:rPr>
            </w:pPr>
            <w:r>
              <w:rPr>
                <w:rFonts w:ascii="Arial" w:cs="Arial" w:eastAsia="Arial" w:hAnsi="Arial"/>
                <w:sz w:val="18"/>
                <w:szCs w:val="18"/>
                <w:color w:val="auto"/>
              </w:rPr>
              <w:t>outstanding, basic</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141"/>
              <w:spacing w:after="0"/>
              <w:rPr>
                <w:sz w:val="20"/>
                <w:szCs w:val="20"/>
                <w:color w:val="auto"/>
              </w:rPr>
            </w:pPr>
            <w:r>
              <w:rPr>
                <w:rFonts w:ascii="Arial" w:cs="Arial" w:eastAsia="Arial" w:hAnsi="Arial"/>
                <w:sz w:val="18"/>
                <w:szCs w:val="18"/>
                <w:color w:val="auto"/>
              </w:rPr>
              <w:t>25,895,352</w:t>
            </w: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25,323,159</w:t>
            </w:r>
          </w:p>
        </w:tc>
        <w:tc>
          <w:tcPr>
            <w:tcW w:w="0" w:type="dxa"/>
            <w:vAlign w:val="bottom"/>
          </w:tcPr>
          <w:p>
            <w:pPr>
              <w:spacing w:after="0"/>
              <w:rPr>
                <w:sz w:val="1"/>
                <w:szCs w:val="1"/>
                <w:color w:val="auto"/>
              </w:rPr>
            </w:pPr>
          </w:p>
        </w:tc>
      </w:tr>
      <w:tr>
        <w:trPr>
          <w:trHeight w:val="23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per share, basic</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 December 31, 2019, the Company computed diluted net income per share using the weighted-average number of common shares and dilutive common equivalent shares outstanding during that period. Diluted common equivalent shares for the year ended December 31, 2019 consisted of the following (in 000’s,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For the Year Ended</w:t>
            </w:r>
          </w:p>
        </w:tc>
        <w:tc>
          <w:tcPr>
            <w:tcW w:w="1680" w:type="dxa"/>
            <w:vAlign w:val="bottom"/>
          </w:tcPr>
          <w:p>
            <w:pPr>
              <w:spacing w:after="0"/>
              <w:rPr>
                <w:sz w:val="19"/>
                <w:szCs w:val="19"/>
                <w:color w:val="auto"/>
              </w:rPr>
            </w:pPr>
          </w:p>
        </w:tc>
      </w:tr>
      <w:tr>
        <w:trPr>
          <w:trHeight w:val="241"/>
        </w:trPr>
        <w:tc>
          <w:tcPr>
            <w:tcW w:w="40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2019</w:t>
            </w:r>
          </w:p>
        </w:tc>
        <w:tc>
          <w:tcPr>
            <w:tcW w:w="1680" w:type="dxa"/>
            <w:vAlign w:val="bottom"/>
          </w:tcPr>
          <w:p>
            <w:pPr>
              <w:spacing w:after="0"/>
              <w:rPr>
                <w:sz w:val="20"/>
                <w:szCs w:val="20"/>
                <w:color w:val="auto"/>
              </w:rPr>
            </w:pP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32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Warrants</w:t>
            </w:r>
          </w:p>
        </w:tc>
        <w:tc>
          <w:tcPr>
            <w:tcW w:w="5560" w:type="dxa"/>
            <w:vAlign w:val="bottom"/>
            <w:gridSpan w:val="3"/>
          </w:tcPr>
          <w:p>
            <w:pPr>
              <w:jc w:val="right"/>
              <w:ind w:right="100"/>
              <w:spacing w:after="0"/>
              <w:rPr>
                <w:sz w:val="20"/>
                <w:szCs w:val="20"/>
                <w:color w:val="auto"/>
              </w:rPr>
            </w:pPr>
            <w:r>
              <w:rPr>
                <w:rFonts w:ascii="Arial" w:cs="Arial" w:eastAsia="Arial" w:hAnsi="Arial"/>
                <w:sz w:val="18"/>
                <w:szCs w:val="18"/>
                <w:color w:val="auto"/>
              </w:rPr>
              <w:t>488,498</w:t>
            </w:r>
          </w:p>
        </w:tc>
        <w:tc>
          <w:tcPr>
            <w:tcW w:w="1680" w:type="dxa"/>
            <w:vAlign w:val="bottom"/>
          </w:tcPr>
          <w:p>
            <w:pPr>
              <w:spacing w:after="0"/>
              <w:rPr>
                <w:sz w:val="18"/>
                <w:szCs w:val="18"/>
                <w:color w:val="auto"/>
              </w:rPr>
            </w:pPr>
          </w:p>
        </w:tc>
      </w:tr>
      <w:tr>
        <w:trPr>
          <w:trHeight w:val="25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5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654,441</w:t>
            </w:r>
          </w:p>
        </w:tc>
        <w:tc>
          <w:tcPr>
            <w:tcW w:w="1680" w:type="dxa"/>
            <w:vAlign w:val="bottom"/>
          </w:tcPr>
          <w:p>
            <w:pPr>
              <w:spacing w:after="0"/>
              <w:rPr>
                <w:sz w:val="21"/>
                <w:szCs w:val="21"/>
                <w:color w:val="auto"/>
              </w:rPr>
            </w:pPr>
          </w:p>
        </w:tc>
      </w:tr>
      <w:tr>
        <w:trPr>
          <w:trHeight w:val="210"/>
        </w:trPr>
        <w:tc>
          <w:tcPr>
            <w:tcW w:w="4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Dilutive common equivalent shares</w:t>
            </w:r>
          </w:p>
        </w:tc>
        <w:tc>
          <w:tcPr>
            <w:tcW w:w="3280" w:type="dxa"/>
            <w:vAlign w:val="bottom"/>
            <w:tcBorders>
              <w:top w:val="single" w:sz="8" w:color="CCEEFF"/>
            </w:tcBorders>
          </w:tcPr>
          <w:p>
            <w:pPr>
              <w:spacing w:after="0"/>
              <w:rPr>
                <w:sz w:val="18"/>
                <w:szCs w:val="18"/>
                <w:color w:val="auto"/>
              </w:rPr>
            </w:pPr>
          </w:p>
        </w:tc>
        <w:tc>
          <w:tcPr>
            <w:tcW w:w="2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1,142,939</w:t>
            </w:r>
          </w:p>
        </w:tc>
        <w:tc>
          <w:tcPr>
            <w:tcW w:w="100" w:type="dxa"/>
            <w:vAlign w:val="bottom"/>
            <w:tcBorders>
              <w:top w:val="single" w:sz="8" w:color="CCEEFF"/>
            </w:tcBorders>
          </w:tcPr>
          <w:p>
            <w:pPr>
              <w:spacing w:after="0"/>
              <w:rPr>
                <w:sz w:val="18"/>
                <w:szCs w:val="18"/>
                <w:color w:val="auto"/>
              </w:rPr>
            </w:pPr>
          </w:p>
        </w:tc>
        <w:tc>
          <w:tcPr>
            <w:tcW w:w="1680" w:type="dxa"/>
            <w:vAlign w:val="bottom"/>
          </w:tcPr>
          <w:p>
            <w:pPr>
              <w:spacing w:after="0"/>
              <w:rPr>
                <w:sz w:val="18"/>
                <w:szCs w:val="18"/>
                <w:color w:val="auto"/>
              </w:rPr>
            </w:pPr>
          </w:p>
        </w:tc>
      </w:tr>
      <w:tr>
        <w:trPr>
          <w:trHeight w:val="439"/>
        </w:trPr>
        <w:tc>
          <w:tcPr>
            <w:tcW w:w="40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3"/>
          </w:tcPr>
          <w:p>
            <w:pPr>
              <w:ind w:left="1460"/>
              <w:spacing w:after="0"/>
              <w:rPr>
                <w:sz w:val="20"/>
                <w:szCs w:val="20"/>
                <w:color w:val="auto"/>
              </w:rPr>
            </w:pPr>
            <w:r>
              <w:rPr>
                <w:rFonts w:ascii="Arial" w:cs="Arial" w:eastAsia="Arial" w:hAnsi="Arial"/>
                <w:sz w:val="18"/>
                <w:szCs w:val="18"/>
                <w:color w:val="auto"/>
              </w:rPr>
              <w:t>F-13</w:t>
            </w: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71" w:name="page72"/>
    <w:bookmarkEnd w:id="71"/>
    <w:p>
      <w:pPr>
        <w:jc w:val="both"/>
        <w:spacing w:after="0" w:line="258" w:lineRule="auto"/>
        <w:rPr>
          <w:sz w:val="20"/>
          <w:szCs w:val="20"/>
          <w:color w:val="auto"/>
        </w:rPr>
      </w:pPr>
      <w:r>
        <w:rPr>
          <w:rFonts w:ascii="Arial" w:cs="Arial" w:eastAsia="Arial" w:hAnsi="Arial"/>
          <w:sz w:val="18"/>
          <w:szCs w:val="18"/>
          <w:color w:val="auto"/>
        </w:rPr>
        <w:t>The following table shows the computation of diluted net income per share using the weighted-average number of common shares and dilutive common equivalent shares outstanding for the year ended December 31, 2019 (in 000’s, except share and per share amounts):</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For the Year Ended</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13887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7">
                      <a:extLst>
                        <a:ext uri="{28A0092B-C50C-407E-A947-70E740481C1C}"/>
                      </a:extLst>
                    </a:blip>
                    <a:srcRect/>
                    <a:stretch>
                      <a:fillRect/>
                    </a:stretch>
                  </pic:blipFill>
                  <pic:spPr bwMode="auto">
                    <a:xfrm>
                      <a:off x="0" y="0"/>
                      <a:ext cx="1388745"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shares outstanding, basic</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25,323,159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equivalents</w:t>
            </w:r>
          </w:p>
        </w:tc>
        <w:tc>
          <w:tcPr>
            <w:tcW w:w="7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1,142,939</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Denominator – number of shares used for diluted earnings per share computation</w:t>
            </w:r>
          </w:p>
        </w:tc>
        <w:tc>
          <w:tcPr>
            <w:tcW w:w="7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26,466,098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per share, diluted</w:t>
            </w: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which requires the measurement and recognition of expected credit losses for financial assets held at amortized cost. ASU 2016-13 replaces the existing incurred loss impairment model with a forward-looking expected credit loss model which will result in earlier recognition of credit losses. The Company adopted ASU 2016-13 on January 1, 2020, and adoption of the standard did not have a material effect on the Company’s consolidated financial position, results of operations and cash flows.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The Company adopted ASU 2017-04 on January 1, 2020, and adoption of the standard did not have a material effect on the Company’s consolidated financial position, results of operations and cash flows.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Disclosure Requirements for Fair Value Measurements</w:t>
      </w:r>
      <w:r>
        <w:rPr>
          <w:rFonts w:ascii="Arial" w:cs="Arial" w:eastAsia="Arial" w:hAnsi="Arial"/>
          <w:sz w:val="18"/>
          <w:szCs w:val="18"/>
          <w:color w:val="auto"/>
        </w:rPr>
        <w:t>, which improved the effectiveness of disclosure requirements for recurring and nonrecurring fair value measurements. The standard removes, modifies, and adds certain disclosure requirements. The Company adopted ASU 2018-13 on January 1, 2020, and adoption of the standard did not have a material effect on the Company’s consolidated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simplifies the accounting for income taxes. This guidance will be effective for the Company in the first quarter of 2021 on a prospective basis, and early adoption is permitted. The Company does not expect a material impact of the new guidance on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items and amounts have been reclassified to conform to the classifications used to prepare the consolidated financial statements for the year ended December 31, 2020. These reclassifications had no material impact on the Company’s consolidated financial position, results of operations, or cash flows as previously reported.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accounts for contracts with customers in accordance with ASC 606,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 xml:space="preserve"> The Company has three primary streams of revenue: (1) revenue recognized from our sale of products within our pharmacy services (2) revenue recognized from a commission agreement with a third party and (3) revenue recognized from intellectual property license and asset purchase agreements.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principles of ASC 606, we have identified the following:</w:t>
      </w:r>
    </w:p>
    <w:p>
      <w:pPr>
        <w:spacing w:after="0" w:line="18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34"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ind w:left="34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ind w:left="340" w:right="2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ind w:left="340" w:hanging="332"/>
        <w:spacing w:after="0" w:line="26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2020, the Company entered into an agreement whereby it is paid a fee calculated based on sales it generates from a pharmaceutical product that is owned by a third party. The revenue earned from this arrangement is recognized at the time a customer has ordered the pharmaceutical product and it has shipped from the third party (or one of its distributors or affiliates), at which point there is no future performance obligation required by the Company and no consequential continuing involvement on the part of the Company to recognize the associated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 and related agreements in which the Company has promised to grant a license or sale which provides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of time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Revenue disaggregated by revenue source for the years ended December 31, 2020 and 2019,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3540" w:type="dxa"/>
            <w:vAlign w:val="bottom"/>
            <w:gridSpan w:val="8"/>
          </w:tcPr>
          <w:p>
            <w:pPr>
              <w:ind w:left="380"/>
              <w:spacing w:after="0"/>
              <w:rPr>
                <w:sz w:val="20"/>
                <w:szCs w:val="20"/>
                <w:color w:val="auto"/>
              </w:rPr>
            </w:pPr>
            <w:r>
              <w:rPr>
                <w:rFonts w:ascii="Arial" w:cs="Arial" w:eastAsia="Arial" w:hAnsi="Arial"/>
                <w:sz w:val="18"/>
                <w:szCs w:val="18"/>
                <w:b w:val="1"/>
                <w:bCs w:val="1"/>
                <w:color w:val="auto"/>
              </w:rPr>
              <w:t>For the Years Ended December 31,</w:t>
            </w:r>
          </w:p>
        </w:tc>
      </w:tr>
      <w:tr>
        <w:trPr>
          <w:trHeight w:val="237"/>
        </w:trPr>
        <w:tc>
          <w:tcPr>
            <w:tcW w:w="490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48,479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Commissions</w:t>
            </w:r>
          </w:p>
        </w:tc>
        <w:tc>
          <w:tcPr>
            <w:tcW w:w="10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w:t>
            </w:r>
          </w:p>
        </w:tc>
        <w:tc>
          <w:tcPr>
            <w:tcW w:w="10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21"/>
                <w:szCs w:val="21"/>
                <w:color w:val="auto"/>
              </w:rPr>
            </w:pPr>
          </w:p>
        </w:tc>
      </w:tr>
      <w:tr>
        <w:trPr>
          <w:trHeight w:val="217"/>
        </w:trPr>
        <w:tc>
          <w:tcPr>
            <w:tcW w:w="4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104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48,871</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and customer deposits at December 31, 2020 and 2019, were $66 and $57, respectively. All deferred revenue and customer deposit amounts at December 31, 2019 were recognized as revenue during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AND AGREEMENTS - RELATED PARTY TRANSACTIONS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 In January and March 2019, the Company entered into the Melt Series A Preferred Stock Agreement, see also Note 2, under the subheading </w:t>
      </w:r>
      <w:r>
        <w:rPr>
          <w:rFonts w:ascii="Arial" w:cs="Arial" w:eastAsia="Arial" w:hAnsi="Arial"/>
          <w:sz w:val="17"/>
          <w:szCs w:val="17"/>
          <w:i w:val="1"/>
          <w:iCs w:val="1"/>
          <w:color w:val="auto"/>
        </w:rPr>
        <w:t>Investment in Melt Pharmaceuticals, Inc</w:t>
      </w:r>
      <w:r>
        <w:rPr>
          <w:rFonts w:ascii="Arial" w:cs="Arial" w:eastAsia="Arial" w:hAnsi="Arial"/>
          <w:sz w:val="17"/>
          <w:szCs w:val="17"/>
          <w:color w:val="auto"/>
        </w:rPr>
        <w: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is required to pay the Company a monthly amount of $10.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and 2019, the Company was due $851 and $722, respectively, from Melt for reimbursable expenses and amounts due under the Melt MSA. Melt did not make any payments to the Company during the year ended December 31, 2020 and paid the Company $50 during the year ended December 31, 2019.</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Executive Officer, Mark L. Baum, and Chief Medical Officer, Larry Dillaha, are members of the Melt board of directors, and several employees of the Company (including Mr. Baum, Mr. Dillaha and the Company’s Chief Financial Officer, Andrew Boll) entered into consulting agreements and provide consulting services to Melt.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3540" w:type="dxa"/>
            <w:vAlign w:val="bottom"/>
            <w:gridSpan w:val="6"/>
          </w:tcPr>
          <w:p>
            <w:pPr>
              <w:jc w:val="right"/>
              <w:ind w:right="401"/>
              <w:spacing w:after="0"/>
              <w:rPr>
                <w:sz w:val="20"/>
                <w:szCs w:val="20"/>
                <w:color w:val="auto"/>
              </w:rPr>
            </w:pPr>
            <w:r>
              <w:rPr>
                <w:rFonts w:ascii="Arial" w:cs="Arial" w:eastAsia="Arial" w:hAnsi="Arial"/>
                <w:sz w:val="18"/>
                <w:szCs w:val="18"/>
                <w:b w:val="1"/>
                <w:bCs w:val="1"/>
                <w:color w:val="auto"/>
              </w:rPr>
              <w:t>For the Years Ended December 31,</w:t>
            </w:r>
          </w:p>
        </w:tc>
      </w:tr>
      <w:tr>
        <w:trPr>
          <w:trHeight w:val="236"/>
        </w:trPr>
        <w:tc>
          <w:tcPr>
            <w:tcW w:w="490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20"/>
                <w:szCs w:val="20"/>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5,019</w:t>
            </w:r>
          </w:p>
        </w:tc>
        <w:tc>
          <w:tcPr>
            <w:tcW w:w="360" w:type="dxa"/>
            <w:vAlign w:val="bottom"/>
          </w:tcPr>
          <w:p>
            <w:pPr>
              <w:spacing w:after="0"/>
              <w:rPr>
                <w:sz w:val="20"/>
                <w:szCs w:val="20"/>
                <w:color w:val="auto"/>
              </w:rPr>
            </w:pPr>
          </w:p>
        </w:tc>
        <w:tc>
          <w:tcPr>
            <w:tcW w:w="1340" w:type="dxa"/>
            <w:vAlign w:val="bottom"/>
            <w:gridSpan w:val="2"/>
          </w:tcPr>
          <w:p>
            <w:pPr>
              <w:jc w:val="right"/>
              <w:ind w:right="1"/>
              <w:spacing w:after="0"/>
              <w:rPr>
                <w:sz w:val="20"/>
                <w:szCs w:val="20"/>
                <w:color w:val="auto"/>
              </w:rPr>
            </w:pPr>
            <w:r>
              <w:rPr>
                <w:rFonts w:ascii="Arial" w:cs="Arial" w:eastAsia="Arial" w:hAnsi="Arial"/>
                <w:sz w:val="18"/>
                <w:szCs w:val="18"/>
                <w:color w:val="auto"/>
              </w:rPr>
              <w:t>4,381</w:t>
            </w:r>
          </w:p>
        </w:tc>
      </w:tr>
      <w:tr>
        <w:trPr>
          <w:trHeight w:val="23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bottom w:val="single" w:sz="8" w:color="auto"/>
            </w:tcBorders>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36"/>
        </w:trPr>
        <w:tc>
          <w:tcPr>
            <w:tcW w:w="4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Non current assets</w:t>
            </w:r>
          </w:p>
        </w:tc>
        <w:tc>
          <w:tcPr>
            <w:tcW w:w="10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800" w:type="dxa"/>
            <w:vAlign w:val="bottom"/>
          </w:tcPr>
          <w:p>
            <w:pPr>
              <w:spacing w:after="0"/>
              <w:rPr>
                <w:sz w:val="20"/>
                <w:szCs w:val="20"/>
                <w:color w:val="auto"/>
              </w:rPr>
            </w:pPr>
          </w:p>
        </w:tc>
      </w:tr>
      <w:tr>
        <w:trPr>
          <w:trHeight w:val="23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4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1,778</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1,691</w:t>
            </w:r>
          </w:p>
        </w:tc>
        <w:tc>
          <w:tcPr>
            <w:tcW w:w="2800" w:type="dxa"/>
            <w:vAlign w:val="bottom"/>
          </w:tcPr>
          <w:p>
            <w:pPr>
              <w:spacing w:after="0"/>
              <w:rPr>
                <w:sz w:val="18"/>
                <w:szCs w:val="18"/>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Total preferred stock and stockholders’ equity</w:t>
            </w:r>
          </w:p>
        </w:tc>
        <w:tc>
          <w:tcPr>
            <w:tcW w:w="10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5,763</w:t>
            </w:r>
          </w:p>
        </w:tc>
        <w:tc>
          <w:tcPr>
            <w:tcW w:w="2800" w:type="dxa"/>
            <w:vAlign w:val="bottom"/>
          </w:tcPr>
          <w:p>
            <w:pPr>
              <w:spacing w:after="0"/>
              <w:rPr>
                <w:sz w:val="20"/>
                <w:szCs w:val="20"/>
                <w:color w:val="auto"/>
              </w:rPr>
            </w:pPr>
          </w:p>
        </w:tc>
      </w:tr>
      <w:tr>
        <w:trPr>
          <w:trHeight w:val="229"/>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tcBorders>
              <w:top w:val="single" w:sz="8" w:color="auto"/>
              <w:bottom w:val="single" w:sz="8" w:color="auto"/>
            </w:tcBorders>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20"/>
        </w:trPr>
        <w:tc>
          <w:tcPr>
            <w:tcW w:w="4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color w:val="auto"/>
              </w:rPr>
              <w:t>F-16</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5. INVESTMENT IN SURFACE OPHTHALMICS, INC. AND AGREEMENTS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mid-single-digit royalty payments to the Company on net sales of the Surface Products while any patent rights remain outstanding.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the Company owned 3,500,000 shares of Surface common stock (approximately 30% of the issued and outstanding equity interests). A Company director, Richard L. Lindstrom, and the Company’s Chief Executive Officer, Mark L. Baum, are directors of Surface. Surface is required to make royalty payments to Dr. Lindstrom of 3% of net sales of certain Surface Products while certain patent rights remain outstanding. Dr. Lindstrom is also a principal of Flying L Partners, an affiliate of the funding investor who purchased the Surface Series A Preferred Stock. Several employees and a director of the Company (including Mr. Baum and Dr. Lindstrom) entered into consulting agreements and provided consulting services to Surface.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3540" w:type="dxa"/>
            <w:vAlign w:val="bottom"/>
            <w:gridSpan w:val="6"/>
          </w:tcPr>
          <w:p>
            <w:pPr>
              <w:jc w:val="right"/>
              <w:ind w:right="401"/>
              <w:spacing w:after="0"/>
              <w:rPr>
                <w:sz w:val="20"/>
                <w:szCs w:val="20"/>
                <w:color w:val="auto"/>
              </w:rPr>
            </w:pPr>
            <w:r>
              <w:rPr>
                <w:rFonts w:ascii="Arial" w:cs="Arial" w:eastAsia="Arial" w:hAnsi="Arial"/>
                <w:sz w:val="18"/>
                <w:szCs w:val="18"/>
                <w:b w:val="1"/>
                <w:bCs w:val="1"/>
                <w:color w:val="auto"/>
              </w:rPr>
              <w:t>For the Years Ended December 31,</w:t>
            </w:r>
          </w:p>
        </w:tc>
      </w:tr>
      <w:tr>
        <w:trPr>
          <w:trHeight w:val="237"/>
        </w:trPr>
        <w:tc>
          <w:tcPr>
            <w:tcW w:w="490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20"/>
                <w:szCs w:val="20"/>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8,109</w:t>
            </w:r>
          </w:p>
        </w:tc>
        <w:tc>
          <w:tcPr>
            <w:tcW w:w="360" w:type="dxa"/>
            <w:vAlign w:val="bottom"/>
          </w:tcPr>
          <w:p>
            <w:pPr>
              <w:spacing w:after="0"/>
              <w:rPr>
                <w:sz w:val="20"/>
                <w:szCs w:val="20"/>
                <w:color w:val="auto"/>
              </w:rPr>
            </w:pPr>
          </w:p>
        </w:tc>
        <w:tc>
          <w:tcPr>
            <w:tcW w:w="1340" w:type="dxa"/>
            <w:vAlign w:val="bottom"/>
            <w:gridSpan w:val="2"/>
          </w:tcPr>
          <w:p>
            <w:pPr>
              <w:jc w:val="right"/>
              <w:ind w:right="1"/>
              <w:spacing w:after="0"/>
              <w:rPr>
                <w:sz w:val="20"/>
                <w:szCs w:val="20"/>
                <w:color w:val="auto"/>
              </w:rPr>
            </w:pPr>
            <w:r>
              <w:rPr>
                <w:rFonts w:ascii="Arial" w:cs="Arial" w:eastAsia="Arial" w:hAnsi="Arial"/>
                <w:sz w:val="18"/>
                <w:szCs w:val="18"/>
                <w:color w:val="auto"/>
              </w:rPr>
              <w:t>4,000</w:t>
            </w:r>
          </w:p>
        </w:tc>
      </w:tr>
      <w:tr>
        <w:trPr>
          <w:trHeight w:val="229"/>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bottom w:val="single" w:sz="8" w:color="auto"/>
            </w:tcBorders>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80" w:type="dxa"/>
            <w:vAlign w:val="bottom"/>
            <w:shd w:val="clear" w:color="auto" w:fill="CCEEFF"/>
          </w:tcPr>
          <w:p>
            <w:pPr>
              <w:spacing w:after="0"/>
              <w:rPr>
                <w:sz w:val="18"/>
                <w:szCs w:val="18"/>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Non current assets</w:t>
            </w:r>
          </w:p>
        </w:tc>
        <w:tc>
          <w:tcPr>
            <w:tcW w:w="10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r>
      <w:tr>
        <w:trPr>
          <w:trHeight w:val="230"/>
        </w:trPr>
        <w:tc>
          <w:tcPr>
            <w:tcW w:w="4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w:t>
            </w: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7,453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15,370</w:t>
            </w:r>
          </w:p>
        </w:tc>
      </w:tr>
      <w:tr>
        <w:trPr>
          <w:trHeight w:val="230"/>
        </w:trPr>
        <w:tc>
          <w:tcPr>
            <w:tcW w:w="4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cash at December 31, 2020 and 2019 consisted of funds held in a money market account. At December 31, 2020 and 2019, the restricted cash was recorded at amortized cost, which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and 2019, the funds held in a money market account of $200 were classified as a current asset. The money market account funds are required as collateral as additional security for the Company’s New Jersey facility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December 31, 2020 and 2019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36"/>
        </w:trPr>
        <w:tc>
          <w:tcPr>
            <w:tcW w:w="4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80" w:type="dxa"/>
            <w:vAlign w:val="bottom"/>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Work in progress</w:t>
            </w:r>
          </w:p>
        </w:tc>
        <w:tc>
          <w:tcPr>
            <w:tcW w:w="10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800" w:type="dxa"/>
            <w:vAlign w:val="bottom"/>
          </w:tcPr>
          <w:p>
            <w:pPr>
              <w:spacing w:after="0"/>
              <w:rPr>
                <w:sz w:val="18"/>
                <w:szCs w:val="18"/>
                <w:color w:val="auto"/>
              </w:rPr>
            </w:pPr>
          </w:p>
        </w:tc>
      </w:tr>
      <w:tr>
        <w:trPr>
          <w:trHeight w:val="25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1,444</w:t>
            </w:r>
          </w:p>
        </w:tc>
        <w:tc>
          <w:tcPr>
            <w:tcW w:w="5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876</w:t>
            </w:r>
          </w:p>
        </w:tc>
        <w:tc>
          <w:tcPr>
            <w:tcW w:w="2800" w:type="dxa"/>
            <w:vAlign w:val="bottom"/>
          </w:tcPr>
          <w:p>
            <w:pPr>
              <w:spacing w:after="0"/>
              <w:rPr>
                <w:sz w:val="21"/>
                <w:szCs w:val="21"/>
                <w:color w:val="auto"/>
              </w:rPr>
            </w:pPr>
          </w:p>
        </w:tc>
      </w:tr>
      <w:tr>
        <w:trPr>
          <w:trHeight w:val="216"/>
        </w:trPr>
        <w:tc>
          <w:tcPr>
            <w:tcW w:w="4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inventories</w:t>
            </w:r>
          </w:p>
        </w:tc>
        <w:tc>
          <w:tcPr>
            <w:tcW w:w="108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24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80" w:type="dxa"/>
            <w:vAlign w:val="bottom"/>
            <w:tcBorders>
              <w:top w:val="single" w:sz="8" w:color="CCEEFF"/>
            </w:tcBorders>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9"/>
        </w:trPr>
        <w:tc>
          <w:tcPr>
            <w:tcW w:w="4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F-17</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NOTE 8. PREPAID EXPENSES AND OTHER CURRENT ASSETS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1280" w:type="dxa"/>
            <w:vAlign w:val="bottom"/>
            <w:gridSpan w:val="4"/>
            <w:vMerge w:val="restart"/>
          </w:tcPr>
          <w:p>
            <w:pPr>
              <w:jc w:val="right"/>
              <w:ind w:right="47"/>
              <w:spacing w:after="0"/>
              <w:rPr>
                <w:sz w:val="20"/>
                <w:szCs w:val="20"/>
                <w:color w:val="auto"/>
              </w:rPr>
            </w:pPr>
            <w:r>
              <w:rPr>
                <w:rFonts w:ascii="Arial" w:cs="Arial" w:eastAsia="Arial" w:hAnsi="Arial"/>
                <w:sz w:val="18"/>
                <w:szCs w:val="18"/>
                <w:b w:val="1"/>
                <w:bCs w:val="1"/>
                <w:color w:val="auto"/>
                <w:w w:val="97"/>
              </w:rPr>
              <w:t>December 31,</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0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0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108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at December 31, 2020 and 2019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49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1,707</w:t>
            </w:r>
          </w:p>
        </w:tc>
        <w:tc>
          <w:tcPr>
            <w:tcW w:w="520" w:type="dxa"/>
            <w:vAlign w:val="bottom"/>
            <w:gridSpan w:val="2"/>
          </w:tcPr>
          <w:p>
            <w:pPr>
              <w:jc w:val="right"/>
              <w:ind w:right="347"/>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3,426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3,164</w:t>
            </w:r>
          </w:p>
        </w:tc>
        <w:tc>
          <w:tcPr>
            <w:tcW w:w="60" w:type="dxa"/>
            <w:vAlign w:val="bottom"/>
          </w:tcPr>
          <w:p>
            <w:pPr>
              <w:spacing w:after="0"/>
              <w:rPr>
                <w:sz w:val="18"/>
                <w:szCs w:val="18"/>
                <w:color w:val="auto"/>
              </w:rPr>
            </w:pPr>
          </w:p>
        </w:tc>
      </w:tr>
      <w:tr>
        <w:trPr>
          <w:trHeight w:val="24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5,720</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5,510</w:t>
            </w:r>
          </w:p>
        </w:tc>
        <w:tc>
          <w:tcPr>
            <w:tcW w:w="60" w:type="dxa"/>
            <w:vAlign w:val="bottom"/>
            <w:shd w:val="clear" w:color="auto" w:fill="CCEEFF"/>
          </w:tcPr>
          <w:p>
            <w:pPr>
              <w:spacing w:after="0"/>
              <w:rPr>
                <w:sz w:val="21"/>
                <w:szCs w:val="21"/>
                <w:color w:val="auto"/>
              </w:rPr>
            </w:pPr>
          </w:p>
        </w:tc>
      </w:tr>
      <w:tr>
        <w:trPr>
          <w:trHeight w:val="203"/>
        </w:trPr>
        <w:tc>
          <w:tcPr>
            <w:tcW w:w="49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11,271</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10,769</w:t>
            </w:r>
          </w:p>
        </w:tc>
        <w:tc>
          <w:tcPr>
            <w:tcW w:w="80" w:type="dxa"/>
            <w:vAlign w:val="bottom"/>
            <w:tcBorders>
              <w:top w:val="single" w:sz="8" w:color="CCEEFF"/>
            </w:tcBorders>
            <w:gridSpan w:val="2"/>
          </w:tcPr>
          <w:p>
            <w:pPr>
              <w:spacing w:after="0"/>
              <w:rPr>
                <w:sz w:val="17"/>
                <w:szCs w:val="17"/>
                <w:color w:val="auto"/>
              </w:rPr>
            </w:pPr>
          </w:p>
        </w:tc>
      </w:tr>
      <w:tr>
        <w:trPr>
          <w:trHeight w:val="24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3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(6,818)</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(5,394)</w:t>
            </w:r>
          </w:p>
        </w:tc>
      </w:tr>
      <w:tr>
        <w:trPr>
          <w:trHeight w:val="217"/>
        </w:trPr>
        <w:tc>
          <w:tcPr>
            <w:tcW w:w="490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ended December 31, 2020, the Company disposed of property, plant and equipment with a net book value of $105 related to the discontinued use of certain computer software and hardware and was included within other (loss) income of the consolidated statements of operations. The Company recorded depreciation and amortization expense of $1,880 and $1,936 during the years ended December 31, 2020 and 2019,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December 31, 2019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3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periods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w w:val="96"/>
              </w:rPr>
              <w:t>Accumulated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37"/>
        </w:trPr>
        <w:tc>
          <w:tcPr>
            <w:tcW w:w="23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440" w:type="dxa"/>
            <w:vAlign w:val="bottom"/>
            <w:gridSpan w:val="2"/>
          </w:tcPr>
          <w:p>
            <w:pPr>
              <w:jc w:val="right"/>
              <w:ind w:right="361"/>
              <w:spacing w:after="0"/>
              <w:rPr>
                <w:sz w:val="20"/>
                <w:szCs w:val="20"/>
                <w:color w:val="auto"/>
              </w:rPr>
            </w:pPr>
            <w:r>
              <w:rPr>
                <w:rFonts w:ascii="Arial" w:cs="Arial" w:eastAsia="Arial" w:hAnsi="Arial"/>
                <w:sz w:val="18"/>
                <w:szCs w:val="18"/>
                <w:color w:val="auto"/>
                <w:w w:val="99"/>
              </w:rPr>
              <w:t>amortization</w:t>
            </w:r>
          </w:p>
        </w:tc>
        <w:tc>
          <w:tcPr>
            <w:tcW w:w="180" w:type="dxa"/>
            <w:vAlign w:val="bottom"/>
          </w:tcPr>
          <w:p>
            <w:pPr>
              <w:spacing w:after="0"/>
              <w:rPr>
                <w:sz w:val="20"/>
                <w:szCs w:val="20"/>
                <w:color w:val="auto"/>
              </w:rPr>
            </w:pPr>
          </w:p>
        </w:tc>
        <w:tc>
          <w:tcPr>
            <w:tcW w:w="1400" w:type="dxa"/>
            <w:vAlign w:val="bottom"/>
            <w:gridSpan w:val="2"/>
          </w:tcPr>
          <w:p>
            <w:pPr>
              <w:jc w:val="right"/>
              <w:ind w:right="381"/>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Carrying value</w:t>
            </w:r>
          </w:p>
        </w:tc>
      </w:tr>
      <w:tr>
        <w:trPr>
          <w:trHeight w:val="216"/>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Licenses</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3-15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Non-competition clause</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3-4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 years</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r>
      <w:tr>
        <w:trPr>
          <w:trHeight w:val="217"/>
        </w:trPr>
        <w:tc>
          <w:tcPr>
            <w:tcW w:w="2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2019, the Company incurred impairment charges of $612 related to intangible assets, including customer relationships, trade name, and state pharmacy licenses as a part of the Park Restructuring and $259 of impairment charges related to patents associated with the termination of an asset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Company’s intangible assets at December 31, 2020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3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periods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w w:val="96"/>
              </w:rPr>
              <w:t>Accumulated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37"/>
        </w:trPr>
        <w:tc>
          <w:tcPr>
            <w:tcW w:w="23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440" w:type="dxa"/>
            <w:vAlign w:val="bottom"/>
            <w:gridSpan w:val="2"/>
          </w:tcPr>
          <w:p>
            <w:pPr>
              <w:jc w:val="right"/>
              <w:ind w:right="361"/>
              <w:spacing w:after="0"/>
              <w:rPr>
                <w:sz w:val="20"/>
                <w:szCs w:val="20"/>
                <w:color w:val="auto"/>
              </w:rPr>
            </w:pPr>
            <w:r>
              <w:rPr>
                <w:rFonts w:ascii="Arial" w:cs="Arial" w:eastAsia="Arial" w:hAnsi="Arial"/>
                <w:sz w:val="18"/>
                <w:szCs w:val="18"/>
                <w:color w:val="auto"/>
                <w:w w:val="99"/>
              </w:rPr>
              <w:t>amortization</w:t>
            </w:r>
          </w:p>
        </w:tc>
        <w:tc>
          <w:tcPr>
            <w:tcW w:w="180" w:type="dxa"/>
            <w:vAlign w:val="bottom"/>
          </w:tcPr>
          <w:p>
            <w:pPr>
              <w:spacing w:after="0"/>
              <w:rPr>
                <w:sz w:val="20"/>
                <w:szCs w:val="20"/>
                <w:color w:val="auto"/>
              </w:rPr>
            </w:pPr>
          </w:p>
        </w:tc>
        <w:tc>
          <w:tcPr>
            <w:tcW w:w="1400" w:type="dxa"/>
            <w:vAlign w:val="bottom"/>
            <w:gridSpan w:val="2"/>
          </w:tcPr>
          <w:p>
            <w:pPr>
              <w:jc w:val="right"/>
              <w:ind w:right="381"/>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Carrying value</w:t>
            </w:r>
          </w:p>
        </w:tc>
      </w:tr>
      <w:tr>
        <w:trPr>
          <w:trHeight w:val="216"/>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Licenses</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3-15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1,065</w:t>
            </w:r>
          </w:p>
        </w:tc>
        <w:tc>
          <w:tcPr>
            <w:tcW w:w="6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Non-competition clause</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3-4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 years</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r>
      <w:tr>
        <w:trPr>
          <w:trHeight w:val="216"/>
        </w:trPr>
        <w:tc>
          <w:tcPr>
            <w:tcW w:w="2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 ended December 31, 2020, the Company recorded impairment charges of $363 related to patent filings and trademarks that were abandoned and/or were associated with products the Company was no longer actively selling.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years ended December 31, 2020 and 2019 were as follows:</w:t>
      </w:r>
    </w:p>
    <w:p>
      <w:pPr>
        <w:spacing w:after="0" w:line="225" w:lineRule="exact"/>
        <w:rPr>
          <w:sz w:val="20"/>
          <w:szCs w:val="20"/>
          <w:color w:val="auto"/>
        </w:rPr>
      </w:pPr>
    </w:p>
    <w:p>
      <w:pPr>
        <w:jc w:val="center"/>
        <w:ind w:left="1980"/>
        <w:spacing w:after="0"/>
        <w:rPr>
          <w:sz w:val="20"/>
          <w:szCs w:val="20"/>
          <w:color w:val="auto"/>
        </w:rPr>
      </w:pPr>
      <w:r>
        <w:rPr>
          <w:rFonts w:ascii="Arial" w:cs="Arial" w:eastAsia="Arial" w:hAnsi="Arial"/>
          <w:sz w:val="18"/>
          <w:szCs w:val="18"/>
          <w:color w:val="auto"/>
        </w:rPr>
        <w:t>For the Years Ended</w:t>
      </w:r>
    </w:p>
    <w:p>
      <w:pPr>
        <w:spacing w:after="0" w:line="23" w:lineRule="exact"/>
        <w:rPr>
          <w:sz w:val="20"/>
          <w:szCs w:val="20"/>
          <w:color w:val="auto"/>
        </w:rPr>
      </w:pPr>
    </w:p>
    <w:p>
      <w:pPr>
        <w:jc w:val="center"/>
        <w:ind w:left="1980"/>
        <w:spacing w:after="0"/>
        <w:rPr>
          <w:sz w:val="20"/>
          <w:szCs w:val="20"/>
          <w:color w:val="auto"/>
        </w:rPr>
      </w:pPr>
      <w:r>
        <w:rPr>
          <w:rFonts w:ascii="Arial" w:cs="Arial" w:eastAsia="Arial" w:hAnsi="Arial"/>
          <w:sz w:val="18"/>
          <w:szCs w:val="18"/>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160" w:type="dxa"/>
            <w:vAlign w:val="bottom"/>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Licenses</w:t>
            </w:r>
          </w:p>
        </w:tc>
        <w:tc>
          <w:tcPr>
            <w:tcW w:w="11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Trade name</w:t>
            </w:r>
          </w:p>
        </w:tc>
        <w:tc>
          <w:tcPr>
            <w:tcW w:w="11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5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1"/>
                <w:szCs w:val="21"/>
                <w:color w:val="auto"/>
              </w:rPr>
            </w:pPr>
          </w:p>
        </w:tc>
      </w:tr>
      <w:tr>
        <w:trPr>
          <w:trHeight w:val="216"/>
        </w:trPr>
        <w:tc>
          <w:tcPr>
            <w:tcW w:w="490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0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December 31, 2020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80" w:type="dxa"/>
            <w:vAlign w:val="bottom"/>
            <w:gridSpan w:val="3"/>
          </w:tcPr>
          <w:p>
            <w:pPr>
              <w:spacing w:after="0"/>
              <w:rPr>
                <w:sz w:val="20"/>
                <w:szCs w:val="20"/>
                <w:color w:val="auto"/>
              </w:rPr>
            </w:pPr>
            <w:r>
              <w:rPr>
                <w:rFonts w:ascii="Arial" w:cs="Arial" w:eastAsia="Arial" w:hAnsi="Arial"/>
                <w:sz w:val="18"/>
                <w:szCs w:val="18"/>
                <w:color w:val="auto"/>
              </w:rPr>
              <w:t>Years ending December 31,</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r>
      <w:tr>
        <w:trPr>
          <w:trHeight w:val="236"/>
        </w:trPr>
        <w:tc>
          <w:tcPr>
            <w:tcW w:w="63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r>
      <w:tr>
        <w:trPr>
          <w:trHeight w:val="230"/>
        </w:trPr>
        <w:tc>
          <w:tcPr>
            <w:tcW w:w="5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the carrying value of the Company’s goodwill during the year ended December 31, 2020. Changes in the carrying value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goodwill during the year ended December 31, 2019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2,227</w:t>
            </w:r>
          </w:p>
        </w:tc>
      </w:tr>
      <w:tr>
        <w:trPr>
          <w:trHeight w:val="237"/>
        </w:trPr>
        <w:tc>
          <w:tcPr>
            <w:tcW w:w="6300" w:type="dxa"/>
            <w:vAlign w:val="bottom"/>
          </w:tcPr>
          <w:p>
            <w:pPr>
              <w:ind w:left="180"/>
              <w:spacing w:after="0"/>
              <w:rPr>
                <w:sz w:val="20"/>
                <w:szCs w:val="20"/>
                <w:color w:val="auto"/>
              </w:rPr>
            </w:pPr>
            <w:r>
              <w:rPr>
                <w:rFonts w:ascii="Arial" w:cs="Arial" w:eastAsia="Arial" w:hAnsi="Arial"/>
                <w:sz w:val="18"/>
                <w:szCs w:val="18"/>
                <w:color w:val="auto"/>
              </w:rPr>
              <w:t>Impairment of Park goodwill (see Note 2)</w:t>
            </w:r>
          </w:p>
        </w:tc>
        <w:tc>
          <w:tcPr>
            <w:tcW w:w="5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(1,895)</w:t>
            </w:r>
          </w:p>
        </w:tc>
      </w:tr>
      <w:tr>
        <w:trPr>
          <w:trHeight w:val="229"/>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56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at December 31, 2020 and 2019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36"/>
        </w:trPr>
        <w:tc>
          <w:tcPr>
            <w:tcW w:w="49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0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28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12)</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2800" w:type="dxa"/>
            <w:vAlign w:val="bottom"/>
          </w:tcPr>
          <w:p>
            <w:pPr>
              <w:spacing w:after="0"/>
              <w:rPr>
                <w:sz w:val="18"/>
                <w:szCs w:val="18"/>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Accrued exit fee for note payable (see Note 12)</w:t>
            </w:r>
          </w:p>
        </w:tc>
        <w:tc>
          <w:tcPr>
            <w:tcW w:w="10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2800" w:type="dxa"/>
            <w:vAlign w:val="bottom"/>
          </w:tcPr>
          <w:p>
            <w:pPr>
              <w:spacing w:after="0"/>
              <w:rPr>
                <w:sz w:val="20"/>
                <w:szCs w:val="20"/>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10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Less: Current portion</w:t>
            </w:r>
          </w:p>
        </w:tc>
        <w:tc>
          <w:tcPr>
            <w:tcW w:w="10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(3,932)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(7,702)</w:t>
            </w:r>
          </w:p>
        </w:tc>
        <w:tc>
          <w:tcPr>
            <w:tcW w:w="2800" w:type="dxa"/>
            <w:vAlign w:val="bottom"/>
          </w:tcPr>
          <w:p>
            <w:pPr>
              <w:spacing w:after="0"/>
              <w:rPr>
                <w:sz w:val="20"/>
                <w:szCs w:val="20"/>
                <w:color w:val="auto"/>
              </w:rPr>
            </w:pPr>
          </w:p>
        </w:tc>
      </w:tr>
      <w:tr>
        <w:trPr>
          <w:trHeight w:val="229"/>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1060" w:type="dxa"/>
            <w:vAlign w:val="bottom"/>
            <w:tcBorders>
              <w:top w:val="single" w:sz="8" w:color="auto"/>
              <w:bottom w:val="single" w:sz="8" w:color="auto"/>
            </w:tcBorders>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9"/>
        </w:trPr>
        <w:tc>
          <w:tcPr>
            <w:tcW w:w="4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F-19</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12.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Senior Note – 2017</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2017, the Company entered into a term loan and security agreement in the principal amount of $16,000 (the “SWK Loan Agreement” or “SWK Loan”) with SWK Funding LLC and its partners (“SWK”), as lender and collateral agent. The SWK Loan Agreement was fully funded at closing with a five-year term, however, such term could be reduced to four years if certain revenue requirements are not achieved.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the loan refinance in May 2019 (see below), the SWK Loan bore interest at a variable rate equal to the three-month London Inter-Bank Offered Rate (subject to a minimum of 1.50% and maximum of 3.00%), plus an applicable margin of 10.50%. The SWK Loan Agreement permitted the Company to pay interest only on the principal amount borrowed thereunder for the first six payments (payments are due on a quarterly basis), which interest-only period could have been reduced to four payments if the Company had not met certain minimum revenue requirements. Following the interest-only period, the Company was required to pay interest, plus repayments of the principal amount borrowed under the SWK Loan Agreement, in quarterly payments, which shall not exceed $750 per quarter. All amounts owed under the SWK Loan Agreement, including an exit fee equal to 5% of the aggregate principal amount loaned thereunder, were originally due and payable on July 19, 2022. The Company is obligated under the SWK Loan Agreement to pay for certain expenses incurred by SWK through and after the date of the SWK Loan Agreement, including certain fees and expenses relating to the preparation and administration of the SWK Loan Agreement. The Company incurred expenses and an exit fee of approximately $1,282 in connection with the SWK Loan Agreement. The exit fee and expenses were recorded as a debt discount and are being amortized as interest expense over the term of the SWK Loan using the effective interest rate method and the related liability of $800 for the exit fee is included in accrued expenses (see Note 11) in the accompanying consolidated balance sheets as of December 31, 2020 and 2019.</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SWK Loan Agreement, the Company issued to SWK warrants to purchase up to 415,586 shares of the Company’s common stock (the “Lender Warrants”) with an exercise price of $3.08. In August 2017, the Company and SWK amended the warrants, to allow for the purchase of up to 615,386 warrants with an exercise price of $2.08. The Lender Warrants are exercisable immediately, and have a term of seven years. The Lender Warrants are subject to a cashless exercise feature, with the exercise price and number of shares issuable upon exercise subject to change in connection with stock splits, dividends, reclassifications and other conditions. The relative fair value of the Lender Warrants was approximately $982 and was estimated using the Black-Scholes-Merton option pricing model with the following assumptions: fair value of the Company’s common stock at issuance of $2.08 per share; seven-year contractual term; 113.5% volatility; 0% dividend rate; and a risk-free interest rate of 1.77%. The relative fair value of the Lender Warrants was recorded as a debt discount which is being amortized as interest expense over the term of the SWK Loan using the effective interest rate method.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Refinance – May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2019, the Company entered into a joinder and amendment (the “Amendment”) to the SWK Loan and with SWK, as lender and collateral agent. A summary of the material changes contained in the Amendment are as follows:</w:t>
      </w:r>
    </w:p>
    <w:p>
      <w:pPr>
        <w:spacing w:after="0" w:line="170" w:lineRule="exact"/>
        <w:rPr>
          <w:sz w:val="20"/>
          <w:szCs w:val="20"/>
          <w:color w:val="auto"/>
        </w:rPr>
      </w:pPr>
    </w:p>
    <w:p>
      <w:pPr>
        <w:jc w:val="both"/>
        <w:ind w:left="660" w:hanging="328"/>
        <w:spacing w:after="0" w:line="27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interest rate calculation that the loan bears is now equal to the three-month London Inter-Bank Offered Rate (subject to a minimum of 2.00%), plus an applicable margin of 10.00% (the “Margin Rate”); provided that, if, two days prior to a payment date, the Company provides SWK evidence that the Company has achieved a leverage ratio as of such date of less than 4.00:1:00, the Margin Rate shall equal 9.00%; and if the Company has achieved a leverage ratio as of such date of less than 3.00:1:00, the Margin Rate shall equal 7.00%;</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Leverage ratio in the Amendment means, as of any date of determination, the ratio of: (a) indebtedness as of such date to (b) EBITDA (as defined in the SWK Loan), of the Company for the immediately preceding twelve (12) month period, adding-back (i) actual litigation expenses for the immediately preceding twelve (12) month period, minus (ii) actual litigation expenses for the immediately preceding three (3) month period multiplied by four (4);</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May 14, 2020, permitting the Company to pay interest only on the principal amount loaned for the next four payments (payments are due on a quarterly basis) following the Amendment;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the satisfaction of certain revenue and market capitalization requirements and conditions, SWK agreed to make available to the Company an additional principal amount of up to $5,000;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maturity date was changed to July 19,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color w:val="auto"/>
        </w:rPr>
        <w:t>Related to the Amendment, the Company incurred expenses related to legal and lender costs of $282 that are included in debt discount and will be amortized over the remaining term of the SWK Loan.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terms described above, the Amendment joined the Company’s recently created subsidiaries to the SWK Loan and added definitions related to excluded subsidiaries that are not considered co-borrowers and are subsidiaries of the Company which the Company believes it will eventually deconsolidate from its financial statements and lose 50% or more of the equity interests of the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Amendment to SWK Loan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April 1, 2020, the Company and several of its wholly owned subsidiaries entered into a second amendment (the “SWK Second Amendment”)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SWK Loan with SWK. A summary of the material changes contained in the SWK Second Amendment are as follows:</w:t>
      </w:r>
    </w:p>
    <w:p>
      <w:pPr>
        <w:spacing w:after="0" w:line="21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SWK agreed to make available to the Company, and the Company drew down on, an additional principal amount of $1,000;</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August 14, 2020, permitting the Company to pay interest only on the principal amount loaned for the next payment (payments are due on a quarterly basis) following the SWK Second Amendment;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payment of $358 due May 14, 2020 was paid in-kind by increasing the principal amount of the term loans by an amount equal to the interest accrued as of such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related to the SWK Loan Agreement, as amended, amounted to $1,768 and $1,960 for the years ended December 31, 2020 and 2019, respectively, and included amortization of debt issuance costs and discount of $457 and $512 for the years ended December 31,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the Company entered into an unsecured promissory note and related Business Loan Agreement with Renasant Bank, as lender, for a loan (the “PPP Loan”) in the principal amount of $1,967 and received cash proceeds of the same amount, pursuant to the Paycheck Protection Program (the “PPP”) under the Federal Coronavirus Aid, Relief, and Economic Security Act (the “CARES Act”), which was enacted March 27, 2020. The PPP is administered by the U.S. Small Business Administration (the “SBA”).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PPP Loan, interest accrues on the outstanding principal at the rate of 1.0% per annum. The term of the PPP Loan is two years, unless payment is sooner required in connection with an event of default under the PPP Loan. To the extent the PPP Loan amount is not forgiven under the PPP, the Company is obligated to make equal monthly payments of principal and interest, beginning seven months from the date of the PPP Loan, until the maturity date.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CARES Act and the PPP provide a mechanism for forgiveness of up to the full amount borrowed. Under the PPP, the Company applied for forgiveness for all of the PPP Loan during the year ended December 31, 2020, however the SBA has not made a decision related to the Company’s application for forgiveness. The amount of loan proceeds eligible for forgiveness is based on a formula that takes into account a number of factors, including the amount of loan proceeds used by the Company during the 24-week period after the loan origination for certain purposes including payroll costs, interest on certain mortgage obligations, rent payments on certain leases, and certain qualified utility payments (it being anticipated that at least 75% of the loan amount will be required to be used for eligible payroll costs); the employer maintaining or rehiring employees and maintaining salaries at certain levels; and other factors. Subject to the other requirements and limitations on loan forgiveness, only loan proceeds spent on payroll and other eligible expenses during the covered twenty-four-week period will qualify for forgiveness. While the Company has used proceeds from the PPP Loan for such qualifying expenses, in particular maintaining continuity of its payroll and workforce (including staff critical to the timely production and dispensing of medicines the Company produces), no assurance can be provided that the Company will obtain forgiveness of the PPP Loan in whole or in part. No interest expense was recognized for the year ended December 31, 2020 related to the PPP Loan.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At December 31, 2020, future minimum payments under the Company’s debt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4,700</w:t>
            </w:r>
          </w:p>
        </w:tc>
        <w:tc>
          <w:tcPr>
            <w:tcW w:w="60" w:type="dxa"/>
            <w:vAlign w:val="bottom"/>
          </w:tcPr>
          <w:p>
            <w:pPr>
              <w:spacing w:after="0"/>
              <w:rPr>
                <w:sz w:val="18"/>
                <w:szCs w:val="18"/>
                <w:color w:val="auto"/>
              </w:rPr>
            </w:pPr>
          </w:p>
        </w:tc>
      </w:tr>
      <w:tr>
        <w:trPr>
          <w:trHeight w:val="25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9,511</w:t>
            </w:r>
          </w:p>
        </w:tc>
        <w:tc>
          <w:tcPr>
            <w:tcW w:w="60" w:type="dxa"/>
            <w:vAlign w:val="bottom"/>
            <w:shd w:val="clear" w:color="auto" w:fill="CCEEFF"/>
          </w:tcPr>
          <w:p>
            <w:pPr>
              <w:spacing w:after="0"/>
              <w:rPr>
                <w:sz w:val="21"/>
                <w:szCs w:val="21"/>
                <w:color w:val="auto"/>
              </w:rPr>
            </w:pP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payments</w:t>
            </w: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20,005</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(2,927)</w:t>
            </w: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gross</w:t>
            </w: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17,078</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w:t>
            </w: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16,276</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(3,898)</w:t>
            </w:r>
          </w:p>
        </w:tc>
      </w:tr>
      <w:tr>
        <w:trPr>
          <w:trHeight w:val="216"/>
        </w:trPr>
        <w:tc>
          <w:tcPr>
            <w:tcW w:w="6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 and laboratory space under the non-cancelable operating leases listed below. These lease agreements have remaining lease terms between one to four years and contain various clauses for renewal at the Company’s option.</w:t>
      </w:r>
    </w:p>
    <w:p>
      <w:pPr>
        <w:spacing w:after="0" w:line="170"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 with an option to extend the term for a five-year period;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operating lease for 26,400 square feet of lab, warehouse and office space in Ledgewood, New Jersey, that expires in July 2026, with an option to extend the term for two additional five-year periods. This includes an amendment that was made effective July 2020 that extended the term of the original lease and added 1,400 of additional square footage to the lease;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that expires in December 2024, with an option to extend the term for two additional five-year periods.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terminated its operating lease for 4,500 square feet of office and lab space in Irvine, California, that had an expiration date in December 2020. In connection with the termination, the Company recorded a gain of $4 which was recognized in other income (expense) on the consolidated statements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and 2019, the weighted-average discount rate and the weighted-average remaining lease term for the operating leases held by the Company were 6.3% and 6.3% and 11.2 and 10.21 years, respectively.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years ended December 31, 2020 and 2019, cash paid for amounts included for the operating lease liabilities was $1,052 and $905, respectively, and the Company recorded operating lease expense of $1,066 and $892, respectively, included in selling, general and administrative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operating leases (including options to extend) as of December 31, 2020 were as follows</w:t>
      </w:r>
      <w:r>
        <w:rPr>
          <w:rFonts w:ascii="Arial" w:cs="Arial" w:eastAsia="Arial" w:hAnsi="Arial"/>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Operating Leases</w:t>
            </w:r>
          </w:p>
        </w:tc>
      </w:tr>
      <w:tr>
        <w:trPr>
          <w:trHeight w:val="216"/>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2022</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1,038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2024</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1,090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Thereafter</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5,141</w:t>
            </w:r>
          </w:p>
        </w:tc>
      </w:tr>
      <w:tr>
        <w:trPr>
          <w:trHeight w:val="216"/>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(3,034)</w:t>
            </w:r>
          </w:p>
        </w:tc>
      </w:tr>
      <w:tr>
        <w:trPr>
          <w:trHeight w:val="216"/>
        </w:trPr>
        <w:tc>
          <w:tcPr>
            <w:tcW w:w="5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r>
      <w:tr>
        <w:trPr>
          <w:trHeight w:val="230"/>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a finance lease for equipment which requires monthly payments of $1 through January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color w:val="auto"/>
                <w:w w:val="91"/>
              </w:rPr>
              <w:t>Future lease payments under the finance lease as of December 31, 2020 were as follows</w:t>
            </w:r>
            <w:r>
              <w:rPr>
                <w:rFonts w:ascii="Arial" w:cs="Arial" w:eastAsia="Arial" w:hAnsi="Arial"/>
                <w:sz w:val="18"/>
                <w:szCs w:val="18"/>
                <w:b w:val="1"/>
                <w:bCs w:val="1"/>
                <w:color w:val="auto"/>
                <w:w w:val="91"/>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Finance Lease</w:t>
            </w:r>
          </w:p>
        </w:tc>
      </w:tr>
      <w:tr>
        <w:trPr>
          <w:trHeight w:val="216"/>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36"/>
        </w:trPr>
        <w:tc>
          <w:tcPr>
            <w:tcW w:w="658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658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Less: current portion, finance lease obligation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obligation, net of current portion</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2020 and 2019, the weighted-average discount rate and the weighted-average remaining lease term for the finance lease held by the Company were 6.36% and 6.36% and 3.08 and 4.08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and 2019:</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discount amortization related to a finance lease obligation was $0 and $17, respectively;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expense related to the equipment held under the finance lease obligations was $8 and $150, respectively;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paid and expense recognized for interest expense related to the finance lease obligation was $2 and $18,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and 2019, the Company had 50,000,000 shares of common stock, $0.001 par value, authorized,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w:t>
      </w:r>
    </w:p>
    <w:p>
      <w:pPr>
        <w:spacing w:after="0" w:line="225"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issued 15,000 shares of its restricted common stock, with a fair value of $75, as consideration for commission expenses incurred during the year ended December 31, 2018;</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issued 27,671 shares of its common stock upon the cashless exercise of options to purchase 82,929 shares of common stock, with exercise prices ranging from $1.70 to $4.17 per share, net of 8,806 shares of common stock withheld for payroll tax withholdings totaling $50;</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issued 2,122 shares of its common stock upon the exercise of options to purchase 2,122 shares of common stock, with exercise prices ranging from $1.70 to $3.20 per share, and received net proceeds of $6;</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issued 688,473 shares of its common stock upon the cashless exercise of warrants to purchase 964,532 shares of common stock with an exercise price of $1.79 per share;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issued 454,055 shares of its common stock upon the exercise of warrants to purchase 454,055 shares of common stock with an exercise price of $1.79 per share, and received net proceeds of $813;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issued 87,610 shares of its common stock underlying RSUs issued to directors vested, but the issuance and delivery of these shares are deferred until the director resigns.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Issuances During the Year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w:t>
      </w:r>
    </w:p>
    <w:p>
      <w:pPr>
        <w:spacing w:after="0" w:line="225"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issued 30,000 shares of its restricted common stock, with an initial fair value of $167, as consideration for commission expenses incurred during the year ended December 31, 2019 and the year ended December 31, 2020;</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issued 4,161 shares of its common stock upon the cashless exercise of options to purchase 16,750 shares of common stock, with exercise prices ranging from $1.70 to $4.05 per share, net of 3,564 shares of common stock withheld for payroll tax withholdings;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issued 2,998 shares of its common stock upon the exercise of options to purchase 2,998 shares of common stock, with exercise prices ranging from $3.04 to $3.20 per share, and paid $8 related to payroll tax withholdings;</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issued 185,785 shares of its common stock underlying RSUs held by directors that resigned. The RSUs had previously vested, including 26,721 RSUs during the year ended December 31, 2020, but the issuance and delivery of the shares were deferred until the director resigned;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35,224 shares of the Company’s common stock underlying RSUs issued to directors vested, but the issuance and delivery of these shares are deferred until the resignation of a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and 2019,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December 31, 2020,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 The Company had 342,882 shares available for future issuances under the 2017 Plan at 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 for the year ended December 31, 2020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Weighted Avg.</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Number of 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Exercise Price</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2,656,683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Options 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414,500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6.44</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(21,402)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12.77</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December 31, 2020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5.25</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line="20" w:lineRule="exact"/>
              <w:rPr>
                <w:sz w:val="1"/>
                <w:szCs w:val="1"/>
                <w:color w:val="auto"/>
              </w:rPr>
            </w:pPr>
          </w:p>
        </w:tc>
      </w:tr>
      <w:tr>
        <w:trPr>
          <w:trHeight w:val="236"/>
        </w:trPr>
        <w:tc>
          <w:tcPr>
            <w:tcW w:w="474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1,908,849</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w:t>
            </w:r>
          </w:p>
        </w:tc>
        <w:tc>
          <w:tcPr>
            <w:tcW w:w="32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3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2,918,298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w:t>
            </w:r>
          </w:p>
        </w:tc>
        <w:tc>
          <w:tcPr>
            <w:tcW w:w="3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5.69</w:t>
            </w:r>
          </w:p>
        </w:tc>
        <w:tc>
          <w:tcPr>
            <w:tcW w:w="280" w:type="dxa"/>
            <w:vAlign w:val="bottom"/>
            <w:tcBorders>
              <w:bottom w:val="single" w:sz="8" w:color="CCEEFF"/>
            </w:tcBorders>
            <w:gridSpan w:val="2"/>
            <w:shd w:val="clear" w:color="auto" w:fill="CCEEFF"/>
          </w:tcPr>
          <w:p>
            <w:pPr>
              <w:jc w:val="right"/>
              <w:ind w:right="40"/>
              <w:spacing w:after="0" w:line="190"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2020, based on the closing price of the Company’s common stock of $6.86 on that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the options exercised in 2020 was $50.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jc w:val="both"/>
        <w:spacing w:after="0" w:line="254" w:lineRule="auto"/>
        <w:rPr>
          <w:sz w:val="20"/>
          <w:szCs w:val="20"/>
          <w:color w:val="auto"/>
        </w:rPr>
      </w:pPr>
      <w:r>
        <w:rPr>
          <w:rFonts w:ascii="Arial" w:cs="Arial" w:eastAsia="Arial" w:hAnsi="Arial"/>
          <w:sz w:val="18"/>
          <w:szCs w:val="18"/>
          <w:color w:val="auto"/>
        </w:rPr>
        <w:t>During the year ended December 31, 2020,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year ended December 31, 2020 generally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Plans) and in the event of certain modifications to the option award agreement.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31, 2015, the Company granted to its Chief Executive Officer, Mark Baum, an option to purchase 600,000 shares of the Company’s common stock (the “Baum Performance Option”) at an exercise price of $7.87 per share under the 2007 Plan subject to the satisfaction of certain market-based vesting criteria. The market-based vesting criteria are separated into five tranches and require that the Company achieve and maintain certain average stock price targets ranging from $9 per share to $15 per share during the five year period following the grant date. On June 4, 2020, the Company amended the Baum Performance Option, to extend the vesting and contractual term by 5 years. The Company treated this amendment as a modification to the Baum Performance Option for accounting purposes. The fair value of the modification was $1,876 using a Monte Carlo simulation model with a five-year life, 70% volatility and a risk-free interest rate of 0.40%.</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the exception of the Baum Performance Option, the fair value of each option award is estimated on the date of grant using the Black-Scholes-Merton option pricing model. Beginning on April 1, 2019, the Company began calculating expected volatility based solely on the historical volatilities of the common stock of the Company. Prior to April 1, 2019,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3.86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300" w:type="dxa"/>
            <w:vAlign w:val="bottom"/>
            <w:gridSpan w:val="4"/>
          </w:tcPr>
          <w:p>
            <w:pPr>
              <w:jc w:val="right"/>
              <w:ind w:right="320"/>
              <w:spacing w:after="0"/>
              <w:rPr>
                <w:sz w:val="20"/>
                <w:szCs w:val="20"/>
                <w:color w:val="auto"/>
              </w:rPr>
            </w:pPr>
            <w:r>
              <w:rPr>
                <w:rFonts w:ascii="Arial" w:cs="Arial" w:eastAsia="Arial" w:hAnsi="Arial"/>
                <w:sz w:val="18"/>
                <w:szCs w:val="18"/>
                <w:color w:val="auto"/>
              </w:rPr>
              <w:t>0.50 - 6.11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5.07 -</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7.00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71%</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64 - 78%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0.34 –</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1.64%</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2.68%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Weighted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Average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30"/>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r>
      <w:tr>
        <w:trPr>
          <w:trHeight w:val="237"/>
        </w:trPr>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Range of Exercise Prices</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Life in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Price</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Exercisable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$1.47 - $2.60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770,440</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6"/>
              </w:rPr>
              <w:t>745,255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jc w:val="center"/>
              <w:spacing w:after="0"/>
              <w:rPr>
                <w:sz w:val="20"/>
                <w:szCs w:val="20"/>
                <w:color w:val="auto"/>
              </w:rPr>
            </w:pPr>
            <w:r>
              <w:rPr>
                <w:rFonts w:ascii="Arial" w:cs="Arial" w:eastAsia="Arial" w:hAnsi="Arial"/>
                <w:sz w:val="18"/>
                <w:szCs w:val="18"/>
                <w:color w:val="auto"/>
                <w:w w:val="90"/>
              </w:rPr>
              <w:t>$3.04 - $4.50</w:t>
            </w: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517,002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438,873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$5.49 - $6.36</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496,350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291,919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r>
      <w:tr>
        <w:trPr>
          <w:trHeight w:val="236"/>
        </w:trPr>
        <w:tc>
          <w:tcPr>
            <w:tcW w:w="3820" w:type="dxa"/>
            <w:vAlign w:val="bottom"/>
          </w:tcPr>
          <w:p>
            <w:pPr>
              <w:jc w:val="center"/>
              <w:spacing w:after="0"/>
              <w:rPr>
                <w:sz w:val="20"/>
                <w:szCs w:val="20"/>
                <w:color w:val="auto"/>
              </w:rPr>
            </w:pPr>
            <w:r>
              <w:rPr>
                <w:rFonts w:ascii="Arial" w:cs="Arial" w:eastAsia="Arial" w:hAnsi="Arial"/>
                <w:sz w:val="18"/>
                <w:szCs w:val="18"/>
                <w:color w:val="auto"/>
                <w:w w:val="90"/>
              </w:rPr>
              <w:t>$6.64 - $8.99</w:t>
            </w:r>
          </w:p>
        </w:tc>
        <w:tc>
          <w:tcPr>
            <w:tcW w:w="2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1,246,241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432,802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r>
      <w:tr>
        <w:trPr>
          <w:trHeight w:val="230"/>
        </w:trPr>
        <w:tc>
          <w:tcPr>
            <w:tcW w:w="3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$1.47 - $8.99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3,030,033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300" w:type="dxa"/>
            <w:vAlign w:val="bottom"/>
            <w:tcBorders>
              <w:top w:val="single" w:sz="8" w:color="CCEEFF"/>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2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1,908,849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there was approximately $2,794 of total unrecognized compensation expense related to unvested stock options granted under the Plan. That expense is expected to be recognized over the weighted-average remaining vesting period of 3.96 years. The stock-based compensation for all stock options was $1,579 and $889 during the years ended December 31,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 awards are granted subject to certain vesting requirements and other restrictions, including performance and market-based vesting criteria. The grant-date fair value of the RSUs, which has been determined based upon the market value of the Company’s common stock on the grant date, is expensed over the vesting period of the RSUs.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Grants During the Year Ended December 31, 2019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2019, 185,000 RSUs with a fair market value of $1,139 were issued to certain employees; the RSUs vest in full on the third anniversary of the grant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Company’s board of directors were granted 38,860 RSUs with a fair market value of $300 which vests on a quarterly basis, over a one-year term in equal installments, subject to the director’s continued service at the vesting date, but the issuance and delivery of these shares are deferred until the director resigns.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2019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 Average</w:t>
            </w:r>
          </w:p>
        </w:tc>
      </w:t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Grant</w:t>
            </w:r>
          </w:p>
        </w:tc>
      </w:tr>
      <w:tr>
        <w:trPr>
          <w:trHeight w:val="237"/>
        </w:trPr>
        <w:tc>
          <w:tcPr>
            <w:tcW w:w="5600" w:type="dxa"/>
            <w:vAlign w:val="bottom"/>
          </w:tcPr>
          <w:p>
            <w:pPr>
              <w:spacing w:after="0"/>
              <w:rPr>
                <w:sz w:val="20"/>
                <w:szCs w:val="20"/>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Number of RSUs</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Date Fair 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1,275,680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RSUs granted</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223,860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6.43</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RSUs cancelled/forfeited</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2019</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1,411,930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2020, 161,000 RSUs with a fair market value of $1,025 were issued to certain employees; the RSUs vest in full on the third anniversary of the grant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Company’s board of directors were granted 90,524 RSUs with a fair market value $511 which vest on a quarterly basis, over a one-year term in equal installments, subject to the director’s continued service at the vesting date, but the issuance and delivery of these shares are deferred until the director resigns.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2020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 Average</w:t>
            </w:r>
          </w:p>
        </w:tc>
      </w:t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Grant</w:t>
            </w:r>
          </w:p>
        </w:tc>
      </w:tr>
      <w:tr>
        <w:trPr>
          <w:trHeight w:val="237"/>
        </w:trPr>
        <w:tc>
          <w:tcPr>
            <w:tcW w:w="5600" w:type="dxa"/>
            <w:vAlign w:val="bottom"/>
          </w:tcPr>
          <w:p>
            <w:pPr>
              <w:spacing w:after="0"/>
              <w:rPr>
                <w:sz w:val="20"/>
                <w:szCs w:val="20"/>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Number of RSUs</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Date Fair 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1,411,930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RSUs granted</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251,524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6.11</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r>
      <w:tr>
        <w:trPr>
          <w:trHeight w:val="236"/>
        </w:trPr>
        <w:tc>
          <w:tcPr>
            <w:tcW w:w="5600" w:type="dxa"/>
            <w:vAlign w:val="bottom"/>
          </w:tcPr>
          <w:p>
            <w:pPr>
              <w:spacing w:after="0"/>
              <w:rPr>
                <w:sz w:val="20"/>
                <w:szCs w:val="20"/>
                <w:color w:val="auto"/>
              </w:rPr>
            </w:pPr>
            <w:r>
              <w:rPr>
                <w:rFonts w:ascii="Arial" w:cs="Arial" w:eastAsia="Arial" w:hAnsi="Arial"/>
                <w:sz w:val="18"/>
                <w:szCs w:val="18"/>
                <w:color w:val="auto"/>
              </w:rPr>
              <w:t>RSUs cancelled/forfeited</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1,601,509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total unrecognized compensation expense related to unvested RSUs was approximately $1,363 which is expected to be recognized over a weighted-average period of 3.14 years, based on estimated vesting schedules. The stock-based compensation for RSUs was $1,167 and $879 during the years ended December 31,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 - 2019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w:t>
      </w:r>
    </w:p>
    <w:p>
      <w:pPr>
        <w:spacing w:after="0" w:line="225"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Mayfield issued 1,000,000 shares of its common stock to Elle in connection with the acquisition of certain drug candidate intellectual property and rights in February 2019;</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Mayfield issued 300,000 shares of its common stock to TGV in connection with the acquisition of certain drug candidate intellectual property and rights in July 2019;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recognized $26 in stock-based compensation related to equity instruments granted by Mayfield for 2,450,000 shares of its restricted common stock that vest upon various performance based milestones and service periods to consultants of Mayfield, including Mayfield’s CEO candidate and to Harrow employees, including 725,000 shares to Mark Baum, CEO of the Company, and 362,500 shares to Andrew Boll, CFO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Mayfield Pharmaceuticals, Inc.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Mayfield repurchased 650,000 shares of its common stock from Elle, for an aggregate purchase price of $1;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500,000 shares of Mayfield’s restricted common stock were forfeited by a consultant;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Mayfield issued 475,000 shares of its restricted common stock, with a fair value of $11, that vest upon various performance-based milestones and over a four-year service period to Mayfield’s Chief Executive Officer candidate.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Company recognized $20 in stock-based compensation for Mayfield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Pharmaceuticals, Inc. - 2019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2019, Stowe agreed to issue 1,750,000 shares of its common stock to TGV in connection with the acquisition of certain drug candidate intellectual property and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Visionology, Inc. - 2020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2020, Visionology granted 2,000,000 shares of its restricted common stock, with a fair value of $96 that vest upon various performance based milestones and service periods to consultants of Visionology, including Visionology’s CEO candidate and to Harrow employees, including 700,000 shares to Mark Baum, CEO of the Company, and 350,000 shares to Andrew Boll, CFO of the Company.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issuance of common stock for services and accrual for stock-based compensation) related to equity instruments granted to employees, directors and consultants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00" w:type="dxa"/>
            <w:vAlign w:val="bottom"/>
          </w:tcPr>
          <w:p>
            <w:pPr>
              <w:spacing w:after="0"/>
              <w:rPr>
                <w:sz w:val="20"/>
                <w:szCs w:val="20"/>
                <w:color w:val="auto"/>
              </w:rPr>
            </w:pPr>
          </w:p>
        </w:tc>
        <w:tc>
          <w:tcPr>
            <w:tcW w:w="30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For the Years Ended December 31,</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490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27"/>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080" w:type="dxa"/>
            <w:vAlign w:val="bottom"/>
            <w:tcBorders>
              <w:top w:val="single" w:sz="8" w:color="auto"/>
            </w:tcBorders>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10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300</w:t>
            </w:r>
          </w:p>
        </w:tc>
      </w:tr>
      <w:tr>
        <w:trPr>
          <w:trHeight w:val="24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10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r>
      <w:tr>
        <w:trPr>
          <w:trHeight w:val="217"/>
        </w:trPr>
        <w:tc>
          <w:tcPr>
            <w:tcW w:w="4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2,023</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12), underwriters and other non-employees for services rendered or to be rendered in the future.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 summary of warrant activity during the year ended December 31, 2020 is as follows:</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980" w:type="dxa"/>
            <w:vAlign w:val="bottom"/>
          </w:tcPr>
          <w:p>
            <w:pPr>
              <w:spacing w:after="0"/>
              <w:rPr>
                <w:sz w:val="24"/>
                <w:szCs w:val="24"/>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Number of Shares Subject</w:t>
            </w:r>
          </w:p>
        </w:tc>
        <w:tc>
          <w:tcPr>
            <w:tcW w:w="300" w:type="dxa"/>
            <w:vAlign w:val="bottom"/>
          </w:tcPr>
          <w:p>
            <w:pPr>
              <w:spacing w:after="0"/>
              <w:rPr>
                <w:sz w:val="24"/>
                <w:szCs w:val="24"/>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Avg. Exercise</w:t>
            </w: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to Warrants Outstanding</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2020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780,386</w:t>
            </w: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980" w:type="dxa"/>
            <w:vAlign w:val="bottom"/>
          </w:tcPr>
          <w:p>
            <w:pPr>
              <w:spacing w:after="0"/>
              <w:rPr>
                <w:sz w:val="20"/>
                <w:szCs w:val="20"/>
                <w:color w:val="auto"/>
              </w:rPr>
            </w:pPr>
            <w:r>
              <w:rPr>
                <w:rFonts w:ascii="Arial" w:cs="Arial" w:eastAsia="Arial" w:hAnsi="Arial"/>
                <w:sz w:val="18"/>
                <w:szCs w:val="18"/>
                <w:color w:val="auto"/>
              </w:rPr>
              <w:t>Expired</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December 31, 2020</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 December</w:t>
            </w: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31, 2020</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warrants outstanding as of December 31, 2020 are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Warrants Outstanding</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color w:val="auto"/>
              </w:rPr>
              <w:t>Warrants Exercisable</w:t>
            </w:r>
          </w:p>
        </w:tc>
      </w:tr>
      <w:tr>
        <w:trPr>
          <w:trHeight w:val="215"/>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Warrants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Warrants</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Expiration</w:t>
            </w:r>
          </w:p>
        </w:tc>
      </w:tr>
      <w:tr>
        <w:trPr>
          <w:trHeight w:val="237"/>
        </w:trPr>
        <w:tc>
          <w:tcPr>
            <w:tcW w:w="306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580" w:type="dxa"/>
            <w:vAlign w:val="bottom"/>
            <w:gridSpan w:val="2"/>
          </w:tcPr>
          <w:p>
            <w:pPr>
              <w:ind w:left="300"/>
              <w:spacing w:after="0"/>
              <w:rPr>
                <w:sz w:val="20"/>
                <w:szCs w:val="20"/>
                <w:color w:val="auto"/>
              </w:rPr>
            </w:pPr>
            <w:r>
              <w:rPr>
                <w:rFonts w:ascii="Arial" w:cs="Arial" w:eastAsia="Arial" w:hAnsi="Arial"/>
                <w:sz w:val="18"/>
                <w:szCs w:val="18"/>
                <w:color w:val="auto"/>
              </w:rPr>
              <w:t>Issue Date</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20"/>
                <w:szCs w:val="20"/>
                <w:color w:val="auto"/>
              </w:rPr>
            </w:pPr>
          </w:p>
        </w:tc>
        <w:tc>
          <w:tcPr>
            <w:tcW w:w="1460" w:type="dxa"/>
            <w:vAlign w:val="bottom"/>
            <w:gridSpan w:val="3"/>
          </w:tcPr>
          <w:p>
            <w:pPr>
              <w:jc w:val="center"/>
              <w:ind w:right="540"/>
              <w:spacing w:after="0"/>
              <w:rPr>
                <w:sz w:val="20"/>
                <w:szCs w:val="20"/>
                <w:color w:val="auto"/>
              </w:rPr>
            </w:pPr>
            <w:r>
              <w:rPr>
                <w:rFonts w:ascii="Arial" w:cs="Arial" w:eastAsia="Arial" w:hAnsi="Arial"/>
                <w:sz w:val="18"/>
                <w:szCs w:val="18"/>
                <w:color w:val="auto"/>
                <w:w w:val="87"/>
              </w:rPr>
              <w:t>Price</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Exercisable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5/11/2015</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6"/>
              </w:rPr>
              <w:t>125,000</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5/11/2025</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Settlement warrants</w:t>
            </w:r>
          </w:p>
        </w:tc>
        <w:tc>
          <w:tcPr>
            <w:tcW w:w="1340" w:type="dxa"/>
            <w:vAlign w:val="bottom"/>
          </w:tcPr>
          <w:p>
            <w:pPr>
              <w:ind w:left="300"/>
              <w:spacing w:after="0"/>
              <w:rPr>
                <w:sz w:val="20"/>
                <w:szCs w:val="20"/>
                <w:color w:val="auto"/>
              </w:rPr>
            </w:pPr>
            <w:r>
              <w:rPr>
                <w:rFonts w:ascii="Arial" w:cs="Arial" w:eastAsia="Arial" w:hAnsi="Arial"/>
                <w:sz w:val="18"/>
                <w:szCs w:val="18"/>
                <w:color w:val="auto"/>
              </w:rPr>
              <w:t>8/16/2016</w:t>
            </w:r>
          </w:p>
        </w:tc>
        <w:tc>
          <w:tcPr>
            <w:tcW w:w="240" w:type="dxa"/>
            <w:vAlign w:val="bottom"/>
          </w:tcPr>
          <w:p>
            <w:pPr>
              <w:spacing w:after="0"/>
              <w:rPr>
                <w:sz w:val="18"/>
                <w:szCs w:val="18"/>
                <w:color w:val="auto"/>
              </w:rPr>
            </w:pPr>
          </w:p>
        </w:tc>
        <w:tc>
          <w:tcPr>
            <w:tcW w:w="1820" w:type="dxa"/>
            <w:vAlign w:val="bottom"/>
            <w:gridSpan w:val="2"/>
          </w:tcPr>
          <w:p>
            <w:pPr>
              <w:ind w:left="980"/>
              <w:spacing w:after="0"/>
              <w:rPr>
                <w:sz w:val="20"/>
                <w:szCs w:val="20"/>
                <w:color w:val="auto"/>
              </w:rPr>
            </w:pPr>
            <w:r>
              <w:rPr>
                <w:rFonts w:ascii="Arial" w:cs="Arial" w:eastAsia="Arial" w:hAnsi="Arial"/>
                <w:sz w:val="18"/>
                <w:szCs w:val="18"/>
                <w:color w:val="auto"/>
              </w:rPr>
              <w:t>40,000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8/16/2021</w:t>
            </w:r>
          </w:p>
        </w:tc>
      </w:tr>
      <w:tr>
        <w:trPr>
          <w:trHeight w:val="249"/>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Lender warrants (see Note 12)</w:t>
            </w:r>
          </w:p>
        </w:tc>
        <w:tc>
          <w:tcPr>
            <w:tcW w:w="1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7/19/2017</w:t>
            </w:r>
          </w:p>
        </w:tc>
        <w:tc>
          <w:tcPr>
            <w:tcW w:w="2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615,386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615,386</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7/19/2024</w:t>
            </w:r>
          </w:p>
        </w:tc>
      </w:tr>
      <w:tr>
        <w:trPr>
          <w:trHeight w:val="216"/>
        </w:trPr>
        <w:tc>
          <w:tcPr>
            <w:tcW w:w="2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6"/>
              </w:rPr>
              <w:t>780,386</w:t>
            </w: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2.12</w:t>
            </w: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780,386</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9"/>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F-27</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subject to taxation in the United States, California, Florida, Georgia, Illinois, New Jersey, New York, Tennessee and Wisconsin. The Company’s income tax provision consists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w w:val="97"/>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6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r>
        <w:trPr>
          <w:trHeight w:val="210"/>
        </w:trPr>
        <w:tc>
          <w:tcPr>
            <w:tcW w:w="5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expense</w:t>
            </w:r>
          </w:p>
        </w:tc>
        <w:tc>
          <w:tcPr>
            <w:tcW w:w="10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26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4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10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w:t>
            </w: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r>
      <w:tr>
        <w:trPr>
          <w:trHeight w:val="210"/>
        </w:trPr>
        <w:tc>
          <w:tcPr>
            <w:tcW w:w="5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 expense</w:t>
            </w:r>
          </w:p>
        </w:tc>
        <w:tc>
          <w:tcPr>
            <w:tcW w:w="10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r>
      <w:tr>
        <w:trPr>
          <w:trHeight w:val="23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4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income taxes computed by applying the statutory U.S. income tax rate to the Company’s loss before income tax provision to the income tax provision is as follows:</w:t>
      </w:r>
    </w:p>
    <w:p>
      <w:pPr>
        <w:spacing w:after="0" w:line="184"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21.00%</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State tax benefit, net</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(0.11)%</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(6.73)%</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5.52%</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(0.38)%</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(358.67)%</w:t>
            </w:r>
          </w:p>
        </w:tc>
      </w:tr>
      <w:tr>
        <w:trPr>
          <w:trHeight w:val="249"/>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(26.14)%</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334.57%</w:t>
            </w:r>
          </w:p>
        </w:tc>
      </w:tr>
      <w:tr>
        <w:trPr>
          <w:trHeight w:val="217"/>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Effective income tax rate</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8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37"/>
        </w:trPr>
        <w:tc>
          <w:tcPr>
            <w:tcW w:w="43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NOL’s</w:t>
            </w:r>
          </w:p>
        </w:tc>
        <w:tc>
          <w:tcPr>
            <w:tcW w:w="218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19,685</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19,827</w:t>
            </w:r>
          </w:p>
        </w:tc>
        <w:tc>
          <w:tcPr>
            <w:tcW w:w="226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528</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2260" w:type="dxa"/>
            <w:vAlign w:val="bottom"/>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413</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641</w:t>
            </w:r>
          </w:p>
        </w:tc>
        <w:tc>
          <w:tcPr>
            <w:tcW w:w="226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w:t>
            </w:r>
          </w:p>
        </w:tc>
        <w:tc>
          <w:tcPr>
            <w:tcW w:w="2260" w:type="dxa"/>
            <w:vAlign w:val="bottom"/>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Deferred stock-based compensation</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4,024</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3,533</w:t>
            </w:r>
          </w:p>
        </w:tc>
        <w:tc>
          <w:tcPr>
            <w:tcW w:w="226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in Melt</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w:t>
            </w:r>
          </w:p>
        </w:tc>
        <w:tc>
          <w:tcPr>
            <w:tcW w:w="2260" w:type="dxa"/>
            <w:vAlign w:val="bottom"/>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Basis difference in Surface</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(1,185)</w:t>
            </w:r>
          </w:p>
        </w:tc>
        <w:tc>
          <w:tcPr>
            <w:tcW w:w="226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in Eton</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(7,528)</w:t>
            </w:r>
          </w:p>
        </w:tc>
        <w:tc>
          <w:tcPr>
            <w:tcW w:w="2260" w:type="dxa"/>
            <w:vAlign w:val="bottom"/>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Capital losses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226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Park stock purchase identifiable intangibles</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2260" w:type="dxa"/>
            <w:vAlign w:val="bottom"/>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Limitation under 163(j)</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226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ASC 842 lease liability</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2,192</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2,082</w:t>
            </w:r>
          </w:p>
        </w:tc>
        <w:tc>
          <w:tcPr>
            <w:tcW w:w="2260" w:type="dxa"/>
            <w:vAlign w:val="bottom"/>
          </w:tcPr>
          <w:p>
            <w:pPr>
              <w:spacing w:after="0"/>
              <w:rPr>
                <w:sz w:val="18"/>
                <w:szCs w:val="18"/>
                <w:color w:val="auto"/>
              </w:rPr>
            </w:pPr>
          </w:p>
        </w:tc>
      </w:tr>
      <w:tr>
        <w:trPr>
          <w:trHeight w:val="236"/>
        </w:trPr>
        <w:tc>
          <w:tcPr>
            <w:tcW w:w="4380" w:type="dxa"/>
            <w:vAlign w:val="bottom"/>
          </w:tcPr>
          <w:p>
            <w:pPr>
              <w:ind w:left="180"/>
              <w:spacing w:after="0"/>
              <w:rPr>
                <w:sz w:val="20"/>
                <w:szCs w:val="20"/>
                <w:color w:val="auto"/>
              </w:rPr>
            </w:pPr>
            <w:r>
              <w:rPr>
                <w:rFonts w:ascii="Arial" w:cs="Arial" w:eastAsia="Arial" w:hAnsi="Arial"/>
                <w:sz w:val="18"/>
                <w:szCs w:val="18"/>
                <w:color w:val="auto"/>
              </w:rPr>
              <w:t>ASC 842 ROU asset</w:t>
            </w: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(2,061)</w:t>
            </w:r>
          </w:p>
        </w:tc>
        <w:tc>
          <w:tcPr>
            <w:tcW w:w="4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(1,959)</w:t>
            </w:r>
          </w:p>
        </w:tc>
        <w:tc>
          <w:tcPr>
            <w:tcW w:w="2260" w:type="dxa"/>
            <w:vAlign w:val="bottom"/>
          </w:tcPr>
          <w:p>
            <w:pPr>
              <w:spacing w:after="0"/>
              <w:rPr>
                <w:sz w:val="20"/>
                <w:szCs w:val="20"/>
                <w:color w:val="auto"/>
              </w:rPr>
            </w:pPr>
          </w:p>
        </w:tc>
      </w:tr>
      <w:tr>
        <w:trPr>
          <w:trHeight w:val="243"/>
        </w:trPr>
        <w:tc>
          <w:tcPr>
            <w:tcW w:w="4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 net</w:t>
            </w:r>
          </w:p>
        </w:tc>
        <w:tc>
          <w:tcPr>
            <w:tcW w:w="12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15,835</w:t>
            </w:r>
          </w:p>
        </w:tc>
        <w:tc>
          <w:tcPr>
            <w:tcW w:w="2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80" w:type="dxa"/>
            <w:vAlign w:val="bottom"/>
            <w:tcBorders>
              <w:top w:val="single" w:sz="8" w:color="CCEEFF"/>
            </w:tcBorders>
            <w:shd w:val="clear" w:color="auto" w:fill="CCEEFF"/>
          </w:tcPr>
          <w:p>
            <w:pPr>
              <w:spacing w:after="0"/>
              <w:rPr>
                <w:sz w:val="21"/>
                <w:szCs w:val="21"/>
                <w:color w:val="auto"/>
              </w:rPr>
            </w:pPr>
          </w:p>
        </w:tc>
        <w:tc>
          <w:tcPr>
            <w:tcW w:w="2260" w:type="dxa"/>
            <w:vAlign w:val="bottom"/>
          </w:tcPr>
          <w:p>
            <w:pPr>
              <w:spacing w:after="0"/>
              <w:rPr>
                <w:sz w:val="21"/>
                <w:szCs w:val="21"/>
                <w:color w:val="auto"/>
              </w:rPr>
            </w:pPr>
          </w:p>
        </w:tc>
      </w:tr>
      <w:tr>
        <w:trPr>
          <w:trHeight w:val="236"/>
        </w:trPr>
        <w:tc>
          <w:tcPr>
            <w:tcW w:w="4380" w:type="dxa"/>
            <w:vAlign w:val="bottom"/>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(15,835)</w:t>
            </w:r>
          </w:p>
        </w:tc>
        <w:tc>
          <w:tcPr>
            <w:tcW w:w="4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(15,202)</w:t>
            </w:r>
          </w:p>
        </w:tc>
        <w:tc>
          <w:tcPr>
            <w:tcW w:w="2260" w:type="dxa"/>
            <w:vAlign w:val="bottom"/>
          </w:tcPr>
          <w:p>
            <w:pPr>
              <w:spacing w:after="0"/>
              <w:rPr>
                <w:sz w:val="20"/>
                <w:szCs w:val="20"/>
                <w:color w:val="auto"/>
              </w:rPr>
            </w:pPr>
          </w:p>
        </w:tc>
      </w:tr>
      <w:tr>
        <w:trPr>
          <w:trHeight w:val="230"/>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center"/>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4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1"/>
              </w:rPr>
              <w:t>F-28</w:t>
            </w: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6" w:name="page87"/>
    <w:bookmarkEnd w:id="86"/>
    <w:p>
      <w:pPr>
        <w:jc w:val="both"/>
        <w:spacing w:after="0" w:line="263"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$633 and decreased by $521 during 2020 and 2019, respectively.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December 31, 2020, the Company has federal and state net operating loss carryforwards of approximately $62,856 and $60,908 which will begin to expire in 2027, unless previously utilized, and will begin to expire for state purposes in 2026. In addition, the Company has federal net operating loss carryforwards of $3,865 generated after 2017 that can be carried over indefinitely and may be used to offset up to 80% of federal taxable income. At December 31, 2020, the Company has federal and state research and development tax credits of approximately $354 and $305, respectively. The federal research tax credit begins to expire in 2026, unless previously utilized, and the state research and development tax credit has no expiration date.</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Utilization of the net operating loss (“NOL”) and research and development (“R&amp;D”) carryforwards maybe subject to a substantial annual limitation due to ownership change limitations that might have occurred or that could occur in the future, as required by Section 382 of the Internal Revenue Code of 1986, as amended (the “Code”), as well as similar state and foreign provisions. These ownership changes may limit the amount of NOL and R&amp;D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not completed a study to assess whether an ownership change or changes have occurred. If the Company has experienced an ownership change, utilization of the NOL or R&amp;D credit carryforwards would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or R&amp;D credit carryforwards before utilization. Further, until a study is complete and any limitation is known, no amounts are being considered as an uncertain tax position or disclosed as an unrecognized tax benefit. Any carryforwards that will expire prior to utilization as a result of such limitations will be removed from deferred tax assets with a corresponding reduction of the valuation allowance.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and 2019, there were no unrecognized tax benefits included in the consolidated balance sheets that would, if recognized, affect the effective tax rate. The Company’s practice is to recognize interest and/or penalties related to income tax matters in income tax expense. The Company had no accrual for interest or penalties in its consolidated balance sheets at December 31, 2020 and 2019, and has not recognized interest and/or penalties in the consolidated statements of operations for the years ended December 31, 2020 and 2019. The Company’s tax years since 2000 may be subject to examination by the federal and state tax authorities due to the carryforward of unutilized net operating losses.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16. EMPLOYEE SAVINGS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$272 and $312 to the plan during the years ended December 31, 2020 and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the Company’s alleged transmittal of advertisements to its clients via facsimile. The Court approved the parties’ proposed settlement agreement in the spring of 2019. During the year ended December 31, 2018, the Company accrued $640 for expected damages related to this matter and the proposed settlement amount. As a result of the low claim rate of approximately 1.4%, the Company’s total damages were $571, which was paid in October 2019. This formally resolved all known disputes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September 2017, Allergan USA, Inc. (“Allergan”) filed a lawsuit in the U.S. District Court for the Central District of California against the Company, primarily claiming violations under the federal Lanham Act and California’s Sherman Act. The Court granted in part and denied in part each parties’ motions for summary judgement, resolving all issues except for whether Allergan was entitled to damages related to the Company’s purported Lanham Act violations. The parties went to trial in May 2019 to litigate damages related to the Lanham Act, and a jury found the Company liable for only $49 in lost profit damages, which was accrued as an expense during the year ended December 31, 2019 (see Note 11). In July 2019, the Court entered a permanent injunction, the scope of which is limited to compounded drugs prepared in, dispensed from within, or shipped to the state of California. The injunction requires the Company to: (1) only dispense drugs from a 503(a) facility with a “Valid Prescription Order”; (2) abide by the FDA’s anticipatory compounding guidelines; and (3) only use bulk drug substances identified on a list established by the Secretary of Health and Human Services or FDA’s interim “Category 1” list. The Company believes it was already in compliance with the order, prior to the injunction being ordered. On October 2, 2019, Allergan and the Company filed a joint stipulation to voluntarily dismiss each parties’ respective pending appeals arising out of the lawsuit. No economic consideration was exchanged between the parties related to the filing of the joint stipulation. This formally resolved all known disputes between the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2018, the California Board of Pharmacy filed an accusation against Park related to a compounded formulation the Company believes was legally dispensed and was, without its knowledge, inappropriately administered to a patient unknown to Park, by the prescribing healthcare professional. Park filed a response to the accusation and requested a formal hearing. In April 2019, Park agreed to, and the California State Board of Pharmacy approved terms of a settlement agreement (the “Settlement Agreement”) that became effective on May 29, 2019. Pursuant to the terms of the Settlement Agreement, Park was required to, and did, surrender its California pharmacy license by August 27, 2019. This formally resolved all known disputes between the 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post-termination obligations to be litigated. On October 29, 2020, at a hearing on the various dispositive motions before it, the Court found that there were triable issues of fact and reopened discovery for limited purposes. NDS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January 2018, John Erick and Deborah Ferrell, successors-in-interest and heirs of Jade Erick, (collectively “Erick”) filed a lawsuit in the San Diego County Superior against Kim Kelly, ND, MPH asserting claims related to the death of Jade Erick. In April 2018, Erick filed an amendment to the lawsuit, naming the Company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seeks indemnity and contribution from the Company and Spectrum. The Company answered the claims filed by Dr. Kelly in October 2018. The case is currently in the discovery phase. Erick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Anna Sue Gaukel et 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2019, Anna Sue Gaukel and Lawrence Gaukel served the Company with a lawsuit filed in state court in Idaho against Imprimis Pharmaceuticals, Inc. asserting class action allegations and product liability claims related to Mrs. Gaukel’s doctor’s use of a compounded drug injection in each of her eyes. In June 2019, the Company removed the case to Federal Court and subsequently answered the complaint. On January 24, 2019, the plaintiffs and the Company filed a joint stipulation, and the case was dismissed with prejudice. No economic consideration was exchanged between the parties related to the filing of the joint stipulation. This formally resolved all known disputes between the parties as connected to this matter.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various sales and marketing agreements with certain organizations, to provide sales and marketing representation services to ImprimisRx in select geographies in the U.S., in connection with the Company’s ophthalmic compounded formulations.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generally equal to 10% to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The Company accrued and recorded in additional paid in capital $83 and $159 related to stock-based payments for these agreements during the year ended December 31, 2020 and 2019, respectively, and $2,434 and $2,700 were incurred under these agreements for commission expenses during the years ended December 31, 2020 and 2019,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$224 and $371 were accrued in accounts payable and accrued expenses under these agreements during the years ended December 31, 2020 and 2019, respectively, and $682 and $846 were incurred under these agreements as royalty expenses for the years ended December 31, 2020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Mayfield License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2020, Mayfield entered into a License Agreement (the “TGV License”) with TGV to acquire intellectual property rights for use in the women’s health field, related to Mayfield’s proprietary drug candidate MAY-66. The TGV License provides that TGV will cooperate with Mayfield in transferring all embodiments of the intellectual property (including know-how) related to the TGV License, assist in obtaining and protecting its patent rights for the acquired intellectual property and that Mayfield will use commercially reasonable efforts to research, develop and commercialize products based on the acquired intellectual property. In connection with the TGV License, Mayfield is obligated to make royalty payments to TGV equal to a low single digit percentage of net sales received by Mayfield in connection with the sale or licensing of any product based on the licensed intellectual property. In addition, Mayfield issued 300,000 shares of its common stock to TGV and is required to make certain milestone payments to TGV over the development of MAY-66 and any related products based on the licensed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Stowe License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2020, Stowe entered into a License Agreement (the “Stowe License”) with TGV, to acquire intellectual property rights for use in the ophthalmology and otic health field, related to Stowe’s proprietary drug candidate STE-006. The Stowe License provides that TGV will cooperate with Stowe in transferring all embodiments of the intellectual property (including know-how) related to the Stowe License, assist in obtaining and protecting its patent rights for the acquired intellectual property and that Stowe will use commercially reasonable efforts to research, develop and commercialize products based on the acquired intellectual property. In connection with the Stowe License, Stowe is obligated to make royalty payments to TGV equal to a low single digit percentage of net sales received by Stowe in connection with the sale or licensing of any product based on the licensed intellectual property. In addition, Stowe issued 1,750,000 shares of its common stock to TGV and is required to make certain milestone payments to TGV over the development of STE-006 and any related products based on the licensed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were payable at the Company’s election in cash or shares of the Company’s restricted common stock. Dr. Lindstrom was paid $149 and $63 in cash during the years ended December 31, 2020 and 2019, respectively, and was due an additional $35 and $55 at December 31, 2020 and 2019, respectively. The Company incurred $129 and $103 for royalty expenses related to the Klarity License Agreement during the years ended December 31, 2020 and 2019,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$55 and $0 in cash during the years ended December 31, 2020 and 2019, respectively, and was due $7 and $40 at December 31, 2020 and 2019, respectively. The Company incurred $55 and $40 for royalty expenses related to the Lindstrom APA during the years ended December 31, 2020 and 2019,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Presbyopia Asset Purchase Agreement – Related Party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2019, the Company entered into an asset purchase agreement (the “Presbyopia APA”) with Richard L. Lindstrom, M.D.,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Presbyopia APA, the Company is required to make royalty payments to Dr. Lindstrom ranging from 2% to 4% of net sales, dependent upon the final formulation and patent protection of the Presbyopia Product sold. Dr. Lindstrom was paid $0 in cash during the years ended December 31, 2020 and 2019, and was due $0 at December 31, 2020 and 2019. The Company incurred $0 for royalty expenses related to the Presbyopia APA during the years ended December 31, 2020 and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Eyepoint Commercial Alliance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Arial" w:cs="Arial" w:eastAsia="Arial" w:hAnsi="Arial"/>
          <w:sz w:val="18"/>
          <w:szCs w:val="18"/>
          <w:color w:val="auto"/>
        </w:rPr>
        <w:t>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will pay the Company a fee calculated based on the quarterly sales of DEXCYU in excess of predefined volumes to specific customers of the Company in the U.S. Under the terms of the Dexycu Agreement, the Company shall use commercially reasonable efforts to promote and market DEXCYU in the U.S.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Subject to early termination, the Dexycu Agreement expires on August 1, 2025, subject to specified notice periods and specified limitations, either party may terminate the Dexycu Agreement in the event of (i) uncured material breach by the other party or (ii) if DEXCYU ceases to have “pass-through” payment status. In addition, subject to certain limitations, the Company may terminate the Dexycu Agreement (i) for convenience subject to an extended specified notice period or (ii) in the event Eyepoint undergoes a change of control. Eyepoint may terminate the Dexycu Agreement, subject to specified notice periods and specified limitations, if the Company fails to achieve certain minimum sales levels during specified periods. During the year ended December 31, 2020, the Company recorded $357 in commission revenues related to the Dexycu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 AND CONCENTRATIONS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on January 1, 2019, the Company began evaluating performance of the Company based on operating segments. Segment performance for its two operating segments are based on segment contribution. The Company’s reportable segments consist of (i) its commercial stage pharmaceutical compounding business (Pharmaceutical Compounding), generally including the operations of ImprimisRx and the former Park businesses;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78" w:lineRule="exact"/>
        <w:rPr>
          <w:sz w:val="20"/>
          <w:szCs w:val="20"/>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net revenues, segment operating expenses and segment contribution information consisted of the following for the years ended December 31, 2020 and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For the Year Ended December 31, 2020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1"/>
              <w:spacing w:after="0" w:line="201" w:lineRule="exact"/>
              <w:rPr>
                <w:sz w:val="20"/>
                <w:szCs w:val="20"/>
                <w:color w:val="auto"/>
              </w:rPr>
            </w:pPr>
            <w:r>
              <w:rPr>
                <w:rFonts w:ascii="Arial" w:cs="Arial" w:eastAsia="Arial" w:hAnsi="Arial"/>
                <w:sz w:val="18"/>
                <w:szCs w:val="18"/>
                <w:color w:val="auto"/>
                <w:w w:val="88"/>
              </w:rPr>
              <w:t>Pharmaceutical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Pharmaceutical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01"/>
              <w:spacing w:after="0"/>
              <w:rPr>
                <w:sz w:val="20"/>
                <w:szCs w:val="20"/>
                <w:color w:val="auto"/>
              </w:rPr>
            </w:pPr>
            <w:r>
              <w:rPr>
                <w:rFonts w:ascii="Arial" w:cs="Arial" w:eastAsia="Arial" w:hAnsi="Arial"/>
                <w:sz w:val="18"/>
                <w:szCs w:val="18"/>
                <w:color w:val="auto"/>
                <w:w w:val="92"/>
              </w:rPr>
              <w:t>Drug</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Compounding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01"/>
              <w:spacing w:after="0"/>
              <w:rPr>
                <w:sz w:val="20"/>
                <w:szCs w:val="20"/>
                <w:color w:val="auto"/>
              </w:rPr>
            </w:pPr>
            <w:r>
              <w:rPr>
                <w:rFonts w:ascii="Arial" w:cs="Arial" w:eastAsia="Arial" w:hAnsi="Arial"/>
                <w:sz w:val="18"/>
                <w:szCs w:val="18"/>
                <w:color w:val="auto"/>
                <w:w w:val="90"/>
              </w:rPr>
              <w:t>Development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521"/>
              <w:spacing w:after="0"/>
              <w:rPr>
                <w:sz w:val="20"/>
                <w:szCs w:val="20"/>
                <w:color w:val="auto"/>
              </w:rPr>
            </w:pPr>
            <w:r>
              <w:rPr>
                <w:rFonts w:ascii="Arial" w:cs="Arial" w:eastAsia="Arial" w:hAnsi="Arial"/>
                <w:sz w:val="18"/>
                <w:szCs w:val="18"/>
                <w:color w:val="auto"/>
                <w:w w:val="99"/>
              </w:rPr>
              <w:t>Total</w:t>
            </w:r>
          </w:p>
        </w:tc>
      </w:tr>
      <w:tr>
        <w:trPr>
          <w:trHeight w:val="21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(14,463)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(14,463)</w:t>
            </w:r>
          </w:p>
        </w:tc>
      </w:tr>
      <w:tr>
        <w:trPr>
          <w:trHeight w:val="216"/>
        </w:trPr>
        <w:tc>
          <w:tcPr>
            <w:tcW w:w="5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22,691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22,835</w:t>
            </w:r>
          </w:p>
        </w:tc>
      </w:tr>
      <w:tr>
        <w:trPr>
          <w:trHeight w:val="25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847</w:t>
            </w:r>
          </w:p>
        </w:tc>
      </w:tr>
      <w:tr>
        <w:trPr>
          <w:trHeight w:val="223"/>
        </w:trPr>
        <w:tc>
          <w:tcPr>
            <w:tcW w:w="51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18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10,726</w:t>
            </w:r>
          </w:p>
        </w:tc>
        <w:tc>
          <w:tcPr>
            <w:tcW w:w="80" w:type="dxa"/>
            <w:vAlign w:val="bottom"/>
            <w:tcBorders>
              <w:top w:val="single" w:sz="8" w:color="CCEEFF"/>
              <w:bottom w:val="single" w:sz="8" w:color="CCEEFF"/>
            </w:tcBorders>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(1,566)</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For the Year Ended December 31, 2019</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1"/>
              <w:spacing w:after="0" w:line="201" w:lineRule="exact"/>
              <w:rPr>
                <w:sz w:val="20"/>
                <w:szCs w:val="20"/>
                <w:color w:val="auto"/>
              </w:rPr>
            </w:pPr>
            <w:r>
              <w:rPr>
                <w:rFonts w:ascii="Arial" w:cs="Arial" w:eastAsia="Arial" w:hAnsi="Arial"/>
                <w:sz w:val="18"/>
                <w:szCs w:val="18"/>
                <w:color w:val="auto"/>
                <w:w w:val="88"/>
              </w:rPr>
              <w:t>Pharmaceutical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Pharmaceutical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01"/>
              <w:spacing w:after="0"/>
              <w:rPr>
                <w:sz w:val="20"/>
                <w:szCs w:val="20"/>
                <w:color w:val="auto"/>
              </w:rPr>
            </w:pPr>
            <w:r>
              <w:rPr>
                <w:rFonts w:ascii="Arial" w:cs="Arial" w:eastAsia="Arial" w:hAnsi="Arial"/>
                <w:sz w:val="18"/>
                <w:szCs w:val="18"/>
                <w:color w:val="auto"/>
                <w:w w:val="92"/>
              </w:rPr>
              <w:t>Drug</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Compounding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01"/>
              <w:spacing w:after="0"/>
              <w:rPr>
                <w:sz w:val="20"/>
                <w:szCs w:val="20"/>
                <w:color w:val="auto"/>
              </w:rPr>
            </w:pPr>
            <w:r>
              <w:rPr>
                <w:rFonts w:ascii="Arial" w:cs="Arial" w:eastAsia="Arial" w:hAnsi="Arial"/>
                <w:sz w:val="18"/>
                <w:szCs w:val="18"/>
                <w:color w:val="auto"/>
                <w:w w:val="90"/>
              </w:rPr>
              <w:t>Development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521"/>
              <w:spacing w:after="0"/>
              <w:rPr>
                <w:sz w:val="20"/>
                <w:szCs w:val="20"/>
                <w:color w:val="auto"/>
              </w:rPr>
            </w:pPr>
            <w:r>
              <w:rPr>
                <w:rFonts w:ascii="Arial" w:cs="Arial" w:eastAsia="Arial" w:hAnsi="Arial"/>
                <w:sz w:val="18"/>
                <w:szCs w:val="18"/>
                <w:color w:val="auto"/>
                <w:w w:val="99"/>
              </w:rPr>
              <w:t>Total</w:t>
            </w:r>
          </w:p>
        </w:tc>
      </w:tr>
      <w:tr>
        <w:trPr>
          <w:trHeight w:val="21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(16,749)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(16,749)</w:t>
            </w:r>
          </w:p>
        </w:tc>
      </w:tr>
      <w:tr>
        <w:trPr>
          <w:trHeight w:val="216"/>
        </w:trPr>
        <w:tc>
          <w:tcPr>
            <w:tcW w:w="5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24,460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24,634</w:t>
            </w:r>
          </w:p>
        </w:tc>
      </w:tr>
      <w:tr>
        <w:trPr>
          <w:trHeight w:val="23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1,367</w:t>
            </w:r>
          </w:p>
        </w:tc>
      </w:tr>
      <w:tr>
        <w:trPr>
          <w:trHeight w:val="223"/>
        </w:trPr>
        <w:tc>
          <w:tcPr>
            <w:tcW w:w="51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8,934</w:t>
            </w:r>
          </w:p>
        </w:tc>
        <w:tc>
          <w:tcPr>
            <w:tcW w:w="18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8,399</w:t>
            </w:r>
          </w:p>
        </w:tc>
        <w:tc>
          <w:tcPr>
            <w:tcW w:w="80" w:type="dxa"/>
            <w:vAlign w:val="bottom"/>
            <w:tcBorders>
              <w:top w:val="single" w:sz="8" w:color="CCEEFF"/>
              <w:bottom w:val="single" w:sz="8" w:color="CCEEFF"/>
            </w:tcBorders>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(716)</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(4,040)</w:t>
            </w:r>
          </w:p>
        </w:tc>
      </w:tr>
      <w:tr>
        <w:trPr>
          <w:trHeight w:val="229"/>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December 31, 2020 and December 31, 2019 are located in the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for the years ended December 31, 2020 and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77% of active pharmaceutical ingredient purchases during the year ended December 31, 2020, and 73% during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2021, the Company issued 10,989 shares of its common stock upon the exercise of options to purchase 10,989 shares of common stock, with exercise prices ranging between $1.70 to $3.96 per share, and received net proceeds of $27.</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Restricted stock units granted in February 2015 to Andrew R. Boll, the Company’s Chief Financial Officer, vested, and in February 2021, 22,500 shares the Company’s common stock were issued to Mr. Boll, net of 7,500 shares of common stock withheld for payroll tax withholdings totaling $58.</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units granted in February 2015 to Mark L. Baum, the Company’s Chief Executive Officer, vested, and in February 2021, 200,000 shares the Company’s common stock were issued to Mr. Baum.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performed an evaluation of events occurring subsequent to December 31, 2020 through the filing date of this Annual Report and determined that no subsequent events have occurred that would require recognition in the consolidated financial statements or disclosures in the notes thereto, other than as disclosed in the accompanying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Harrow Health, Inc. has one class of securities registered under Section 12 of the Securities Exchange Act of 1934, as amended: our common stock, par value $0.001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exhibit, when we refer to “Company”, “Harrow”, “we”, “us” and “our” or when we otherwise refer to ourselves, we mean Harrow Health, Inc., excluding, unless otherwise expressly stated or the context requires, our subsidiaries.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and Amended and Restated Bylaws. For more detailed information, please see our Amended and Restated Certificate of Incorporation and Amended and Restated Bylaws, which are incorporated by reference as exhibits to the Annual Report on Form 10-K to which this description is an exhibit.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 As of March 5, 2021, there were 25,983,364 shares of our common stock and no shares of our preferred stock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March 1, 2021, there were approximately 96 stockholders of record (excluding an indeterminable number of stockholders whose shares are held in street or “nominee” name) of our common stock. In addition, as of December 31, 2019, there are outstanding (i) options to acquire 2,656,683 shares of our common stock with a weighted average exercise price of $5.31 per share, (ii) warrants to purchase 780,386 shares of common stock with a weighted average exercise price of $2.12 per share, (iii) 1,411,930 unvested restricted stock units and (iv) 324,303 restricted stock units award to directors that had vested, but issuance and delivery of the shares are deferred until the director resigns or otherwise leaves the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authorized to issue 50,000,000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The transfer agent and registrar for our common stock is Action Stock Transfer Corporation, 2469 E. Fort Union Blvd., Suite 214, Salt Lake City, UT 84121.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5" w:name="page96"/>
    <w:bookmarkEnd w:id="95"/>
    <w:p>
      <w:pPr>
        <w:ind w:left="10020"/>
        <w:spacing w:after="0"/>
        <w:rPr>
          <w:sz w:val="20"/>
          <w:szCs w:val="20"/>
          <w:color w:val="auto"/>
        </w:rPr>
      </w:pPr>
      <w:r>
        <w:rPr>
          <w:rFonts w:ascii="Arial" w:cs="Arial" w:eastAsia="Arial" w:hAnsi="Arial"/>
          <w:sz w:val="18"/>
          <w:szCs w:val="18"/>
          <w:b w:val="1"/>
          <w:bCs w:val="1"/>
          <w:color w:val="auto"/>
        </w:rPr>
        <w:t>EXHIBIT 10.57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VISIONOLOGY,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July 1,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Visionology, Inc., a Delaware corporation with its principal place of business at 102 Woodmont Blvd., Suite 610, Nashville, TN 37205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Mark L. Baum, an individual with a principal place of business at 102 Woodmont Blvd., Suite 610, Nashville, TN 37205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(each herein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Services and Compensation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Consultant shall perform the services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for the Company (or its designee), and the Company agrees to pay Consultant the compensation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for Consultant’s performance of the Services.</w:t>
      </w:r>
    </w:p>
    <w:p>
      <w:pPr>
        <w:spacing w:after="0" w:line="162" w:lineRule="exact"/>
        <w:rPr>
          <w:sz w:val="20"/>
          <w:szCs w:val="20"/>
          <w:color w:val="auto"/>
        </w:rPr>
      </w:pPr>
    </w:p>
    <w:p>
      <w:pPr>
        <w:ind w:left="840" w:hanging="184"/>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rFonts w:ascii="Arial" w:cs="Arial" w:eastAsia="Arial" w:hAnsi="Arial"/>
          <w:sz w:val="18"/>
          <w:szCs w:val="18"/>
          <w:b w:val="1"/>
          <w:bCs w:val="1"/>
          <w:color w:val="auto"/>
        </w:rPr>
      </w:pPr>
    </w:p>
    <w:p>
      <w:pPr>
        <w:jc w:val="both"/>
        <w:ind w:firstLine="1296"/>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Definition of Confidential Information</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both"/>
        <w:ind w:firstLine="1296"/>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i w:val="1"/>
          <w:iCs w:val="1"/>
          <w:color w:val="auto"/>
        </w:rPr>
        <w:t>Nonuse and Nondisclosure</w:t>
      </w:r>
      <w:r>
        <w:rPr>
          <w:rFonts w:ascii="Arial" w:cs="Arial" w:eastAsia="Arial" w:hAnsi="Arial"/>
          <w:sz w:val="17"/>
          <w:szCs w:val="17"/>
          <w:b w:val="1"/>
          <w:bCs w:val="1"/>
          <w:color w:val="auto"/>
        </w:rPr>
        <w:t>.</w:t>
      </w:r>
      <w:r>
        <w:rPr>
          <w:rFonts w:ascii="Arial" w:cs="Arial" w:eastAsia="Arial" w:hAnsi="Arial"/>
          <w:sz w:val="17"/>
          <w:szCs w:val="17"/>
          <w:color w:val="auto"/>
        </w:rPr>
        <w:t xml:space="preserve"> During and after the term of this Agreement, Consultant will hold in the strictest confidence, and take all reasonable precautions to prevent any unauthorized use or disclosure of Confidential Information, and Consultant will not (i) use the Confidential Information for any purpose whatsoever other than as necessary for the performance of the Services on behalf of the Company, or (ii) subject to Consultant’s right to engage in Protected Activity (as defined below), disclose the Confidential Information to any third party without the prior written consent of an authorized representative of the Company, except that Consultant may disclose Confidential Information to the extent compelled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prior to such disclosure, Consultant shall provide prior written notice to Company and seek a protective order or such similar confidential protection as may be available under applicable law. Consultant agrees that no ownership of Confidential Information is conveyed to the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2.B shall continue after the termination of this Agreement.</w:t>
      </w:r>
    </w:p>
    <w:p>
      <w:pPr>
        <w:spacing w:after="0" w:line="18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Other Client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that Consultant will not improperly use, disclose, or induce the Company to use any proprietary information or trade secrets of any former or current employer of Consultant or other person or entity with which Consultant has an obligation to keep in confidence. Consultant also agrees that Consultant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8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Third Party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at all times during the term of this Agreement and thereafter, Consultant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87" w:lineRule="exact"/>
        <w:rPr>
          <w:sz w:val="20"/>
          <w:szCs w:val="20"/>
          <w:color w:val="auto"/>
        </w:rPr>
      </w:pPr>
    </w:p>
    <w:p>
      <w:pPr>
        <w:ind w:left="840" w:hanging="184"/>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225" w:lineRule="exact"/>
        <w:rPr>
          <w:rFonts w:ascii="Arial" w:cs="Arial" w:eastAsia="Arial" w:hAnsi="Arial"/>
          <w:sz w:val="18"/>
          <w:szCs w:val="18"/>
          <w:b w:val="1"/>
          <w:bCs w:val="1"/>
          <w:color w:val="auto"/>
        </w:rPr>
      </w:pPr>
    </w:p>
    <w:p>
      <w:pPr>
        <w:jc w:val="both"/>
        <w:ind w:firstLine="1304"/>
        <w:spacing w:after="0" w:line="255" w:lineRule="auto"/>
        <w:tabs>
          <w:tab w:leader="none" w:pos="1529"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of Inventions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that all right, title, and interest in and to any copyrightable material, notes, records,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drawings, designs,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are the sole property of the Company. Consultant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88" w:lineRule="exact"/>
        <w:rPr>
          <w:rFonts w:ascii="Arial" w:cs="Arial" w:eastAsia="Arial" w:hAnsi="Arial"/>
          <w:sz w:val="18"/>
          <w:szCs w:val="18"/>
          <w:color w:val="auto"/>
        </w:rPr>
      </w:pPr>
    </w:p>
    <w:p>
      <w:pPr>
        <w:jc w:val="both"/>
        <w:ind w:firstLine="1304"/>
        <w:spacing w:after="0" w:line="289" w:lineRule="auto"/>
        <w:tabs>
          <w:tab w:leader="none" w:pos="1519" w:val="left"/>
        </w:tabs>
        <w:numPr>
          <w:ilvl w:val="1"/>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Pre-Existing Material</w:t>
      </w:r>
      <w:r>
        <w:rPr>
          <w:rFonts w:ascii="Arial" w:cs="Arial" w:eastAsia="Arial" w:hAnsi="Arial"/>
          <w:sz w:val="16"/>
          <w:szCs w:val="16"/>
          <w:b w:val="1"/>
          <w:bCs w:val="1"/>
          <w:color w:val="auto"/>
        </w:rPr>
        <w: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Section 3.A, Consultant will provide the Company with prior written notice if, in the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separate from, performing the Services under this Agreement (“</w:t>
      </w:r>
      <w:r>
        <w:rPr>
          <w:rFonts w:ascii="Arial" w:cs="Arial" w:eastAsia="Arial" w:hAnsi="Arial"/>
          <w:sz w:val="16"/>
          <w:szCs w:val="16"/>
          <w:b w:val="1"/>
          <w:bCs w:val="1"/>
          <w:i w:val="1"/>
          <w:iCs w:val="1"/>
          <w:color w:val="auto"/>
        </w:rPr>
        <w:t>Prior Inventions</w:t>
      </w:r>
      <w:r>
        <w:rPr>
          <w:rFonts w:ascii="Arial" w:cs="Arial" w:eastAsia="Arial" w:hAnsi="Arial"/>
          <w:sz w:val="16"/>
          <w:szCs w:val="16"/>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Moral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8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Maintenance of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to keep and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Further Assurances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3.E shall continue after the termination of this Agreement.</w:t>
      </w:r>
    </w:p>
    <w:p>
      <w:pPr>
        <w:spacing w:after="0" w:line="1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i w:val="1"/>
          <w:iCs w:val="1"/>
          <w:color w:val="auto"/>
        </w:rPr>
        <w:t>Attorney-in-Fact</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pacing w:after="0" w:line="161" w:lineRule="exact"/>
        <w:rPr>
          <w:sz w:val="20"/>
          <w:szCs w:val="20"/>
          <w:color w:val="auto"/>
        </w:rPr>
      </w:pPr>
    </w:p>
    <w:p>
      <w:pPr>
        <w:ind w:left="840" w:hanging="184"/>
        <w:spacing w:after="0"/>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Obligations</w:t>
      </w:r>
    </w:p>
    <w:p>
      <w:pPr>
        <w:spacing w:after="0" w:line="229" w:lineRule="exact"/>
        <w:rPr>
          <w:rFonts w:ascii="Arial" w:cs="Arial" w:eastAsia="Arial" w:hAnsi="Arial"/>
          <w:sz w:val="18"/>
          <w:szCs w:val="18"/>
          <w:b w:val="1"/>
          <w:bCs w:val="1"/>
          <w:color w:val="auto"/>
        </w:rPr>
      </w:pPr>
    </w:p>
    <w:p>
      <w:pPr>
        <w:jc w:val="both"/>
        <w:ind w:firstLine="1296"/>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 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b w:val="1"/>
          <w:bCs w:val="1"/>
          <w:color w:val="auto"/>
        </w:rPr>
        <w:t>5. Return of Company Materials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termination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may have in Consultant’s possession or control.</w:t>
      </w:r>
    </w:p>
    <w:p>
      <w:pPr>
        <w:spacing w:after="0" w:line="184" w:lineRule="exact"/>
        <w:rPr>
          <w:sz w:val="20"/>
          <w:szCs w:val="20"/>
          <w:color w:val="auto"/>
        </w:rPr>
      </w:pPr>
    </w:p>
    <w:p>
      <w:pPr>
        <w:ind w:left="840" w:hanging="184"/>
        <w:spacing w:after="0"/>
        <w:tabs>
          <w:tab w:leader="none" w:pos="84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rFonts w:ascii="Arial" w:cs="Arial" w:eastAsia="Arial" w:hAnsi="Arial"/>
          <w:sz w:val="18"/>
          <w:szCs w:val="18"/>
          <w:b w:val="1"/>
          <w:bCs w:val="1"/>
          <w:color w:val="auto"/>
        </w:rPr>
      </w:pPr>
    </w:p>
    <w:p>
      <w:pPr>
        <w:jc w:val="both"/>
        <w:ind w:firstLine="1304"/>
        <w:spacing w:after="0" w:line="293" w:lineRule="auto"/>
        <w:tabs>
          <w:tab w:leader="none" w:pos="1543" w:val="left"/>
        </w:tabs>
        <w:numPr>
          <w:ilvl w:val="2"/>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Term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 commenced providing Services to the Company on or about December 1, 2019 and shall provide the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earlier of (i) one year from the Effective Date, (ii) a Change in Control (as defined in the Company’s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8"/>
        <w:spacing w:after="0" w:line="277" w:lineRule="auto"/>
        <w:tabs>
          <w:tab w:leader="none" w:pos="3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date of any underwriting agreement between the Company and the underwriter(s) managing an initial public offering of Common Stock (as defined in the Plan), pursuant to which the Common Stock is priced for an initial public offering, (iv) a Qualified Financing (as defined in Exhibit A attached hereto) or (v) such earlier date as the Services are terminated by the Company or Consultant as provided in Section 6.B (the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jc w:val="both"/>
        <w:ind w:firstLine="1304"/>
        <w:spacing w:after="0" w:line="266" w:lineRule="auto"/>
        <w:tabs>
          <w:tab w:leader="none" w:pos="1519"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terminate this Agreement upon giving Consultant fourteen (14) days prior written notice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pursuant to Section 12.G of this Agreement. The Company may terminate this Agreement immediately and without prior notice if Consultant refuses to or is unable to perform the Services or is in breach of any material provision of this Agreement.</w:t>
      </w:r>
    </w:p>
    <w:p>
      <w:pPr>
        <w:spacing w:after="0" w:line="175" w:lineRule="exact"/>
        <w:rPr>
          <w:rFonts w:ascii="Arial" w:cs="Arial" w:eastAsia="Arial" w:hAnsi="Arial"/>
          <w:sz w:val="18"/>
          <w:szCs w:val="18"/>
          <w:color w:val="auto"/>
        </w:rPr>
      </w:pPr>
    </w:p>
    <w:p>
      <w:pPr>
        <w:ind w:left="1520" w:hanging="216"/>
        <w:spacing w:after="0"/>
        <w:tabs>
          <w:tab w:leader="none" w:pos="1520" w:val="left"/>
        </w:tabs>
        <w:numPr>
          <w:ilvl w:val="2"/>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Survival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any termination, all rights and duties of the Company and Consultant toward each other shall cease except:</w:t>
      </w:r>
    </w:p>
    <w:p>
      <w:pPr>
        <w:spacing w:after="0" w:line="240" w:lineRule="exact"/>
        <w:rPr>
          <w:rFonts w:ascii="Arial" w:cs="Arial" w:eastAsia="Arial" w:hAnsi="Arial"/>
          <w:sz w:val="17"/>
          <w:szCs w:val="17"/>
          <w:color w:val="auto"/>
        </w:rPr>
      </w:pPr>
    </w:p>
    <w:p>
      <w:pPr>
        <w:jc w:val="both"/>
        <w:ind w:firstLine="1952"/>
        <w:spacing w:after="0" w:line="263" w:lineRule="auto"/>
        <w:tabs>
          <w:tab w:leader="none" w:pos="2209" w:val="left"/>
        </w:tabs>
        <w:numPr>
          <w:ilvl w:val="3"/>
          <w:numId w:val="37"/>
        </w:numPr>
        <w:rPr>
          <w:rFonts w:ascii="Arial" w:cs="Arial" w:eastAsia="Arial" w:hAnsi="Arial"/>
          <w:sz w:val="18"/>
          <w:szCs w:val="18"/>
          <w:color w:val="auto"/>
        </w:rPr>
      </w:pPr>
      <w:r>
        <w:rPr>
          <w:rFonts w:ascii="Arial" w:cs="Arial" w:eastAsia="Arial" w:hAnsi="Arial"/>
          <w:sz w:val="18"/>
          <w:szCs w:val="18"/>
          <w:color w:val="auto"/>
        </w:rPr>
        <w:t>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and</w:t>
      </w:r>
    </w:p>
    <w:p>
      <w:pPr>
        <w:spacing w:after="0" w:line="183" w:lineRule="exact"/>
        <w:rPr>
          <w:rFonts w:ascii="Arial" w:cs="Arial" w:eastAsia="Arial" w:hAnsi="Arial"/>
          <w:sz w:val="18"/>
          <w:szCs w:val="18"/>
          <w:color w:val="auto"/>
        </w:rPr>
      </w:pPr>
    </w:p>
    <w:p>
      <w:pPr>
        <w:jc w:val="both"/>
        <w:ind w:firstLine="1952"/>
        <w:spacing w:after="0" w:line="311" w:lineRule="auto"/>
        <w:tabs>
          <w:tab w:leader="none" w:pos="2245" w:val="left"/>
        </w:tabs>
        <w:numPr>
          <w:ilvl w:val="3"/>
          <w:numId w:val="37"/>
        </w:numPr>
        <w:rPr>
          <w:rFonts w:ascii="Arial" w:cs="Arial" w:eastAsia="Arial" w:hAnsi="Arial"/>
          <w:sz w:val="16"/>
          <w:szCs w:val="16"/>
          <w:color w:val="auto"/>
        </w:rPr>
      </w:pPr>
      <w:r>
        <w:rPr>
          <w:rFonts w:ascii="Arial" w:cs="Arial" w:eastAsia="Arial" w:hAnsi="Arial"/>
          <w:sz w:val="16"/>
          <w:szCs w:val="16"/>
          <w:color w:val="auto"/>
        </w:rPr>
        <w:t>Section 2 (Confidentiality), Section 3 (Ownership), Section 5 (Return of Company Materials), Section 6 (Term and Termination), Section 7 (Independent Contractor; Benefits), Section 8 (Indemnification), Section 9 (Nonsolicitation), Section 10 (Limitation of Liability), Section 11 (Dispute Resolution), and Section 12 (Miscellaneous) will survive termination or expiration of this Agreement in accordance with their terms.</w:t>
      </w:r>
    </w:p>
    <w:p>
      <w:pPr>
        <w:spacing w:after="0" w:line="144" w:lineRule="exact"/>
        <w:rPr>
          <w:rFonts w:ascii="Arial" w:cs="Arial" w:eastAsia="Arial" w:hAnsi="Arial"/>
          <w:sz w:val="16"/>
          <w:szCs w:val="16"/>
          <w:color w:val="auto"/>
        </w:rPr>
      </w:pPr>
    </w:p>
    <w:p>
      <w:pPr>
        <w:ind w:left="840" w:hanging="184"/>
        <w:spacing w:after="0"/>
        <w:tabs>
          <w:tab w:leader="none" w:pos="84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Benefits</w:t>
      </w:r>
    </w:p>
    <w:p>
      <w:pPr>
        <w:spacing w:after="0" w:line="229" w:lineRule="exact"/>
        <w:rPr>
          <w:rFonts w:ascii="Arial" w:cs="Arial" w:eastAsia="Arial" w:hAnsi="Arial"/>
          <w:sz w:val="18"/>
          <w:szCs w:val="18"/>
          <w:b w:val="1"/>
          <w:bCs w:val="1"/>
          <w:color w:val="auto"/>
        </w:rPr>
      </w:pPr>
    </w:p>
    <w:p>
      <w:pPr>
        <w:jc w:val="both"/>
        <w:ind w:firstLine="1304"/>
        <w:spacing w:after="0" w:line="254" w:lineRule="auto"/>
        <w:tabs>
          <w:tab w:leader="none" w:pos="1543" w:val="left"/>
        </w:tabs>
        <w:numPr>
          <w:ilvl w:val="2"/>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Contractor. </w:t>
      </w:r>
      <w:r>
        <w:rPr>
          <w:rFonts w:ascii="Arial" w:cs="Arial" w:eastAsia="Arial" w:hAnsi="Arial"/>
          <w:sz w:val="18"/>
          <w:szCs w:val="18"/>
          <w:color w:val="auto"/>
        </w:rPr>
        <w:t>It is the express intention of the Company and Consultant that Consultant perform the Services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both"/>
        <w:ind w:firstLine="1296"/>
        <w:spacing w:after="0" w:line="29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and Consultant agree that Consultant will receive no Company-sponsored benefits from the Company such as, but not limited to, paid vacation, sick leave, medical insurance and 401k participation; provided, however, that Consultant shall be eligible for awards granted under the Plan.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 Indemnification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Consultant agrees to indemnify and hold harmless the Company and its affiliates and their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(ii) a determination by a court or agency that the Consultant is not an independent contractor, (iii) any breach by the Consultant of any of the covenants contained in this Agreement, (iv) any failure of Consultant to perform the Services in accordance with all applicable laws, rules and regulations, or (v) any violation or claimed violation of a third party’s rights resulting in whole, or in part, from the Company’s use of the Inventions or other deliverables of Consultant under this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 Nonsolicitation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fullest extent permitted under applicable law, from the date of this Agreement until twelve (12) months after the termination of this Agreement for any reason,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Section 9 shall affect Consultant’s continuing obligations under this Agreement during and after this twelve (12) month period, including, without limitation, Consultant’s obligations under Section 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Limitation of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 EVENT SHALL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b w:val="1"/>
          <w:bCs w:val="1"/>
          <w:color w:val="auto"/>
        </w:rPr>
        <w:t>11. Dispute Resolution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controversy, dispute or claim arising out of or relating to this Agreement or the breach or alleged breach hereof, including whether the controversy, dispute or claim is arbitrable (each,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shall be resolved by submitting such Dispute to binding arbitration administered by the American Health Lawyers Association Dispute Resolution Services or its successor (“</w:t>
      </w:r>
      <w:r>
        <w:rPr>
          <w:rFonts w:ascii="Arial" w:cs="Arial" w:eastAsia="Arial" w:hAnsi="Arial"/>
          <w:sz w:val="17"/>
          <w:szCs w:val="17"/>
          <w:b w:val="1"/>
          <w:bCs w:val="1"/>
          <w:i w:val="1"/>
          <w:iCs w:val="1"/>
          <w:color w:val="auto"/>
        </w:rPr>
        <w:t>AHLA</w:t>
      </w:r>
      <w:r>
        <w:rPr>
          <w:rFonts w:ascii="Arial" w:cs="Arial" w:eastAsia="Arial" w:hAnsi="Arial"/>
          <w:sz w:val="17"/>
          <w:szCs w:val="17"/>
          <w:color w:val="auto"/>
        </w:rPr>
        <w:t xml:space="preserve">”) and held in Nashville, Tennessee, and judgment on the arbitration award may be entered in any court having jurisdiction thereof. The arbitration will be conducted in accordance with applicable AHLA rules and procedures before a single arbitrator selected and appointed in accordance with such rules. Each party will bear and pay equally the fees and expenses of AHLA (including the fees and expenses of the arbitrator), and each party will bear its own attorneys’ fees, costs and other expenses;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arbitrator may award reasonable attorneys’ fees and expenses to the prevailing party as contemplated in Section 12.H. Any arbitration will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The provisions of this Section 11 shall survive expiration or other termination of this Agreement regardless of the cause of such expiration or termination, and shall not restrict the right of the parties hereto to institute a proceeding in any court of law or equity to enable such party to obtain or otherwise seek injunctive relief, specific performance or other equitable remedies during the pendency of any arbitration or without submitting such matter to arbitration.</w:t>
      </w:r>
    </w:p>
    <w:p>
      <w:pPr>
        <w:spacing w:after="0" w:line="178" w:lineRule="exact"/>
        <w:rPr>
          <w:sz w:val="20"/>
          <w:szCs w:val="20"/>
          <w:color w:val="auto"/>
        </w:rPr>
      </w:pPr>
    </w:p>
    <w:p>
      <w:pPr>
        <w:ind w:left="920" w:hanging="264"/>
        <w:spacing w:after="0"/>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jc w:val="both"/>
        <w:ind w:firstLine="1304"/>
        <w:spacing w:after="0" w:line="274" w:lineRule="auto"/>
        <w:tabs>
          <w:tab w:leader="none" w:pos="1529" w:val="left"/>
        </w:tabs>
        <w:numPr>
          <w:ilvl w:val="1"/>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 Consent to Personal Jurisdiction and Venue; Waiver of Trial by Jury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shall be governed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laws of the State of Delaware, without regard to the conflicts of law provisions of any jurisdiction. To the extent that any lawsuit is permitted under this Agreement, the Parties hereby expressly consent to the personal and exclusive jurisdiction and venue of the state and federal courts located in Nashville, Tennessee. Each party hereby waives any objection to the personal or subject matter jurisdiction and venue of such courts. EACH PARTY HEREBY WAIVES, TO THE FULLEST EXTENT PERMITTED BY APPLICABLE LAW, ANY RIGHT IT MAY HAVE TO A TRIAL BY JURY WITH RESPECT TO ANY DISPUTE, ACTION OR CLAIM ARISING OUT OF THIS AGREEMENT.</w:t>
      </w:r>
    </w:p>
    <w:p>
      <w:pPr>
        <w:spacing w:after="0" w:line="173" w:lineRule="exact"/>
        <w:rPr>
          <w:rFonts w:ascii="Arial" w:cs="Arial" w:eastAsia="Arial" w:hAnsi="Arial"/>
          <w:sz w:val="17"/>
          <w:szCs w:val="17"/>
          <w:color w:val="auto"/>
        </w:rPr>
      </w:pPr>
    </w:p>
    <w:p>
      <w:pPr>
        <w:jc w:val="both"/>
        <w:ind w:firstLine="1304"/>
        <w:spacing w:after="0" w:line="256" w:lineRule="auto"/>
        <w:tabs>
          <w:tab w:leader="none" w:pos="1560" w:val="left"/>
        </w:tabs>
        <w:numPr>
          <w:ilvl w:val="1"/>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Assignability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will be binding upon Consultant’s heirs, executors, assigns, administrators, and other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87" w:lineRule="exact"/>
        <w:rPr>
          <w:rFonts w:ascii="Arial" w:cs="Arial" w:eastAsia="Arial" w:hAnsi="Arial"/>
          <w:sz w:val="18"/>
          <w:szCs w:val="18"/>
          <w:color w:val="auto"/>
        </w:rPr>
      </w:pPr>
    </w:p>
    <w:p>
      <w:pPr>
        <w:jc w:val="both"/>
        <w:ind w:firstLine="1304"/>
        <w:spacing w:after="0" w:line="258" w:lineRule="auto"/>
        <w:tabs>
          <w:tab w:leader="none" w:pos="1506" w:val="left"/>
        </w:tabs>
        <w:numPr>
          <w:ilvl w:val="1"/>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between the Parties with respect to the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ind w:left="130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Headings</w:t>
      </w:r>
      <w:r>
        <w:rPr>
          <w:rFonts w:ascii="Arial" w:cs="Arial" w:eastAsia="Arial" w:hAnsi="Arial"/>
          <w:sz w:val="16"/>
          <w:szCs w:val="16"/>
          <w:b w:val="1"/>
          <w:bCs w:val="1"/>
          <w:color w:val="auto"/>
        </w:rPr>
        <w:t>.</w:t>
      </w:r>
      <w:r>
        <w:rPr>
          <w:rFonts w:ascii="Arial" w:cs="Arial" w:eastAsia="Arial" w:hAnsi="Arial"/>
          <w:sz w:val="16"/>
          <w:szCs w:val="16"/>
          <w:color w:val="auto"/>
        </w:rPr>
        <w:t xml:space="preserve"> Headings are used in this Agreement for reference only and shall not be considered when interpreting this Agreement.</w:t>
      </w:r>
    </w:p>
    <w:p>
      <w:pPr>
        <w:spacing w:after="0" w:line="24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8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Modification, Waiver.</w:t>
      </w:r>
      <w:r>
        <w:rPr>
          <w:rFonts w:ascii="Arial" w:cs="Arial" w:eastAsia="Arial" w:hAnsi="Arial"/>
          <w:sz w:val="18"/>
          <w:szCs w:val="18"/>
          <w:color w:val="auto"/>
        </w:rPr>
        <w:t xml:space="preserve"> 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spacing w:after="0" w:line="18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i w:val="1"/>
          <w:iCs w:val="1"/>
          <w:color w:val="auto"/>
        </w:rPr>
        <w:t>Notices</w:t>
      </w:r>
      <w:r>
        <w:rPr>
          <w:rFonts w:ascii="Arial" w:cs="Arial" w:eastAsia="Arial" w:hAnsi="Arial"/>
          <w:sz w:val="16"/>
          <w:szCs w:val="16"/>
          <w:b w:val="1"/>
          <w:bCs w:val="1"/>
          <w:color w:val="auto"/>
        </w:rPr>
        <w:t>.</w:t>
      </w:r>
      <w:r>
        <w:rPr>
          <w:rFonts w:ascii="Arial" w:cs="Arial" w:eastAsia="Arial" w:hAnsi="Arial"/>
          <w:sz w:val="16"/>
          <w:szCs w:val="16"/>
          <w:color w:val="auto"/>
        </w:rPr>
        <w:t xml:space="preserve"> Any notice or other communication required or permitted by this Agreement to be given to a Party shall be in writing and 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12.G.</w:t>
      </w:r>
    </w:p>
    <w:p>
      <w:pPr>
        <w:spacing w:after="0" w:line="15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If to the Company,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Visionology,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20" w:firstLine="1952"/>
        <w:spacing w:after="0" w:line="277" w:lineRule="auto"/>
        <w:tabs>
          <w:tab w:leader="none" w:pos="2209"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to Consultant, to the address for notice on the signature page to this Agreement or, if no such address is provided, to the last address of Consultant provided by Consultant to the Company.</w:t>
      </w:r>
    </w:p>
    <w:p>
      <w:pPr>
        <w:spacing w:after="0" w:line="166" w:lineRule="exact"/>
        <w:rPr>
          <w:rFonts w:ascii="Arial" w:cs="Arial" w:eastAsia="Arial" w:hAnsi="Arial"/>
          <w:sz w:val="18"/>
          <w:szCs w:val="18"/>
          <w:color w:val="auto"/>
        </w:rPr>
      </w:pPr>
    </w:p>
    <w:p>
      <w:pPr>
        <w:jc w:val="both"/>
        <w:ind w:firstLine="1304"/>
        <w:spacing w:after="0" w:line="266" w:lineRule="auto"/>
        <w:tabs>
          <w:tab w:leader="none" w:pos="1516"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Attorneys’ Fees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any court action at law or equity that is brought by one of the Parties to this Agreement to enforce or interpret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this Agreement, the prevailing Party will be entitled to reasonable attorneys’ fees, in addition to any other relief to which that Party may be entitled.</w:t>
      </w:r>
    </w:p>
    <w:p>
      <w:pPr>
        <w:spacing w:after="0" w:line="179" w:lineRule="exact"/>
        <w:rPr>
          <w:rFonts w:ascii="Arial" w:cs="Arial" w:eastAsia="Arial" w:hAnsi="Arial"/>
          <w:sz w:val="18"/>
          <w:szCs w:val="18"/>
          <w:color w:val="auto"/>
        </w:rPr>
      </w:pPr>
    </w:p>
    <w:p>
      <w:pPr>
        <w:ind w:right="20" w:firstLine="1304"/>
        <w:spacing w:after="0" w:line="277" w:lineRule="auto"/>
        <w:tabs>
          <w:tab w:leader="none" w:pos="1446"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Signatures. </w:t>
      </w:r>
      <w:r>
        <w:rPr>
          <w:rFonts w:ascii="Arial" w:cs="Arial" w:eastAsia="Arial" w:hAnsi="Arial"/>
          <w:sz w:val="18"/>
          <w:szCs w:val="18"/>
          <w:color w:val="auto"/>
        </w:rPr>
        <w:t>This Agreement may be signed in two counterparts, each of which shall be deemed an original, with the same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effectiveness as though executed in a single document.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469"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Applicability to Past Activities. </w:t>
      </w:r>
      <w:r>
        <w:rPr>
          <w:rFonts w:ascii="Arial" w:cs="Arial" w:eastAsia="Arial" w:hAnsi="Arial"/>
          <w:sz w:val="16"/>
          <w:szCs w:val="16"/>
          <w:color w:val="auto"/>
        </w:rPr>
        <w:t>Consultant agrees that if and to the extent that Consultant provided any services or made efforts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behalf of or for the benefit of Company, or related to the current or prospective business of Company in anticipation of Consultant’s involvement with the Company, that would have been “Services” if performed during the term of this Agreement (the “</w:t>
      </w:r>
      <w:r>
        <w:rPr>
          <w:rFonts w:ascii="Arial" w:cs="Arial" w:eastAsia="Arial" w:hAnsi="Arial"/>
          <w:sz w:val="16"/>
          <w:szCs w:val="16"/>
          <w:b w:val="1"/>
          <w:bCs w:val="1"/>
          <w:i w:val="1"/>
          <w:iCs w:val="1"/>
          <w:color w:val="auto"/>
        </w:rPr>
        <w:t>Prior Consulting Period</w:t>
      </w:r>
      <w:r>
        <w:rPr>
          <w:rFonts w:ascii="Arial" w:cs="Arial" w:eastAsia="Arial" w:hAnsi="Arial"/>
          <w:sz w:val="16"/>
          <w:szCs w:val="16"/>
          <w:color w:val="auto"/>
        </w:rPr>
        <w:t>”) and to the extent that during the Prior Consulting Period: (i) Consultant received access to any information from or on behalf of Company that would have been “Confidential Information” if Consultant received access to such information during the term of this Agreement; or (ii) Consultant (a) conceived, created, authored, invented, developed or reduced to practice any item (including any intellectual property rights with respect thereto) on behalf of or for the benefit of Company, or related to the current or prospective business of Company in anticipation of Consultant’s involvement with Company, that would have been an Invention if conceived, created, authored, invented, developed or reduced to practice during the term of this Agreement; or (b) incorporated into any such item any pre-existing invention, improvement, development, concept, discovery or other proprietary information that would have been a Prior Invention if incorporated into such item during the term of this Agreement; 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Consultant further acknowledges that Consultant has been fully compensated for all services provided during any such Prior Consulting Period.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jc w:val="both"/>
        <w:ind w:firstLine="1296"/>
        <w:spacing w:after="0" w:line="286"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i w:val="1"/>
          <w:iCs w:val="1"/>
          <w:color w:val="auto"/>
        </w:rPr>
        <w:t>Protected Activity Not Prohibited.</w:t>
      </w:r>
      <w:r>
        <w:rPr>
          <w:rFonts w:ascii="Arial" w:cs="Arial" w:eastAsia="Arial" w:hAnsi="Arial"/>
          <w:sz w:val="16"/>
          <w:szCs w:val="16"/>
          <w:color w:val="auto"/>
        </w:rPr>
        <w:t xml:space="preserve"> Consultant understands that nothing in this Agreement shall in any way limit or prohibit Consultant from engaging in any Protected Activity. For purposes of this Agreement,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 w:cs="Arial" w:eastAsia="Arial" w:hAnsi="Arial"/>
          <w:sz w:val="16"/>
          <w:szCs w:val="16"/>
          <w:b w:val="1"/>
          <w:bCs w:val="1"/>
          <w:i w:val="1"/>
          <w:iCs w:val="1"/>
          <w:color w:val="auto"/>
        </w:rPr>
        <w:t>Government Agencies</w:t>
      </w:r>
      <w:r>
        <w:rPr>
          <w:rFonts w:ascii="Arial" w:cs="Arial" w:eastAsia="Arial" w:hAnsi="Arial"/>
          <w:sz w:val="16"/>
          <w:szCs w:val="16"/>
          <w:color w:val="auto"/>
        </w:rPr>
        <w:t>”). Consultant understands that in connection with such Protected Activity, Consultant is permitted to disclose documents or other information as permitted by law, and without giving notice to, or receiving authorization from, the Company. Notwithstanding the foregoing, Consultant agrees to take all reasonable precautions to prevent any unauthorized use or disclosure of any information that may constitute Company confidential information to any parties other than the Government Agencies. Consultant further understands that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xml:space="preserve">” does not include the disclosure of any Company attorney-client privileged communications.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6"/>
          <w:szCs w:val="16"/>
          <w:i w:val="1"/>
          <w:iCs w:val="1"/>
          <w:color w:val="auto"/>
        </w:rPr>
        <w:t>solely</w:t>
      </w:r>
      <w:r>
        <w:rPr>
          <w:rFonts w:ascii="Arial" w:cs="Arial" w:eastAsia="Arial" w:hAnsi="Arial"/>
          <w:sz w:val="16"/>
          <w:szCs w:val="16"/>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6"/>
          <w:szCs w:val="16"/>
          <w:color w:val="auto"/>
        </w:rPr>
        <w:t>IN WITNESS WHEREOF, the Parties hereto have executed this Consulting Agreement as of the date first written above.</w:t>
      </w:r>
    </w:p>
    <w:p>
      <w:pPr>
        <w:sectPr>
          <w:pgSz w:w="11900" w:h="16838" w:orient="portrait"/>
          <w:cols w:equalWidth="0" w:num="1">
            <w:col w:w="10139"/>
          </w:cols>
          <w:pgMar w:left="320" w:top="692" w:right="1440"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Mark L. Baum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1457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5">
                      <a:extLst>
                        <a:ext uri="{28A0092B-C50C-407E-A947-70E740481C1C}"/>
                      </a:extLst>
                    </a:blip>
                    <a:srcRect/>
                    <a:stretch>
                      <a:fillRect/>
                    </a:stretch>
                  </pic:blipFill>
                  <pic:spPr bwMode="auto">
                    <a:xfrm>
                      <a:off x="0" y="0"/>
                      <a:ext cx="314579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-130175</wp:posOffset>
            </wp:positionV>
            <wp:extent cx="31457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6">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3566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7">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3566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8">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VISIONOLOGY, INC.</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Andrew R. Boll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23495</wp:posOffset>
            </wp:positionV>
            <wp:extent cx="31375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0">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-130175</wp:posOffset>
            </wp:positionV>
            <wp:extent cx="31375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1">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31750</wp:posOffset>
            </wp:positionV>
            <wp:extent cx="31375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2">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1197610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020" w:space="720"/>
            <w:col w:w="4399"/>
          </w:cols>
          <w:pgMar w:left="320" w:top="692" w:right="1440"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SERVICES AND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Contact</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Consultant’s principal Company contact:</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Andrew R. Boll_____________________</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CFO______________________________</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aboll@harrowinc.com_________________</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Phone: </w:t>
      </w:r>
      <w:r>
        <w:rPr>
          <w:rFonts w:ascii="Arial" w:cs="Arial" w:eastAsia="Arial" w:hAnsi="Arial"/>
          <w:sz w:val="18"/>
          <w:szCs w:val="18"/>
          <w:u w:val="single" w:color="auto"/>
          <w:color w:val="auto"/>
        </w:rPr>
        <w:t>(615) 733-4731______________________</w:t>
      </w:r>
    </w:p>
    <w:p>
      <w:pPr>
        <w:spacing w:after="0" w:line="225" w:lineRule="exact"/>
        <w:rPr>
          <w:sz w:val="20"/>
          <w:szCs w:val="20"/>
          <w:color w:val="auto"/>
        </w:rPr>
      </w:pPr>
    </w:p>
    <w:p>
      <w:pPr>
        <w:ind w:firstLine="656"/>
        <w:spacing w:after="0" w:line="277" w:lineRule="auto"/>
        <w:tabs>
          <w:tab w:leader="none" w:pos="84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color w:val="auto"/>
        </w:rPr>
        <w:t>. Consultant shall provide management advisory services to the Company relating to its establishment, financing activities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services as may be requested from time to time by the Company.</w:t>
      </w:r>
    </w:p>
    <w:p>
      <w:pPr>
        <w:spacing w:after="0" w:line="166" w:lineRule="exact"/>
        <w:rPr>
          <w:rFonts w:ascii="Arial" w:cs="Arial" w:eastAsia="Arial" w:hAnsi="Arial"/>
          <w:sz w:val="18"/>
          <w:szCs w:val="18"/>
          <w:color w:val="auto"/>
        </w:rPr>
      </w:pPr>
    </w:p>
    <w:p>
      <w:pPr>
        <w:ind w:left="840" w:hanging="184"/>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4"/>
        <w:spacing w:after="0" w:line="259" w:lineRule="auto"/>
        <w:tabs>
          <w:tab w:leader="none" w:pos="15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Upon or shortly following commencement of Consultant’s Services to the Company, and subject to the approval of the Company’s Board of Directors, the Company shall issue to Consultant 700,000 shares of the Company’s common stock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par value $0.001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shall be subject to the terms and conditions of the Plan and a restricted stock award agreement between the Company and Consultant.</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Shares subject to the Restricted Stock Award shall vest upon the earliest of:</w:t>
      </w:r>
    </w:p>
    <w:p>
      <w:pPr>
        <w:spacing w:after="0" w:line="225" w:lineRule="exact"/>
        <w:rPr>
          <w:rFonts w:ascii="Arial" w:cs="Arial" w:eastAsia="Arial" w:hAnsi="Arial"/>
          <w:sz w:val="18"/>
          <w:szCs w:val="18"/>
          <w:color w:val="auto"/>
        </w:rPr>
      </w:pPr>
    </w:p>
    <w:p>
      <w:pPr>
        <w:ind w:left="2600" w:hanging="324"/>
        <w:spacing w:after="0"/>
        <w:tabs>
          <w:tab w:leader="none" w:pos="26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2600" w:hanging="324"/>
        <w:spacing w:after="0" w:line="277" w:lineRule="auto"/>
        <w:tabs>
          <w:tab w:leader="none" w:pos="26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Common Stock, pursuant to which the Common Stock is priced for initial public offering; or</w:t>
      </w:r>
    </w:p>
    <w:p>
      <w:pPr>
        <w:spacing w:after="0" w:line="170" w:lineRule="exact"/>
        <w:rPr>
          <w:rFonts w:ascii="Arial" w:cs="Arial" w:eastAsia="Arial" w:hAnsi="Arial"/>
          <w:sz w:val="18"/>
          <w:szCs w:val="18"/>
          <w:color w:val="auto"/>
        </w:rPr>
      </w:pPr>
    </w:p>
    <w:p>
      <w:pPr>
        <w:ind w:left="2600" w:hanging="324"/>
        <w:spacing w:after="0" w:line="277" w:lineRule="auto"/>
        <w:tabs>
          <w:tab w:leader="none" w:pos="26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date of closing of a bona-fide equity financing with third party investors resulting in cash gross proceeds to the Company of at least $10,000,000 (the “</w:t>
      </w:r>
      <w:r>
        <w:rPr>
          <w:rFonts w:ascii="Arial" w:cs="Arial" w:eastAsia="Arial" w:hAnsi="Arial"/>
          <w:sz w:val="18"/>
          <w:szCs w:val="18"/>
          <w:b w:val="1"/>
          <w:bCs w:val="1"/>
          <w:i w:val="1"/>
          <w:iCs w:val="1"/>
          <w:color w:val="auto"/>
        </w:rPr>
        <w:t>Qualified Financing</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in any case of (1), (2) and (3), (each a “</w:t>
      </w:r>
      <w:r>
        <w:rPr>
          <w:rFonts w:ascii="Arial" w:cs="Arial" w:eastAsia="Arial" w:hAnsi="Arial"/>
          <w:sz w:val="18"/>
          <w:szCs w:val="18"/>
          <w:b w:val="1"/>
          <w:bCs w:val="1"/>
          <w:i w:val="1"/>
          <w:iCs w:val="1"/>
          <w:color w:val="auto"/>
        </w:rPr>
        <w:t>Vesting Event</w:t>
      </w:r>
      <w:r>
        <w:rPr>
          <w:rFonts w:ascii="Arial" w:cs="Arial" w:eastAsia="Arial" w:hAnsi="Arial"/>
          <w:sz w:val="18"/>
          <w:szCs w:val="18"/>
          <w:color w:val="auto"/>
        </w:rPr>
        <w:t>”), subject to Consultant’s continuous status as a Service Provider (as defined in the Plan) through the date of such Vesting Event; provided, however, in the event Consultant’s continuous status as a Service Provider is terminated by the Company (other than for Cause or by the Consultant (as defined in the Plan)) prior to the completion of the Term (as defined in this Agreement), the Shares shall vest immediately upon such termination.</w:t>
      </w:r>
    </w:p>
    <w:p>
      <w:pPr>
        <w:spacing w:after="0" w:line="18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C. All payments and benefits provided for under this Agreement are intended to be exempt from or otherwise comply with the requirements of Section 409A of the Internal Revenue Code of 1986, as amended, and the regulations and guidance thereunder (together,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reimburse Consultant for any taxes that may be imposed on Consultant as a result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w w:val="92"/>
              </w:rPr>
              <w:t xml:space="preserve">This </w:t>
            </w:r>
            <w:r>
              <w:rPr>
                <w:rFonts w:ascii="Arial" w:cs="Arial" w:eastAsia="Arial" w:hAnsi="Arial"/>
                <w:sz w:val="18"/>
                <w:szCs w:val="18"/>
                <w:b w:val="1"/>
                <w:bCs w:val="1"/>
                <w:color w:val="auto"/>
                <w:w w:val="92"/>
              </w:rPr>
              <w:t>Exhibit A</w:t>
            </w:r>
            <w:r>
              <w:rPr>
                <w:rFonts w:ascii="Arial" w:cs="Arial" w:eastAsia="Arial" w:hAnsi="Arial"/>
                <w:sz w:val="18"/>
                <w:szCs w:val="18"/>
                <w:color w:val="auto"/>
                <w:w w:val="92"/>
              </w:rPr>
              <w:t xml:space="preserve"> is accepted and agreed upon as of July 1, 2020.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1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VISIONOLOGY, INC.</w:t>
            </w:r>
          </w:p>
        </w:tc>
      </w:tr>
      <w:tr>
        <w:trPr>
          <w:trHeight w:val="453"/>
        </w:trPr>
        <w:tc>
          <w:tcPr>
            <w:tcW w:w="53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tc>
        <w:tc>
          <w:tcPr>
            <w:tcW w:w="1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tc>
      </w:tr>
      <w:tr>
        <w:trPr>
          <w:trHeight w:val="223"/>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Mark L. Baum</w:t>
            </w: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Pr>
          <w:p>
            <w:pPr>
              <w:ind w:left="220"/>
              <w:spacing w:after="0" w:line="202"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Andrew R. Boll</w:t>
            </w:r>
          </w:p>
        </w:tc>
      </w:tr>
      <w:tr>
        <w:trPr>
          <w:trHeight w:val="237"/>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22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439"/>
        </w:trPr>
        <w:tc>
          <w:tcPr>
            <w:tcW w:w="5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6" w:name="page107"/>
    <w:bookmarkEnd w:id="106"/>
    <w:p>
      <w:pPr>
        <w:ind w:left="10020"/>
        <w:spacing w:after="0"/>
        <w:rPr>
          <w:sz w:val="20"/>
          <w:szCs w:val="20"/>
          <w:color w:val="auto"/>
        </w:rPr>
      </w:pPr>
      <w:r>
        <w:rPr>
          <w:rFonts w:ascii="Arial" w:cs="Arial" w:eastAsia="Arial" w:hAnsi="Arial"/>
          <w:sz w:val="18"/>
          <w:szCs w:val="18"/>
          <w:b w:val="1"/>
          <w:bCs w:val="1"/>
          <w:color w:val="auto"/>
        </w:rPr>
        <w:t>EXHIBIT 10.58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VISIONOLOGY,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July 1,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Visionology, Inc., a Delaware corporation with its principal place of business at 102 Woodmont Blvd., Suite 610, Nashville, TN 37205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Andrew Boll, an individual with a principal place of business at 102 Woodmont Blvd., Suite 610, Nashville, TN 37205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(each herein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Services and Compensation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Consultant shall perform the services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for the Company (or its designee), and the Company agrees to pay Consultant the compensation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for Consultant’s performance of the Services.</w:t>
      </w:r>
    </w:p>
    <w:p>
      <w:pPr>
        <w:spacing w:after="0" w:line="162" w:lineRule="exact"/>
        <w:rPr>
          <w:sz w:val="20"/>
          <w:szCs w:val="20"/>
          <w:color w:val="auto"/>
        </w:rPr>
      </w:pPr>
    </w:p>
    <w:p>
      <w:pPr>
        <w:ind w:left="840" w:hanging="184"/>
        <w:spacing w:after="0"/>
        <w:tabs>
          <w:tab w:leader="none" w:pos="8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rFonts w:ascii="Arial" w:cs="Arial" w:eastAsia="Arial" w:hAnsi="Arial"/>
          <w:sz w:val="18"/>
          <w:szCs w:val="18"/>
          <w:b w:val="1"/>
          <w:bCs w:val="1"/>
          <w:color w:val="auto"/>
        </w:rPr>
      </w:pPr>
    </w:p>
    <w:p>
      <w:pPr>
        <w:jc w:val="both"/>
        <w:ind w:firstLine="1296"/>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Definition of Confidential Information</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both"/>
        <w:ind w:firstLine="1296"/>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i w:val="1"/>
          <w:iCs w:val="1"/>
          <w:color w:val="auto"/>
        </w:rPr>
        <w:t>Nonuse and Nondisclosure</w:t>
      </w:r>
      <w:r>
        <w:rPr>
          <w:rFonts w:ascii="Arial" w:cs="Arial" w:eastAsia="Arial" w:hAnsi="Arial"/>
          <w:sz w:val="17"/>
          <w:szCs w:val="17"/>
          <w:b w:val="1"/>
          <w:bCs w:val="1"/>
          <w:color w:val="auto"/>
        </w:rPr>
        <w:t>.</w:t>
      </w:r>
      <w:r>
        <w:rPr>
          <w:rFonts w:ascii="Arial" w:cs="Arial" w:eastAsia="Arial" w:hAnsi="Arial"/>
          <w:sz w:val="17"/>
          <w:szCs w:val="17"/>
          <w:color w:val="auto"/>
        </w:rPr>
        <w:t xml:space="preserve"> During and after the term of this Agreement, Consultant will hold in the strictest confidence, and take all reasonable precautions to prevent any unauthorized use or disclosure of Confidential Information, and Consultant will not (i) use the Confidential Information for any purpose whatsoever other than as necessary for the performance of the Services on behalf of the Company, or (ii) subject to Consultant’s right to engage in Protected Activity (as defined below), disclose the Confidential Information to any third party without the prior written consent of an authorized representative of the Company, except that Consultant may disclose Confidential Information to the extent compelled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prior to such disclosure, Consultant shall provide prior written notice to Company and seek a protective order or such similar confidential protection as may be available under applicable law. Consultant agrees that no ownership of Confidential Information is conveyed to the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2.B shall continue after the termination of this Agreement.</w:t>
      </w:r>
    </w:p>
    <w:p>
      <w:pPr>
        <w:spacing w:after="0" w:line="18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Other Client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that Consultant will not improperly use, disclose, or induce the Company to use any proprietary information or trade secrets of any former or current employer of Consultant or other person or entity with which Consultant has an obligation to keep in confidence. Consultant also agrees that Consultant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8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Third Party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at all times during the term of this Agreement and thereafter, Consultant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87" w:lineRule="exact"/>
        <w:rPr>
          <w:sz w:val="20"/>
          <w:szCs w:val="20"/>
          <w:color w:val="auto"/>
        </w:rPr>
      </w:pPr>
    </w:p>
    <w:p>
      <w:pPr>
        <w:ind w:left="840" w:hanging="184"/>
        <w:spacing w:after="0"/>
        <w:tabs>
          <w:tab w:leader="none" w:pos="8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225" w:lineRule="exact"/>
        <w:rPr>
          <w:rFonts w:ascii="Arial" w:cs="Arial" w:eastAsia="Arial" w:hAnsi="Arial"/>
          <w:sz w:val="18"/>
          <w:szCs w:val="18"/>
          <w:b w:val="1"/>
          <w:bCs w:val="1"/>
          <w:color w:val="auto"/>
        </w:rPr>
      </w:pPr>
    </w:p>
    <w:p>
      <w:pPr>
        <w:jc w:val="both"/>
        <w:ind w:firstLine="1304"/>
        <w:spacing w:after="0" w:line="255" w:lineRule="auto"/>
        <w:tabs>
          <w:tab w:leader="none" w:pos="1529"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of Inventions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that all right, title, and interest in and to any copyrightable material, notes, records,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drawings, designs,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are the sole property of the Company. Consultant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88" w:lineRule="exact"/>
        <w:rPr>
          <w:rFonts w:ascii="Arial" w:cs="Arial" w:eastAsia="Arial" w:hAnsi="Arial"/>
          <w:sz w:val="18"/>
          <w:szCs w:val="18"/>
          <w:color w:val="auto"/>
        </w:rPr>
      </w:pPr>
    </w:p>
    <w:p>
      <w:pPr>
        <w:jc w:val="both"/>
        <w:ind w:firstLine="1304"/>
        <w:spacing w:after="0" w:line="289" w:lineRule="auto"/>
        <w:tabs>
          <w:tab w:leader="none" w:pos="1519" w:val="left"/>
        </w:tabs>
        <w:numPr>
          <w:ilvl w:val="1"/>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Pre-Existing Material</w:t>
      </w:r>
      <w:r>
        <w:rPr>
          <w:rFonts w:ascii="Arial" w:cs="Arial" w:eastAsia="Arial" w:hAnsi="Arial"/>
          <w:sz w:val="16"/>
          <w:szCs w:val="16"/>
          <w:b w:val="1"/>
          <w:bCs w:val="1"/>
          <w:color w:val="auto"/>
        </w:rPr>
        <w: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Section 3.A, Consultant will provide the Company with prior written notice if, in the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separate from, performing the Services under this Agreement (“</w:t>
      </w:r>
      <w:r>
        <w:rPr>
          <w:rFonts w:ascii="Arial" w:cs="Arial" w:eastAsia="Arial" w:hAnsi="Arial"/>
          <w:sz w:val="16"/>
          <w:szCs w:val="16"/>
          <w:b w:val="1"/>
          <w:bCs w:val="1"/>
          <w:i w:val="1"/>
          <w:iCs w:val="1"/>
          <w:color w:val="auto"/>
        </w:rPr>
        <w:t>Prior Inventions</w:t>
      </w:r>
      <w:r>
        <w:rPr>
          <w:rFonts w:ascii="Arial" w:cs="Arial" w:eastAsia="Arial" w:hAnsi="Arial"/>
          <w:sz w:val="16"/>
          <w:szCs w:val="16"/>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Moral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8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Maintenance of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to keep and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Further Assurances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3.E shall continue after the termination of this Agreement.</w:t>
      </w:r>
    </w:p>
    <w:p>
      <w:pPr>
        <w:spacing w:after="0" w:line="1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i w:val="1"/>
          <w:iCs w:val="1"/>
          <w:color w:val="auto"/>
        </w:rPr>
        <w:t>Attorney-in-Fact</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pacing w:after="0" w:line="161" w:lineRule="exact"/>
        <w:rPr>
          <w:sz w:val="20"/>
          <w:szCs w:val="20"/>
          <w:color w:val="auto"/>
        </w:rPr>
      </w:pPr>
    </w:p>
    <w:p>
      <w:pPr>
        <w:ind w:left="840" w:hanging="184"/>
        <w:spacing w:after="0"/>
        <w:tabs>
          <w:tab w:leader="none" w:pos="8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Obligations</w:t>
      </w:r>
    </w:p>
    <w:p>
      <w:pPr>
        <w:spacing w:after="0" w:line="229" w:lineRule="exact"/>
        <w:rPr>
          <w:rFonts w:ascii="Arial" w:cs="Arial" w:eastAsia="Arial" w:hAnsi="Arial"/>
          <w:sz w:val="18"/>
          <w:szCs w:val="18"/>
          <w:b w:val="1"/>
          <w:bCs w:val="1"/>
          <w:color w:val="auto"/>
        </w:rPr>
      </w:pPr>
    </w:p>
    <w:p>
      <w:pPr>
        <w:jc w:val="both"/>
        <w:ind w:firstLine="1296"/>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 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b w:val="1"/>
          <w:bCs w:val="1"/>
          <w:color w:val="auto"/>
        </w:rPr>
        <w:t>5. Return of Company Materials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termination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may have in Consultant’s possession or control.</w:t>
      </w:r>
    </w:p>
    <w:p>
      <w:pPr>
        <w:spacing w:after="0" w:line="184" w:lineRule="exact"/>
        <w:rPr>
          <w:sz w:val="20"/>
          <w:szCs w:val="20"/>
          <w:color w:val="auto"/>
        </w:rPr>
      </w:pPr>
    </w:p>
    <w:p>
      <w:pPr>
        <w:ind w:left="840" w:hanging="184"/>
        <w:spacing w:after="0"/>
        <w:tabs>
          <w:tab w:leader="none" w:pos="840"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rFonts w:ascii="Arial" w:cs="Arial" w:eastAsia="Arial" w:hAnsi="Arial"/>
          <w:sz w:val="18"/>
          <w:szCs w:val="18"/>
          <w:b w:val="1"/>
          <w:bCs w:val="1"/>
          <w:color w:val="auto"/>
        </w:rPr>
      </w:pPr>
    </w:p>
    <w:p>
      <w:pPr>
        <w:jc w:val="both"/>
        <w:ind w:firstLine="1304"/>
        <w:spacing w:after="0" w:line="293" w:lineRule="auto"/>
        <w:tabs>
          <w:tab w:leader="none" w:pos="1543" w:val="left"/>
        </w:tabs>
        <w:numPr>
          <w:ilvl w:val="2"/>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Term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 commenced providing Services to the Company on or about December 1, 2019 and shall provide the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earlier of (i) one year from the Effective Date, (ii) a Change in Control (as defined in the Company’s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8"/>
        <w:spacing w:after="0" w:line="277" w:lineRule="auto"/>
        <w:tabs>
          <w:tab w:leader="none" w:pos="3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date of any underwriting agreement between the Company and the underwriter(s) managing an initial public offering of Common Stock (as defined in the Plan), pursuant to which the Common Stock is priced for an initial public offering, (iv) a Qualified Financing (as defined in Exhibit A attached hereto) or (v) such earlier date as the Services are terminated by the Company or Consultant as provided in Section 6.B (the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jc w:val="both"/>
        <w:ind w:firstLine="1304"/>
        <w:spacing w:after="0" w:line="266" w:lineRule="auto"/>
        <w:tabs>
          <w:tab w:leader="none" w:pos="1519" w:val="left"/>
        </w:tabs>
        <w:numPr>
          <w:ilvl w:val="2"/>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terminate this Agreement upon giving Consultant fourteen (14) days prior written notice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pursuant to Section 12.G of this Agreement. The Company may terminate this Agreement immediately and without prior notice if Consultant refuses to or is unable to perform the Services or is in breach of any material provision of this Agreement.</w:t>
      </w:r>
    </w:p>
    <w:p>
      <w:pPr>
        <w:spacing w:after="0" w:line="175" w:lineRule="exact"/>
        <w:rPr>
          <w:rFonts w:ascii="Arial" w:cs="Arial" w:eastAsia="Arial" w:hAnsi="Arial"/>
          <w:sz w:val="18"/>
          <w:szCs w:val="18"/>
          <w:color w:val="auto"/>
        </w:rPr>
      </w:pPr>
    </w:p>
    <w:p>
      <w:pPr>
        <w:ind w:left="1520" w:hanging="216"/>
        <w:spacing w:after="0"/>
        <w:tabs>
          <w:tab w:leader="none" w:pos="1520" w:val="left"/>
        </w:tabs>
        <w:numPr>
          <w:ilvl w:val="2"/>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Survival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any termination, all rights and duties of the Company and Consultant toward each other shall cease except:</w:t>
      </w:r>
    </w:p>
    <w:p>
      <w:pPr>
        <w:spacing w:after="0" w:line="240" w:lineRule="exact"/>
        <w:rPr>
          <w:rFonts w:ascii="Arial" w:cs="Arial" w:eastAsia="Arial" w:hAnsi="Arial"/>
          <w:sz w:val="17"/>
          <w:szCs w:val="17"/>
          <w:color w:val="auto"/>
        </w:rPr>
      </w:pPr>
    </w:p>
    <w:p>
      <w:pPr>
        <w:jc w:val="both"/>
        <w:ind w:firstLine="1952"/>
        <w:spacing w:after="0" w:line="263" w:lineRule="auto"/>
        <w:tabs>
          <w:tab w:leader="none" w:pos="2209" w:val="left"/>
        </w:tabs>
        <w:numPr>
          <w:ilvl w:val="3"/>
          <w:numId w:val="47"/>
        </w:numPr>
        <w:rPr>
          <w:rFonts w:ascii="Arial" w:cs="Arial" w:eastAsia="Arial" w:hAnsi="Arial"/>
          <w:sz w:val="18"/>
          <w:szCs w:val="18"/>
          <w:color w:val="auto"/>
        </w:rPr>
      </w:pPr>
      <w:r>
        <w:rPr>
          <w:rFonts w:ascii="Arial" w:cs="Arial" w:eastAsia="Arial" w:hAnsi="Arial"/>
          <w:sz w:val="18"/>
          <w:szCs w:val="18"/>
          <w:color w:val="auto"/>
        </w:rPr>
        <w:t>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and</w:t>
      </w:r>
    </w:p>
    <w:p>
      <w:pPr>
        <w:spacing w:after="0" w:line="183" w:lineRule="exact"/>
        <w:rPr>
          <w:rFonts w:ascii="Arial" w:cs="Arial" w:eastAsia="Arial" w:hAnsi="Arial"/>
          <w:sz w:val="18"/>
          <w:szCs w:val="18"/>
          <w:color w:val="auto"/>
        </w:rPr>
      </w:pPr>
    </w:p>
    <w:p>
      <w:pPr>
        <w:jc w:val="both"/>
        <w:ind w:firstLine="1952"/>
        <w:spacing w:after="0" w:line="311" w:lineRule="auto"/>
        <w:tabs>
          <w:tab w:leader="none" w:pos="2245" w:val="left"/>
        </w:tabs>
        <w:numPr>
          <w:ilvl w:val="3"/>
          <w:numId w:val="47"/>
        </w:numPr>
        <w:rPr>
          <w:rFonts w:ascii="Arial" w:cs="Arial" w:eastAsia="Arial" w:hAnsi="Arial"/>
          <w:sz w:val="16"/>
          <w:szCs w:val="16"/>
          <w:color w:val="auto"/>
        </w:rPr>
      </w:pPr>
      <w:r>
        <w:rPr>
          <w:rFonts w:ascii="Arial" w:cs="Arial" w:eastAsia="Arial" w:hAnsi="Arial"/>
          <w:sz w:val="16"/>
          <w:szCs w:val="16"/>
          <w:color w:val="auto"/>
        </w:rPr>
        <w:t>Section 2 (Confidentiality), Section 3 (Ownership), Section 5 (Return of Company Materials), Section 6 (Term and Termination), Section 7 (Independent Contractor; Benefits), Section 8 (Indemnification), Section 9 (Nonsolicitation), Section 10 (Limitation of Liability), Section 11 (Dispute Resolution), and Section 12 (Miscellaneous) will survive termination or expiration of this Agreement in accordance with their terms.</w:t>
      </w:r>
    </w:p>
    <w:p>
      <w:pPr>
        <w:spacing w:after="0" w:line="144" w:lineRule="exact"/>
        <w:rPr>
          <w:rFonts w:ascii="Arial" w:cs="Arial" w:eastAsia="Arial" w:hAnsi="Arial"/>
          <w:sz w:val="16"/>
          <w:szCs w:val="16"/>
          <w:color w:val="auto"/>
        </w:rPr>
      </w:pPr>
    </w:p>
    <w:p>
      <w:pPr>
        <w:ind w:left="840" w:hanging="184"/>
        <w:spacing w:after="0"/>
        <w:tabs>
          <w:tab w:leader="none" w:pos="840"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Benefits</w:t>
      </w:r>
    </w:p>
    <w:p>
      <w:pPr>
        <w:spacing w:after="0" w:line="229" w:lineRule="exact"/>
        <w:rPr>
          <w:rFonts w:ascii="Arial" w:cs="Arial" w:eastAsia="Arial" w:hAnsi="Arial"/>
          <w:sz w:val="18"/>
          <w:szCs w:val="18"/>
          <w:b w:val="1"/>
          <w:bCs w:val="1"/>
          <w:color w:val="auto"/>
        </w:rPr>
      </w:pPr>
    </w:p>
    <w:p>
      <w:pPr>
        <w:jc w:val="both"/>
        <w:ind w:firstLine="1304"/>
        <w:spacing w:after="0" w:line="254" w:lineRule="auto"/>
        <w:tabs>
          <w:tab w:leader="none" w:pos="1543" w:val="left"/>
        </w:tabs>
        <w:numPr>
          <w:ilvl w:val="2"/>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Contractor. </w:t>
      </w:r>
      <w:r>
        <w:rPr>
          <w:rFonts w:ascii="Arial" w:cs="Arial" w:eastAsia="Arial" w:hAnsi="Arial"/>
          <w:sz w:val="18"/>
          <w:szCs w:val="18"/>
          <w:color w:val="auto"/>
        </w:rPr>
        <w:t>It is the express intention of the Company and Consultant that Consultant perform the Services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jc w:val="both"/>
        <w:ind w:firstLine="1296"/>
        <w:spacing w:after="0" w:line="29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and Consultant agree that Consultant will receive no Company-sponsored benefits from the Company such as, but not limited to, paid vacation, sick leave, medical insurance and 401k participation; provided, however, that Consultant shall be eligible for awards granted under the Plan.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 Indemnification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Consultant agrees to indemnify and hold harmless the Company and its affiliates and their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(ii) a determination by a court or agency that the Consultant is not an independent contractor, (iii) any breach by the Consultant of any of the covenants contained in this Agreement, (iv) any failure of Consultant to perform the Services in accordance with all applicable laws, rules and regulations, or (v) any violation or claimed violation of a third party’s rights resulting in whole, or in part, from the Company’s use of the Inventions or other deliverables of Consultant under this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 Nonsolicitation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fullest extent permitted under applicable law, from the date of this Agreement until twelve (12) months after the termination of this Agreement for any reason,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Section 9 shall affect Consultant’s continuing obligations under this Agreement during and after this twelve (12) month period, including, without limitation, Consultant’s obligations under Section 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Limitation of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 EVENT SHALL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8"/>
          <w:szCs w:val="18"/>
          <w:b w:val="1"/>
          <w:bCs w:val="1"/>
          <w:color w:val="auto"/>
        </w:rPr>
        <w:t>11. Dispute Resolution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controversy, dispute or claim arising out of or relating to this Agreement or the breach or alleged breach hereof, including whether the controversy, dispute or claim is arbitrable (each,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shall be resolved by submitting such Dispute to binding arbitration administered by the American Health Lawyers Association Dispute Resolution Services or its successor (“</w:t>
      </w:r>
      <w:r>
        <w:rPr>
          <w:rFonts w:ascii="Arial" w:cs="Arial" w:eastAsia="Arial" w:hAnsi="Arial"/>
          <w:sz w:val="17"/>
          <w:szCs w:val="17"/>
          <w:b w:val="1"/>
          <w:bCs w:val="1"/>
          <w:i w:val="1"/>
          <w:iCs w:val="1"/>
          <w:color w:val="auto"/>
        </w:rPr>
        <w:t>AHLA</w:t>
      </w:r>
      <w:r>
        <w:rPr>
          <w:rFonts w:ascii="Arial" w:cs="Arial" w:eastAsia="Arial" w:hAnsi="Arial"/>
          <w:sz w:val="17"/>
          <w:szCs w:val="17"/>
          <w:color w:val="auto"/>
        </w:rPr>
        <w:t xml:space="preserve">”) and held in Nashville, Tennessee, and judgment on the arbitration award may be entered in any court having jurisdiction thereof. The arbitration will be conducted in accordance with applicable AHLA rules and procedures before a single arbitrator selected and appointed in accordance with such rules. Each party will bear and pay equally the fees and expenses of AHLA (including the fees and expenses of the arbitrator), and each party will bear its own attorneys’ fees, costs and other expenses;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arbitrator may award reasonable attorneys’ fees and expenses to the prevailing party as contemplated in Section 12.H. Any arbitration will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The provisions of this Section 11 shall survive expiration or other termination of this Agreement regardless of the cause of such expiration or termination, and shall not restrict the right of the parties hereto to institute a proceeding in any court of law or equity to enable such party to obtain or otherwise seek injunctive relief, specific performance or other equitable remedies during the pendency of any arbitration or without submitting such matter to arbitration.</w:t>
      </w:r>
    </w:p>
    <w:p>
      <w:pPr>
        <w:spacing w:after="0" w:line="178" w:lineRule="exact"/>
        <w:rPr>
          <w:sz w:val="20"/>
          <w:szCs w:val="20"/>
          <w:color w:val="auto"/>
        </w:rPr>
      </w:pPr>
    </w:p>
    <w:p>
      <w:pPr>
        <w:ind w:left="920" w:hanging="264"/>
        <w:spacing w:after="0"/>
        <w:tabs>
          <w:tab w:leader="none" w:pos="9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jc w:val="both"/>
        <w:ind w:firstLine="1304"/>
        <w:spacing w:after="0" w:line="274" w:lineRule="auto"/>
        <w:tabs>
          <w:tab w:leader="none" w:pos="1529" w:val="left"/>
        </w:tabs>
        <w:numPr>
          <w:ilvl w:val="1"/>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 Consent to Personal Jurisdiction and Venue; Waiver of Trial by Jury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shall be governed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laws of the State of Delaware, without regard to the conflicts of law provisions of any jurisdiction. To the extent that any lawsuit is permitted under this Agreement, the Parties hereby expressly consent to the personal and exclusive jurisdiction and venue of the state and federal courts located in Nashville, Tennessee. Each party hereby waives any objection to the personal or subject matter jurisdiction and venue of such courts. EACH PARTY HEREBY WAIVES, TO THE FULLEST EXTENT PERMITTED BY APPLICABLE LAW, ANY RIGHT IT MAY HAVE TO A TRIAL BY JURY WITH RESPECT TO ANY DISPUTE, ACTION OR CLAIM ARISING OUT OF THIS AGREEMENT.</w:t>
      </w:r>
    </w:p>
    <w:p>
      <w:pPr>
        <w:spacing w:after="0" w:line="173" w:lineRule="exact"/>
        <w:rPr>
          <w:rFonts w:ascii="Arial" w:cs="Arial" w:eastAsia="Arial" w:hAnsi="Arial"/>
          <w:sz w:val="17"/>
          <w:szCs w:val="17"/>
          <w:color w:val="auto"/>
        </w:rPr>
      </w:pPr>
    </w:p>
    <w:p>
      <w:pPr>
        <w:jc w:val="both"/>
        <w:ind w:firstLine="1304"/>
        <w:spacing w:after="0" w:line="256" w:lineRule="auto"/>
        <w:tabs>
          <w:tab w:leader="none" w:pos="1560"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Assignability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will be binding upon Consultant’s heirs, executors, assigns, administrators, and other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87" w:lineRule="exact"/>
        <w:rPr>
          <w:rFonts w:ascii="Arial" w:cs="Arial" w:eastAsia="Arial" w:hAnsi="Arial"/>
          <w:sz w:val="18"/>
          <w:szCs w:val="18"/>
          <w:color w:val="auto"/>
        </w:rPr>
      </w:pPr>
    </w:p>
    <w:p>
      <w:pPr>
        <w:jc w:val="both"/>
        <w:ind w:firstLine="1304"/>
        <w:spacing w:after="0" w:line="258" w:lineRule="auto"/>
        <w:tabs>
          <w:tab w:leader="none" w:pos="1506"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between the Parties with respect to the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Headings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Headings are used in this Agreement for reference only and shall not be considered when interpreting this Agreement.</w:t>
      </w:r>
    </w:p>
    <w:p>
      <w:pPr>
        <w:spacing w:after="0" w:line="248" w:lineRule="exact"/>
        <w:rPr>
          <w:rFonts w:ascii="Arial" w:cs="Arial" w:eastAsia="Arial" w:hAnsi="Arial"/>
          <w:sz w:val="16"/>
          <w:szCs w:val="16"/>
          <w:color w:val="auto"/>
        </w:rPr>
      </w:pPr>
    </w:p>
    <w:p>
      <w:pPr>
        <w:jc w:val="both"/>
        <w:ind w:firstLine="1304"/>
        <w:spacing w:after="0" w:line="266" w:lineRule="auto"/>
        <w:tabs>
          <w:tab w:leader="none" w:pos="1496" w:val="left"/>
        </w:tabs>
        <w:numPr>
          <w:ilvl w:val="1"/>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court or other body of competent jurisdiction finds, or the Parties mutually believe, any provision of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portion thereof, to be invalid or unenforceable, such provision will be enforced to the maximum extent permissible so as to effect the intent of the Parties, and the remainder of this Agreement will continue in full force and effect.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jc w:val="both"/>
        <w:ind w:firstLine="1296"/>
        <w:spacing w:after="0" w:line="26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Modification, Waiver.</w:t>
      </w:r>
      <w:r>
        <w:rPr>
          <w:rFonts w:ascii="Arial" w:cs="Arial" w:eastAsia="Arial" w:hAnsi="Arial"/>
          <w:sz w:val="18"/>
          <w:szCs w:val="18"/>
          <w:color w:val="auto"/>
        </w:rPr>
        <w:t xml:space="preserve"> 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spacing w:after="0" w:line="18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i w:val="1"/>
          <w:iCs w:val="1"/>
          <w:color w:val="auto"/>
        </w:rPr>
        <w:t>Notices</w:t>
      </w:r>
      <w:r>
        <w:rPr>
          <w:rFonts w:ascii="Arial" w:cs="Arial" w:eastAsia="Arial" w:hAnsi="Arial"/>
          <w:sz w:val="16"/>
          <w:szCs w:val="16"/>
          <w:b w:val="1"/>
          <w:bCs w:val="1"/>
          <w:color w:val="auto"/>
        </w:rPr>
        <w:t>.</w:t>
      </w:r>
      <w:r>
        <w:rPr>
          <w:rFonts w:ascii="Arial" w:cs="Arial" w:eastAsia="Arial" w:hAnsi="Arial"/>
          <w:sz w:val="16"/>
          <w:szCs w:val="16"/>
          <w:color w:val="auto"/>
        </w:rPr>
        <w:t xml:space="preserve"> Any notice or other communication required or permitted by this Agreement to be given to a Party shall be in writing and 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12.G.</w:t>
      </w:r>
    </w:p>
    <w:p>
      <w:pPr>
        <w:spacing w:after="0" w:line="15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If to the Company,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Visionology,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20" w:firstLine="1952"/>
        <w:spacing w:after="0" w:line="277" w:lineRule="auto"/>
        <w:tabs>
          <w:tab w:leader="none" w:pos="2209"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to Consultant, to the address for notice on the signature page to this Agreement or, if no such address is provided, to the last address of Consultant provided by Consultant to the Company.</w:t>
      </w:r>
    </w:p>
    <w:p>
      <w:pPr>
        <w:spacing w:after="0" w:line="166" w:lineRule="exact"/>
        <w:rPr>
          <w:rFonts w:ascii="Arial" w:cs="Arial" w:eastAsia="Arial" w:hAnsi="Arial"/>
          <w:sz w:val="18"/>
          <w:szCs w:val="18"/>
          <w:color w:val="auto"/>
        </w:rPr>
      </w:pPr>
    </w:p>
    <w:p>
      <w:pPr>
        <w:jc w:val="both"/>
        <w:ind w:firstLine="1304"/>
        <w:spacing w:after="0" w:line="266" w:lineRule="auto"/>
        <w:tabs>
          <w:tab w:leader="none" w:pos="1516"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Attorneys’ Fees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any court action at law or equity that is brought by one of the Parties to this Agreement to enforce or interpret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this Agreement, the prevailing Party will be entitled to reasonable attorneys’ fees, in addition to any other relief to which that Party may be entitled.</w:t>
      </w:r>
    </w:p>
    <w:p>
      <w:pPr>
        <w:spacing w:after="0" w:line="179" w:lineRule="exact"/>
        <w:rPr>
          <w:rFonts w:ascii="Arial" w:cs="Arial" w:eastAsia="Arial" w:hAnsi="Arial"/>
          <w:sz w:val="18"/>
          <w:szCs w:val="18"/>
          <w:color w:val="auto"/>
        </w:rPr>
      </w:pPr>
    </w:p>
    <w:p>
      <w:pPr>
        <w:ind w:right="20" w:firstLine="1304"/>
        <w:spacing w:after="0" w:line="277" w:lineRule="auto"/>
        <w:tabs>
          <w:tab w:leader="none" w:pos="1446"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Signatures. </w:t>
      </w:r>
      <w:r>
        <w:rPr>
          <w:rFonts w:ascii="Arial" w:cs="Arial" w:eastAsia="Arial" w:hAnsi="Arial"/>
          <w:sz w:val="18"/>
          <w:szCs w:val="18"/>
          <w:color w:val="auto"/>
        </w:rPr>
        <w:t>This Agreement may be signed in two counterparts, each of which shall be deemed an original, with the same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effectiveness as though executed in a single document.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469"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Applicability to Past Activities. </w:t>
      </w:r>
      <w:r>
        <w:rPr>
          <w:rFonts w:ascii="Arial" w:cs="Arial" w:eastAsia="Arial" w:hAnsi="Arial"/>
          <w:sz w:val="16"/>
          <w:szCs w:val="16"/>
          <w:color w:val="auto"/>
        </w:rPr>
        <w:t>Consultant agrees that if and to the extent that Consultant provided any services or made efforts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behalf of or for the benefit of Company, or related to the current or prospective business of Company in anticipation of Consultant’s involvement with the Company, that would have been “Services” if performed during the term of this Agreement (the “</w:t>
      </w:r>
      <w:r>
        <w:rPr>
          <w:rFonts w:ascii="Arial" w:cs="Arial" w:eastAsia="Arial" w:hAnsi="Arial"/>
          <w:sz w:val="16"/>
          <w:szCs w:val="16"/>
          <w:b w:val="1"/>
          <w:bCs w:val="1"/>
          <w:i w:val="1"/>
          <w:iCs w:val="1"/>
          <w:color w:val="auto"/>
        </w:rPr>
        <w:t>Prior Consulting Period</w:t>
      </w:r>
      <w:r>
        <w:rPr>
          <w:rFonts w:ascii="Arial" w:cs="Arial" w:eastAsia="Arial" w:hAnsi="Arial"/>
          <w:sz w:val="16"/>
          <w:szCs w:val="16"/>
          <w:color w:val="auto"/>
        </w:rPr>
        <w:t>”) and to the extent that during the Prior Consulting Period: (i) Consultant received access to any information from or on behalf of Company that would have been “Confidential Information” if Consultant received access to such information during the term of this Agreement; or (ii) Consultant (a) conceived, created, authored, invented, developed or reduced to practice any item (including any intellectual property rights with respect thereto) on behalf of or for the benefit of Company, or related to the current or prospective business of Company in anticipation of Consultant’s involvement with Company, that would have been an Invention if conceived, created, authored, invented, developed or reduced to practice during the term of this Agreement; or (b) incorporated into any such item any pre-existing invention, improvement, development, concept, discovery or other proprietary information that would have been a Prior Invention if incorporated into such item during the term of this Agreement; 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Consultant further acknowledges that Consultant has been fully compensated for all services provided during any such Prior Consulting Period.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3" w:name="page114"/>
    <w:bookmarkEnd w:id="113"/>
    <w:p>
      <w:pPr>
        <w:jc w:val="both"/>
        <w:ind w:firstLine="1296"/>
        <w:spacing w:after="0" w:line="286"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i w:val="1"/>
          <w:iCs w:val="1"/>
          <w:color w:val="auto"/>
        </w:rPr>
        <w:t>Protected Activity Not Prohibited.</w:t>
      </w:r>
      <w:r>
        <w:rPr>
          <w:rFonts w:ascii="Arial" w:cs="Arial" w:eastAsia="Arial" w:hAnsi="Arial"/>
          <w:sz w:val="16"/>
          <w:szCs w:val="16"/>
          <w:color w:val="auto"/>
        </w:rPr>
        <w:t xml:space="preserve"> Consultant understands that nothing in this Agreement shall in any way limit or prohibit Consultant from engaging in any Protected Activity. For purposes of this Agreement,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 w:cs="Arial" w:eastAsia="Arial" w:hAnsi="Arial"/>
          <w:sz w:val="16"/>
          <w:szCs w:val="16"/>
          <w:b w:val="1"/>
          <w:bCs w:val="1"/>
          <w:i w:val="1"/>
          <w:iCs w:val="1"/>
          <w:color w:val="auto"/>
        </w:rPr>
        <w:t>Government Agencies</w:t>
      </w:r>
      <w:r>
        <w:rPr>
          <w:rFonts w:ascii="Arial" w:cs="Arial" w:eastAsia="Arial" w:hAnsi="Arial"/>
          <w:sz w:val="16"/>
          <w:szCs w:val="16"/>
          <w:color w:val="auto"/>
        </w:rPr>
        <w:t>”). Consultant understands that in connection with such Protected Activity, Consultant is permitted to disclose documents or other information as permitted by law, and without giving notice to, or receiving authorization from, the Company. Notwithstanding the foregoing, Consultant agrees to take all reasonable precautions to prevent any unauthorized use or disclosure of any information that may constitute Company confidential information to any parties other than the Government Agencies. Consultant further understands that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xml:space="preserve">” does not include the disclosure of any Company attorney-client privileged communications.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6"/>
          <w:szCs w:val="16"/>
          <w:i w:val="1"/>
          <w:iCs w:val="1"/>
          <w:color w:val="auto"/>
        </w:rPr>
        <w:t>solely</w:t>
      </w:r>
      <w:r>
        <w:rPr>
          <w:rFonts w:ascii="Arial" w:cs="Arial" w:eastAsia="Arial" w:hAnsi="Arial"/>
          <w:sz w:val="16"/>
          <w:szCs w:val="16"/>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16"/>
          <w:szCs w:val="16"/>
          <w:color w:val="auto"/>
        </w:rPr>
        <w:t>IN WITNESS WHEREOF, the Parties hereto have executed this Consulting Agreement as of the date first written above.</w:t>
      </w:r>
    </w:p>
    <w:p>
      <w:pPr>
        <w:sectPr>
          <w:pgSz w:w="11900" w:h="16838" w:orient="portrait"/>
          <w:cols w:equalWidth="0" w:num="1">
            <w:col w:w="10139"/>
          </w:cols>
          <w:pgMar w:left="320" w:top="692" w:right="1440"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Andrew Boll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Name: 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1457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3">
                      <a:extLst>
                        <a:ext uri="{28A0092B-C50C-407E-A947-70E740481C1C}"/>
                      </a:extLst>
                    </a:blip>
                    <a:srcRect/>
                    <a:stretch>
                      <a:fillRect/>
                    </a:stretch>
                  </pic:blipFill>
                  <pic:spPr bwMode="auto">
                    <a:xfrm>
                      <a:off x="0" y="0"/>
                      <a:ext cx="314579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-130175</wp:posOffset>
            </wp:positionV>
            <wp:extent cx="31457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4">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3566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5">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3566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6">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VISIONOLOGY, INC.</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23495</wp:posOffset>
            </wp:positionV>
            <wp:extent cx="31375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8">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-130175</wp:posOffset>
            </wp:positionV>
            <wp:extent cx="31375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31750</wp:posOffset>
            </wp:positionV>
            <wp:extent cx="31375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0">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1197610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020" w:space="720"/>
            <w:col w:w="4399"/>
          </w:cols>
          <w:pgMar w:left="320" w:top="692" w:right="1440"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AND COMPENSATION</w:t>
      </w:r>
    </w:p>
    <w:p>
      <w:pPr>
        <w:spacing w:after="0" w:line="225" w:lineRule="exact"/>
        <w:rPr>
          <w:sz w:val="20"/>
          <w:szCs w:val="20"/>
          <w:color w:val="auto"/>
        </w:rPr>
      </w:pPr>
    </w:p>
    <w:p>
      <w:pPr>
        <w:ind w:left="1620" w:right="6800" w:hanging="964"/>
        <w:spacing w:after="0" w:line="566" w:lineRule="auto"/>
        <w:tabs>
          <w:tab w:leader="none" w:pos="828"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Contact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Consultant’s principal Company contact: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Name: </w:t>
      </w:r>
      <w:r>
        <w:rPr>
          <w:rFonts w:ascii="Arial" w:cs="Arial" w:eastAsia="Arial" w:hAnsi="Arial"/>
          <w:sz w:val="16"/>
          <w:szCs w:val="16"/>
          <w:u w:val="single" w:color="auto"/>
          <w:color w:val="auto"/>
        </w:rPr>
        <w:t>Mark Baum____________</w:t>
      </w:r>
    </w:p>
    <w:p>
      <w:pPr>
        <w:ind w:left="1620"/>
        <w:spacing w:after="0"/>
        <w:rPr>
          <w:rFonts w:ascii="Arial" w:cs="Arial" w:eastAsia="Arial" w:hAnsi="Arial"/>
          <w:sz w:val="16"/>
          <w:szCs w:val="16"/>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CEO__________________</w:t>
      </w:r>
    </w:p>
    <w:p>
      <w:pPr>
        <w:spacing w:after="0" w:line="225"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mark@harrowinc.com_____</w:t>
      </w:r>
    </w:p>
    <w:p>
      <w:pPr>
        <w:spacing w:after="0" w:line="225"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 xml:space="preserve">Phone: </w:t>
      </w:r>
      <w:r>
        <w:rPr>
          <w:rFonts w:ascii="Arial" w:cs="Arial" w:eastAsia="Arial" w:hAnsi="Arial"/>
          <w:sz w:val="18"/>
          <w:szCs w:val="18"/>
          <w:u w:val="single" w:color="auto"/>
          <w:color w:val="auto"/>
        </w:rPr>
        <w:t>(615) 733-4733__________</w:t>
      </w:r>
    </w:p>
    <w:p>
      <w:pPr>
        <w:spacing w:after="0" w:line="225" w:lineRule="exact"/>
        <w:rPr>
          <w:rFonts w:ascii="Arial" w:cs="Arial" w:eastAsia="Arial" w:hAnsi="Arial"/>
          <w:sz w:val="16"/>
          <w:szCs w:val="16"/>
          <w:color w:val="auto"/>
        </w:rPr>
      </w:pPr>
    </w:p>
    <w:p>
      <w:pPr>
        <w:ind w:firstLine="656"/>
        <w:spacing w:after="0" w:line="277" w:lineRule="auto"/>
        <w:tabs>
          <w:tab w:leader="none" w:pos="841"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color w:val="auto"/>
        </w:rPr>
        <w:t>. Consultant shall provide management advisory services to the Company relating to its establishment, financing activities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services as may be requested from time to time by the Company.</w:t>
      </w:r>
    </w:p>
    <w:p>
      <w:pPr>
        <w:spacing w:after="0" w:line="166" w:lineRule="exact"/>
        <w:rPr>
          <w:rFonts w:ascii="Arial" w:cs="Arial" w:eastAsia="Arial" w:hAnsi="Arial"/>
          <w:sz w:val="18"/>
          <w:szCs w:val="18"/>
          <w:color w:val="auto"/>
        </w:rPr>
      </w:pPr>
    </w:p>
    <w:p>
      <w:pPr>
        <w:ind w:left="840" w:hanging="184"/>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4"/>
        <w:spacing w:after="0" w:line="259" w:lineRule="auto"/>
        <w:tabs>
          <w:tab w:leader="none" w:pos="1532" w:val="left"/>
        </w:tabs>
        <w:numPr>
          <w:ilvl w:val="1"/>
          <w:numId w:val="52"/>
        </w:numPr>
        <w:rPr>
          <w:rFonts w:ascii="Arial" w:cs="Arial" w:eastAsia="Arial" w:hAnsi="Arial"/>
          <w:sz w:val="18"/>
          <w:szCs w:val="18"/>
          <w:color w:val="auto"/>
        </w:rPr>
      </w:pPr>
      <w:r>
        <w:rPr>
          <w:rFonts w:ascii="Arial" w:cs="Arial" w:eastAsia="Arial" w:hAnsi="Arial"/>
          <w:sz w:val="18"/>
          <w:szCs w:val="18"/>
          <w:color w:val="auto"/>
        </w:rPr>
        <w:t>Upon or shortly following commencement of Consultant’s Services to the Company, and subject to the approval of the Company’s Board of Directors, the Company shall issue to Consultant 350,000 shares of the Company’s common stock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par value $0.001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shall be subject to the terms and conditions of the Plan and a restricted stock award agreement between the Company and Consultant.</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Shares subject to the Restricted Stock Award shall vest upon the earliest of:</w:t>
      </w:r>
    </w:p>
    <w:p>
      <w:pPr>
        <w:spacing w:after="0" w:line="225" w:lineRule="exact"/>
        <w:rPr>
          <w:rFonts w:ascii="Arial" w:cs="Arial" w:eastAsia="Arial" w:hAnsi="Arial"/>
          <w:sz w:val="18"/>
          <w:szCs w:val="18"/>
          <w:color w:val="auto"/>
        </w:rPr>
      </w:pPr>
    </w:p>
    <w:p>
      <w:pPr>
        <w:ind w:left="2600" w:hanging="324"/>
        <w:spacing w:after="0"/>
        <w:tabs>
          <w:tab w:leader="none" w:pos="26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2600" w:hanging="324"/>
        <w:spacing w:after="0" w:line="277" w:lineRule="auto"/>
        <w:tabs>
          <w:tab w:leader="none" w:pos="26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Common Stock, pursuant to which the Common Stock is priced for initial public offering; or</w:t>
      </w:r>
    </w:p>
    <w:p>
      <w:pPr>
        <w:spacing w:after="0" w:line="170" w:lineRule="exact"/>
        <w:rPr>
          <w:rFonts w:ascii="Arial" w:cs="Arial" w:eastAsia="Arial" w:hAnsi="Arial"/>
          <w:sz w:val="18"/>
          <w:szCs w:val="18"/>
          <w:color w:val="auto"/>
        </w:rPr>
      </w:pPr>
    </w:p>
    <w:p>
      <w:pPr>
        <w:ind w:left="2600" w:hanging="324"/>
        <w:spacing w:after="0" w:line="277" w:lineRule="auto"/>
        <w:tabs>
          <w:tab w:leader="none" w:pos="26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date of closing of a bona-fide equity financing with third party investors resulting in cash gross proceeds to the Company of at least $10,000,000 (the “</w:t>
      </w:r>
      <w:r>
        <w:rPr>
          <w:rFonts w:ascii="Arial" w:cs="Arial" w:eastAsia="Arial" w:hAnsi="Arial"/>
          <w:sz w:val="18"/>
          <w:szCs w:val="18"/>
          <w:b w:val="1"/>
          <w:bCs w:val="1"/>
          <w:i w:val="1"/>
          <w:iCs w:val="1"/>
          <w:color w:val="auto"/>
        </w:rPr>
        <w:t>Qualified Financing</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in any case of (1), (2) and (3), (each a “</w:t>
      </w:r>
      <w:r>
        <w:rPr>
          <w:rFonts w:ascii="Arial" w:cs="Arial" w:eastAsia="Arial" w:hAnsi="Arial"/>
          <w:sz w:val="18"/>
          <w:szCs w:val="18"/>
          <w:b w:val="1"/>
          <w:bCs w:val="1"/>
          <w:i w:val="1"/>
          <w:iCs w:val="1"/>
          <w:color w:val="auto"/>
        </w:rPr>
        <w:t>Vesting Event</w:t>
      </w:r>
      <w:r>
        <w:rPr>
          <w:rFonts w:ascii="Arial" w:cs="Arial" w:eastAsia="Arial" w:hAnsi="Arial"/>
          <w:sz w:val="18"/>
          <w:szCs w:val="18"/>
          <w:color w:val="auto"/>
        </w:rPr>
        <w:t>”), subject to Consultant’s continuous status as a Service Provider (as defined in the Plan) through the date of such Vesting Event; provided, however, in the event Consultant’s continuous status as a Service Provider is terminated by the Company (other than for Cause or by the Consultant (as defined in the Plan)) prior to the completion of the Term (as defined in this Agreement), the Shares shall vest immediately upon such termination.</w:t>
      </w:r>
    </w:p>
    <w:p>
      <w:pPr>
        <w:spacing w:after="0" w:line="18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C. All payments and benefits provided for under this Agreement are intended to be exempt from or otherwise comply with the requirements of Section 409A of the Internal Revenue Code of 1986, as amended, and the regulations and guidance thereunder (together,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reimburse Consultant for any taxes that may be imposed on Consultant as a result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w w:val="92"/>
              </w:rPr>
              <w:t xml:space="preserve">This </w:t>
            </w:r>
            <w:r>
              <w:rPr>
                <w:rFonts w:ascii="Arial" w:cs="Arial" w:eastAsia="Arial" w:hAnsi="Arial"/>
                <w:sz w:val="18"/>
                <w:szCs w:val="18"/>
                <w:b w:val="1"/>
                <w:bCs w:val="1"/>
                <w:color w:val="auto"/>
                <w:w w:val="92"/>
              </w:rPr>
              <w:t>Exhibit A</w:t>
            </w:r>
            <w:r>
              <w:rPr>
                <w:rFonts w:ascii="Arial" w:cs="Arial" w:eastAsia="Arial" w:hAnsi="Arial"/>
                <w:sz w:val="18"/>
                <w:szCs w:val="18"/>
                <w:color w:val="auto"/>
                <w:w w:val="92"/>
              </w:rPr>
              <w:t xml:space="preserve"> is accepted and agreed upon as of July 1, 2020.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1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VISIONOLOGY, INC.</w:t>
            </w: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Boll</w:t>
            </w:r>
          </w:p>
        </w:tc>
        <w:tc>
          <w:tcPr>
            <w:tcW w:w="16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i w:val="1"/>
                <w:iCs w:val="1"/>
                <w:color w:val="auto"/>
              </w:rPr>
              <w:t>/s/ Mark Baum</w:t>
            </w:r>
          </w:p>
        </w:tc>
      </w:tr>
      <w:tr>
        <w:trPr>
          <w:trHeight w:val="22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Andrew Boll</w:t>
            </w: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Pr>
          <w:p>
            <w:pPr>
              <w:ind w:left="22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Mark Baum</w:t>
            </w:r>
          </w:p>
        </w:tc>
      </w:tr>
      <w:tr>
        <w:trPr>
          <w:trHeight w:val="223"/>
        </w:trPr>
        <w:tc>
          <w:tcPr>
            <w:tcW w:w="5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22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39"/>
        </w:trPr>
        <w:tc>
          <w:tcPr>
            <w:tcW w:w="5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10.60</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12264 El Camino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-121920</wp:posOffset>
            </wp:positionV>
            <wp:extent cx="17145" cy="8229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3">
                      <a:extLst>
                        <a:ext uri="{28A0092B-C50C-407E-A947-70E740481C1C}"/>
                      </a:extLst>
                    </a:blip>
                    <a:srcRect/>
                    <a:stretch>
                      <a:fillRect/>
                    </a:stretch>
                  </pic:blipFill>
                  <pic:spPr bwMode="auto">
                    <a:xfrm>
                      <a:off x="0" y="0"/>
                      <a:ext cx="17145" cy="82296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057400" cy="4629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4">
                      <a:extLst>
                        <a:ext uri="{28A0092B-C50C-407E-A947-70E740481C1C}"/>
                      </a:extLst>
                    </a:blip>
                    <a:srcRect/>
                    <a:stretch>
                      <a:fillRect/>
                    </a:stretch>
                  </pic:blipFill>
                  <pic:spPr bwMode="auto">
                    <a:xfrm>
                      <a:off x="0" y="0"/>
                      <a:ext cx="2057400" cy="4629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Main: 844.446.6979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858.345.1745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www.imprimisrx.com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November 12,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EyePoint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480 Pleasant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B300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 02472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Nancy Lurker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nlurker@eyepointpharma.com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Amendment One to the Commercial Alliance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Ms. Lurker:</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EyePoint Pharmaceuticals, Inc. (“</w:t>
      </w:r>
      <w:r>
        <w:rPr>
          <w:rFonts w:ascii="Arial" w:cs="Arial" w:eastAsia="Arial" w:hAnsi="Arial"/>
          <w:sz w:val="18"/>
          <w:szCs w:val="18"/>
          <w:b w:val="1"/>
          <w:bCs w:val="1"/>
          <w:color w:val="auto"/>
        </w:rPr>
        <w:t>EyePoint</w:t>
      </w:r>
      <w:r>
        <w:rPr>
          <w:rFonts w:ascii="Arial" w:cs="Arial" w:eastAsia="Arial" w:hAnsi="Arial"/>
          <w:sz w:val="18"/>
          <w:szCs w:val="18"/>
          <w:color w:val="auto"/>
        </w:rPr>
        <w:t>”) and ImprimisRx, LLC (“</w:t>
      </w:r>
      <w:r>
        <w:rPr>
          <w:rFonts w:ascii="Arial" w:cs="Arial" w:eastAsia="Arial" w:hAnsi="Arial"/>
          <w:sz w:val="18"/>
          <w:szCs w:val="18"/>
          <w:b w:val="1"/>
          <w:bCs w:val="1"/>
          <w:color w:val="auto"/>
        </w:rPr>
        <w:t>Imprimis</w:t>
      </w:r>
      <w:r>
        <w:rPr>
          <w:rFonts w:ascii="Arial" w:cs="Arial" w:eastAsia="Arial" w:hAnsi="Arial"/>
          <w:sz w:val="18"/>
          <w:szCs w:val="18"/>
          <w:color w:val="auto"/>
        </w:rPr>
        <w:t>”) have entered into a Commercial Alliance Agreement effective as of August 1, 2020 (the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used but not defined in this letter have their respective meanings set forth in the Agreement. All changes to the Agreement described below shall be effective as of October 1, 2020. For good and valuable consideration, the sufficiency of which is hereby acknowledged, the Parties hereby agree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to the Agreement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to the contrary in the Agreement, the terms of this letter describe (a) the distinction between Customers and EyePoint Accounts,</w:t>
      </w:r>
    </w:p>
    <w:p>
      <w:pPr>
        <w:spacing w:after="0" w:line="46" w:lineRule="exact"/>
        <w:rPr>
          <w:sz w:val="20"/>
          <w:szCs w:val="20"/>
          <w:color w:val="auto"/>
        </w:rPr>
      </w:pPr>
    </w:p>
    <w:p>
      <w:pPr>
        <w:ind w:firstLine="8"/>
        <w:spacing w:after="0" w:line="260" w:lineRule="auto"/>
        <w:tabs>
          <w:tab w:leader="none" w:pos="2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Baseline Period and (c) certain definitions and provisions related to the term of the Agreement and the timing of Imprimis’ obligations and minimum sales.</w:t>
      </w:r>
    </w:p>
    <w:p>
      <w:pPr>
        <w:spacing w:after="0" w:line="185" w:lineRule="exact"/>
        <w:rPr>
          <w:sz w:val="20"/>
          <w:szCs w:val="20"/>
          <w:color w:val="auto"/>
        </w:rPr>
      </w:pPr>
    </w:p>
    <w:p>
      <w:pPr>
        <w:ind w:left="660" w:right="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Group A Customers, Group B Customers, and Group 2 (Exhibit D) are Customers under the Agreement. Section 1.1.11 is thus amended and replaced with the following:</w:t>
      </w:r>
    </w:p>
    <w:p>
      <w:pPr>
        <w:spacing w:after="0" w:line="170"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Customers</w:t>
      </w:r>
      <w:r>
        <w:rPr>
          <w:rFonts w:ascii="Arial" w:cs="Arial" w:eastAsia="Arial" w:hAnsi="Arial"/>
          <w:sz w:val="18"/>
          <w:szCs w:val="18"/>
          <w:i w:val="1"/>
          <w:iCs w:val="1"/>
          <w:color w:val="auto"/>
        </w:rPr>
        <w:t>” means, collectively, (a) the Group A Customers, (b) the Group B Customers, (c) Group 2 (Referred to in Exhibit D and specifically in Exhibit F to this Amendment One to the Commercial Alliance Agreement) and (c) if added to this Agreement pursuant to Section 3.4, any other such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1351280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125730</wp:posOffset>
            </wp:positionV>
            <wp:extent cx="1714500" cy="9512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6">
                      <a:extLst>
                        <a:ext uri="{28A0092B-C50C-407E-A947-70E740481C1C}"/>
                      </a:extLst>
                    </a:blip>
                    <a:srcRect/>
                    <a:stretch>
                      <a:fillRect/>
                    </a:stretch>
                  </pic:blipFill>
                  <pic:spPr bwMode="auto">
                    <a:xfrm>
                      <a:off x="0" y="0"/>
                      <a:ext cx="1714500" cy="95123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8" w:name="page119"/>
    <w:bookmarkEnd w:id="118"/>
    <w:p>
      <w:pPr>
        <w:jc w:val="both"/>
        <w:ind w:left="660" w:hanging="328"/>
        <w:spacing w:after="0" w:line="25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As mutually agreed by the Parties, EyePoint has identified certain customer accounts to be EyePoint growth accounts that are not and will not be “Customers” under the Agreement and for which Imprimis will receive no Remittance Amount unless otherwise agreed by the Parties in writing. These accounts consist fifty-one (51) Imprimis customers for products other than for steroid products for injectable administration and one hundred twelve (112) accounts that are not currently purchasing any products from Imprimis (collectively, “EyePoint Accounts”). The EyePoint Accounts are set forth on </w:t>
      </w:r>
      <w:r>
        <w:rPr>
          <w:rFonts w:ascii="Arial" w:cs="Arial" w:eastAsia="Arial" w:hAnsi="Arial"/>
          <w:sz w:val="18"/>
          <w:szCs w:val="18"/>
          <w:i w:val="1"/>
          <w:iCs w:val="1"/>
          <w:color w:val="auto"/>
        </w:rPr>
        <w:t>Exhibit E</w:t>
      </w:r>
      <w:r>
        <w:rPr>
          <w:rFonts w:ascii="Arial" w:cs="Arial" w:eastAsia="Arial" w:hAnsi="Arial"/>
          <w:sz w:val="18"/>
          <w:szCs w:val="18"/>
          <w:color w:val="auto"/>
        </w:rPr>
        <w:t xml:space="preserve"> attached to this Amendment One to the Commercial Alliance Agreement. For purposes of clarity and the avoidance of doubt, if a surgeon uses a Product that was purchased by an Exhibit E EyePoint Account, the Remittance Percentage for such Product shall be zero.</w:t>
      </w:r>
    </w:p>
    <w:p>
      <w:pPr>
        <w:spacing w:after="0" w:line="19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Imprimis customer that is not a Customer and is not using Product purchased by an EyePoint Account (i) may be added as a Customer to the Agreement pursuant to Section 3.4 (in the event of a bona fide inquiry received by Imprimis for sale of a Product from a Third Party that is not an existing Customer or an EyePoint Account) or, in all other cases, (ii) may be added either as a Customer or as an EyePoint Account, as shall be determined in good faith by the Commercialization Committee.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Parties agree to simplify the calculation for the “Baseline Period.” Accordingly, Section 1.1.3 is amended and replaced with the following:</w:t>
      </w:r>
    </w:p>
    <w:p>
      <w:pPr>
        <w:spacing w:after="0" w:line="236"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Baseline Period</w:t>
      </w:r>
      <w:r>
        <w:rPr>
          <w:rFonts w:ascii="Arial" w:cs="Arial" w:eastAsia="Arial" w:hAnsi="Arial"/>
          <w:sz w:val="18"/>
          <w:szCs w:val="18"/>
          <w:color w:val="auto"/>
        </w:rPr>
        <w:t>” means (a) with respect to the Group A Customers, the Group B Customers and the Group C Customers, the non-consecutive [***] period consisting of [***], and (b) with respect to any other Customer, such [***]period as determined by the Commercialization Committee pursuant to Section 7.1.2.</w:t>
      </w:r>
    </w:p>
    <w:p>
      <w:pPr>
        <w:spacing w:after="0" w:line="18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Imprimis achieves bona fide Customer orders (i.e., Customer Demand in excess of Baseline Demand) for [***] or more units of Product in the aggregate from the Effective Date through [***] (the “[***] Threshold”), then three months shall be added to the first Minimum Year. If the [***] Threshold is achieved, the definition of “Minimum Year” shall be amended to read as follows: “(a) the first [***] period of the Term and (b) beginning the first day of the calendar quarter immediately after such period, each successive one-year period thereafter during the Term.” Otherwise, regardless of whether the [***] Threshold may be achieved, the definition of “Minimum Year” is hereby amended to read as follows: “(a) the [***] period of the Term and (b) beginning the first day of the calendar quarter immediately after such period, each successive one-year period thereafter during the Term.”</w:t>
      </w:r>
    </w:p>
    <w:p>
      <w:pPr>
        <w:spacing w:after="0" w:line="19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Three months is added to the end of the Term. The Term commenced on the Effective Date (August 1, 2020) and now expires on November 1, 2025. Section 13.1 is amended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Terms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understands that EyePoint may need to hire additional employees to ramp up production and sales of the Product. Imprimis also understands that in order to support the growth of Imprimis’ sales of the Product, Imprimis will likely need to hire additional employees, including employees focused on reimbursement matters and Customer training. Subject to the Parties’ mutual written agreement, Imprimis will cover all or a substantial portion of these costs and will discuss the details in the Commercialization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9" w:name="page120"/>
    <w:bookmarkEnd w:id="119"/>
    <w:p>
      <w:pPr>
        <w:jc w:val="both"/>
        <w:spacing w:after="0" w:line="277" w:lineRule="auto"/>
        <w:rPr>
          <w:sz w:val="20"/>
          <w:szCs w:val="20"/>
          <w:color w:val="auto"/>
        </w:rPr>
      </w:pPr>
      <w:r>
        <w:rPr>
          <w:rFonts w:ascii="Arial" w:cs="Arial" w:eastAsia="Arial" w:hAnsi="Arial"/>
          <w:sz w:val="18"/>
          <w:szCs w:val="18"/>
          <w:color w:val="auto"/>
        </w:rPr>
        <w:t>With respect to Group 2 (Exhibit D), the Parties agree that these are “overlap accounts” and that they shall collaboratively work to determine sales tactics to sell Products to these accounts.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understands that EyePoint makes samples and training units of the Product available to Customers. Imprimis agrees that EyePoint will have the right to deduct from the Remittance Amount an amount equal to EyePoint’s cost (from its CMO and estimated to be [***] per unit) for samples and training units of Product made available to Customers of Imprimis during each calendar quarter. Any deductions for samples will not be included in the calculation of Net Sales and Net Selling Price associated with the Product.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will engage in good faith discussions regarding EyePoint selling Imprimis products. This may include a commission rate on those sales or a credit back to EyePoint based on Dexycu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letter will be governed by and construed under and in accordance with the laws of the State of Delaware, without regard to the conflicts of laws principles thereof.</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foregoing is acceptable to you, please sign and return one fully-executed copy of this letter to us at your earliest convenience, which shall evidence your acknowledgement and acceptance thereto. This letter may be executed in counterparts, each of which shall be deemed to be an original and together shall be deemed to be one and the same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0" w:name="page121"/>
    <w:bookmarkEnd w:id="120"/>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ImprimisRx,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i w:val="1"/>
          <w:iCs w:val="1"/>
          <w:color w:val="auto"/>
        </w:rPr>
        <w:t>/s/ 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36830</wp:posOffset>
            </wp:positionV>
            <wp:extent cx="32061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EyePoint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Nancy 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 Nancy 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32061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32061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32061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7340" w:type="dxa"/>
            <w:vAlign w:val="bottom"/>
            <w:gridSpan w:val="3"/>
          </w:tcPr>
          <w:p>
            <w:pPr>
              <w:jc w:val="center"/>
              <w:ind w:right="3790"/>
              <w:spacing w:after="0"/>
              <w:rPr>
                <w:sz w:val="20"/>
                <w:szCs w:val="20"/>
                <w:color w:val="auto"/>
              </w:rPr>
            </w:pPr>
            <w:r>
              <w:rPr>
                <w:rFonts w:ascii="Arial" w:cs="Arial" w:eastAsia="Arial" w:hAnsi="Arial"/>
                <w:sz w:val="18"/>
                <w:szCs w:val="18"/>
                <w:b w:val="1"/>
                <w:bCs w:val="1"/>
                <w:color w:val="auto"/>
              </w:rPr>
              <w:t>HARROW HEALTH, INC. SUBSIDIARIES</w:t>
            </w:r>
          </w:p>
        </w:tc>
      </w:tr>
      <w:tr>
        <w:trPr>
          <w:trHeight w:val="230"/>
        </w:trPr>
        <w:tc>
          <w:tcPr>
            <w:tcW w:w="3900" w:type="dxa"/>
            <w:vAlign w:val="bottom"/>
          </w:tcPr>
          <w:p>
            <w:pPr>
              <w:spacing w:after="0"/>
              <w:rPr>
                <w:sz w:val="20"/>
                <w:szCs w:val="20"/>
                <w:color w:val="auto"/>
              </w:rPr>
            </w:pPr>
          </w:p>
        </w:tc>
        <w:tc>
          <w:tcPr>
            <w:tcW w:w="7340" w:type="dxa"/>
            <w:vAlign w:val="bottom"/>
            <w:gridSpan w:val="3"/>
          </w:tcPr>
          <w:p>
            <w:pPr>
              <w:jc w:val="center"/>
              <w:ind w:right="3810"/>
              <w:spacing w:after="0"/>
              <w:rPr>
                <w:sz w:val="20"/>
                <w:szCs w:val="20"/>
                <w:color w:val="auto"/>
              </w:rPr>
            </w:pPr>
            <w:r>
              <w:rPr>
                <w:rFonts w:ascii="Arial" w:cs="Arial" w:eastAsia="Arial" w:hAnsi="Arial"/>
                <w:sz w:val="18"/>
                <w:szCs w:val="18"/>
                <w:color w:val="auto"/>
                <w:w w:val="89"/>
              </w:rPr>
              <w:t>as of December 31, 2020</w:t>
            </w:r>
          </w:p>
        </w:tc>
      </w:tr>
      <w:tr>
        <w:trPr>
          <w:trHeight w:val="414"/>
        </w:trPr>
        <w:tc>
          <w:tcPr>
            <w:tcW w:w="3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7"/>
              </w:rPr>
              <w:t>State of</w:t>
            </w:r>
          </w:p>
        </w:tc>
      </w:tr>
      <w:tr>
        <w:trPr>
          <w:trHeight w:val="216"/>
        </w:trPr>
        <w:tc>
          <w:tcPr>
            <w:tcW w:w="3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Incorporation or</w:t>
            </w:r>
          </w:p>
        </w:tc>
      </w:tr>
      <w:tr>
        <w:trPr>
          <w:trHeight w:val="24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1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15"/>
        </w:trPr>
        <w:tc>
          <w:tcPr>
            <w:tcW w:w="3900" w:type="dxa"/>
            <w:vAlign w:val="bottom"/>
          </w:tcPr>
          <w:p>
            <w:pPr>
              <w:jc w:val="center"/>
              <w:ind w:left="1550"/>
              <w:spacing w:after="0"/>
              <w:rPr>
                <w:sz w:val="20"/>
                <w:szCs w:val="20"/>
                <w:color w:val="auto"/>
              </w:rPr>
            </w:pPr>
            <w:r>
              <w:rPr>
                <w:rFonts w:ascii="Arial" w:cs="Arial" w:eastAsia="Arial" w:hAnsi="Arial"/>
                <w:sz w:val="18"/>
                <w:szCs w:val="18"/>
                <w:color w:val="auto"/>
                <w:w w:val="97"/>
              </w:rPr>
              <w:t>ImprimisRx,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5"/>
              </w:rPr>
              <w:t>Imprimis NJOF, LLC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29"/>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7"/>
              </w:rPr>
              <w:t>ImprimisRx NJ, LLC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29"/>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Park Compounding, Inc.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30"/>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Harrow IP, LLC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2"/>
              </w:rPr>
              <w:t>Eton Pharma Equity, LLC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Surface Pharma Equity, LLC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3"/>
              </w:rPr>
              <w:t>Melt Pharma Equity, LLC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2"/>
              </w:rPr>
              <w:t>Stowe Pharma Equity, LLC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Mayfield Pharma Equity, LLC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3900" w:type="dxa"/>
            <w:vAlign w:val="bottom"/>
          </w:tcPr>
          <w:p>
            <w:pPr>
              <w:jc w:val="center"/>
              <w:ind w:left="1550"/>
              <w:spacing w:after="0"/>
              <w:rPr>
                <w:sz w:val="20"/>
                <w:szCs w:val="20"/>
                <w:color w:val="auto"/>
              </w:rPr>
            </w:pPr>
            <w:r>
              <w:rPr>
                <w:rFonts w:ascii="Arial" w:cs="Arial" w:eastAsia="Arial" w:hAnsi="Arial"/>
                <w:sz w:val="18"/>
                <w:szCs w:val="18"/>
                <w:color w:val="auto"/>
                <w:w w:val="95"/>
              </w:rPr>
              <w:t>Visionology Equity, LLC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89"/>
              </w:rPr>
              <w:t>Stowe Pharmaceuticals, Inc.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3900" w:type="dxa"/>
            <w:vAlign w:val="bottom"/>
          </w:tcPr>
          <w:p>
            <w:pPr>
              <w:jc w:val="center"/>
              <w:ind w:left="1550"/>
              <w:spacing w:after="0"/>
              <w:rPr>
                <w:sz w:val="20"/>
                <w:szCs w:val="20"/>
                <w:color w:val="auto"/>
              </w:rPr>
            </w:pPr>
            <w:r>
              <w:rPr>
                <w:rFonts w:ascii="Arial" w:cs="Arial" w:eastAsia="Arial" w:hAnsi="Arial"/>
                <w:sz w:val="18"/>
                <w:szCs w:val="18"/>
                <w:color w:val="auto"/>
                <w:w w:val="90"/>
              </w:rPr>
              <w:t>Radley Pharmaceuticals, Inc.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Mayfield Pharmaceuticals, Inc.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Visionology, Inc.</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Visionology MSO, Inc.</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53"/>
        </w:trPr>
        <w:tc>
          <w:tcPr>
            <w:tcW w:w="39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22" w:name="page123"/>
    <w:bookmarkEnd w:id="122"/>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Registration Statement Nos. 333-159159, 333-183488, 333-198674 and 333-220186 on Form S-8 and Registration Statement Nos. 333-215672 and 333-239669 on Form S-3 of our report dated March 8, 2021, relating to the consolidated financial statements of Harrow Health, Inc. and subsidiaries, appearing in this Annual Report on Form 10-K of Harrow Health, Inc.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33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2020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2020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 Mark L. Baum, Chief Executive Officer of Harrow Health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firstLine="449"/>
        <w:spacing w:after="0" w:line="277" w:lineRule="auto"/>
        <w:tabs>
          <w:tab w:leader="none" w:pos="7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2020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420" w:firstLine="449"/>
        <w:spacing w:after="0" w:line="508" w:lineRule="auto"/>
        <w:tabs>
          <w:tab w:leader="none" w:pos="6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Date: March 8,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Andrew R. Boll, Chief Financial Officer of Harrow Health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firstLine="449"/>
        <w:spacing w:after="0" w:line="277" w:lineRule="auto"/>
        <w:tabs>
          <w:tab w:leader="none" w:pos="7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2020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420" w:firstLine="449"/>
        <w:spacing w:after="0" w:line="500" w:lineRule="auto"/>
        <w:tabs>
          <w:tab w:leader="none" w:pos="6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Date: March 8,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Roman"/>
      <w:start w:val="2"/>
    </w:lvl>
  </w:abstractNum>
  <w:abstractNum w:abstractNumId="3">
    <w:nsid w:val="737B8DDC"/>
    <w:multiLevelType w:val="hybridMultilevel"/>
    <w:lvl w:ilvl="0">
      <w:lvlJc w:val="left"/>
      <w:lvlText w:val="(%1)"/>
      <w:numFmt w:val="lowerRoman"/>
      <w:start w:val="4"/>
    </w:lvl>
  </w:abstractNum>
  <w:abstractNum w:abstractNumId="4">
    <w:nsid w:val="6CEAF087"/>
    <w:multiLevelType w:val="hybridMultilevel"/>
    <w:lvl w:ilvl="0">
      <w:lvlJc w:val="left"/>
      <w:lvlText w:val="%1."/>
      <w:numFmt w:val="decimal"/>
      <w:start w:val="483"/>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lowerLetter"/>
      <w:start w:val="1"/>
    </w:lvl>
    <w:lvl w:ilvl="1">
      <w:lvlJc w:val="left"/>
      <w:lvlText w:val="(%2)"/>
      <w:numFmt w:val="decimal"/>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2"/>
    </w:lvl>
    <w:lvl w:ilvl="1">
      <w:lvlJc w:val="left"/>
      <w:lvlText w:val="%2"/>
      <w:numFmt w:val="upperLetter"/>
      <w:start w:val="1"/>
    </w:lvl>
  </w:abstractNum>
  <w:abstractNum w:abstractNumId="33">
    <w:nsid w:val="542289EC"/>
    <w:multiLevelType w:val="hybridMultilevel"/>
    <w:lvl w:ilvl="0">
      <w:lvlJc w:val="left"/>
      <w:lvlText w:val="%1."/>
      <w:numFmt w:val="decimal"/>
      <w:start w:val="3"/>
    </w:lvl>
    <w:lvl w:ilvl="1">
      <w:lvlJc w:val="left"/>
      <w:lvlText w:val="%2."/>
      <w:numFmt w:val="upperLetter"/>
      <w:start w:val="1"/>
    </w:lvl>
  </w:abstractNum>
  <w:abstractNum w:abstractNumId="34">
    <w:nsid w:val="6DE91B18"/>
    <w:multiLevelType w:val="hybridMultilevel"/>
    <w:lvl w:ilvl="0">
      <w:lvlJc w:val="left"/>
      <w:lvlText w:val="%1."/>
      <w:numFmt w:val="decimal"/>
      <w:start w:val="4"/>
    </w:lvl>
    <w:lvl w:ilvl="1">
      <w:lvlJc w:val="left"/>
      <w:lvlText w:val="%2"/>
      <w:numFmt w:val="upperLetter"/>
      <w:start w:val="1"/>
    </w:lvl>
  </w:abstractNum>
  <w:abstractNum w:abstractNumId="35">
    <w:nsid w:val="38437FDB"/>
    <w:multiLevelType w:val="hybridMultilevel"/>
    <w:lvl w:ilvl="0">
      <w:lvlJc w:val="left"/>
      <w:lvlText w:val="%1"/>
      <w:numFmt w:val="lowerRoman"/>
      <w:start w:val="1"/>
    </w:lvl>
    <w:lvl w:ilvl="1">
      <w:lvlJc w:val="left"/>
      <w:lvlText w:val="%2."/>
      <w:numFmt w:val="decimal"/>
      <w:start w:val="6"/>
    </w:lvl>
    <w:lvl w:ilvl="2">
      <w:lvlJc w:val="left"/>
      <w:lvlText w:val="%3."/>
      <w:numFmt w:val="upperLetter"/>
      <w:start w:val="1"/>
    </w:lvl>
    <w:lvl w:ilvl="3">
      <w:lvlJc w:val="left"/>
      <w:lvlText w:val="%4"/>
      <w:numFmt w:val="decimal"/>
      <w:start w:val="1"/>
    </w:lvl>
  </w:abstractNum>
  <w:abstractNum w:abstractNumId="36">
    <w:nsid w:val="7644A45C"/>
    <w:multiLevelType w:val="hybridMultilevel"/>
    <w:lvl w:ilvl="0">
      <w:lvlJc w:val="left"/>
      <w:lvlText w:val="(%1)"/>
      <w:numFmt w:val="lowerRoman"/>
      <w:start w:val="3"/>
    </w:lvl>
    <w:lvl w:ilvl="1">
      <w:lvlJc w:val="left"/>
      <w:lvlText w:val="%2."/>
      <w:numFmt w:val="decimal"/>
      <w:start w:val="6"/>
    </w:lvl>
    <w:lvl w:ilvl="2">
      <w:lvlJc w:val="left"/>
      <w:lvlText w:val="%3."/>
      <w:numFmt w:val="upperLetter"/>
      <w:start w:val="2"/>
    </w:lvl>
    <w:lvl w:ilvl="3">
      <w:lvlJc w:val="left"/>
      <w:lvlText w:val="(%4)"/>
      <w:numFmt w:val="decimal"/>
      <w:start w:val="1"/>
    </w:lvl>
  </w:abstractNum>
  <w:abstractNum w:abstractNumId="37">
    <w:nsid w:val="32FFF902"/>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38">
    <w:nsid w:val="684A481A"/>
    <w:multiLevelType w:val="hybridMultilevel"/>
    <w:lvl w:ilvl="0">
      <w:lvlJc w:val="left"/>
      <w:lvlText w:val="%1."/>
      <w:numFmt w:val="decimal"/>
      <w:start w:val="12"/>
    </w:lvl>
    <w:lvl w:ilvl="1">
      <w:lvlJc w:val="left"/>
      <w:lvlText w:val="%2."/>
      <w:numFmt w:val="upperLetter"/>
      <w:start w:val="1"/>
    </w:lvl>
  </w:abstractNum>
  <w:abstractNum w:abstractNumId="39">
    <w:nsid w:val="579478FE"/>
    <w:multiLevelType w:val="hybridMultilevel"/>
    <w:lvl w:ilvl="0">
      <w:lvlJc w:val="left"/>
      <w:lvlText w:val="%1"/>
      <w:numFmt w:val="upperLetter"/>
      <w:start w:val="1"/>
    </w:lvl>
    <w:lvl w:ilvl="1">
      <w:lvlJc w:val="left"/>
      <w:lvlText w:val="(%2)"/>
      <w:numFmt w:val="decimal"/>
      <w:start w:val="2"/>
    </w:lvl>
  </w:abstractNum>
  <w:abstractNum w:abstractNumId="40">
    <w:nsid w:val="749ABB43"/>
    <w:multiLevelType w:val="hybridMultilevel"/>
    <w:lvl w:ilvl="0">
      <w:lvlJc w:val="left"/>
      <w:lvlText w:val="%1."/>
      <w:numFmt w:val="upperLetter"/>
      <w:start w:val="8"/>
    </w:lvl>
    <w:lvl w:ilvl="1">
      <w:lvlJc w:val="left"/>
      <w:lvlText w:val="%2"/>
      <w:numFmt w:val="decimal"/>
      <w:start w:val="1"/>
    </w:lvl>
  </w:abstractNum>
  <w:abstractNum w:abstractNumId="41">
    <w:nsid w:val="3DC240FB"/>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42">
    <w:nsid w:val="1BA026FA"/>
    <w:multiLevelType w:val="hybridMultilevel"/>
    <w:lvl w:ilvl="0">
      <w:lvlJc w:val="left"/>
      <w:lvlText w:val="%1."/>
      <w:numFmt w:val="decimal"/>
      <w:start w:val="2"/>
    </w:lvl>
    <w:lvl w:ilvl="1">
      <w:lvlJc w:val="left"/>
      <w:lvlText w:val="%2"/>
      <w:numFmt w:val="upperLetter"/>
      <w:start w:val="1"/>
    </w:lvl>
  </w:abstractNum>
  <w:abstractNum w:abstractNumId="43">
    <w:nsid w:val="79A1DEAA"/>
    <w:multiLevelType w:val="hybridMultilevel"/>
    <w:lvl w:ilvl="0">
      <w:lvlJc w:val="left"/>
      <w:lvlText w:val="%1."/>
      <w:numFmt w:val="decimal"/>
      <w:start w:val="3"/>
    </w:lvl>
    <w:lvl w:ilvl="1">
      <w:lvlJc w:val="left"/>
      <w:lvlText w:val="%2."/>
      <w:numFmt w:val="upperLetter"/>
      <w:start w:val="1"/>
    </w:lvl>
  </w:abstractNum>
  <w:abstractNum w:abstractNumId="44">
    <w:nsid w:val="75C6C33A"/>
    <w:multiLevelType w:val="hybridMultilevel"/>
    <w:lvl w:ilvl="0">
      <w:lvlJc w:val="left"/>
      <w:lvlText w:val="%1."/>
      <w:numFmt w:val="decimal"/>
      <w:start w:val="4"/>
    </w:lvl>
    <w:lvl w:ilvl="1">
      <w:lvlJc w:val="left"/>
      <w:lvlText w:val="%2"/>
      <w:numFmt w:val="upperLetter"/>
      <w:start w:val="1"/>
    </w:lvl>
  </w:abstractNum>
  <w:abstractNum w:abstractNumId="45">
    <w:nsid w:val="12E685FB"/>
    <w:multiLevelType w:val="hybridMultilevel"/>
    <w:lvl w:ilvl="0">
      <w:lvlJc w:val="left"/>
      <w:lvlText w:val="%1"/>
      <w:numFmt w:val="lowerRoman"/>
      <w:start w:val="1"/>
    </w:lvl>
    <w:lvl w:ilvl="1">
      <w:lvlJc w:val="left"/>
      <w:lvlText w:val="%2."/>
      <w:numFmt w:val="decimal"/>
      <w:start w:val="6"/>
    </w:lvl>
    <w:lvl w:ilvl="2">
      <w:lvlJc w:val="left"/>
      <w:lvlText w:val="%3."/>
      <w:numFmt w:val="upperLetter"/>
      <w:start w:val="1"/>
    </w:lvl>
    <w:lvl w:ilvl="3">
      <w:lvlJc w:val="left"/>
      <w:lvlText w:val="%4"/>
      <w:numFmt w:val="decimal"/>
      <w:start w:val="1"/>
    </w:lvl>
  </w:abstractNum>
  <w:abstractNum w:abstractNumId="46">
    <w:nsid w:val="70C6A529"/>
    <w:multiLevelType w:val="hybridMultilevel"/>
    <w:lvl w:ilvl="0">
      <w:lvlJc w:val="left"/>
      <w:lvlText w:val="(%1)"/>
      <w:numFmt w:val="lowerRoman"/>
      <w:start w:val="3"/>
    </w:lvl>
    <w:lvl w:ilvl="1">
      <w:lvlJc w:val="left"/>
      <w:lvlText w:val="%2."/>
      <w:numFmt w:val="decimal"/>
      <w:start w:val="6"/>
    </w:lvl>
    <w:lvl w:ilvl="2">
      <w:lvlJc w:val="left"/>
      <w:lvlText w:val="%3."/>
      <w:numFmt w:val="upperLetter"/>
      <w:start w:val="2"/>
    </w:lvl>
    <w:lvl w:ilvl="3">
      <w:lvlJc w:val="left"/>
      <w:lvlText w:val="(%4)"/>
      <w:numFmt w:val="decimal"/>
      <w:start w:val="1"/>
    </w:lvl>
  </w:abstractNum>
  <w:abstractNum w:abstractNumId="47">
    <w:nsid w:val="520EEDD1"/>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48">
    <w:nsid w:val="374A3FE6"/>
    <w:multiLevelType w:val="hybridMultilevel"/>
    <w:lvl w:ilvl="0">
      <w:lvlJc w:val="left"/>
      <w:lvlText w:val="%1."/>
      <w:numFmt w:val="decimal"/>
      <w:start w:val="12"/>
    </w:lvl>
    <w:lvl w:ilvl="1">
      <w:lvlJc w:val="left"/>
      <w:lvlText w:val="%2."/>
      <w:numFmt w:val="upperLetter"/>
      <w:start w:val="1"/>
    </w:lvl>
  </w:abstractNum>
  <w:abstractNum w:abstractNumId="49">
    <w:nsid w:val="4F4EF005"/>
    <w:multiLevelType w:val="hybridMultilevel"/>
    <w:lvl w:ilvl="0">
      <w:lvlJc w:val="left"/>
      <w:lvlText w:val="%1"/>
      <w:numFmt w:val="upperLetter"/>
      <w:start w:val="1"/>
    </w:lvl>
    <w:lvl w:ilvl="1">
      <w:lvlJc w:val="left"/>
      <w:lvlText w:val="(%2)"/>
      <w:numFmt w:val="decimal"/>
      <w:start w:val="2"/>
    </w:lvl>
  </w:abstractNum>
  <w:abstractNum w:abstractNumId="50">
    <w:nsid w:val="23F9C13C"/>
    <w:multiLevelType w:val="hybridMultilevel"/>
    <w:lvl w:ilvl="0">
      <w:lvlJc w:val="left"/>
      <w:lvlText w:val="%1."/>
      <w:numFmt w:val="upperLetter"/>
      <w:start w:val="8"/>
    </w:lvl>
    <w:lvl w:ilvl="1">
      <w:lvlJc w:val="left"/>
      <w:lvlText w:val="%2"/>
      <w:numFmt w:val="decimal"/>
      <w:start w:val="1"/>
    </w:lvl>
  </w:abstractNum>
  <w:abstractNum w:abstractNumId="51">
    <w:nsid w:val="649BB77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52">
    <w:nsid w:val="275AC794"/>
    <w:multiLevelType w:val="hybridMultilevel"/>
    <w:lvl w:ilvl="0">
      <w:lvlJc w:val="left"/>
      <w:lvlText w:val="(%1)"/>
      <w:numFmt w:val="lowerLetter"/>
      <w:start w:val="2"/>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lvl w:ilvl="1">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7" Type="http://schemas.openxmlformats.org/officeDocument/2006/relationships/image" Target="media/image59.png"/><Relationship Id="rId96" Type="http://schemas.openxmlformats.org/officeDocument/2006/relationships/image" Target="media/image60.png"/><Relationship Id="rId115" Type="http://schemas.openxmlformats.org/officeDocument/2006/relationships/image" Target="media/image61.png"/><Relationship Id="rId132" Type="http://schemas.openxmlformats.org/officeDocument/2006/relationships/image" Target="media/image62.png"/><Relationship Id="rId133" Type="http://schemas.openxmlformats.org/officeDocument/2006/relationships/image" Target="media/image63.png"/><Relationship Id="rId134" Type="http://schemas.openxmlformats.org/officeDocument/2006/relationships/image" Target="media/image64.png"/><Relationship Id="rId135" Type="http://schemas.openxmlformats.org/officeDocument/2006/relationships/image" Target="media/image65.png"/><Relationship Id="rId136" Type="http://schemas.openxmlformats.org/officeDocument/2006/relationships/image" Target="media/image66.png"/><Relationship Id="rId137" Type="http://schemas.openxmlformats.org/officeDocument/2006/relationships/image" Target="media/image67.png"/><Relationship Id="rId138" Type="http://schemas.openxmlformats.org/officeDocument/2006/relationships/image" Target="media/image68.png"/><Relationship Id="rId139" Type="http://schemas.openxmlformats.org/officeDocument/2006/relationships/image" Target="media/image69.png"/><Relationship Id="rId140" Type="http://schemas.openxmlformats.org/officeDocument/2006/relationships/image" Target="media/image70.png"/><Relationship Id="rId141" Type="http://schemas.openxmlformats.org/officeDocument/2006/relationships/image" Target="media/image71.png"/><Relationship Id="rId142" Type="http://schemas.openxmlformats.org/officeDocument/2006/relationships/image" Target="media/image72.png"/><Relationship Id="rId143" Type="http://schemas.openxmlformats.org/officeDocument/2006/relationships/image" Target="media/image73.png"/><Relationship Id="rId144" Type="http://schemas.openxmlformats.org/officeDocument/2006/relationships/image" Target="media/image74.png"/><Relationship Id="rId145" Type="http://schemas.openxmlformats.org/officeDocument/2006/relationships/image" Target="media/image75.png"/><Relationship Id="rId146" Type="http://schemas.openxmlformats.org/officeDocument/2006/relationships/image" Target="media/image76.png"/><Relationship Id="rId147" Type="http://schemas.openxmlformats.org/officeDocument/2006/relationships/image" Target="media/image77.png"/><Relationship Id="rId148" Type="http://schemas.openxmlformats.org/officeDocument/2006/relationships/image" Target="media/image78.png"/><Relationship Id="rId149" Type="http://schemas.openxmlformats.org/officeDocument/2006/relationships/image" Target="media/image79.png"/><Relationship Id="rId150" Type="http://schemas.openxmlformats.org/officeDocument/2006/relationships/image" Target="media/image80.png"/><Relationship Id="rId151" Type="http://schemas.openxmlformats.org/officeDocument/2006/relationships/image" Target="media/image81.png"/><Relationship Id="rId152" Type="http://schemas.openxmlformats.org/officeDocument/2006/relationships/image" Target="media/image82.png"/><Relationship Id="rId153" Type="http://schemas.openxmlformats.org/officeDocument/2006/relationships/image" Target="media/image83.png"/><Relationship Id="rId154" Type="http://schemas.openxmlformats.org/officeDocument/2006/relationships/image" Target="media/image84.png"/><Relationship Id="rId155" Type="http://schemas.openxmlformats.org/officeDocument/2006/relationships/image" Target="media/image85.png"/><Relationship Id="rId156" Type="http://schemas.openxmlformats.org/officeDocument/2006/relationships/image" Target="media/image86.png"/><Relationship Id="rId157" Type="http://schemas.openxmlformats.org/officeDocument/2006/relationships/image" Target="media/image87.png"/><Relationship Id="rId158" Type="http://schemas.openxmlformats.org/officeDocument/2006/relationships/image" Target="media/image88.png"/><Relationship Id="rId159" Type="http://schemas.openxmlformats.org/officeDocument/2006/relationships/image" Target="media/image89.png"/><Relationship Id="rId160" Type="http://schemas.openxmlformats.org/officeDocument/2006/relationships/image" Target="media/image90.png"/><Relationship Id="rId161" Type="http://schemas.openxmlformats.org/officeDocument/2006/relationships/image" Target="media/image91.png"/><Relationship Id="rId162" Type="http://schemas.openxmlformats.org/officeDocument/2006/relationships/image" Target="media/image92.png"/><Relationship Id="rId163" Type="http://schemas.openxmlformats.org/officeDocument/2006/relationships/image" Target="media/image93.png"/><Relationship Id="rId164" Type="http://schemas.openxmlformats.org/officeDocument/2006/relationships/image" Target="media/image94.png"/><Relationship Id="rId165" Type="http://schemas.openxmlformats.org/officeDocument/2006/relationships/image" Target="media/image95.png"/><Relationship Id="rId166" Type="http://schemas.openxmlformats.org/officeDocument/2006/relationships/image" Target="media/image96.png"/><Relationship Id="rId167" Type="http://schemas.openxmlformats.org/officeDocument/2006/relationships/image" Target="media/image97.png"/><Relationship Id="rId168" Type="http://schemas.openxmlformats.org/officeDocument/2006/relationships/image" Target="media/image98.png"/><Relationship Id="rId169" Type="http://schemas.openxmlformats.org/officeDocument/2006/relationships/image" Target="media/image99.png"/><Relationship Id="rId170" Type="http://schemas.openxmlformats.org/officeDocument/2006/relationships/image" Target="media/image100.png"/><Relationship Id="rId171" Type="http://schemas.openxmlformats.org/officeDocument/2006/relationships/image" Target="media/image101.png"/><Relationship Id="rId172" Type="http://schemas.openxmlformats.org/officeDocument/2006/relationships/image" Target="media/image102.png"/><Relationship Id="rId173" Type="http://schemas.openxmlformats.org/officeDocument/2006/relationships/image" Target="media/image103.png"/><Relationship Id="rId174" Type="http://schemas.openxmlformats.org/officeDocument/2006/relationships/image" Target="media/image104.png"/><Relationship Id="rId175" Type="http://schemas.openxmlformats.org/officeDocument/2006/relationships/image" Target="media/image105.png"/><Relationship Id="rId176" Type="http://schemas.openxmlformats.org/officeDocument/2006/relationships/image" Target="media/image106.png"/><Relationship Id="rId177" Type="http://schemas.openxmlformats.org/officeDocument/2006/relationships/image" Target="media/image107.png"/><Relationship Id="rId178" Type="http://schemas.openxmlformats.org/officeDocument/2006/relationships/image" Target="media/image108.png"/><Relationship Id="rId179" Type="http://schemas.openxmlformats.org/officeDocument/2006/relationships/image" Target="media/image109.png"/><Relationship Id="rId180" Type="http://schemas.openxmlformats.org/officeDocument/2006/relationships/image" Target="media/image110.png"/><Relationship Id="rId181" Type="http://schemas.openxmlformats.org/officeDocument/2006/relationships/image" Target="media/image111.png"/><Relationship Id="rId182" Type="http://schemas.openxmlformats.org/officeDocument/2006/relationships/image" Target="media/image112.png"/><Relationship Id="rId183" Type="http://schemas.openxmlformats.org/officeDocument/2006/relationships/image" Target="media/image113.png"/><Relationship Id="rId184" Type="http://schemas.openxmlformats.org/officeDocument/2006/relationships/image" Target="media/image114.png"/><Relationship Id="rId185" Type="http://schemas.openxmlformats.org/officeDocument/2006/relationships/image" Target="media/image115.png"/><Relationship Id="rId186" Type="http://schemas.openxmlformats.org/officeDocument/2006/relationships/image" Target="media/image116.png"/><Relationship Id="rId187" Type="http://schemas.openxmlformats.org/officeDocument/2006/relationships/image" Target="media/image117.png"/><Relationship Id="rId188" Type="http://schemas.openxmlformats.org/officeDocument/2006/relationships/image" Target="media/image118.png"/><Relationship Id="rId189" Type="http://schemas.openxmlformats.org/officeDocument/2006/relationships/image" Target="media/image119.png"/><Relationship Id="rId190" Type="http://schemas.openxmlformats.org/officeDocument/2006/relationships/image" Target="media/image120.png"/><Relationship Id="rId191" Type="http://schemas.openxmlformats.org/officeDocument/2006/relationships/image" Target="media/image121.png"/><Relationship Id="rId192" Type="http://schemas.openxmlformats.org/officeDocument/2006/relationships/image" Target="media/image122.png"/><Relationship Id="rId193" Type="http://schemas.openxmlformats.org/officeDocument/2006/relationships/image" Target="media/image123.png"/><Relationship Id="rId194" Type="http://schemas.openxmlformats.org/officeDocument/2006/relationships/image" Target="media/image124.png"/><Relationship Id="rId195" Type="http://schemas.openxmlformats.org/officeDocument/2006/relationships/image" Target="media/image125.png"/><Relationship Id="rId196" Type="http://schemas.openxmlformats.org/officeDocument/2006/relationships/image" Target="media/image126.png"/><Relationship Id="rId197" Type="http://schemas.openxmlformats.org/officeDocument/2006/relationships/image" Target="media/image127.png"/><Relationship Id="rId198" Type="http://schemas.openxmlformats.org/officeDocument/2006/relationships/image" Target="media/image128.png"/><Relationship Id="rId199" Type="http://schemas.openxmlformats.org/officeDocument/2006/relationships/image" Target="media/image129.png"/><Relationship Id="rId200" Type="http://schemas.openxmlformats.org/officeDocument/2006/relationships/image" Target="media/image130.png"/><Relationship Id="rId201" Type="http://schemas.openxmlformats.org/officeDocument/2006/relationships/image" Target="media/image131.png"/><Relationship Id="rId202" Type="http://schemas.openxmlformats.org/officeDocument/2006/relationships/image" Target="media/image132.png"/><Relationship Id="rId203" Type="http://schemas.openxmlformats.org/officeDocument/2006/relationships/image" Target="media/image133.png"/><Relationship Id="rId204" Type="http://schemas.openxmlformats.org/officeDocument/2006/relationships/image" Target="media/image134.jpeg"/><Relationship Id="rId205" Type="http://schemas.openxmlformats.org/officeDocument/2006/relationships/image" Target="media/image135.png"/><Relationship Id="rId206" Type="http://schemas.openxmlformats.org/officeDocument/2006/relationships/image" Target="media/image136.jpeg"/><Relationship Id="rId207" Type="http://schemas.openxmlformats.org/officeDocument/2006/relationships/image" Target="media/image137.png"/><Relationship Id="rId208" Type="http://schemas.openxmlformats.org/officeDocument/2006/relationships/image" Target="media/image138.png"/><Relationship Id="rId209" Type="http://schemas.openxmlformats.org/officeDocument/2006/relationships/image" Target="media/image139.png"/><Relationship Id="rId210" Type="http://schemas.openxmlformats.org/officeDocument/2006/relationships/image" Target="media/image140.png"/><Relationship Id="rId211" Type="http://schemas.openxmlformats.org/officeDocument/2006/relationships/image" Target="media/image141.png"/><Relationship Id="rId212" Type="http://schemas.openxmlformats.org/officeDocument/2006/relationships/image" Target="media/image142.png"/><Relationship Id="rId213" Type="http://schemas.openxmlformats.org/officeDocument/2006/relationships/image" Target="media/image143.png"/><Relationship Id="rId214" Type="http://schemas.openxmlformats.org/officeDocument/2006/relationships/image" Target="media/image144.png"/><Relationship Id="rId215" Type="http://schemas.openxmlformats.org/officeDocument/2006/relationships/image" Target="media/image145.png"/><Relationship Id="rId216" Type="http://schemas.openxmlformats.org/officeDocument/2006/relationships/image" Target="media/image146.png"/><Relationship Id="rId217" Type="http://schemas.openxmlformats.org/officeDocument/2006/relationships/image" Target="media/image147.png"/><Relationship Id="rId218" Type="http://schemas.openxmlformats.org/officeDocument/2006/relationships/image" Target="media/image148.png"/><Relationship Id="rId219" Type="http://schemas.openxmlformats.org/officeDocument/2006/relationships/image" Target="media/image149.png"/><Relationship Id="rId220" Type="http://schemas.openxmlformats.org/officeDocument/2006/relationships/image" Target="media/image150.png"/><Relationship Id="rId221" Type="http://schemas.openxmlformats.org/officeDocument/2006/relationships/image" Target="media/image151.png"/><Relationship Id="rId222" Type="http://schemas.openxmlformats.org/officeDocument/2006/relationships/image" Target="media/image152.png"/><Relationship Id="rId223" Type="http://schemas.openxmlformats.org/officeDocument/2006/relationships/image" Target="media/image153.png"/><Relationship Id="rId224" Type="http://schemas.openxmlformats.org/officeDocument/2006/relationships/image" Target="media/image154.png"/><Relationship Id="rId225" Type="http://schemas.openxmlformats.org/officeDocument/2006/relationships/image" Target="media/image155.png"/><Relationship Id="rId66" Type="http://schemas.openxmlformats.org/officeDocument/2006/relationships/hyperlink" Target="http://www.sec.gov/Archives/edgar/data/1360214/000114420407050619/v088205_ex2-1.htm" TargetMode="External"/><Relationship Id="rId67" Type="http://schemas.openxmlformats.org/officeDocument/2006/relationships/hyperlink" Target="http://www.sec.gov/Archives/edgar/data/1360214/000149315215000811/ex3-1.htm" TargetMode="External"/><Relationship Id="rId68" Type="http://schemas.openxmlformats.org/officeDocument/2006/relationships/hyperlink" Target="http://www.sec.gov/Archives/edgar/data/1360214/000149315214000878/ex3-2.htm" TargetMode="External"/><Relationship Id="rId69" Type="http://schemas.openxmlformats.org/officeDocument/2006/relationships/hyperlink" Target="http://www.sec.gov/Archives/edgar/data/1360214/000107878211003672/f8k121911_ex3z1.htm" TargetMode="External"/><Relationship Id="rId70" Type="http://schemas.openxmlformats.org/officeDocument/2006/relationships/hyperlink" Target="http://www.sec.gov/Archives/edgar/data/1360214/000149315218009586/ex3-1.htm" TargetMode="External"/><Relationship Id="rId71" Type="http://schemas.openxmlformats.org/officeDocument/2006/relationships/hyperlink" Target="http://www.sec.gov/Archives/edgar/data/1360214/000149315218018103/ex3-1.htm" TargetMode="External"/><Relationship Id="rId72" Type="http://schemas.openxmlformats.org/officeDocument/2006/relationships/hyperlink" Target="http://www.sec.gov/Archives/edgar/data/1360214/000114420407050619/v088205_ex10-8.htm" TargetMode="External"/><Relationship Id="rId73" Type="http://schemas.openxmlformats.org/officeDocument/2006/relationships/hyperlink" Target="http://www.sec.gov/Archives/edgar/data/1360214/000135448813002503/immy_ex103.htm" TargetMode="External"/><Relationship Id="rId74" Type="http://schemas.openxmlformats.org/officeDocument/2006/relationships/hyperlink" Target="http://www.sec.gov/Archives/edgar/data/1360214/000149315213002218/ex10-3.htm" TargetMode="External"/><Relationship Id="rId75" Type="http://schemas.openxmlformats.org/officeDocument/2006/relationships/hyperlink" Target="http://www.sec.gov/Archives/edgar/data/1360214/000114420407050619/v088205_ex10-12.htm" TargetMode="External"/><Relationship Id="rId76" Type="http://schemas.openxmlformats.org/officeDocument/2006/relationships/hyperlink" Target="http://www.sec.gov/Archives/edgar/data/1360214/000114420407050619/v088205_ex10-13.htm" TargetMode="External"/><Relationship Id="rId78" Type="http://schemas.openxmlformats.org/officeDocument/2006/relationships/hyperlink" Target="http://www.sec.gov/Archives/edgar/data/1360214/000135448813002503/immy_ex104.htm" TargetMode="External"/><Relationship Id="rId79" Type="http://schemas.openxmlformats.org/officeDocument/2006/relationships/hyperlink" Target="http://www.sec.gov/Archives/edgar/data/1360214/000135448812003649/tdlp_ex1040.htm" TargetMode="External"/><Relationship Id="rId80" Type="http://schemas.openxmlformats.org/officeDocument/2006/relationships/hyperlink" Target="http://www.sec.gov/Archives/edgar/data/1360214/000135448812003649/tdlp_ex1041.htm" TargetMode="External"/><Relationship Id="rId81" Type="http://schemas.openxmlformats.org/officeDocument/2006/relationships/hyperlink" Target="http://www.sec.gov/Archives/edgar/data/1360214/000135448812005456/immy_ex1044.htm" TargetMode="External"/><Relationship Id="rId82" Type="http://schemas.openxmlformats.org/officeDocument/2006/relationships/hyperlink" Target="http://www.sec.gov/Archives/edgar/data/1360214/000135448813002503/immy_ex102.htm" TargetMode="External"/><Relationship Id="rId83" Type="http://schemas.openxmlformats.org/officeDocument/2006/relationships/hyperlink" Target="http://www.sec.gov/Archives/edgar/data/1360214/000135448813004603/immy_ex104.htm" TargetMode="External"/><Relationship Id="rId84" Type="http://schemas.openxmlformats.org/officeDocument/2006/relationships/hyperlink" Target="https://www.sec.gov/Archives/edgar/data/1360214/000149315215000345/ex10-1.htm" TargetMode="External"/><Relationship Id="rId85" Type="http://schemas.openxmlformats.org/officeDocument/2006/relationships/hyperlink" Target="https://www.sec.gov/Archives/edgar/data/1360214/000149315215000345/ex10-2.htm" TargetMode="External"/><Relationship Id="rId86" Type="http://schemas.openxmlformats.org/officeDocument/2006/relationships/hyperlink" Target="https://www.sec.gov/Archives/edgar/data/1360214/000149315215000345/ex10-3.htm" TargetMode="External"/><Relationship Id="rId87" Type="http://schemas.openxmlformats.org/officeDocument/2006/relationships/hyperlink" Target="https://www.sec.gov/Archives/edgar/data/1360214/000149315215001853/ex10-2.htm" TargetMode="External"/><Relationship Id="rId88" Type="http://schemas.openxmlformats.org/officeDocument/2006/relationships/hyperlink" Target="https://www.sec.gov/Archives/edgar/data/1360214/000149315216016261/ex10-3.htm" TargetMode="External"/><Relationship Id="rId89" Type="http://schemas.openxmlformats.org/officeDocument/2006/relationships/hyperlink" Target="https://www.sec.gov/Archives/edgar/data/1360214/000149315217002715/ex10-1.htm" TargetMode="External"/><Relationship Id="rId90" Type="http://schemas.openxmlformats.org/officeDocument/2006/relationships/hyperlink" Target="https://www.sec.gov/Archives/edgar/data/1360214/000149315217003596/ex10-1.htm" TargetMode="External"/><Relationship Id="rId91" Type="http://schemas.openxmlformats.org/officeDocument/2006/relationships/hyperlink" Target="https://www.sec.gov/Archives/edgar/data/1360214/000149315217004007/ex10-1.htm" TargetMode="External"/><Relationship Id="rId92" Type="http://schemas.openxmlformats.org/officeDocument/2006/relationships/hyperlink" Target="https://www.sec.gov/Archives/edgar/data/1360214/000149315217004662/ex10-1.htm" TargetMode="External"/><Relationship Id="rId93" Type="http://schemas.openxmlformats.org/officeDocument/2006/relationships/hyperlink" Target="https://www.sec.gov/Archives/edgar/data/1360214/000149315217008881/ex10-8.htm" TargetMode="External"/><Relationship Id="rId94" Type="http://schemas.openxmlformats.org/officeDocument/2006/relationships/hyperlink" Target="https://www.sec.gov/Archives/edgar/data/1360214/000149315217008881/ex10-9.htm" TargetMode="External"/><Relationship Id="rId95" Type="http://schemas.openxmlformats.org/officeDocument/2006/relationships/hyperlink" Target="https://www.sec.gov/Archives/edgar/data/1360214/000149315217008881/ex10-10.htm" TargetMode="External"/><Relationship Id="rId97" Type="http://schemas.openxmlformats.org/officeDocument/2006/relationships/hyperlink" Target="https://www.sec.gov/Archives/edgar/data/1360214/000149315217006919/ex10-1.htm" TargetMode="External"/><Relationship Id="rId98" Type="http://schemas.openxmlformats.org/officeDocument/2006/relationships/hyperlink" Target="https://www.sec.gov/Archives/edgar/data/1360214/000149315217006919/ex10-2.htm" TargetMode="External"/><Relationship Id="rId99" Type="http://schemas.openxmlformats.org/officeDocument/2006/relationships/hyperlink" Target="https://www.sec.gov/Archives/edgar/data/1360214/000149315217006919/ex10-4.htm" TargetMode="External"/><Relationship Id="rId100" Type="http://schemas.openxmlformats.org/officeDocument/2006/relationships/hyperlink" Target="https://www.sec.gov/Archives/edgar/data/1360214/000149315217008000/ex10-1.htm" TargetMode="External"/><Relationship Id="rId101" Type="http://schemas.openxmlformats.org/officeDocument/2006/relationships/hyperlink" Target="https://www.sec.gov/Archives/edgar/data/1360214/000149315217009907/ex10-1.htm#a_001" TargetMode="External"/><Relationship Id="rId102" Type="http://schemas.openxmlformats.org/officeDocument/2006/relationships/hyperlink" Target="https://www.sec.gov/Archives/edgar/data/1360214/000149315217006741/ex10-1.htm" TargetMode="External"/><Relationship Id="rId103" Type="http://schemas.openxmlformats.org/officeDocument/2006/relationships/hyperlink" Target="https://www.sec.gov/Archives/edgar/data/1360214/000149315217006741/ex10-2.htm" TargetMode="External"/><Relationship Id="rId104" Type="http://schemas.openxmlformats.org/officeDocument/2006/relationships/hyperlink" Target="https://www.sec.gov/Archives/edgar/data/1360214/000149315217006741/ex10-3.htm" TargetMode="External"/><Relationship Id="rId105" Type="http://schemas.openxmlformats.org/officeDocument/2006/relationships/hyperlink" Target="https://www.sec.gov/Archives/edgar/data/1360214/000149315217006741/ex10-4.htm" TargetMode="External"/><Relationship Id="rId106" Type="http://schemas.openxmlformats.org/officeDocument/2006/relationships/hyperlink" Target="https://www.sec.gov/Archives/edgar/data/1360214/000149315218003095/ex10-53.htm" TargetMode="External"/><Relationship Id="rId107" Type="http://schemas.openxmlformats.org/officeDocument/2006/relationships/hyperlink" Target="https://www.sec.gov/Archives/edgar/data/1360214/000149315218003095/ex10-54.htm" TargetMode="External"/><Relationship Id="rId108" Type="http://schemas.openxmlformats.org/officeDocument/2006/relationships/hyperlink" Target="https://www.sec.gov/Archives/edgar/data/1360214/000149315218003095/ex10-55.htm" TargetMode="External"/><Relationship Id="rId109" Type="http://schemas.openxmlformats.org/officeDocument/2006/relationships/hyperlink" Target="https://www.sec.gov/Archives/edgar/data/1360214/000149315218006896/ex10-1.htm" TargetMode="External"/><Relationship Id="rId110" Type="http://schemas.openxmlformats.org/officeDocument/2006/relationships/hyperlink" Target="https://www.sec.gov/Archives/edgar/data/1360214/000149315218006896/ex10-2.htm" TargetMode="External"/><Relationship Id="rId111" Type="http://schemas.openxmlformats.org/officeDocument/2006/relationships/hyperlink" Target="https://www.sec.gov/Archives/edgar/data/1360214/000149315218011011/ex10-3.htm" TargetMode="External"/><Relationship Id="rId112" Type="http://schemas.openxmlformats.org/officeDocument/2006/relationships/hyperlink" Target="https://www.sec.gov/Archives/edgar/data/1360214/000149315218011011/ex10-4.htm" TargetMode="External"/><Relationship Id="rId113" Type="http://schemas.openxmlformats.org/officeDocument/2006/relationships/hyperlink" Target="https://www.sec.gov/Archives/edgar/data/1360214/000149315218015757/ex10-1.htm" TargetMode="External"/><Relationship Id="rId114" Type="http://schemas.openxmlformats.org/officeDocument/2006/relationships/hyperlink" Target="https://www.sec.gov/Archives/edgar/data/1360214/000149315218015757/ex10-2.htm" TargetMode="External"/><Relationship Id="rId116" Type="http://schemas.openxmlformats.org/officeDocument/2006/relationships/hyperlink" Target="https://www.sec.gov/Archives/edgar/data/1360214/000149315218015757/ex10-3.htm" TargetMode="External"/><Relationship Id="rId117" Type="http://schemas.openxmlformats.org/officeDocument/2006/relationships/hyperlink" Target="https://www.sec.gov/Archives/edgar/data/1360214/000149315219001358/ex10-1.htm" TargetMode="External"/><Relationship Id="rId118" Type="http://schemas.openxmlformats.org/officeDocument/2006/relationships/hyperlink" Target="https://www.sec.gov/Archives/edgar/data/1360214/000149315219006689/ex10-2.htm" TargetMode="External"/><Relationship Id="rId119" Type="http://schemas.openxmlformats.org/officeDocument/2006/relationships/hyperlink" Target="https://www.sec.gov/Archives/edgar/data/1360214/000149315219006689/ex10-3.htm" TargetMode="External"/><Relationship Id="rId120" Type="http://schemas.openxmlformats.org/officeDocument/2006/relationships/hyperlink" Target="https://www.sec.gov/Archives/edgar/data/1360214/000149315219008319/ex10-1.htm" TargetMode="External"/><Relationship Id="rId121" Type="http://schemas.openxmlformats.org/officeDocument/2006/relationships/hyperlink" Target="https://www.sec.gov/Archives/edgar/data/1360214/000149315219012535/ex10-3.htm" TargetMode="External"/><Relationship Id="rId122" Type="http://schemas.openxmlformats.org/officeDocument/2006/relationships/hyperlink" Target="https://www.sec.gov/Archives/edgar/data/1360214/000149315219012535/ex10-2.htm" TargetMode="External"/><Relationship Id="rId123" Type="http://schemas.openxmlformats.org/officeDocument/2006/relationships/hyperlink" Target="https://www.sec.gov/Archives/edgar/data/1360214/000149315219012535/ex10-4.htm" TargetMode="External"/><Relationship Id="rId124" Type="http://schemas.openxmlformats.org/officeDocument/2006/relationships/hyperlink" Target="https://www.sec.gov/Archives/edgar/data/1360214/000149315219017043/ex10-3.htm" TargetMode="External"/><Relationship Id="rId125" Type="http://schemas.openxmlformats.org/officeDocument/2006/relationships/hyperlink" Target="https://www.sec.gov/Archives/edgar/data/1360214/000149315219017043/ex10-4.htm" TargetMode="External"/><Relationship Id="rId126" Type="http://schemas.openxmlformats.org/officeDocument/2006/relationships/hyperlink" Target="https://www.sec.gov/Archives/edgar/data/1360214/000149315220003862/ex10-64.htm" TargetMode="External"/><Relationship Id="rId127" Type="http://schemas.openxmlformats.org/officeDocument/2006/relationships/hyperlink" Target="https://www.sec.gov/Archives/edgar/data/1360214/000149315220003862/ex10-65.htm" TargetMode="External"/><Relationship Id="rId128" Type="http://schemas.openxmlformats.org/officeDocument/2006/relationships/hyperlink" Target="https://www.sec.gov/Archives/edgar/data/1360214/000149315220003862/ex10-66.htm" TargetMode="External"/><Relationship Id="rId129" Type="http://schemas.openxmlformats.org/officeDocument/2006/relationships/hyperlink" Target="https://www.sec.gov/Archives/edgar/data/1360214/000149315220005750/ex10.htm" TargetMode="External"/><Relationship Id="rId130" Type="http://schemas.openxmlformats.org/officeDocument/2006/relationships/hyperlink" Target="https://www.sec.gov/Archives/edgar/data/1360214/000149315220015093/ex10-1.htm" TargetMode="External"/><Relationship Id="rId131" Type="http://schemas.openxmlformats.org/officeDocument/2006/relationships/hyperlink" Target="https://www.sec.gov/Archives/edgar/data/1360214/00014931522002082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2021-03-08T15:57:15Z</dcterms:created>
  <dcterms:modified xsi:type="dcterms:W3CDTF">2021-03-08T15:57:15Z</dcterms:modified>
</cp:coreProperties>
</file>