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300" w:before="0" w:after="0"/>
        <w:ind w:left="0" w:right="0" w:hanging="0"/>
        <w:jc w:val="center"/>
        <w:rPr/>
      </w:pPr>
      <w:bookmarkStart w:id="0" w:name="FIS_FORM"/>
      <w:bookmarkStart w:id="1" w:name="v122485_10q.htm"/>
      <w:bookmarkStart w:id="2" w:name="ksv122485_10q"/>
      <w:bookmarkEnd w:id="0"/>
      <w:bookmarkEnd w:id="1"/>
      <w:bookmarkEnd w:id="2"/>
      <w:r>
        <w:rPr>
          <w:rStyle w:val="StrongEmphasis"/>
          <w:rFonts w:ascii="Times New Roman" w:hAnsi="Times New Roman"/>
          <w:sz w:val="20"/>
        </w:rPr>
        <w:t>UNITED STATES</w:t>
      </w:r>
    </w:p>
    <w:p>
      <w:pPr>
        <w:pStyle w:val="TextBody"/>
        <w:spacing w:lineRule="auto" w:line="300" w:before="0" w:after="0"/>
        <w:ind w:left="0" w:right="0" w:hanging="0"/>
        <w:jc w:val="center"/>
        <w:rPr/>
      </w:pPr>
      <w:r>
        <w:rPr>
          <w:rStyle w:val="StrongEmphasis"/>
          <w:rFonts w:ascii="Times New Roman" w:hAnsi="Times New Roman"/>
          <w:sz w:val="20"/>
        </w:rPr>
        <w:t>SECURITIES AND EXCHANGE COMMISSION</w:t>
      </w:r>
    </w:p>
    <w:p>
      <w:pPr>
        <w:pStyle w:val="TextBody"/>
        <w:spacing w:lineRule="auto" w:line="300" w:before="0" w:after="0"/>
        <w:ind w:left="0" w:right="0" w:hanging="0"/>
        <w:jc w:val="center"/>
        <w:rPr/>
      </w:pPr>
      <w:r>
        <w:rPr>
          <w:rStyle w:val="StrongEmphasis"/>
          <w:rFonts w:ascii="Times New Roman" w:hAnsi="Times New Roman"/>
          <w:sz w:val="20"/>
        </w:rPr>
        <w:t>WASHINGTON, D.C. 20549</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Style w:val="StrongEmphasis"/>
          <w:rFonts w:ascii="Times New Roman" w:hAnsi="Times New Roman"/>
          <w:sz w:val="20"/>
        </w:rPr>
        <w:t>FORM 10-Q</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(Mark One)</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31"/>
        <w:gridCol w:w="9674"/>
      </w:tblGrid>
      <w:tr>
        <w:trPr/>
        <w:tc>
          <w:tcPr>
            <w:tcW w:w="531" w:type="dxa"/>
            <w:tcBorders/>
            <w:shd w:fill="auto" w:val="clear"/>
          </w:tcPr>
          <w:p>
            <w:pPr>
              <w:pStyle w:val="TableContents"/>
              <w:spacing w:lineRule="auto" w:line="300" w:before="0" w:after="0"/>
              <w:ind w:left="0" w:right="16" w:hanging="0"/>
              <w:jc w:val="left"/>
              <w:rPr>
                <w:rFonts w:ascii="Wingdings" w:hAnsi="Wingdings"/>
                <w:sz w:val="20"/>
              </w:rPr>
            </w:pPr>
            <w:r>
              <w:rPr>
                <w:rFonts w:ascii="Wingdings" w:hAnsi="Wingdings"/>
                <w:sz w:val="20"/>
              </w:rPr>
              <w:t>x</w:t>
            </w:r>
          </w:p>
        </w:tc>
        <w:tc>
          <w:tcPr>
            <w:tcW w:w="9674"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QUARTERLY REPORT UNDER SECTION 13 OR 15(d) OF THE SECURITIES EXCHANGE OF 1934</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Fonts w:ascii="Times New Roman" w:hAnsi="Times New Roman"/>
          <w:sz w:val="20"/>
        </w:rPr>
        <w:t xml:space="preserve">For the quarterly period ended </w:t>
      </w:r>
      <w:r>
        <w:rPr>
          <w:rStyle w:val="StrongEmphasis"/>
          <w:rFonts w:ascii="Times New Roman" w:hAnsi="Times New Roman"/>
          <w:sz w:val="20"/>
        </w:rPr>
        <w:t>June 30, 2008</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lineRule="auto" w:line="300" w:before="0" w:after="0"/>
              <w:ind w:left="0" w:right="16" w:hanging="0"/>
              <w:jc w:val="left"/>
              <w:rPr>
                <w:rFonts w:ascii="Wingdings" w:hAnsi="Wingdings"/>
                <w:sz w:val="20"/>
              </w:rPr>
            </w:pPr>
            <w:r>
              <w:rPr>
                <w:rFonts w:ascii="Wingdings" w:hAnsi="Wingdings"/>
                <w:sz w:val="20"/>
              </w:rPr>
              <w:t>o</w:t>
            </w:r>
          </w:p>
        </w:tc>
        <w:tc>
          <w:tcPr>
            <w:tcW w:w="9676"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TRANSITION REPORT UNDER SECTION 13 OR 15(d) OF THE EXCHANGE ACT</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pPr>
      <w:r>
        <w:rPr>
          <w:rFonts w:ascii="Times New Roman" w:hAnsi="Times New Roman"/>
          <w:sz w:val="20"/>
        </w:rPr>
        <w:t xml:space="preserve">For the transition period from  </w:t>
      </w:r>
      <w:r>
        <w:rPr>
          <w:u w:val="single"/>
        </w:rPr>
        <w:t>              </w:t>
      </w:r>
      <w:r>
        <w:rPr/>
        <w:t> </w:t>
      </w:r>
      <w:r>
        <w:rPr>
          <w:rFonts w:ascii="Times New Roman" w:hAnsi="Times New Roman"/>
          <w:sz w:val="20"/>
        </w:rPr>
        <w:t xml:space="preserve">to  </w:t>
      </w:r>
      <w:r>
        <w:rPr>
          <w:u w:val="single"/>
        </w:rPr>
        <w:t xml:space="preserve">         </w:t>
      </w:r>
      <w:bookmarkStart w:id="3" w:name="TAB2"/>
      <w:bookmarkEnd w:id="3"/>
      <w:r>
        <w:rPr>
          <w:u w:val="single"/>
        </w:rPr>
        <w:t>    </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Commission file number: 000-52998</w:t>
      </w:r>
    </w:p>
    <w:p>
      <w:pPr>
        <w:pStyle w:val="TextBody"/>
        <w:spacing w:lineRule="auto" w:line="300" w:before="0" w:after="0"/>
        <w:ind w:left="0" w:right="0" w:hanging="0"/>
        <w:jc w:val="both"/>
        <w:rPr/>
      </w:pPr>
      <w:bookmarkStart w:id="4" w:name="FIS_UNIDENTIFIED_TABLE"/>
      <w:bookmarkEnd w:id="4"/>
      <w:r>
        <w:rPr/>
        <w:t> </w:t>
      </w:r>
    </w:p>
    <w:p>
      <w:pPr>
        <w:pStyle w:val="TextBody"/>
        <w:spacing w:lineRule="auto" w:line="300" w:before="0" w:after="0"/>
        <w:ind w:left="0" w:right="0" w:hanging="0"/>
        <w:jc w:val="center"/>
        <w:rPr/>
      </w:pPr>
      <w:r>
        <w:rPr>
          <w:rStyle w:val="StrongEmphasis"/>
          <w:rFonts w:ascii="Times New Roman" w:hAnsi="Times New Roman"/>
          <w:sz w:val="28"/>
          <w:u w:val="single"/>
        </w:rPr>
        <w:t>Transdel Pharmaceuticals, Inc.</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(Exact Name of Registrant in Its Charter)</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4797"/>
        <w:gridCol w:w="201"/>
        <w:gridCol w:w="5207"/>
      </w:tblGrid>
      <w:tr>
        <w:trPr/>
        <w:tc>
          <w:tcPr>
            <w:tcW w:w="4797" w:type="dxa"/>
            <w:tcBorders>
              <w:bottom w:val="single" w:sz="2" w:space="0" w:color="000000"/>
            </w:tcBorders>
            <w:shd w:fill="auto" w:val="clear"/>
            <w:vAlign w:val="bottom"/>
          </w:tcPr>
          <w:p>
            <w:pPr>
              <w:pStyle w:val="TableContents"/>
              <w:spacing w:lineRule="auto" w:line="300" w:before="0" w:after="0"/>
              <w:ind w:left="360" w:right="16" w:hanging="360"/>
              <w:jc w:val="center"/>
              <w:rPr>
                <w:rFonts w:ascii="Times New Roman" w:hAnsi="Times New Roman"/>
                <w:sz w:val="20"/>
              </w:rPr>
            </w:pPr>
            <w:r>
              <w:rPr>
                <w:rFonts w:ascii="Times New Roman" w:hAnsi="Times New Roman"/>
                <w:sz w:val="20"/>
              </w:rPr>
              <w:t>Delaware</w:t>
            </w:r>
          </w:p>
        </w:tc>
        <w:tc>
          <w:tcPr>
            <w:tcW w:w="201" w:type="dxa"/>
            <w:tcBorders>
              <w:bottom w:val="single" w:sz="2" w:space="0" w:color="FFFFFF"/>
            </w:tcBorders>
            <w:shd w:fill="auto" w:val="clear"/>
            <w:vAlign w:val="center"/>
          </w:tcPr>
          <w:p>
            <w:pPr>
              <w:pStyle w:val="TableContents"/>
              <w:spacing w:lineRule="auto" w:line="300" w:before="0" w:after="0"/>
              <w:ind w:left="0" w:right="16" w:hanging="0"/>
              <w:jc w:val="left"/>
              <w:rPr/>
            </w:pPr>
            <w:r>
              <w:rPr/>
              <w:t> </w:t>
            </w:r>
          </w:p>
        </w:tc>
        <w:tc>
          <w:tcPr>
            <w:tcW w:w="5207" w:type="dxa"/>
            <w:tcBorders>
              <w:bottom w:val="single" w:sz="2" w:space="0" w:color="000000"/>
            </w:tcBorders>
            <w:shd w:fill="auto" w:val="clear"/>
            <w:vAlign w:val="bottom"/>
          </w:tcPr>
          <w:p>
            <w:pPr>
              <w:pStyle w:val="TableContents"/>
              <w:spacing w:lineRule="auto" w:line="300" w:before="0" w:after="0"/>
              <w:ind w:left="0" w:right="16" w:hanging="0"/>
              <w:jc w:val="center"/>
              <w:rPr>
                <w:rFonts w:ascii="Times New Roman" w:hAnsi="Times New Roman"/>
                <w:sz w:val="20"/>
              </w:rPr>
            </w:pPr>
            <w:r>
              <w:rPr>
                <w:rFonts w:ascii="Times New Roman" w:hAnsi="Times New Roman"/>
                <w:sz w:val="20"/>
              </w:rPr>
              <w:t>45-0567010</w:t>
            </w:r>
          </w:p>
        </w:tc>
      </w:tr>
      <w:tr>
        <w:trPr/>
        <w:tc>
          <w:tcPr>
            <w:tcW w:w="4797" w:type="dxa"/>
            <w:tcBorders/>
            <w:shd w:fill="auto" w:val="clear"/>
            <w:tcMar>
              <w:bottom w:w="0" w:type="dxa"/>
            </w:tcMar>
          </w:tcPr>
          <w:p>
            <w:pPr>
              <w:pStyle w:val="TableContents"/>
              <w:spacing w:lineRule="auto" w:line="300" w:before="0" w:after="0"/>
              <w:ind w:left="360" w:right="16" w:hanging="360"/>
              <w:jc w:val="center"/>
              <w:rPr>
                <w:rFonts w:ascii="Times New Roman" w:hAnsi="Times New Roman"/>
                <w:sz w:val="20"/>
              </w:rPr>
            </w:pPr>
            <w:r>
              <w:rPr>
                <w:rFonts w:ascii="Times New Roman" w:hAnsi="Times New Roman"/>
                <w:sz w:val="20"/>
              </w:rPr>
              <w:t>(State or Other Jurisdiction of Incorporation</w:t>
            </w:r>
          </w:p>
          <w:p>
            <w:pPr>
              <w:pStyle w:val="TableContents"/>
              <w:spacing w:lineRule="auto" w:line="300" w:before="0" w:after="0"/>
              <w:ind w:left="360" w:right="16" w:hanging="360"/>
              <w:jc w:val="center"/>
              <w:rPr>
                <w:rFonts w:ascii="Times New Roman" w:hAnsi="Times New Roman"/>
                <w:sz w:val="20"/>
              </w:rPr>
            </w:pPr>
            <w:r>
              <w:rPr>
                <w:rFonts w:ascii="Times New Roman" w:hAnsi="Times New Roman"/>
                <w:sz w:val="20"/>
              </w:rPr>
              <w:t>or Organization)</w:t>
            </w:r>
          </w:p>
        </w:tc>
        <w:tc>
          <w:tcPr>
            <w:tcW w:w="201" w:type="dxa"/>
            <w:tcBorders/>
            <w:shd w:fill="auto" w:val="clear"/>
            <w:tcMar>
              <w:bottom w:w="0" w:type="dxa"/>
            </w:tcMar>
            <w:vAlign w:val="center"/>
          </w:tcPr>
          <w:p>
            <w:pPr>
              <w:pStyle w:val="TableContents"/>
              <w:spacing w:lineRule="auto" w:line="300" w:before="0" w:after="0"/>
              <w:ind w:left="0" w:right="16" w:hanging="0"/>
              <w:jc w:val="left"/>
              <w:rPr/>
            </w:pPr>
            <w:r>
              <w:rPr/>
              <w:t> </w:t>
            </w:r>
          </w:p>
        </w:tc>
        <w:tc>
          <w:tcPr>
            <w:tcW w:w="5207" w:type="dxa"/>
            <w:tcBorders/>
            <w:shd w:fill="auto" w:val="clear"/>
            <w:tcMar>
              <w:bottom w:w="0" w:type="dxa"/>
            </w:tcMar>
          </w:tcPr>
          <w:p>
            <w:pPr>
              <w:pStyle w:val="TableContents"/>
              <w:spacing w:lineRule="auto" w:line="300" w:before="0" w:after="0"/>
              <w:ind w:left="0" w:right="16" w:hanging="0"/>
              <w:jc w:val="center"/>
              <w:rPr>
                <w:rFonts w:ascii="Times New Roman" w:hAnsi="Times New Roman"/>
                <w:sz w:val="20"/>
              </w:rPr>
            </w:pPr>
            <w:r>
              <w:rPr>
                <w:rFonts w:ascii="Times New Roman" w:hAnsi="Times New Roman"/>
                <w:sz w:val="20"/>
              </w:rPr>
              <w:t>(I.R.S. Employer Identification No.)</w:t>
            </w:r>
          </w:p>
        </w:tc>
      </w:tr>
      <w:tr>
        <w:trPr/>
        <w:tc>
          <w:tcPr>
            <w:tcW w:w="4797" w:type="dxa"/>
            <w:tcBorders/>
            <w:shd w:fill="auto" w:val="clear"/>
            <w:tcMar>
              <w:bottom w:w="0" w:type="dxa"/>
            </w:tcMar>
            <w:vAlign w:val="bottom"/>
          </w:tcPr>
          <w:p>
            <w:pPr>
              <w:pStyle w:val="TableContents"/>
              <w:spacing w:lineRule="auto" w:line="300" w:before="0" w:after="0"/>
              <w:ind w:left="0" w:right="16" w:hanging="0"/>
              <w:jc w:val="left"/>
              <w:rPr/>
            </w:pPr>
            <w:r>
              <w:rPr/>
              <w:t> </w:t>
            </w:r>
          </w:p>
        </w:tc>
        <w:tc>
          <w:tcPr>
            <w:tcW w:w="201" w:type="dxa"/>
            <w:tcBorders/>
            <w:shd w:fill="auto" w:val="clear"/>
            <w:tcMar>
              <w:bottom w:w="0" w:type="dxa"/>
            </w:tcMar>
            <w:vAlign w:val="center"/>
          </w:tcPr>
          <w:p>
            <w:pPr>
              <w:pStyle w:val="TableContents"/>
              <w:spacing w:lineRule="auto" w:line="300" w:before="0" w:after="0"/>
              <w:ind w:left="0" w:right="16" w:hanging="0"/>
              <w:jc w:val="left"/>
              <w:rPr/>
            </w:pPr>
            <w:r>
              <w:rPr/>
              <w:t> </w:t>
            </w:r>
          </w:p>
        </w:tc>
        <w:tc>
          <w:tcPr>
            <w:tcW w:w="5207" w:type="dxa"/>
            <w:tcBorders/>
            <w:shd w:fill="auto" w:val="clear"/>
            <w:tcMar>
              <w:bottom w:w="0" w:type="dxa"/>
            </w:tcMar>
            <w:vAlign w:val="bottom"/>
          </w:tcPr>
          <w:p>
            <w:pPr>
              <w:pStyle w:val="TableContents"/>
              <w:spacing w:lineRule="auto" w:line="300" w:before="0" w:after="0"/>
              <w:ind w:left="0" w:right="16" w:hanging="0"/>
              <w:jc w:val="left"/>
              <w:rPr/>
            </w:pPr>
            <w:r>
              <w:rPr/>
              <w:t> </w:t>
            </w:r>
          </w:p>
        </w:tc>
      </w:tr>
      <w:tr>
        <w:trPr/>
        <w:tc>
          <w:tcPr>
            <w:tcW w:w="4797" w:type="dxa"/>
            <w:tcBorders>
              <w:bottom w:val="single" w:sz="2" w:space="0" w:color="000000"/>
            </w:tcBorders>
            <w:shd w:fill="auto" w:val="clear"/>
            <w:vAlign w:val="bottom"/>
          </w:tcPr>
          <w:p>
            <w:pPr>
              <w:pStyle w:val="TableContents"/>
              <w:spacing w:lineRule="auto" w:line="300" w:before="0" w:after="0"/>
              <w:ind w:left="360" w:right="16" w:hanging="360"/>
              <w:jc w:val="center"/>
              <w:rPr>
                <w:rFonts w:ascii="Times New Roman" w:hAnsi="Times New Roman"/>
                <w:sz w:val="20"/>
              </w:rPr>
            </w:pPr>
            <w:r>
              <w:rPr>
                <w:rFonts w:ascii="Times New Roman" w:hAnsi="Times New Roman"/>
                <w:sz w:val="20"/>
              </w:rPr>
              <w:t>4225 Executive Square, Suite 485</w:t>
            </w:r>
          </w:p>
          <w:p>
            <w:pPr>
              <w:pStyle w:val="TableContents"/>
              <w:spacing w:lineRule="auto" w:line="300" w:before="0" w:after="0"/>
              <w:ind w:left="360" w:right="16" w:hanging="360"/>
              <w:jc w:val="center"/>
              <w:rPr>
                <w:rFonts w:ascii="Times New Roman" w:hAnsi="Times New Roman"/>
                <w:sz w:val="20"/>
              </w:rPr>
            </w:pPr>
            <w:r>
              <w:rPr>
                <w:rFonts w:ascii="Times New Roman" w:hAnsi="Times New Roman"/>
                <w:sz w:val="20"/>
              </w:rPr>
              <w:t>La Jolla, CA</w:t>
            </w:r>
          </w:p>
        </w:tc>
        <w:tc>
          <w:tcPr>
            <w:tcW w:w="201" w:type="dxa"/>
            <w:tcBorders>
              <w:bottom w:val="single" w:sz="2" w:space="0" w:color="FFFFFF"/>
            </w:tcBorders>
            <w:shd w:fill="auto" w:val="clear"/>
            <w:vAlign w:val="center"/>
          </w:tcPr>
          <w:p>
            <w:pPr>
              <w:pStyle w:val="TableContents"/>
              <w:spacing w:lineRule="auto" w:line="300" w:before="0" w:after="0"/>
              <w:ind w:left="0" w:right="16" w:hanging="0"/>
              <w:jc w:val="left"/>
              <w:rPr/>
            </w:pPr>
            <w:r>
              <w:rPr/>
              <w:t> </w:t>
            </w:r>
          </w:p>
        </w:tc>
        <w:tc>
          <w:tcPr>
            <w:tcW w:w="5207" w:type="dxa"/>
            <w:tcBorders>
              <w:bottom w:val="single" w:sz="2" w:space="0" w:color="000000"/>
            </w:tcBorders>
            <w:shd w:fill="auto" w:val="clear"/>
            <w:vAlign w:val="bottom"/>
          </w:tcPr>
          <w:p>
            <w:pPr>
              <w:pStyle w:val="TableContents"/>
              <w:spacing w:lineRule="auto" w:line="300" w:before="0" w:after="0"/>
              <w:ind w:left="0" w:right="16" w:hanging="0"/>
              <w:jc w:val="center"/>
              <w:rPr>
                <w:rFonts w:ascii="Times New Roman" w:hAnsi="Times New Roman"/>
                <w:sz w:val="20"/>
              </w:rPr>
            </w:pPr>
            <w:r>
              <w:rPr>
                <w:rFonts w:ascii="Times New Roman" w:hAnsi="Times New Roman"/>
                <w:sz w:val="20"/>
              </w:rPr>
              <w:t>92037</w:t>
            </w:r>
          </w:p>
        </w:tc>
      </w:tr>
      <w:tr>
        <w:trPr/>
        <w:tc>
          <w:tcPr>
            <w:tcW w:w="4797" w:type="dxa"/>
            <w:tcBorders/>
            <w:shd w:fill="auto" w:val="clear"/>
            <w:tcMar>
              <w:bottom w:w="0" w:type="dxa"/>
            </w:tcMar>
            <w:vAlign w:val="bottom"/>
          </w:tcPr>
          <w:p>
            <w:pPr>
              <w:pStyle w:val="TableContents"/>
              <w:spacing w:lineRule="auto" w:line="300" w:before="0" w:after="0"/>
              <w:ind w:left="360" w:right="16" w:hanging="360"/>
              <w:jc w:val="center"/>
              <w:rPr>
                <w:rFonts w:ascii="Times New Roman" w:hAnsi="Times New Roman"/>
                <w:sz w:val="20"/>
              </w:rPr>
            </w:pPr>
            <w:r>
              <w:rPr>
                <w:rFonts w:ascii="Times New Roman" w:hAnsi="Times New Roman"/>
                <w:sz w:val="20"/>
              </w:rPr>
              <w:t>(Address of Principal Executive Offices)</w:t>
            </w:r>
          </w:p>
        </w:tc>
        <w:tc>
          <w:tcPr>
            <w:tcW w:w="201" w:type="dxa"/>
            <w:tcBorders/>
            <w:shd w:fill="auto" w:val="clear"/>
            <w:tcMar>
              <w:bottom w:w="0" w:type="dxa"/>
            </w:tcMar>
            <w:vAlign w:val="center"/>
          </w:tcPr>
          <w:p>
            <w:pPr>
              <w:pStyle w:val="TableContents"/>
              <w:spacing w:lineRule="auto" w:line="300" w:before="0" w:after="0"/>
              <w:ind w:left="0" w:right="16" w:hanging="0"/>
              <w:jc w:val="left"/>
              <w:rPr/>
            </w:pPr>
            <w:r>
              <w:rPr/>
              <w:t> </w:t>
            </w:r>
          </w:p>
        </w:tc>
        <w:tc>
          <w:tcPr>
            <w:tcW w:w="5207" w:type="dxa"/>
            <w:tcBorders/>
            <w:shd w:fill="auto" w:val="clear"/>
            <w:tcMar>
              <w:bottom w:w="0" w:type="dxa"/>
            </w:tcMar>
            <w:vAlign w:val="bottom"/>
          </w:tcPr>
          <w:p>
            <w:pPr>
              <w:pStyle w:val="TableContents"/>
              <w:spacing w:lineRule="auto" w:line="300" w:before="0" w:after="0"/>
              <w:ind w:left="0" w:right="16" w:hanging="0"/>
              <w:jc w:val="center"/>
              <w:rPr>
                <w:rFonts w:ascii="Times New Roman" w:hAnsi="Times New Roman"/>
                <w:sz w:val="20"/>
              </w:rPr>
            </w:pPr>
            <w:r>
              <w:rPr>
                <w:rFonts w:ascii="Times New Roman" w:hAnsi="Times New Roman"/>
                <w:sz w:val="20"/>
              </w:rPr>
              <w:t>(Zip Code)</w:t>
            </w:r>
          </w:p>
        </w:tc>
      </w:tr>
    </w:tbl>
    <w:p>
      <w:pPr>
        <w:pStyle w:val="TextBody"/>
        <w:spacing w:before="0" w:after="0"/>
        <w:rPr/>
      </w:pPr>
      <w:r>
        <w:rPr/>
        <w:t> </w:t>
      </w:r>
    </w:p>
    <w:tbl>
      <w:tblPr>
        <w:tblW w:w="4000" w:type="pct"/>
        <w:jc w:val="center"/>
        <w:tblInd w:w="0" w:type="dxa"/>
        <w:tblCellMar>
          <w:top w:w="0" w:type="dxa"/>
          <w:left w:w="0" w:type="dxa"/>
          <w:bottom w:w="28" w:type="dxa"/>
          <w:right w:w="0" w:type="dxa"/>
        </w:tblCellMar>
      </w:tblPr>
      <w:tblGrid>
        <w:gridCol w:w="8164"/>
      </w:tblGrid>
      <w:tr>
        <w:trPr/>
        <w:tc>
          <w:tcPr>
            <w:tcW w:w="8164" w:type="dxa"/>
            <w:tcBorders>
              <w:bottom w:val="single" w:sz="2" w:space="0" w:color="000000"/>
            </w:tcBorders>
            <w:shd w:fill="auto" w:val="clear"/>
          </w:tcPr>
          <w:p>
            <w:pPr>
              <w:pStyle w:val="TableContents"/>
              <w:spacing w:lineRule="auto" w:line="300" w:before="0" w:after="0"/>
              <w:ind w:left="0" w:right="16" w:hanging="0"/>
              <w:jc w:val="center"/>
              <w:rPr>
                <w:rFonts w:ascii="Times New Roman" w:hAnsi="Times New Roman"/>
                <w:sz w:val="20"/>
              </w:rPr>
            </w:pPr>
            <w:r>
              <w:rPr>
                <w:rFonts w:ascii="Times New Roman" w:hAnsi="Times New Roman"/>
                <w:sz w:val="20"/>
              </w:rPr>
              <w:t>(858) 457-5300</w:t>
            </w:r>
          </w:p>
        </w:tc>
      </w:tr>
      <w:tr>
        <w:trPr/>
        <w:tc>
          <w:tcPr>
            <w:tcW w:w="8164" w:type="dxa"/>
            <w:tcBorders/>
            <w:shd w:fill="auto" w:val="clear"/>
            <w:tcMar>
              <w:bottom w:w="0" w:type="dxa"/>
            </w:tcMar>
          </w:tcPr>
          <w:p>
            <w:pPr>
              <w:pStyle w:val="TableContents"/>
              <w:spacing w:lineRule="auto" w:line="300" w:before="0" w:after="0"/>
              <w:ind w:left="0" w:right="16" w:hanging="0"/>
              <w:jc w:val="center"/>
              <w:rPr>
                <w:rFonts w:ascii="Times New Roman" w:hAnsi="Times New Roman"/>
                <w:sz w:val="20"/>
              </w:rPr>
            </w:pPr>
            <w:r>
              <w:rPr>
                <w:rFonts w:ascii="Times New Roman" w:hAnsi="Times New Roman"/>
                <w:sz w:val="20"/>
              </w:rPr>
              <w:t>(Registrant’s Telephone Number, Including Area Code)</w:t>
            </w:r>
          </w:p>
        </w:tc>
      </w:tr>
      <w:tr>
        <w:trPr/>
        <w:tc>
          <w:tcPr>
            <w:tcW w:w="8164" w:type="dxa"/>
            <w:tcBorders/>
            <w:shd w:fill="auto" w:val="clear"/>
            <w:tcMar>
              <w:bottom w:w="0" w:type="dxa"/>
            </w:tcMar>
          </w:tcPr>
          <w:p>
            <w:pPr>
              <w:pStyle w:val="TableContents"/>
              <w:spacing w:lineRule="auto" w:line="300" w:before="0" w:after="0"/>
              <w:ind w:left="0" w:right="16" w:hanging="0"/>
              <w:jc w:val="left"/>
              <w:rPr/>
            </w:pPr>
            <w:r>
              <w:rPr/>
              <w:t> </w:t>
            </w:r>
          </w:p>
        </w:tc>
      </w:tr>
      <w:tr>
        <w:trPr/>
        <w:tc>
          <w:tcPr>
            <w:tcW w:w="8164" w:type="dxa"/>
            <w:tcBorders>
              <w:bottom w:val="single" w:sz="2" w:space="0" w:color="000000"/>
            </w:tcBorders>
            <w:shd w:fill="auto" w:val="clear"/>
          </w:tcPr>
          <w:p>
            <w:pPr>
              <w:pStyle w:val="TableContents"/>
              <w:spacing w:lineRule="auto" w:line="300" w:before="0" w:after="0"/>
              <w:ind w:left="360" w:right="16" w:hanging="360"/>
              <w:jc w:val="center"/>
              <w:rPr>
                <w:rFonts w:ascii="Times New Roman" w:hAnsi="Times New Roman"/>
                <w:sz w:val="20"/>
              </w:rPr>
            </w:pPr>
            <w:r>
              <w:rPr>
                <w:rFonts w:ascii="Times New Roman" w:hAnsi="Times New Roman"/>
                <w:sz w:val="20"/>
              </w:rPr>
              <w:t>4225 Executive Square, Suite 460</w:t>
            </w:r>
          </w:p>
          <w:p>
            <w:pPr>
              <w:pStyle w:val="TableContents"/>
              <w:spacing w:lineRule="auto" w:line="300" w:before="0" w:after="0"/>
              <w:ind w:left="0" w:right="16" w:hanging="0"/>
              <w:jc w:val="center"/>
              <w:rPr>
                <w:rFonts w:ascii="Times New Roman" w:hAnsi="Times New Roman"/>
                <w:sz w:val="20"/>
              </w:rPr>
            </w:pPr>
            <w:r>
              <w:rPr>
                <w:rFonts w:ascii="Times New Roman" w:hAnsi="Times New Roman"/>
                <w:sz w:val="20"/>
              </w:rPr>
              <w:t>La Jolla, CA 92037</w:t>
            </w:r>
          </w:p>
        </w:tc>
      </w:tr>
      <w:tr>
        <w:trPr/>
        <w:tc>
          <w:tcPr>
            <w:tcW w:w="8164" w:type="dxa"/>
            <w:tcBorders/>
            <w:shd w:fill="auto" w:val="clear"/>
            <w:tcMar>
              <w:bottom w:w="0" w:type="dxa"/>
            </w:tcMar>
          </w:tcPr>
          <w:p>
            <w:pPr>
              <w:pStyle w:val="TableContents"/>
              <w:spacing w:lineRule="auto" w:line="300" w:before="0" w:after="0"/>
              <w:ind w:left="0" w:right="16" w:hanging="0"/>
              <w:jc w:val="center"/>
              <w:rPr>
                <w:rFonts w:ascii="Times New Roman" w:hAnsi="Times New Roman"/>
                <w:sz w:val="20"/>
              </w:rPr>
            </w:pPr>
            <w:r>
              <w:rPr>
                <w:rFonts w:ascii="Times New Roman" w:hAnsi="Times New Roman"/>
                <w:sz w:val="20"/>
              </w:rPr>
              <w:t>(Former Name, Former Address and Former Fiscal Year, if Changed Since Last Report)</w:t>
            </w:r>
          </w:p>
        </w:tc>
      </w:tr>
    </w:tbl>
    <w:p>
      <w:pPr>
        <w:pStyle w:val="TextBody"/>
        <w:spacing w:lineRule="auto" w:line="300" w:before="0" w:after="0"/>
        <w:ind w:left="0" w:right="0" w:hanging="0"/>
        <w:jc w:val="both"/>
        <w:rPr/>
      </w:pPr>
      <w:r>
        <w:rPr/>
        <w:t> </w:t>
      </w:r>
    </w:p>
    <w:p>
      <w:pPr>
        <w:pStyle w:val="TextBody"/>
        <w:spacing w:lineRule="auto" w:line="300" w:before="0" w:after="0"/>
        <w:ind w:left="0" w:right="0" w:firstLine="540"/>
        <w:jc w:val="both"/>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20"/>
        </w:rPr>
        <w:t>x</w:t>
      </w:r>
      <w:r>
        <w:rPr/>
        <w:t xml:space="preserve">  </w:t>
      </w:r>
      <w:r>
        <w:rPr>
          <w:rFonts w:ascii="Times New Roman" w:hAnsi="Times New Roman"/>
          <w:sz w:val="20"/>
        </w:rPr>
        <w:t xml:space="preserve">No   </w:t>
      </w:r>
      <w:r>
        <w:rPr>
          <w:rFonts w:ascii="Wingdings" w:hAnsi="Wingdings"/>
          <w:sz w:val="20"/>
        </w:rPr>
        <w:t>o</w:t>
      </w:r>
    </w:p>
    <w:p>
      <w:pPr>
        <w:pStyle w:val="TextBody"/>
        <w:spacing w:lineRule="auto" w:line="300" w:before="0" w:after="0"/>
        <w:ind w:left="0" w:right="0" w:hanging="0"/>
        <w:jc w:val="both"/>
        <w:rPr/>
      </w:pPr>
      <w:r>
        <w:rPr/>
        <w:t> </w:t>
      </w:r>
    </w:p>
    <w:p>
      <w:pPr>
        <w:pStyle w:val="TextBody"/>
        <w:spacing w:lineRule="auto" w:line="300" w:before="0" w:after="0"/>
        <w:ind w:left="0" w:right="0" w:firstLine="540"/>
        <w:jc w:val="both"/>
        <w:rPr/>
      </w:pPr>
      <w:r>
        <w:rPr>
          <w:rFonts w:ascii="Times New Roman" w:hAnsi="Times New Roman"/>
          <w:sz w:val="20"/>
        </w:rPr>
        <w:t xml:space="preserve">Indicate by check mark whether the registrant is a shell company (as defined in Rule 12b-2 of the Exchange Act).   YES   </w:t>
      </w:r>
      <w:r>
        <w:rPr>
          <w:rStyle w:val="StrongEmphasis"/>
        </w:rPr>
        <w:t>☐</w:t>
      </w:r>
      <w:r>
        <w:rPr/>
        <w:t>    </w:t>
      </w:r>
      <w:r>
        <w:rPr>
          <w:rFonts w:ascii="Times New Roman" w:hAnsi="Times New Roman"/>
          <w:sz w:val="20"/>
        </w:rPr>
        <w:t xml:space="preserve">NO   </w:t>
      </w:r>
      <w:r>
        <w:rPr>
          <w:rStyle w:val="StrongEmphasis"/>
          <w:rFonts w:ascii="Wingdings" w:hAnsi="Wingdings"/>
          <w:sz w:val="20"/>
        </w:rPr>
        <w:t>x</w:t>
      </w:r>
    </w:p>
    <w:p>
      <w:pPr>
        <w:pStyle w:val="TextBody"/>
        <w:spacing w:lineRule="auto" w:line="300" w:before="0" w:after="0"/>
        <w:ind w:left="0" w:right="0" w:hanging="0"/>
        <w:jc w:val="both"/>
        <w:rPr/>
      </w:pPr>
      <w:r>
        <w:rPr/>
        <w:t> </w:t>
      </w:r>
    </w:p>
    <w:p>
      <w:pPr>
        <w:pStyle w:val="TextBody"/>
        <w:spacing w:lineRule="auto" w:line="300" w:before="0" w:after="0"/>
        <w:ind w:left="540" w:right="0" w:hanging="0"/>
        <w:jc w:val="left"/>
        <w:rPr>
          <w:rFonts w:ascii="Times New Roman" w:hAnsi="Times New Roman"/>
          <w:sz w:val="20"/>
        </w:rPr>
      </w:pPr>
      <w:r>
        <w:rPr>
          <w:rFonts w:ascii="Times New Roman" w:hAnsi="Times New Roman"/>
          <w:sz w:val="20"/>
        </w:rPr>
        <w:t>As of August 7, 2008, 15,545,184 shares of issuer’s common stock, with $0.001 par value per share were outstanding.</w:t>
      </w:r>
    </w:p>
    <w:p>
      <w:pPr>
        <w:pStyle w:val="TextBody"/>
        <w:spacing w:lineRule="auto" w:line="300" w:before="0" w:after="0"/>
        <w:ind w:left="0" w:right="0" w:hanging="0"/>
        <w:jc w:val="left"/>
        <w:rPr/>
      </w:pPr>
      <w:r>
        <w:rPr/>
      </w:r>
    </w:p>
    <w:p>
      <w:pPr>
        <w:pStyle w:val="TextBody"/>
        <w:spacing w:lineRule="auto" w:line="300" w:before="0" w:after="0"/>
        <w:ind w:left="0" w:right="0" w:firstLine="54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 </w:t>
      </w:r>
    </w:p>
    <w:p>
      <w:pPr>
        <w:pStyle w:val="TextBody"/>
        <w:spacing w:lineRule="auto" w:line="300"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lineRule="auto" w:line="300" w:before="0" w:after="0"/>
              <w:ind w:left="0" w:right="16" w:hanging="0"/>
              <w:jc w:val="left"/>
              <w:rPr/>
            </w:pPr>
            <w:r>
              <w:rPr>
                <w:rFonts w:ascii="Times New Roman" w:hAnsi="Times New Roman"/>
                <w:sz w:val="20"/>
              </w:rPr>
              <w:t xml:space="preserve">Large accelerated filer </w:t>
            </w:r>
            <w:r>
              <w:rPr>
                <w:rFonts w:ascii="Wingdings" w:hAnsi="Wingdings"/>
                <w:sz w:val="20"/>
              </w:rPr>
              <w:t>o</w:t>
            </w:r>
          </w:p>
        </w:tc>
        <w:tc>
          <w:tcPr>
            <w:tcW w:w="5103" w:type="dxa"/>
            <w:tcBorders/>
            <w:shd w:fill="auto" w:val="clear"/>
          </w:tcPr>
          <w:p>
            <w:pPr>
              <w:pStyle w:val="TableContents"/>
              <w:spacing w:lineRule="auto" w:line="300" w:before="0" w:after="0"/>
              <w:ind w:left="0" w:right="16" w:hanging="0"/>
              <w:jc w:val="left"/>
              <w:rPr/>
            </w:pPr>
            <w:r>
              <w:rPr>
                <w:rFonts w:ascii="Times New Roman" w:hAnsi="Times New Roman"/>
                <w:sz w:val="20"/>
              </w:rPr>
              <w:t xml:space="preserve">Accelerated filer </w:t>
            </w:r>
            <w:r>
              <w:rPr>
                <w:rFonts w:ascii="Wingdings" w:hAnsi="Wingdings"/>
                <w:sz w:val="20"/>
              </w:rPr>
              <w:t>o</w:t>
            </w:r>
          </w:p>
        </w:tc>
      </w:tr>
      <w:tr>
        <w:trPr/>
        <w:tc>
          <w:tcPr>
            <w:tcW w:w="5102" w:type="dxa"/>
            <w:tcBorders/>
            <w:shd w:fill="auto" w:val="clear"/>
          </w:tcPr>
          <w:p>
            <w:pPr>
              <w:pStyle w:val="TableContents"/>
              <w:spacing w:lineRule="auto" w:line="300" w:before="0" w:after="0"/>
              <w:ind w:left="0" w:right="16" w:hanging="0"/>
              <w:jc w:val="left"/>
              <w:rPr/>
            </w:pPr>
            <w:r>
              <w:rPr>
                <w:rFonts w:ascii="Times New Roman" w:hAnsi="Times New Roman"/>
                <w:sz w:val="20"/>
              </w:rPr>
              <w:t xml:space="preserve">Non-accelerated filer </w:t>
            </w:r>
            <w:r>
              <w:rPr>
                <w:rFonts w:ascii="Wingdings" w:hAnsi="Wingdings"/>
                <w:sz w:val="20"/>
              </w:rPr>
              <w:t>o</w:t>
            </w:r>
          </w:p>
        </w:tc>
        <w:tc>
          <w:tcPr>
            <w:tcW w:w="5103" w:type="dxa"/>
            <w:tcBorders/>
            <w:shd w:fill="auto" w:val="clear"/>
          </w:tcPr>
          <w:p>
            <w:pPr>
              <w:pStyle w:val="TableContents"/>
              <w:spacing w:lineRule="auto" w:line="300" w:before="0" w:after="0"/>
              <w:ind w:left="0" w:right="16" w:hanging="0"/>
              <w:jc w:val="left"/>
              <w:rPr/>
            </w:pPr>
            <w:r>
              <w:rPr>
                <w:rFonts w:ascii="Times New Roman" w:hAnsi="Times New Roman"/>
                <w:sz w:val="20"/>
              </w:rPr>
              <w:t xml:space="preserve">Smaller reporting company </w:t>
            </w:r>
            <w:r>
              <w:rPr>
                <w:rFonts w:ascii="Wingdings" w:hAnsi="Wingdings"/>
                <w:sz w:val="20"/>
              </w:rPr>
              <w:t>x</w:t>
            </w:r>
          </w:p>
        </w:tc>
      </w:tr>
      <w:tr>
        <w:trPr/>
        <w:tc>
          <w:tcPr>
            <w:tcW w:w="5102"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(Do not check if a smaller reporting company)</w:t>
            </w:r>
          </w:p>
        </w:tc>
        <w:tc>
          <w:tcPr>
            <w:tcW w:w="5103" w:type="dxa"/>
            <w:tcBorders/>
            <w:shd w:fill="auto" w:val="clear"/>
          </w:tcPr>
          <w:p>
            <w:pPr>
              <w:pStyle w:val="TableContents"/>
              <w:spacing w:lineRule="auto" w:line="300" w:before="0" w:after="0"/>
              <w:ind w:left="0" w:right="16" w:hanging="0"/>
              <w:jc w:val="left"/>
              <w:rPr/>
            </w:pPr>
            <w:r>
              <w:rPr/>
              <w:t> </w:t>
            </w:r>
          </w:p>
        </w:tc>
      </w:tr>
    </w:tbl>
    <w:p>
      <w:pPr>
        <w:pStyle w:val="TextBody"/>
        <w:spacing w:lineRule="auto" w:line="300"/>
        <w:ind w:left="0" w:right="0" w:hanging="0"/>
        <w:jc w:val="cente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ind w:left="0" w:right="0" w:hanging="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r>
        <w:rPr>
          <w:rStyle w:val="StrongEmphasis"/>
          <w:rFonts w:ascii="Times New Roman" w:hAnsi="Times New Roman"/>
          <w:sz w:val="20"/>
        </w:rPr>
        <w:t>TRANSDEL PHARMACEUTICALS, INC.</w:t>
      </w:r>
    </w:p>
    <w:p>
      <w:pPr>
        <w:pStyle w:val="TextBody"/>
        <w:spacing w:lineRule="auto" w:line="300" w:before="0" w:after="0"/>
        <w:ind w:left="0" w:right="0" w:hanging="0"/>
        <w:jc w:val="center"/>
        <w:rPr/>
      </w:pPr>
      <w:r>
        <w:rPr>
          <w:rStyle w:val="StrongEmphasis"/>
          <w:rFonts w:ascii="Times New Roman" w:hAnsi="Times New Roman"/>
          <w:sz w:val="20"/>
        </w:rPr>
        <w:t>(A Development Stage Company)</w:t>
      </w:r>
    </w:p>
    <w:p>
      <w:pPr>
        <w:pStyle w:val="TextBody"/>
        <w:spacing w:lineRule="auto" w:line="300" w:before="0" w:after="0"/>
        <w:ind w:left="0" w:right="0" w:hanging="0"/>
        <w:jc w:val="both"/>
        <w:rPr/>
      </w:pPr>
      <w:r>
        <w:rPr/>
        <w:t> </w:t>
      </w:r>
    </w:p>
    <w:p>
      <w:pPr>
        <w:pStyle w:val="TextBody"/>
        <w:spacing w:lineRule="auto" w:line="300" w:before="0" w:after="0"/>
        <w:ind w:left="0" w:right="0" w:hanging="0"/>
        <w:jc w:val="center"/>
        <w:rPr>
          <w:rFonts w:ascii="Times New Roman" w:hAnsi="Times New Roman"/>
          <w:sz w:val="20"/>
          <w:u w:val="single"/>
        </w:rPr>
      </w:pPr>
      <w:r>
        <w:rPr>
          <w:rFonts w:ascii="Times New Roman" w:hAnsi="Times New Roman"/>
          <w:sz w:val="20"/>
          <w:u w:val="single"/>
        </w:rPr>
        <w:t>Table of Contents</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503"/>
        <w:gridCol w:w="214"/>
        <w:gridCol w:w="7737"/>
        <w:gridCol w:w="214"/>
        <w:gridCol w:w="537"/>
      </w:tblGrid>
      <w:tr>
        <w:trPr/>
        <w:tc>
          <w:tcPr>
            <w:tcW w:w="1503" w:type="dxa"/>
            <w:tcBorders>
              <w:bottom w:val="single" w:sz="4" w:space="0" w:color="FFFFFF"/>
            </w:tcBorders>
            <w:shd w:fill="auto" w:val="clear"/>
            <w:vAlign w:val="bottom"/>
          </w:tcPr>
          <w:p>
            <w:pPr>
              <w:pStyle w:val="TableContents"/>
              <w:spacing w:lineRule="auto" w:line="300" w:before="0" w:after="0"/>
              <w:ind w:left="0" w:right="16" w:hanging="0"/>
              <w:jc w:val="left"/>
              <w:rPr/>
            </w:pPr>
            <w:r>
              <w:rPr/>
              <w:t> </w:t>
            </w:r>
          </w:p>
        </w:tc>
        <w:tc>
          <w:tcPr>
            <w:tcW w:w="214" w:type="dxa"/>
            <w:tcBorders>
              <w:bottom w:val="single" w:sz="4" w:space="0" w:color="FFFFFF"/>
            </w:tcBorders>
            <w:shd w:fill="auto" w:val="clear"/>
            <w:vAlign w:val="center"/>
          </w:tcPr>
          <w:p>
            <w:pPr>
              <w:pStyle w:val="TableContents"/>
              <w:spacing w:lineRule="auto" w:line="300" w:before="0" w:after="0"/>
              <w:ind w:left="0" w:right="16" w:hanging="0"/>
              <w:jc w:val="left"/>
              <w:rPr/>
            </w:pPr>
            <w:r>
              <w:rPr/>
              <w:t> </w:t>
            </w:r>
          </w:p>
        </w:tc>
        <w:tc>
          <w:tcPr>
            <w:tcW w:w="7737" w:type="dxa"/>
            <w:tcBorders>
              <w:bottom w:val="single" w:sz="4" w:space="0" w:color="FFFFFF"/>
            </w:tcBorders>
            <w:shd w:fill="auto" w:val="clear"/>
            <w:vAlign w:val="bottom"/>
          </w:tcPr>
          <w:p>
            <w:pPr>
              <w:pStyle w:val="TableContents"/>
              <w:spacing w:lineRule="auto" w:line="300" w:before="0" w:after="0"/>
              <w:ind w:left="0" w:right="16" w:hanging="0"/>
              <w:jc w:val="left"/>
              <w:rPr/>
            </w:pPr>
            <w:r>
              <w:rPr/>
              <w:t> </w:t>
            </w:r>
          </w:p>
        </w:tc>
        <w:tc>
          <w:tcPr>
            <w:tcW w:w="214" w:type="dxa"/>
            <w:tcBorders>
              <w:bottom w:val="single" w:sz="4" w:space="0" w:color="FFFFFF"/>
            </w:tcBorders>
            <w:shd w:fill="auto" w:val="clear"/>
            <w:vAlign w:val="center"/>
          </w:tcPr>
          <w:p>
            <w:pPr>
              <w:pStyle w:val="TableContents"/>
              <w:spacing w:lineRule="auto" w:line="300" w:before="0" w:after="0"/>
              <w:ind w:left="0" w:right="16" w:hanging="0"/>
              <w:jc w:val="left"/>
              <w:rPr/>
            </w:pPr>
            <w:r>
              <w:rPr/>
              <w:t> </w:t>
            </w:r>
          </w:p>
        </w:tc>
        <w:tc>
          <w:tcPr>
            <w:tcW w:w="537" w:type="dxa"/>
            <w:tcBorders>
              <w:bottom w:val="single" w:sz="2" w:space="0" w:color="000000"/>
            </w:tcBorders>
            <w:shd w:fill="auto" w:val="clear"/>
            <w:vAlign w:val="bottom"/>
          </w:tcPr>
          <w:p>
            <w:pPr>
              <w:pStyle w:val="TableContents"/>
              <w:spacing w:lineRule="auto" w:line="300" w:before="0" w:after="0"/>
              <w:ind w:left="0" w:right="16" w:hanging="0"/>
              <w:jc w:val="center"/>
              <w:rPr/>
            </w:pPr>
            <w:r>
              <w:rPr>
                <w:rStyle w:val="StrongEmphasis"/>
                <w:rFonts w:ascii="Times New Roman" w:hAnsi="Times New Roman"/>
                <w:sz w:val="20"/>
              </w:rPr>
              <w:t>Page</w:t>
            </w:r>
          </w:p>
        </w:tc>
      </w:tr>
      <w:tr>
        <w:trPr/>
        <w:tc>
          <w:tcPr>
            <w:tcW w:w="1503" w:type="dxa"/>
            <w:tcBorders/>
            <w:shd w:fill="CCFFCC" w:val="clear"/>
            <w:tcMar>
              <w:bottom w:w="0" w:type="dxa"/>
            </w:tcMar>
            <w:vAlign w:val="bottom"/>
          </w:tcPr>
          <w:p>
            <w:pPr>
              <w:pStyle w:val="TableContents"/>
              <w:spacing w:lineRule="auto" w:line="300" w:before="0" w:after="0"/>
              <w:ind w:left="360" w:right="16" w:hanging="360"/>
              <w:jc w:val="left"/>
              <w:rPr>
                <w:rFonts w:ascii="Times New Roman" w:hAnsi="Times New Roman"/>
                <w:sz w:val="20"/>
              </w:rPr>
            </w:pPr>
            <w:r>
              <w:rPr>
                <w:rFonts w:ascii="Times New Roman" w:hAnsi="Times New Roman"/>
                <w:sz w:val="20"/>
              </w:rPr>
              <w:t>Part I</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FINANCIAL INFORMATION</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CCFFCC" w:val="clear"/>
            <w:tcMar>
              <w:bottom w:w="0" w:type="dxa"/>
            </w:tcMar>
            <w:vAlign w:val="bottom"/>
          </w:tcPr>
          <w:p>
            <w:pPr>
              <w:pStyle w:val="TableContents"/>
              <w:spacing w:lineRule="auto" w:line="300" w:before="0" w:after="0"/>
              <w:ind w:left="0" w:right="16" w:hanging="0"/>
              <w:jc w:val="right"/>
              <w:rPr>
                <w:rFonts w:ascii="Times New Roman" w:hAnsi="Times New Roman"/>
                <w:sz w:val="20"/>
              </w:rPr>
            </w:pPr>
            <w:r>
              <w:rPr>
                <w:rFonts w:ascii="Times New Roman" w:hAnsi="Times New Roman"/>
                <w:sz w:val="20"/>
              </w:rPr>
              <w:t>2</w:t>
            </w:r>
          </w:p>
        </w:tc>
      </w:tr>
      <w:tr>
        <w:trPr/>
        <w:tc>
          <w:tcPr>
            <w:tcW w:w="1503"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FFFFFF" w:val="clear"/>
            <w:tcMar>
              <w:bottom w:w="0" w:type="dxa"/>
            </w:tcMar>
            <w:vAlign w:val="bottom"/>
          </w:tcPr>
          <w:p>
            <w:pPr>
              <w:pStyle w:val="TableContents"/>
              <w:spacing w:lineRule="auto" w:line="300" w:before="0" w:after="0"/>
              <w:ind w:left="0" w:right="16" w:hanging="0"/>
              <w:jc w:val="right"/>
              <w:rPr/>
            </w:pPr>
            <w:r>
              <w:rPr/>
              <w:t> </w:t>
            </w:r>
          </w:p>
        </w:tc>
      </w:tr>
      <w:tr>
        <w:trPr/>
        <w:tc>
          <w:tcPr>
            <w:tcW w:w="1503" w:type="dxa"/>
            <w:tcBorders/>
            <w:shd w:fill="CCFFCC" w:val="clear"/>
            <w:tcMar>
              <w:bottom w:w="0" w:type="dxa"/>
            </w:tcMar>
            <w:vAlign w:val="bottom"/>
          </w:tcPr>
          <w:p>
            <w:pPr>
              <w:pStyle w:val="TableContents"/>
              <w:spacing w:lineRule="auto" w:line="300" w:before="0" w:after="0"/>
              <w:ind w:left="720" w:right="16" w:hanging="360"/>
              <w:jc w:val="left"/>
              <w:rPr>
                <w:rFonts w:ascii="Times New Roman" w:hAnsi="Times New Roman"/>
                <w:sz w:val="20"/>
              </w:rPr>
            </w:pPr>
            <w:r>
              <w:rPr>
                <w:rFonts w:ascii="Times New Roman" w:hAnsi="Times New Roman"/>
                <w:sz w:val="20"/>
              </w:rPr>
              <w:t>Item 1.</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Financial Statements</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CCFFCC" w:val="clear"/>
            <w:tcMar>
              <w:bottom w:w="0" w:type="dxa"/>
            </w:tcMar>
            <w:vAlign w:val="bottom"/>
          </w:tcPr>
          <w:p>
            <w:pPr>
              <w:pStyle w:val="TableContents"/>
              <w:spacing w:lineRule="auto" w:line="300" w:before="0" w:after="0"/>
              <w:ind w:left="0" w:right="16" w:hanging="0"/>
              <w:jc w:val="right"/>
              <w:rPr>
                <w:rFonts w:ascii="Times New Roman" w:hAnsi="Times New Roman"/>
                <w:sz w:val="20"/>
              </w:rPr>
            </w:pPr>
            <w:r>
              <w:rPr>
                <w:rFonts w:ascii="Times New Roman" w:hAnsi="Times New Roman"/>
                <w:sz w:val="20"/>
              </w:rPr>
              <w:t>2</w:t>
            </w:r>
          </w:p>
        </w:tc>
      </w:tr>
      <w:tr>
        <w:trPr/>
        <w:tc>
          <w:tcPr>
            <w:tcW w:w="1503"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FFFFFF" w:val="clear"/>
            <w:tcMar>
              <w:bottom w:w="0" w:type="dxa"/>
            </w:tcMar>
            <w:vAlign w:val="bottom"/>
          </w:tcPr>
          <w:p>
            <w:pPr>
              <w:pStyle w:val="TableContents"/>
              <w:spacing w:lineRule="auto" w:line="300" w:before="0" w:after="0"/>
              <w:ind w:left="0" w:right="16" w:hanging="0"/>
              <w:jc w:val="right"/>
              <w:rPr/>
            </w:pPr>
            <w:r>
              <w:rPr/>
              <w:t> </w:t>
            </w:r>
          </w:p>
        </w:tc>
      </w:tr>
      <w:tr>
        <w:trPr/>
        <w:tc>
          <w:tcPr>
            <w:tcW w:w="1503" w:type="dxa"/>
            <w:tcBorders/>
            <w:shd w:fill="CCFFCC" w:val="clear"/>
            <w:tcMar>
              <w:bottom w:w="0" w:type="dxa"/>
            </w:tcMar>
            <w:vAlign w:val="bottom"/>
          </w:tcPr>
          <w:p>
            <w:pPr>
              <w:pStyle w:val="TableContents"/>
              <w:spacing w:lineRule="auto" w:line="300" w:before="0" w:after="0"/>
              <w:ind w:left="180" w:right="16" w:hanging="0"/>
              <w:jc w:val="left"/>
              <w:rPr/>
            </w:pPr>
            <w:r>
              <w:rPr/>
              <w:t> </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Condensed Consolidated Balance Sheets - June 30, 2008 (Unaudited) and December 31, 2007</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CCFFCC" w:val="clear"/>
            <w:tcMar>
              <w:bottom w:w="0" w:type="dxa"/>
            </w:tcMar>
            <w:vAlign w:val="bottom"/>
          </w:tcPr>
          <w:p>
            <w:pPr>
              <w:pStyle w:val="TableContents"/>
              <w:spacing w:lineRule="auto" w:line="300" w:before="0" w:after="0"/>
              <w:ind w:left="0" w:right="16" w:hanging="0"/>
              <w:jc w:val="right"/>
              <w:rPr>
                <w:rFonts w:ascii="Times New Roman" w:hAnsi="Times New Roman"/>
                <w:sz w:val="20"/>
              </w:rPr>
            </w:pPr>
            <w:r>
              <w:rPr>
                <w:rFonts w:ascii="Times New Roman" w:hAnsi="Times New Roman"/>
                <w:sz w:val="20"/>
              </w:rPr>
              <w:t>2</w:t>
            </w:r>
          </w:p>
        </w:tc>
      </w:tr>
      <w:tr>
        <w:trPr/>
        <w:tc>
          <w:tcPr>
            <w:tcW w:w="1503"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FFFFFF" w:val="clear"/>
            <w:tcMar>
              <w:bottom w:w="0" w:type="dxa"/>
            </w:tcMar>
            <w:vAlign w:val="bottom"/>
          </w:tcPr>
          <w:p>
            <w:pPr>
              <w:pStyle w:val="TableContents"/>
              <w:spacing w:lineRule="auto" w:line="300" w:before="0" w:after="0"/>
              <w:ind w:left="0" w:right="16" w:hanging="0"/>
              <w:jc w:val="right"/>
              <w:rPr/>
            </w:pPr>
            <w:r>
              <w:rPr/>
              <w:t> </w:t>
            </w:r>
          </w:p>
        </w:tc>
      </w:tr>
      <w:tr>
        <w:trPr/>
        <w:tc>
          <w:tcPr>
            <w:tcW w:w="1503" w:type="dxa"/>
            <w:tcBorders/>
            <w:shd w:fill="CCFFCC"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Unaudited Condensed Consolidated Statements of Operations for the three and six-month periods ended June 30, 2008 and 2007</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CCFFCC" w:val="clear"/>
            <w:tcMar>
              <w:bottom w:w="0" w:type="dxa"/>
            </w:tcMar>
            <w:vAlign w:val="bottom"/>
          </w:tcPr>
          <w:p>
            <w:pPr>
              <w:pStyle w:val="TableContents"/>
              <w:spacing w:lineRule="auto" w:line="300" w:before="0" w:after="0"/>
              <w:ind w:left="0" w:right="16" w:hanging="0"/>
              <w:jc w:val="right"/>
              <w:rPr>
                <w:rFonts w:ascii="Times New Roman" w:hAnsi="Times New Roman"/>
                <w:sz w:val="20"/>
              </w:rPr>
            </w:pPr>
            <w:r>
              <w:rPr>
                <w:rFonts w:ascii="Times New Roman" w:hAnsi="Times New Roman"/>
                <w:sz w:val="20"/>
              </w:rPr>
              <w:t>3</w:t>
            </w:r>
          </w:p>
        </w:tc>
      </w:tr>
      <w:tr>
        <w:trPr/>
        <w:tc>
          <w:tcPr>
            <w:tcW w:w="1503"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FFFFFF" w:val="clear"/>
            <w:tcMar>
              <w:bottom w:w="0" w:type="dxa"/>
            </w:tcMar>
            <w:vAlign w:val="bottom"/>
          </w:tcPr>
          <w:p>
            <w:pPr>
              <w:pStyle w:val="TableContents"/>
              <w:spacing w:lineRule="auto" w:line="300" w:before="0" w:after="0"/>
              <w:ind w:left="0" w:right="16" w:hanging="0"/>
              <w:jc w:val="right"/>
              <w:rPr/>
            </w:pPr>
            <w:r>
              <w:rPr/>
              <w:t> </w:t>
            </w:r>
          </w:p>
        </w:tc>
      </w:tr>
      <w:tr>
        <w:trPr/>
        <w:tc>
          <w:tcPr>
            <w:tcW w:w="1503" w:type="dxa"/>
            <w:tcBorders/>
            <w:shd w:fill="CCFFCC"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Unaudited Condensed Consolidated Statements of Cash Flows for the six-month periods ended June 30, 2008 and 2007</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CCFFCC" w:val="clear"/>
            <w:tcMar>
              <w:bottom w:w="0" w:type="dxa"/>
            </w:tcMar>
            <w:vAlign w:val="bottom"/>
          </w:tcPr>
          <w:p>
            <w:pPr>
              <w:pStyle w:val="TableContents"/>
              <w:spacing w:lineRule="auto" w:line="300" w:before="0" w:after="0"/>
              <w:ind w:left="0" w:right="16" w:hanging="0"/>
              <w:jc w:val="right"/>
              <w:rPr>
                <w:rFonts w:ascii="Times New Roman" w:hAnsi="Times New Roman"/>
                <w:sz w:val="20"/>
              </w:rPr>
            </w:pPr>
            <w:r>
              <w:rPr>
                <w:rFonts w:ascii="Times New Roman" w:hAnsi="Times New Roman"/>
                <w:sz w:val="20"/>
              </w:rPr>
              <w:t>4</w:t>
            </w:r>
          </w:p>
        </w:tc>
      </w:tr>
      <w:tr>
        <w:trPr/>
        <w:tc>
          <w:tcPr>
            <w:tcW w:w="1503"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FFFFFF" w:val="clear"/>
            <w:tcMar>
              <w:bottom w:w="0" w:type="dxa"/>
            </w:tcMar>
            <w:vAlign w:val="bottom"/>
          </w:tcPr>
          <w:p>
            <w:pPr>
              <w:pStyle w:val="TableContents"/>
              <w:spacing w:lineRule="auto" w:line="300" w:before="0" w:after="0"/>
              <w:ind w:left="0" w:right="16" w:hanging="0"/>
              <w:jc w:val="right"/>
              <w:rPr/>
            </w:pPr>
            <w:r>
              <w:rPr/>
              <w:t> </w:t>
            </w:r>
          </w:p>
        </w:tc>
      </w:tr>
      <w:tr>
        <w:trPr/>
        <w:tc>
          <w:tcPr>
            <w:tcW w:w="1503" w:type="dxa"/>
            <w:tcBorders/>
            <w:shd w:fill="CCFFCC"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Notes to the Unaudited Condensed Consolidated Financial Statements</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CCFFCC" w:val="clear"/>
            <w:tcMar>
              <w:bottom w:w="0" w:type="dxa"/>
            </w:tcMar>
            <w:vAlign w:val="bottom"/>
          </w:tcPr>
          <w:p>
            <w:pPr>
              <w:pStyle w:val="TableContents"/>
              <w:spacing w:lineRule="auto" w:line="300" w:before="0" w:after="0"/>
              <w:ind w:left="0" w:right="16" w:hanging="0"/>
              <w:jc w:val="right"/>
              <w:rPr>
                <w:rFonts w:ascii="Times New Roman" w:hAnsi="Times New Roman"/>
                <w:sz w:val="20"/>
              </w:rPr>
            </w:pPr>
            <w:r>
              <w:rPr>
                <w:rFonts w:ascii="Times New Roman" w:hAnsi="Times New Roman"/>
                <w:sz w:val="20"/>
              </w:rPr>
              <w:t>5</w:t>
            </w:r>
          </w:p>
        </w:tc>
      </w:tr>
      <w:tr>
        <w:trPr/>
        <w:tc>
          <w:tcPr>
            <w:tcW w:w="1503"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FFFFFF" w:val="clear"/>
            <w:tcMar>
              <w:bottom w:w="0" w:type="dxa"/>
            </w:tcMar>
            <w:vAlign w:val="bottom"/>
          </w:tcPr>
          <w:p>
            <w:pPr>
              <w:pStyle w:val="TableContents"/>
              <w:spacing w:lineRule="auto" w:line="300" w:before="0" w:after="0"/>
              <w:ind w:left="0" w:right="16" w:hanging="0"/>
              <w:jc w:val="right"/>
              <w:rPr/>
            </w:pPr>
            <w:r>
              <w:rPr/>
              <w:t> </w:t>
            </w:r>
          </w:p>
        </w:tc>
      </w:tr>
      <w:tr>
        <w:trPr/>
        <w:tc>
          <w:tcPr>
            <w:tcW w:w="1503" w:type="dxa"/>
            <w:tcBorders/>
            <w:shd w:fill="CCFFCC" w:val="clear"/>
            <w:tcMar>
              <w:bottom w:w="0" w:type="dxa"/>
            </w:tcMar>
            <w:vAlign w:val="bottom"/>
          </w:tcPr>
          <w:p>
            <w:pPr>
              <w:pStyle w:val="TableContents"/>
              <w:spacing w:lineRule="auto" w:line="300" w:before="0" w:after="0"/>
              <w:ind w:left="720" w:right="16" w:hanging="360"/>
              <w:jc w:val="left"/>
              <w:rPr>
                <w:rFonts w:ascii="Times New Roman" w:hAnsi="Times New Roman"/>
                <w:sz w:val="20"/>
              </w:rPr>
            </w:pPr>
            <w:r>
              <w:rPr>
                <w:rFonts w:ascii="Times New Roman" w:hAnsi="Times New Roman"/>
                <w:sz w:val="20"/>
              </w:rPr>
              <w:t>Item 2.</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Management’s Discussion and Analysis of Financial Condition and Results of Operations</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CCFFCC" w:val="clear"/>
            <w:tcMar>
              <w:bottom w:w="0" w:type="dxa"/>
            </w:tcMar>
            <w:vAlign w:val="bottom"/>
          </w:tcPr>
          <w:p>
            <w:pPr>
              <w:pStyle w:val="TableContents"/>
              <w:spacing w:lineRule="auto" w:line="300" w:before="0" w:after="0"/>
              <w:ind w:left="0" w:right="16" w:hanging="0"/>
              <w:jc w:val="right"/>
              <w:rPr>
                <w:rFonts w:ascii="Times New Roman" w:hAnsi="Times New Roman"/>
                <w:sz w:val="20"/>
              </w:rPr>
            </w:pPr>
            <w:r>
              <w:rPr>
                <w:rFonts w:ascii="Times New Roman" w:hAnsi="Times New Roman"/>
                <w:sz w:val="20"/>
              </w:rPr>
              <w:t>13</w:t>
            </w:r>
          </w:p>
        </w:tc>
      </w:tr>
      <w:tr>
        <w:trPr/>
        <w:tc>
          <w:tcPr>
            <w:tcW w:w="1503"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FFFFFF" w:val="clear"/>
            <w:tcMar>
              <w:bottom w:w="0" w:type="dxa"/>
            </w:tcMar>
            <w:vAlign w:val="bottom"/>
          </w:tcPr>
          <w:p>
            <w:pPr>
              <w:pStyle w:val="TableContents"/>
              <w:spacing w:lineRule="auto" w:line="300" w:before="0" w:after="0"/>
              <w:ind w:left="0" w:right="16" w:hanging="0"/>
              <w:jc w:val="right"/>
              <w:rPr/>
            </w:pPr>
            <w:r>
              <w:rPr/>
              <w:t> </w:t>
            </w:r>
          </w:p>
        </w:tc>
      </w:tr>
      <w:tr>
        <w:trPr/>
        <w:tc>
          <w:tcPr>
            <w:tcW w:w="1503" w:type="dxa"/>
            <w:tcBorders/>
            <w:shd w:fill="CCFFCC" w:val="clear"/>
            <w:tcMar>
              <w:bottom w:w="0" w:type="dxa"/>
            </w:tcMar>
            <w:vAlign w:val="bottom"/>
          </w:tcPr>
          <w:p>
            <w:pPr>
              <w:pStyle w:val="TableContents"/>
              <w:spacing w:lineRule="auto" w:line="300" w:before="0" w:after="0"/>
              <w:ind w:left="720" w:right="16" w:hanging="360"/>
              <w:jc w:val="left"/>
              <w:rPr>
                <w:rFonts w:ascii="Times New Roman" w:hAnsi="Times New Roman"/>
                <w:sz w:val="20"/>
              </w:rPr>
            </w:pPr>
            <w:r>
              <w:rPr>
                <w:rFonts w:ascii="Times New Roman" w:hAnsi="Times New Roman"/>
                <w:sz w:val="20"/>
              </w:rPr>
              <w:t>Item 4T.</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Controls and Procedures</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CCFFCC" w:val="clear"/>
            <w:tcMar>
              <w:bottom w:w="0" w:type="dxa"/>
            </w:tcMar>
            <w:vAlign w:val="bottom"/>
          </w:tcPr>
          <w:p>
            <w:pPr>
              <w:pStyle w:val="TableContents"/>
              <w:spacing w:lineRule="auto" w:line="300" w:before="0" w:after="0"/>
              <w:ind w:left="0" w:right="16" w:hanging="0"/>
              <w:jc w:val="right"/>
              <w:rPr>
                <w:rFonts w:ascii="Times New Roman" w:hAnsi="Times New Roman"/>
                <w:sz w:val="20"/>
              </w:rPr>
            </w:pPr>
            <w:r>
              <w:rPr>
                <w:rFonts w:ascii="Times New Roman" w:hAnsi="Times New Roman"/>
                <w:sz w:val="20"/>
              </w:rPr>
              <w:t>15</w:t>
            </w:r>
          </w:p>
        </w:tc>
      </w:tr>
      <w:tr>
        <w:trPr/>
        <w:tc>
          <w:tcPr>
            <w:tcW w:w="1503"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FFFFFF" w:val="clear"/>
            <w:tcMar>
              <w:bottom w:w="0" w:type="dxa"/>
            </w:tcMar>
            <w:vAlign w:val="bottom"/>
          </w:tcPr>
          <w:p>
            <w:pPr>
              <w:pStyle w:val="TableContents"/>
              <w:spacing w:lineRule="auto" w:line="300" w:before="0" w:after="0"/>
              <w:ind w:left="0" w:right="16" w:hanging="0"/>
              <w:jc w:val="right"/>
              <w:rPr/>
            </w:pPr>
            <w:r>
              <w:rPr/>
              <w:t> </w:t>
            </w:r>
          </w:p>
        </w:tc>
      </w:tr>
      <w:tr>
        <w:trPr/>
        <w:tc>
          <w:tcPr>
            <w:tcW w:w="1503" w:type="dxa"/>
            <w:tcBorders/>
            <w:shd w:fill="CCFFCC" w:val="clear"/>
            <w:tcMar>
              <w:bottom w:w="0" w:type="dxa"/>
            </w:tcMar>
            <w:vAlign w:val="bottom"/>
          </w:tcPr>
          <w:p>
            <w:pPr>
              <w:pStyle w:val="TableContents"/>
              <w:spacing w:lineRule="auto" w:line="300" w:before="0" w:after="0"/>
              <w:ind w:left="360" w:right="16" w:hanging="360"/>
              <w:jc w:val="left"/>
              <w:rPr>
                <w:rFonts w:ascii="Times New Roman" w:hAnsi="Times New Roman"/>
                <w:sz w:val="20"/>
              </w:rPr>
            </w:pPr>
            <w:r>
              <w:rPr>
                <w:rFonts w:ascii="Times New Roman" w:hAnsi="Times New Roman"/>
                <w:sz w:val="20"/>
              </w:rPr>
              <w:t>Part II</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OTHER INFORMATION</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CCFFCC" w:val="clear"/>
            <w:tcMar>
              <w:bottom w:w="0" w:type="dxa"/>
            </w:tcMar>
            <w:vAlign w:val="bottom"/>
          </w:tcPr>
          <w:p>
            <w:pPr>
              <w:pStyle w:val="TableContents"/>
              <w:spacing w:lineRule="auto" w:line="300" w:before="0" w:after="0"/>
              <w:ind w:left="0" w:right="16" w:hanging="0"/>
              <w:jc w:val="right"/>
              <w:rPr>
                <w:rFonts w:ascii="Times New Roman" w:hAnsi="Times New Roman"/>
                <w:sz w:val="20"/>
              </w:rPr>
            </w:pPr>
            <w:r>
              <w:rPr>
                <w:rFonts w:ascii="Times New Roman" w:hAnsi="Times New Roman"/>
                <w:sz w:val="20"/>
              </w:rPr>
              <w:t>16</w:t>
            </w:r>
          </w:p>
        </w:tc>
      </w:tr>
      <w:tr>
        <w:trPr/>
        <w:tc>
          <w:tcPr>
            <w:tcW w:w="1503"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FFFFFF" w:val="clear"/>
            <w:tcMar>
              <w:bottom w:w="0" w:type="dxa"/>
            </w:tcMar>
            <w:vAlign w:val="bottom"/>
          </w:tcPr>
          <w:p>
            <w:pPr>
              <w:pStyle w:val="TableContents"/>
              <w:spacing w:lineRule="auto" w:line="300" w:before="0" w:after="0"/>
              <w:ind w:left="0" w:right="16" w:hanging="0"/>
              <w:jc w:val="right"/>
              <w:rPr/>
            </w:pPr>
            <w:r>
              <w:rPr/>
              <w:t> </w:t>
            </w:r>
          </w:p>
        </w:tc>
      </w:tr>
      <w:tr>
        <w:trPr/>
        <w:tc>
          <w:tcPr>
            <w:tcW w:w="1503" w:type="dxa"/>
            <w:tcBorders/>
            <w:shd w:fill="CCFFCC" w:val="clear"/>
            <w:tcMar>
              <w:bottom w:w="0" w:type="dxa"/>
            </w:tcMar>
            <w:vAlign w:val="bottom"/>
          </w:tcPr>
          <w:p>
            <w:pPr>
              <w:pStyle w:val="TableContents"/>
              <w:spacing w:lineRule="auto" w:line="300" w:before="0" w:after="0"/>
              <w:ind w:left="720" w:right="16" w:hanging="360"/>
              <w:jc w:val="left"/>
              <w:rPr>
                <w:rFonts w:ascii="Times New Roman" w:hAnsi="Times New Roman"/>
                <w:sz w:val="20"/>
              </w:rPr>
            </w:pPr>
            <w:r>
              <w:rPr>
                <w:rFonts w:ascii="Times New Roman" w:hAnsi="Times New Roman"/>
                <w:sz w:val="20"/>
              </w:rPr>
              <w:t>Item 2.</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Unregistered Sales of Equity Securities and Use of Proceeds</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CCFFCC" w:val="clear"/>
            <w:tcMar>
              <w:bottom w:w="0" w:type="dxa"/>
            </w:tcMar>
            <w:vAlign w:val="bottom"/>
          </w:tcPr>
          <w:p>
            <w:pPr>
              <w:pStyle w:val="TableContents"/>
              <w:spacing w:lineRule="auto" w:line="300" w:before="0" w:after="0"/>
              <w:ind w:left="0" w:right="16" w:hanging="0"/>
              <w:jc w:val="right"/>
              <w:rPr>
                <w:rFonts w:ascii="Times New Roman" w:hAnsi="Times New Roman"/>
                <w:sz w:val="20"/>
              </w:rPr>
            </w:pPr>
            <w:r>
              <w:rPr>
                <w:rFonts w:ascii="Times New Roman" w:hAnsi="Times New Roman"/>
                <w:sz w:val="20"/>
              </w:rPr>
              <w:t>16</w:t>
            </w:r>
          </w:p>
        </w:tc>
      </w:tr>
      <w:tr>
        <w:trPr/>
        <w:tc>
          <w:tcPr>
            <w:tcW w:w="1503"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214"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FFFFFF" w:val="clear"/>
            <w:tcMar>
              <w:bottom w:w="0" w:type="dxa"/>
            </w:tcMar>
            <w:vAlign w:val="bottom"/>
          </w:tcPr>
          <w:p>
            <w:pPr>
              <w:pStyle w:val="TableContents"/>
              <w:spacing w:lineRule="auto" w:line="300" w:before="0" w:after="0"/>
              <w:ind w:left="0" w:right="16" w:hanging="0"/>
              <w:jc w:val="right"/>
              <w:rPr/>
            </w:pPr>
            <w:r>
              <w:rPr/>
              <w:t> </w:t>
            </w:r>
          </w:p>
        </w:tc>
      </w:tr>
      <w:tr>
        <w:trPr/>
        <w:tc>
          <w:tcPr>
            <w:tcW w:w="1503" w:type="dxa"/>
            <w:tcBorders/>
            <w:shd w:fill="CCFFCC" w:val="clear"/>
            <w:tcMar>
              <w:bottom w:w="0" w:type="dxa"/>
            </w:tcMar>
            <w:vAlign w:val="bottom"/>
          </w:tcPr>
          <w:p>
            <w:pPr>
              <w:pStyle w:val="TableContents"/>
              <w:spacing w:lineRule="auto" w:line="300" w:before="0" w:after="0"/>
              <w:ind w:left="720" w:right="16" w:hanging="360"/>
              <w:jc w:val="left"/>
              <w:rPr>
                <w:rFonts w:ascii="Times New Roman" w:hAnsi="Times New Roman"/>
                <w:sz w:val="20"/>
              </w:rPr>
            </w:pPr>
            <w:r>
              <w:rPr>
                <w:rFonts w:ascii="Times New Roman" w:hAnsi="Times New Roman"/>
                <w:sz w:val="20"/>
              </w:rPr>
              <w:t>Item 6.</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7737"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Exhibits</w:t>
            </w:r>
          </w:p>
        </w:tc>
        <w:tc>
          <w:tcPr>
            <w:tcW w:w="214"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537" w:type="dxa"/>
            <w:tcBorders/>
            <w:shd w:fill="CCFFCC" w:val="clear"/>
            <w:tcMar>
              <w:bottom w:w="0" w:type="dxa"/>
            </w:tcMar>
            <w:vAlign w:val="bottom"/>
          </w:tcPr>
          <w:p>
            <w:pPr>
              <w:pStyle w:val="TableContents"/>
              <w:spacing w:lineRule="auto" w:line="300" w:before="0" w:after="0"/>
              <w:ind w:left="0" w:right="16" w:hanging="0"/>
              <w:jc w:val="right"/>
              <w:rPr>
                <w:rFonts w:ascii="Times New Roman" w:hAnsi="Times New Roman"/>
                <w:sz w:val="20"/>
              </w:rPr>
            </w:pPr>
            <w:r>
              <w:rPr>
                <w:rFonts w:ascii="Times New Roman" w:hAnsi="Times New Roman"/>
                <w:sz w:val="20"/>
              </w:rPr>
              <w:t>16</w:t>
            </w:r>
          </w:p>
        </w:tc>
      </w:tr>
    </w:tbl>
    <w:p>
      <w:pPr>
        <w:pStyle w:val="TextBody"/>
        <w:spacing w:lineRule="auto" w:line="300"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 w:name="FTR"/>
      <w:bookmarkStart w:id="8" w:name="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 w:name="GLFTR"/>
      <w:bookmarkStart w:id="10" w:name="GLFTR"/>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1" w:name="PN"/>
      <w:bookmarkEnd w:id="11"/>
      <w:r>
        <w:rPr>
          <w:sz w:val="20"/>
        </w:rPr>
        <w:t>i</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 w:name="HDR"/>
      <w:bookmarkStart w:id="13" w:name="HD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 w:name="GLHDR"/>
      <w:bookmarkStart w:id="15" w:name="GLHDR"/>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bookmarkStart w:id="16" w:name="FIS_PART_I"/>
      <w:bookmarkEnd w:id="16"/>
      <w:r>
        <w:rPr>
          <w:rStyle w:val="StrongEmphasis"/>
          <w:rFonts w:ascii="Times New Roman" w:hAnsi="Times New Roman"/>
          <w:sz w:val="20"/>
        </w:rPr>
        <w:t>PART I</w:t>
      </w:r>
    </w:p>
    <w:p>
      <w:pPr>
        <w:pStyle w:val="TextBody"/>
        <w:spacing w:lineRule="auto" w:line="300" w:before="0" w:after="0"/>
        <w:ind w:left="0" w:right="0" w:hanging="0"/>
        <w:jc w:val="center"/>
        <w:rPr/>
      </w:pPr>
      <w:r>
        <w:rPr>
          <w:rStyle w:val="StrongEmphasis"/>
          <w:rFonts w:ascii="Times New Roman" w:hAnsi="Times New Roman"/>
          <w:sz w:val="20"/>
        </w:rPr>
        <w:t>FINANCIAL INFORMATION</w:t>
      </w:r>
    </w:p>
    <w:p>
      <w:pPr>
        <w:pStyle w:val="TextBody"/>
        <w:spacing w:lineRule="auto" w:line="300" w:before="0" w:after="0"/>
        <w:ind w:left="0" w:right="0" w:hanging="0"/>
        <w:jc w:val="both"/>
        <w:rPr/>
      </w:pPr>
      <w:bookmarkStart w:id="17" w:name="FIS_FINANCIAL_STATEMENTS"/>
      <w:bookmarkEnd w:id="17"/>
      <w:r>
        <w:rPr/>
        <w:t> </w:t>
      </w:r>
    </w:p>
    <w:p>
      <w:pPr>
        <w:pStyle w:val="TextBody"/>
        <w:spacing w:lineRule="auto" w:line="300" w:before="0" w:after="0"/>
        <w:ind w:left="0" w:right="0" w:hanging="0"/>
        <w:jc w:val="left"/>
        <w:rPr/>
      </w:pPr>
      <w:r>
        <w:rPr>
          <w:rStyle w:val="StrongEmphasis"/>
          <w:rFonts w:ascii="Times New Roman" w:hAnsi="Times New Roman"/>
          <w:sz w:val="20"/>
        </w:rPr>
        <w:t>Item 1.</w:t>
      </w:r>
      <w:r>
        <w:rPr/>
        <w:t> </w:t>
      </w:r>
      <w:r>
        <w:rPr>
          <w:rStyle w:val="StrongEmphasis"/>
          <w:rFonts w:ascii="Times New Roman" w:hAnsi="Times New Roman"/>
          <w:sz w:val="20"/>
        </w:rPr>
        <w:t>Financial Statements.</w:t>
      </w:r>
    </w:p>
    <w:p>
      <w:pPr>
        <w:pStyle w:val="TextBody"/>
        <w:spacing w:lineRule="auto" w:line="300" w:before="0" w:after="0"/>
        <w:ind w:left="0" w:right="0" w:hanging="0"/>
        <w:jc w:val="both"/>
        <w:rPr/>
      </w:pPr>
      <w:bookmarkStart w:id="18" w:name="FIS_BALANCE_SHEET"/>
      <w:bookmarkEnd w:id="18"/>
      <w:r>
        <w:rPr/>
        <w:t> </w:t>
      </w:r>
    </w:p>
    <w:p>
      <w:pPr>
        <w:pStyle w:val="TextBody"/>
        <w:spacing w:lineRule="auto" w:line="300" w:before="0" w:after="0"/>
        <w:ind w:left="0" w:right="0" w:hanging="0"/>
        <w:jc w:val="center"/>
        <w:rPr/>
      </w:pPr>
      <w:r>
        <w:rPr>
          <w:rStyle w:val="StrongEmphasis"/>
          <w:rFonts w:ascii="Times New Roman" w:hAnsi="Times New Roman"/>
          <w:sz w:val="20"/>
        </w:rPr>
        <w:t>TRANSDEL PHARMACEUTICALS, INC.</w:t>
      </w:r>
    </w:p>
    <w:p>
      <w:pPr>
        <w:pStyle w:val="TextBody"/>
        <w:spacing w:lineRule="auto" w:line="300" w:before="0" w:after="0"/>
        <w:ind w:left="0" w:right="0" w:hanging="0"/>
        <w:jc w:val="center"/>
        <w:rPr/>
      </w:pPr>
      <w:r>
        <w:rPr>
          <w:rStyle w:val="StrongEmphasis"/>
          <w:rFonts w:ascii="Times New Roman" w:hAnsi="Times New Roman"/>
          <w:sz w:val="20"/>
        </w:rPr>
        <w:t>(A Development Stage Company)</w:t>
      </w:r>
    </w:p>
    <w:p>
      <w:pPr>
        <w:pStyle w:val="TextBody"/>
        <w:spacing w:lineRule="auto" w:line="300" w:before="0" w:after="0"/>
        <w:ind w:left="0" w:right="0" w:hanging="0"/>
        <w:jc w:val="center"/>
        <w:rPr/>
      </w:pPr>
      <w:r>
        <w:rPr>
          <w:rStyle w:val="StrongEmphasis"/>
          <w:rFonts w:ascii="Times New Roman" w:hAnsi="Times New Roman"/>
          <w:sz w:val="20"/>
        </w:rPr>
        <w:t>CONDENSED CONSOLIDATED BALANCE SHEETS</w:t>
      </w:r>
    </w:p>
    <w:p>
      <w:pPr>
        <w:pStyle w:val="TextBody"/>
        <w:spacing w:lineRule="auto" w:line="300" w:before="0" w:after="0"/>
        <w:ind w:left="0" w:right="0" w:hanging="0"/>
        <w:jc w:val="center"/>
        <w:rPr/>
      </w:pPr>
      <w:r>
        <w:rPr/>
        <w:t> </w:t>
      </w:r>
    </w:p>
    <w:p>
      <w:pPr>
        <w:pStyle w:val="Normal"/>
        <w:spacing w:before="0" w:after="0"/>
        <w:rPr>
          <w:sz w:val="4"/>
          <w:szCs w:val="4"/>
        </w:rPr>
      </w:pPr>
      <w:r>
        <w:rPr>
          <w:sz w:val="4"/>
          <w:szCs w:val="4"/>
        </w:rPr>
      </w:r>
      <w:bookmarkStart w:id="19" w:name="ftable"/>
      <w:bookmarkStart w:id="20" w:name="ftable"/>
      <w:bookmarkEnd w:id="20"/>
    </w:p>
    <w:tbl>
      <w:tblPr>
        <w:tblW w:w="5000" w:type="pct"/>
        <w:jc w:val="left"/>
        <w:tblInd w:w="0" w:type="dxa"/>
        <w:tblCellMar>
          <w:top w:w="0" w:type="dxa"/>
          <w:left w:w="0" w:type="dxa"/>
          <w:bottom w:w="28" w:type="dxa"/>
          <w:right w:w="0" w:type="dxa"/>
        </w:tblCellMar>
      </w:tblPr>
      <w:tblGrid>
        <w:gridCol w:w="6884"/>
        <w:gridCol w:w="197"/>
        <w:gridCol w:w="127"/>
        <w:gridCol w:w="1273"/>
        <w:gridCol w:w="203"/>
        <w:gridCol w:w="127"/>
        <w:gridCol w:w="1273"/>
        <w:gridCol w:w="121"/>
      </w:tblGrid>
      <w:tr>
        <w:trPr/>
        <w:tc>
          <w:tcPr>
            <w:tcW w:w="6884" w:type="dxa"/>
            <w:tcBorders>
              <w:bottom w:val="single" w:sz="4" w:space="0" w:color="FFFFFF"/>
            </w:tcBorders>
            <w:shd w:fill="auto" w:val="clear"/>
            <w:vAlign w:val="bottom"/>
          </w:tcPr>
          <w:p>
            <w:pPr>
              <w:pStyle w:val="TableContents"/>
              <w:spacing w:lineRule="auto" w:line="300" w:before="0" w:after="0"/>
              <w:ind w:left="0" w:right="16" w:hanging="0"/>
              <w:jc w:val="left"/>
              <w:rPr/>
            </w:pPr>
            <w:r>
              <w:rPr/>
              <w:t> </w:t>
            </w:r>
          </w:p>
        </w:tc>
        <w:tc>
          <w:tcPr>
            <w:tcW w:w="197" w:type="dxa"/>
            <w:tcBorders>
              <w:bottom w:val="single" w:sz="4" w:space="0" w:color="FFFFFF"/>
            </w:tcBorders>
            <w:shd w:fill="auto" w:val="clear"/>
            <w:vAlign w:val="center"/>
          </w:tcPr>
          <w:p>
            <w:pPr>
              <w:pStyle w:val="TableContents"/>
              <w:spacing w:before="0" w:after="283"/>
              <w:rPr/>
            </w:pPr>
            <w:r>
              <w:rPr/>
              <w:t> </w:t>
            </w:r>
          </w:p>
        </w:tc>
        <w:tc>
          <w:tcPr>
            <w:tcW w:w="1400" w:type="dxa"/>
            <w:gridSpan w:val="2"/>
            <w:tcBorders>
              <w:bottom w:val="single" w:sz="2" w:space="0" w:color="000000"/>
            </w:tcBorders>
            <w:shd w:fill="auto" w:val="clear"/>
            <w:vAlign w:val="bottom"/>
          </w:tcPr>
          <w:p>
            <w:pPr>
              <w:pStyle w:val="TableContents"/>
              <w:spacing w:lineRule="auto" w:line="300" w:before="0" w:after="0"/>
              <w:ind w:left="0" w:right="72" w:hanging="0"/>
              <w:jc w:val="center"/>
              <w:rPr/>
            </w:pPr>
            <w:r>
              <w:rPr>
                <w:rStyle w:val="StrongEmphasis"/>
                <w:rFonts w:ascii="Times New Roman" w:hAnsi="Times New Roman"/>
                <w:sz w:val="20"/>
              </w:rPr>
              <w:t>June 30,</w:t>
            </w:r>
          </w:p>
          <w:p>
            <w:pPr>
              <w:pStyle w:val="TableContents"/>
              <w:spacing w:lineRule="auto" w:line="300" w:before="0" w:after="0"/>
              <w:jc w:val="center"/>
              <w:rPr/>
            </w:pPr>
            <w:r>
              <w:rPr>
                <w:rStyle w:val="StrongEmphasis"/>
                <w:rFonts w:ascii="Times New Roman" w:hAnsi="Times New Roman"/>
                <w:sz w:val="20"/>
              </w:rPr>
              <w:t>2008</w:t>
            </w:r>
          </w:p>
        </w:tc>
        <w:tc>
          <w:tcPr>
            <w:tcW w:w="203" w:type="dxa"/>
            <w:tcBorders>
              <w:bottom w:val="single" w:sz="4" w:space="0" w:color="FFFFFF"/>
            </w:tcBorders>
            <w:shd w:fill="auto" w:val="clear"/>
            <w:vAlign w:val="bottom"/>
          </w:tcPr>
          <w:p>
            <w:pPr>
              <w:pStyle w:val="TableContents"/>
              <w:spacing w:before="0" w:after="283"/>
              <w:jc w:val="left"/>
              <w:rPr/>
            </w:pPr>
            <w:r>
              <w:rPr/>
              <w:t> </w:t>
            </w:r>
          </w:p>
        </w:tc>
        <w:tc>
          <w:tcPr>
            <w:tcW w:w="1400" w:type="dxa"/>
            <w:gridSpan w:val="2"/>
            <w:tcBorders>
              <w:bottom w:val="single" w:sz="2" w:space="0" w:color="000000"/>
            </w:tcBorders>
            <w:shd w:fill="auto" w:val="clear"/>
            <w:vAlign w:val="bottom"/>
          </w:tcPr>
          <w:p>
            <w:pPr>
              <w:pStyle w:val="TableContents"/>
              <w:spacing w:lineRule="auto" w:line="300" w:before="0" w:after="0"/>
              <w:ind w:left="0" w:right="72" w:hanging="0"/>
              <w:jc w:val="center"/>
              <w:rPr/>
            </w:pPr>
            <w:r>
              <w:rPr>
                <w:rStyle w:val="StrongEmphasis"/>
                <w:rFonts w:ascii="Times New Roman" w:hAnsi="Times New Roman"/>
                <w:sz w:val="20"/>
              </w:rPr>
              <w:t>December 31,</w:t>
            </w:r>
          </w:p>
          <w:p>
            <w:pPr>
              <w:pStyle w:val="TableContents"/>
              <w:spacing w:lineRule="auto" w:line="300" w:before="0" w:after="0"/>
              <w:jc w:val="center"/>
              <w:rPr/>
            </w:pPr>
            <w:r>
              <w:rPr>
                <w:rStyle w:val="StrongEmphasis"/>
                <w:rFonts w:ascii="Times New Roman" w:hAnsi="Times New Roman"/>
                <w:sz w:val="20"/>
              </w:rPr>
              <w:t>2007</w:t>
            </w:r>
          </w:p>
        </w:tc>
        <w:tc>
          <w:tcPr>
            <w:tcW w:w="121" w:type="dxa"/>
            <w:tcBorders>
              <w:bottom w:val="single" w:sz="4" w:space="0" w:color="FFFFFF"/>
            </w:tcBorders>
            <w:shd w:fill="auto" w:val="clear"/>
            <w:vAlign w:val="bottom"/>
          </w:tcPr>
          <w:p>
            <w:pPr>
              <w:pStyle w:val="TableContents"/>
              <w:spacing w:before="0" w:after="283"/>
              <w:jc w:val="left"/>
              <w:rPr/>
            </w:pPr>
            <w:r>
              <w:rPr/>
              <w:t> </w:t>
            </w:r>
          </w:p>
        </w:tc>
      </w:tr>
      <w:tr>
        <w:trPr/>
        <w:tc>
          <w:tcPr>
            <w:tcW w:w="6884" w:type="dxa"/>
            <w:tcBorders/>
            <w:shd w:fill="auto" w:val="clear"/>
            <w:tcMar>
              <w:bottom w:w="0" w:type="dxa"/>
            </w:tcMar>
            <w:vAlign w:val="bottom"/>
          </w:tcPr>
          <w:p>
            <w:pPr>
              <w:pStyle w:val="TableContents"/>
              <w:spacing w:lineRule="auto" w:line="300" w:before="0" w:after="0"/>
              <w:ind w:left="0" w:right="16" w:hanging="0"/>
              <w:jc w:val="left"/>
              <w:rPr/>
            </w:pPr>
            <w:r>
              <w:rPr/>
              <w:t> </w:t>
            </w:r>
          </w:p>
        </w:tc>
        <w:tc>
          <w:tcPr>
            <w:tcW w:w="197" w:type="dxa"/>
            <w:tcBorders/>
            <w:shd w:fill="auto" w:val="clear"/>
            <w:tcMar>
              <w:bottom w:w="0" w:type="dxa"/>
            </w:tcMar>
            <w:vAlign w:val="center"/>
          </w:tcPr>
          <w:p>
            <w:pPr>
              <w:pStyle w:val="TableContents"/>
              <w:spacing w:before="0" w:after="283"/>
              <w:rPr/>
            </w:pPr>
            <w:r>
              <w:rPr/>
              <w:t> </w:t>
            </w:r>
          </w:p>
        </w:tc>
        <w:tc>
          <w:tcPr>
            <w:tcW w:w="1400" w:type="dxa"/>
            <w:gridSpan w:val="2"/>
            <w:tcBorders/>
            <w:shd w:fill="auto" w:val="clear"/>
            <w:tcMar>
              <w:bottom w:w="0" w:type="dxa"/>
            </w:tcMar>
            <w:vAlign w:val="bottom"/>
          </w:tcPr>
          <w:p>
            <w:pPr>
              <w:pStyle w:val="TableContents"/>
              <w:spacing w:lineRule="auto" w:line="300" w:before="0" w:after="0"/>
              <w:ind w:left="0" w:right="36" w:hanging="0"/>
              <w:jc w:val="center"/>
              <w:rPr/>
            </w:pPr>
            <w:r>
              <w:rPr>
                <w:rStyle w:val="StrongEmphasis"/>
                <w:rFonts w:ascii="Times New Roman" w:hAnsi="Times New Roman"/>
                <w:sz w:val="20"/>
              </w:rPr>
              <w:t>(Unaudited)</w:t>
            </w:r>
          </w:p>
        </w:tc>
        <w:tc>
          <w:tcPr>
            <w:tcW w:w="203" w:type="dxa"/>
            <w:tcBorders/>
            <w:shd w:fill="auto" w:val="clear"/>
            <w:tcMar>
              <w:bottom w:w="0" w:type="dxa"/>
            </w:tcMar>
            <w:vAlign w:val="bottom"/>
          </w:tcPr>
          <w:p>
            <w:pPr>
              <w:pStyle w:val="TableContents"/>
              <w:spacing w:before="0" w:after="283"/>
              <w:jc w:val="left"/>
              <w:rPr/>
            </w:pPr>
            <w:r>
              <w:rPr/>
              <w:t> </w:t>
            </w:r>
          </w:p>
        </w:tc>
        <w:tc>
          <w:tcPr>
            <w:tcW w:w="1400" w:type="dxa"/>
            <w:gridSpan w:val="2"/>
            <w:tcBorders/>
            <w:shd w:fill="auto" w:val="clear"/>
            <w:tcMar>
              <w:bottom w:w="0" w:type="dxa"/>
            </w:tcMar>
            <w:vAlign w:val="bottom"/>
          </w:tcPr>
          <w:p>
            <w:pPr>
              <w:pStyle w:val="TableContents"/>
              <w:spacing w:lineRule="auto" w:line="300" w:before="0" w:after="0"/>
              <w:ind w:left="0" w:right="36" w:hanging="0"/>
              <w:jc w:val="left"/>
              <w:rPr/>
            </w:pPr>
            <w:r>
              <w:rPr/>
              <w:t> </w:t>
            </w:r>
          </w:p>
        </w:tc>
        <w:tc>
          <w:tcPr>
            <w:tcW w:w="121" w:type="dxa"/>
            <w:tcBorders/>
            <w:shd w:fill="auto" w:val="clear"/>
            <w:tcMar>
              <w:bottom w:w="0" w:type="dxa"/>
            </w:tcMar>
            <w:vAlign w:val="bottom"/>
          </w:tcPr>
          <w:p>
            <w:pPr>
              <w:pStyle w:val="TableContents"/>
              <w:spacing w:before="0" w:after="283"/>
              <w:jc w:val="left"/>
              <w:rPr/>
            </w:pPr>
            <w:r>
              <w:rPr/>
              <w:t> </w:t>
            </w:r>
          </w:p>
        </w:tc>
      </w:tr>
      <w:tr>
        <w:trPr/>
        <w:tc>
          <w:tcPr>
            <w:tcW w:w="6884" w:type="dxa"/>
            <w:tcBorders/>
            <w:shd w:fill="CCFFCC" w:val="clear"/>
            <w:tcMar>
              <w:bottom w:w="0" w:type="dxa"/>
            </w:tcMar>
            <w:vAlign w:val="bottom"/>
          </w:tcPr>
          <w:p>
            <w:pPr>
              <w:pStyle w:val="TableContents"/>
              <w:spacing w:lineRule="auto" w:line="300" w:before="0" w:after="0"/>
              <w:ind w:left="0" w:right="16" w:hanging="0"/>
              <w:jc w:val="left"/>
              <w:rPr/>
            </w:pPr>
            <w:r>
              <w:rPr>
                <w:rStyle w:val="StrongEmphasis"/>
                <w:rFonts w:ascii="Times New Roman" w:hAnsi="Times New Roman"/>
                <w:sz w:val="20"/>
              </w:rPr>
              <w:t>ASSETS</w:t>
            </w:r>
          </w:p>
        </w:tc>
        <w:tc>
          <w:tcPr>
            <w:tcW w:w="197" w:type="dxa"/>
            <w:tcBorders/>
            <w:shd w:fill="CCFFCC" w:val="clear"/>
            <w:tcMar>
              <w:bottom w:w="0" w:type="dxa"/>
            </w:tcMar>
            <w:vAlign w:val="center"/>
          </w:tcPr>
          <w:p>
            <w:pPr>
              <w:pStyle w:val="TableContents"/>
              <w:spacing w:before="0" w:after="283"/>
              <w:rPr/>
            </w:pPr>
            <w:r>
              <w:rPr/>
              <w:t> </w:t>
            </w:r>
          </w:p>
        </w:tc>
        <w:tc>
          <w:tcPr>
            <w:tcW w:w="1400" w:type="dxa"/>
            <w:gridSpan w:val="2"/>
            <w:tcBorders/>
            <w:shd w:fill="CCFFCC" w:val="clear"/>
            <w:tcMar>
              <w:bottom w:w="0" w:type="dxa"/>
            </w:tcMar>
            <w:vAlign w:val="bottom"/>
          </w:tcPr>
          <w:p>
            <w:pPr>
              <w:pStyle w:val="TableContents"/>
              <w:spacing w:lineRule="auto" w:line="300" w:before="0" w:after="0"/>
              <w:ind w:left="0" w:right="16" w:hanging="0"/>
              <w:jc w:val="right"/>
              <w:rPr/>
            </w:pPr>
            <w:r>
              <w:rPr/>
              <w:t> </w:t>
            </w:r>
          </w:p>
        </w:tc>
        <w:tc>
          <w:tcPr>
            <w:tcW w:w="203" w:type="dxa"/>
            <w:tcBorders/>
            <w:shd w:fill="CCFFCC" w:val="clear"/>
            <w:tcMar>
              <w:bottom w:w="0" w:type="dxa"/>
            </w:tcMar>
            <w:vAlign w:val="bottom"/>
          </w:tcPr>
          <w:p>
            <w:pPr>
              <w:pStyle w:val="TableContents"/>
              <w:spacing w:before="0" w:after="283"/>
              <w:jc w:val="left"/>
              <w:rPr/>
            </w:pPr>
            <w:r>
              <w:rPr/>
              <w:t> </w:t>
            </w:r>
          </w:p>
        </w:tc>
        <w:tc>
          <w:tcPr>
            <w:tcW w:w="1400" w:type="dxa"/>
            <w:gridSpan w:val="2"/>
            <w:tcBorders/>
            <w:shd w:fill="CCFFCC" w:val="clear"/>
            <w:tcMar>
              <w:bottom w:w="0" w:type="dxa"/>
            </w:tcMar>
            <w:vAlign w:val="bottom"/>
          </w:tcPr>
          <w:p>
            <w:pPr>
              <w:pStyle w:val="TableContents"/>
              <w:spacing w:lineRule="auto" w:line="300" w:before="0" w:after="0"/>
              <w:ind w:left="0" w:right="16" w:hanging="0"/>
              <w:jc w:val="right"/>
              <w:rPr/>
            </w:pPr>
            <w:r>
              <w:rPr/>
              <w:t> </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6884" w:type="dxa"/>
            <w:tcBorders/>
            <w:shd w:fill="FFFFFF"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Current assets:</w:t>
            </w:r>
          </w:p>
        </w:tc>
        <w:tc>
          <w:tcPr>
            <w:tcW w:w="197" w:type="dxa"/>
            <w:tcBorders/>
            <w:shd w:fill="FFFFFF" w:val="clear"/>
            <w:tcMar>
              <w:bottom w:w="0" w:type="dxa"/>
            </w:tcMar>
            <w:vAlign w:val="center"/>
          </w:tcPr>
          <w:p>
            <w:pPr>
              <w:pStyle w:val="TableContents"/>
              <w:spacing w:before="0" w:after="283"/>
              <w:rPr/>
            </w:pPr>
            <w:r>
              <w:rPr/>
              <w:t> </w:t>
            </w:r>
          </w:p>
        </w:tc>
        <w:tc>
          <w:tcPr>
            <w:tcW w:w="1400" w:type="dxa"/>
            <w:gridSpan w:val="2"/>
            <w:tcBorders/>
            <w:shd w:fill="FFFFFF" w:val="clear"/>
            <w:tcMar>
              <w:bottom w:w="0" w:type="dxa"/>
            </w:tcMar>
            <w:vAlign w:val="bottom"/>
          </w:tcPr>
          <w:p>
            <w:pPr>
              <w:pStyle w:val="TableContents"/>
              <w:spacing w:lineRule="auto" w:line="300" w:before="0" w:after="0"/>
              <w:ind w:left="0" w:right="16" w:hanging="0"/>
              <w:jc w:val="right"/>
              <w:rPr/>
            </w:pPr>
            <w:r>
              <w:rPr/>
              <w:t> </w:t>
            </w:r>
          </w:p>
        </w:tc>
        <w:tc>
          <w:tcPr>
            <w:tcW w:w="203" w:type="dxa"/>
            <w:tcBorders/>
            <w:shd w:fill="FFFFFF" w:val="clear"/>
            <w:tcMar>
              <w:bottom w:w="0" w:type="dxa"/>
            </w:tcMar>
            <w:vAlign w:val="bottom"/>
          </w:tcPr>
          <w:p>
            <w:pPr>
              <w:pStyle w:val="TableContents"/>
              <w:spacing w:before="0" w:after="283"/>
              <w:jc w:val="left"/>
              <w:rPr/>
            </w:pPr>
            <w:r>
              <w:rPr/>
              <w:t> </w:t>
            </w:r>
          </w:p>
        </w:tc>
        <w:tc>
          <w:tcPr>
            <w:tcW w:w="1400" w:type="dxa"/>
            <w:gridSpan w:val="2"/>
            <w:tcBorders/>
            <w:shd w:fill="FFFFFF" w:val="clear"/>
            <w:tcMar>
              <w:bottom w:w="0" w:type="dxa"/>
            </w:tcMar>
            <w:vAlign w:val="bottom"/>
          </w:tcPr>
          <w:p>
            <w:pPr>
              <w:pStyle w:val="TableContents"/>
              <w:spacing w:lineRule="auto" w:line="300" w:before="0" w:after="0"/>
              <w:ind w:left="0" w:right="16" w:hanging="0"/>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6884" w:type="dxa"/>
            <w:tcBorders/>
            <w:shd w:fill="CCFFCC" w:val="clear"/>
            <w:tcMar>
              <w:bottom w:w="0" w:type="dxa"/>
            </w:tcMar>
            <w:vAlign w:val="bottom"/>
          </w:tcPr>
          <w:p>
            <w:pPr>
              <w:pStyle w:val="TableContents"/>
              <w:spacing w:lineRule="auto" w:line="300" w:before="0" w:after="0"/>
              <w:ind w:left="180" w:right="16" w:hanging="0"/>
              <w:jc w:val="left"/>
              <w:rPr>
                <w:rFonts w:ascii="Times New Roman" w:hAnsi="Times New Roman"/>
                <w:sz w:val="20"/>
              </w:rPr>
            </w:pPr>
            <w:r>
              <w:rPr>
                <w:rFonts w:ascii="Times New Roman" w:hAnsi="Times New Roman"/>
                <w:sz w:val="20"/>
              </w:rPr>
              <w:t>Cash and cash equivalents</w:t>
            </w:r>
          </w:p>
        </w:tc>
        <w:tc>
          <w:tcPr>
            <w:tcW w:w="197" w:type="dxa"/>
            <w:tcBorders/>
            <w:shd w:fill="CCFFCC" w:val="clear"/>
            <w:tcMar>
              <w:bottom w:w="0" w:type="dxa"/>
            </w:tcMar>
            <w:vAlign w:val="center"/>
          </w:tcPr>
          <w:p>
            <w:pPr>
              <w:pStyle w:val="TableContents"/>
              <w:spacing w:before="0" w:after="283"/>
              <w:rPr/>
            </w:pPr>
            <w:r>
              <w:rPr/>
              <w:t> </w:t>
            </w:r>
          </w:p>
        </w:tc>
        <w:tc>
          <w:tcPr>
            <w:tcW w:w="127"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3"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6,710,629</w:t>
            </w:r>
          </w:p>
        </w:tc>
        <w:tc>
          <w:tcPr>
            <w:tcW w:w="203" w:type="dxa"/>
            <w:tcBorders/>
            <w:shd w:fill="CCFFCC" w:val="clear"/>
            <w:tcMar>
              <w:bottom w:w="0" w:type="dxa"/>
            </w:tcMar>
            <w:vAlign w:val="bottom"/>
          </w:tcPr>
          <w:p>
            <w:pPr>
              <w:pStyle w:val="TableContents"/>
              <w:spacing w:before="0" w:after="283"/>
              <w:jc w:val="left"/>
              <w:rPr/>
            </w:pPr>
            <w:r>
              <w:rPr/>
              <w:t> </w:t>
            </w:r>
          </w:p>
        </w:tc>
        <w:tc>
          <w:tcPr>
            <w:tcW w:w="127"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3"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3,706,369</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6884" w:type="dxa"/>
            <w:tcBorders/>
            <w:shd w:fill="FFFFFF" w:val="clear"/>
            <w:tcMar>
              <w:bottom w:w="0" w:type="dxa"/>
            </w:tcMar>
            <w:vAlign w:val="bottom"/>
          </w:tcPr>
          <w:p>
            <w:pPr>
              <w:pStyle w:val="TableContents"/>
              <w:spacing w:lineRule="auto" w:line="300" w:before="0" w:after="0"/>
              <w:ind w:left="180" w:right="16" w:hanging="0"/>
              <w:jc w:val="left"/>
              <w:rPr>
                <w:rFonts w:ascii="Times New Roman" w:hAnsi="Times New Roman"/>
                <w:sz w:val="20"/>
              </w:rPr>
            </w:pPr>
            <w:r>
              <w:rPr>
                <w:rFonts w:ascii="Times New Roman" w:hAnsi="Times New Roman"/>
                <w:sz w:val="20"/>
              </w:rPr>
              <w:t>Prepaid consulting fees</w:t>
            </w:r>
          </w:p>
        </w:tc>
        <w:tc>
          <w:tcPr>
            <w:tcW w:w="197"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138,751</w:t>
            </w:r>
          </w:p>
        </w:tc>
        <w:tc>
          <w:tcPr>
            <w:tcW w:w="203"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488,748</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6884" w:type="dxa"/>
            <w:tcBorders>
              <w:bottom w:val="single" w:sz="4" w:space="0" w:color="CCFFCC"/>
            </w:tcBorders>
            <w:shd w:fill="CCFFCC" w:val="clear"/>
            <w:vAlign w:val="bottom"/>
          </w:tcPr>
          <w:p>
            <w:pPr>
              <w:pStyle w:val="TableContents"/>
              <w:spacing w:lineRule="auto" w:line="300" w:before="0" w:after="0"/>
              <w:ind w:left="180" w:right="16" w:hanging="0"/>
              <w:jc w:val="left"/>
              <w:rPr>
                <w:rFonts w:ascii="Times New Roman" w:hAnsi="Times New Roman"/>
                <w:sz w:val="20"/>
              </w:rPr>
            </w:pPr>
            <w:r>
              <w:rPr>
                <w:rFonts w:ascii="Times New Roman" w:hAnsi="Times New Roman"/>
                <w:sz w:val="20"/>
              </w:rPr>
              <w:t>Prepaid expenses and other current assets</w:t>
            </w:r>
          </w:p>
        </w:tc>
        <w:tc>
          <w:tcPr>
            <w:tcW w:w="197" w:type="dxa"/>
            <w:tcBorders>
              <w:bottom w:val="single" w:sz="4" w:space="0" w:color="CCFFCC"/>
            </w:tcBorders>
            <w:shd w:fill="CCFFCC" w:val="clear"/>
            <w:vAlign w:val="center"/>
          </w:tcPr>
          <w:p>
            <w:pPr>
              <w:pStyle w:val="TableContents"/>
              <w:spacing w:before="0" w:after="283"/>
              <w:rPr/>
            </w:pPr>
            <w:r>
              <w:rPr/>
              <w:t> </w:t>
            </w:r>
          </w:p>
        </w:tc>
        <w:tc>
          <w:tcPr>
            <w:tcW w:w="127" w:type="dxa"/>
            <w:tcBorders>
              <w:bottom w:val="single" w:sz="2" w:space="0" w:color="000000"/>
            </w:tcBorders>
            <w:shd w:fill="CCFFCC" w:val="clear"/>
            <w:vAlign w:val="bottom"/>
          </w:tcPr>
          <w:p>
            <w:pPr>
              <w:pStyle w:val="TableContents"/>
              <w:spacing w:before="0" w:after="283"/>
              <w:jc w:val="left"/>
              <w:rPr/>
            </w:pPr>
            <w:r>
              <w:rPr/>
              <w:t> </w:t>
            </w:r>
          </w:p>
        </w:tc>
        <w:tc>
          <w:tcPr>
            <w:tcW w:w="1273"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330,067</w:t>
            </w:r>
          </w:p>
        </w:tc>
        <w:tc>
          <w:tcPr>
            <w:tcW w:w="203" w:type="dxa"/>
            <w:tcBorders>
              <w:bottom w:val="single" w:sz="4" w:space="0" w:color="CCFFCC"/>
            </w:tcBorders>
            <w:shd w:fill="CCFFCC" w:val="clear"/>
            <w:vAlign w:val="bottom"/>
          </w:tcPr>
          <w:p>
            <w:pPr>
              <w:pStyle w:val="TableContents"/>
              <w:spacing w:before="0" w:after="283"/>
              <w:jc w:val="left"/>
              <w:rPr/>
            </w:pPr>
            <w:r>
              <w:rPr/>
              <w:t> </w:t>
            </w:r>
          </w:p>
        </w:tc>
        <w:tc>
          <w:tcPr>
            <w:tcW w:w="127" w:type="dxa"/>
            <w:tcBorders>
              <w:bottom w:val="single" w:sz="2" w:space="0" w:color="000000"/>
            </w:tcBorders>
            <w:shd w:fill="CCFFCC" w:val="clear"/>
            <w:vAlign w:val="bottom"/>
          </w:tcPr>
          <w:p>
            <w:pPr>
              <w:pStyle w:val="TableContents"/>
              <w:spacing w:before="0" w:after="283"/>
              <w:jc w:val="left"/>
              <w:rPr/>
            </w:pPr>
            <w:r>
              <w:rPr/>
              <w:t> </w:t>
            </w:r>
          </w:p>
        </w:tc>
        <w:tc>
          <w:tcPr>
            <w:tcW w:w="1273"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45,604</w:t>
            </w:r>
          </w:p>
        </w:tc>
        <w:tc>
          <w:tcPr>
            <w:tcW w:w="121" w:type="dxa"/>
            <w:tcBorders>
              <w:bottom w:val="single" w:sz="4" w:space="0" w:color="CCFFCC"/>
            </w:tcBorders>
            <w:shd w:fill="CCFFCC" w:val="clear"/>
            <w:vAlign w:val="bottom"/>
          </w:tcPr>
          <w:p>
            <w:pPr>
              <w:pStyle w:val="TableContents"/>
              <w:spacing w:before="0" w:after="283"/>
              <w:jc w:val="left"/>
              <w:rPr/>
            </w:pPr>
            <w:r>
              <w:rPr/>
              <w:t> </w:t>
            </w:r>
          </w:p>
        </w:tc>
      </w:tr>
      <w:tr>
        <w:trPr/>
        <w:tc>
          <w:tcPr>
            <w:tcW w:w="6884" w:type="dxa"/>
            <w:tcBorders>
              <w:bottom w:val="double" w:sz="2" w:space="0" w:color="FFFFFF"/>
            </w:tcBorders>
            <w:shd w:fill="FFFFFF" w:val="clear"/>
            <w:vAlign w:val="bottom"/>
          </w:tcPr>
          <w:p>
            <w:pPr>
              <w:pStyle w:val="TableContents"/>
              <w:spacing w:lineRule="auto" w:line="300" w:before="0" w:after="0"/>
              <w:ind w:left="360" w:right="16" w:hanging="0"/>
              <w:jc w:val="left"/>
              <w:rPr>
                <w:rFonts w:ascii="Times New Roman" w:hAnsi="Times New Roman"/>
                <w:sz w:val="20"/>
              </w:rPr>
            </w:pPr>
            <w:r>
              <w:rPr>
                <w:rFonts w:ascii="Times New Roman" w:hAnsi="Times New Roman"/>
                <w:sz w:val="20"/>
              </w:rPr>
              <w:t>Total current assets</w:t>
            </w:r>
          </w:p>
        </w:tc>
        <w:tc>
          <w:tcPr>
            <w:tcW w:w="197" w:type="dxa"/>
            <w:tcBorders>
              <w:bottom w:val="single" w:sz="4" w:space="0" w:color="FFFFFF"/>
            </w:tcBorders>
            <w:shd w:fill="FFFFFF" w:val="cle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bottom w:val="single" w:sz="2" w:space="0" w:color="FFFFFF"/>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7,179,447</w:t>
            </w:r>
          </w:p>
        </w:tc>
        <w:tc>
          <w:tcPr>
            <w:tcW w:w="203" w:type="dxa"/>
            <w:tcBorders>
              <w:bottom w:val="single" w:sz="2" w:space="0" w:color="FFFFFF"/>
            </w:tcBorders>
            <w:shd w:fill="FFFFFF" w:val="cle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bottom w:val="single" w:sz="2" w:space="0" w:color="FFFFFF"/>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4,240,721</w:t>
            </w:r>
          </w:p>
        </w:tc>
        <w:tc>
          <w:tcPr>
            <w:tcW w:w="121" w:type="dxa"/>
            <w:tcBorders>
              <w:bottom w:val="single" w:sz="2" w:space="0" w:color="FFFFFF"/>
            </w:tcBorders>
            <w:shd w:fill="FFFFFF" w:val="clear"/>
            <w:vAlign w:val="bottom"/>
          </w:tcPr>
          <w:p>
            <w:pPr>
              <w:pStyle w:val="TableContents"/>
              <w:spacing w:before="0" w:after="283"/>
              <w:jc w:val="left"/>
              <w:rPr/>
            </w:pPr>
            <w:r>
              <w:rPr/>
              <w:t> </w:t>
            </w:r>
          </w:p>
        </w:tc>
      </w:tr>
      <w:tr>
        <w:trPr/>
        <w:tc>
          <w:tcPr>
            <w:tcW w:w="6884" w:type="dxa"/>
            <w:tcBorders>
              <w:bottom w:val="single" w:sz="4" w:space="0" w:color="CCFFCC"/>
            </w:tcBorders>
            <w:shd w:fill="CCFFCC"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Equipment, net</w:t>
            </w:r>
          </w:p>
        </w:tc>
        <w:tc>
          <w:tcPr>
            <w:tcW w:w="197" w:type="dxa"/>
            <w:tcBorders>
              <w:bottom w:val="single" w:sz="4" w:space="0" w:color="CCFFCC"/>
            </w:tcBorders>
            <w:shd w:fill="CCFFCC" w:val="clear"/>
            <w:vAlign w:val="center"/>
          </w:tcPr>
          <w:p>
            <w:pPr>
              <w:pStyle w:val="TableContents"/>
              <w:spacing w:before="0" w:after="283"/>
              <w:rPr/>
            </w:pPr>
            <w:r>
              <w:rPr/>
              <w:t> </w:t>
            </w:r>
          </w:p>
        </w:tc>
        <w:tc>
          <w:tcPr>
            <w:tcW w:w="127" w:type="dxa"/>
            <w:tcBorders>
              <w:bottom w:val="single" w:sz="2" w:space="0" w:color="000000"/>
            </w:tcBorders>
            <w:shd w:fill="CCFFCC" w:val="clear"/>
            <w:vAlign w:val="bottom"/>
          </w:tcPr>
          <w:p>
            <w:pPr>
              <w:pStyle w:val="TableContents"/>
              <w:spacing w:before="0" w:after="283"/>
              <w:jc w:val="left"/>
              <w:rPr/>
            </w:pPr>
            <w:r>
              <w:rPr/>
              <w:t> </w:t>
            </w:r>
          </w:p>
        </w:tc>
        <w:tc>
          <w:tcPr>
            <w:tcW w:w="1273"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2,978</w:t>
            </w:r>
          </w:p>
        </w:tc>
        <w:tc>
          <w:tcPr>
            <w:tcW w:w="203" w:type="dxa"/>
            <w:tcBorders>
              <w:bottom w:val="single" w:sz="4" w:space="0" w:color="CCFFCC"/>
            </w:tcBorders>
            <w:shd w:fill="CCFFCC" w:val="clear"/>
            <w:vAlign w:val="bottom"/>
          </w:tcPr>
          <w:p>
            <w:pPr>
              <w:pStyle w:val="TableContents"/>
              <w:spacing w:before="0" w:after="283"/>
              <w:jc w:val="left"/>
              <w:rPr/>
            </w:pPr>
            <w:r>
              <w:rPr/>
              <w:t> </w:t>
            </w:r>
          </w:p>
        </w:tc>
        <w:tc>
          <w:tcPr>
            <w:tcW w:w="127" w:type="dxa"/>
            <w:tcBorders>
              <w:bottom w:val="single" w:sz="2" w:space="0" w:color="000000"/>
            </w:tcBorders>
            <w:shd w:fill="CCFFCC" w:val="clear"/>
            <w:vAlign w:val="bottom"/>
          </w:tcPr>
          <w:p>
            <w:pPr>
              <w:pStyle w:val="TableContents"/>
              <w:spacing w:before="0" w:after="283"/>
              <w:jc w:val="left"/>
              <w:rPr/>
            </w:pPr>
            <w:r>
              <w:rPr/>
              <w:t> </w:t>
            </w:r>
          </w:p>
        </w:tc>
        <w:tc>
          <w:tcPr>
            <w:tcW w:w="1273" w:type="dxa"/>
            <w:tcBorders>
              <w:bottom w:val="single" w:sz="2" w:space="0" w:color="000000"/>
            </w:tcBorders>
            <w:shd w:fill="CCFFCC" w:val="clear"/>
            <w:vAlign w:val="bottom"/>
          </w:tcPr>
          <w:p>
            <w:pPr>
              <w:pStyle w:val="TableContents"/>
              <w:spacing w:lineRule="auto" w:line="300" w:before="0" w:after="0"/>
              <w:ind w:left="0" w:right="0" w:hanging="0"/>
              <w:jc w:val="right"/>
              <w:rPr/>
            </w:pPr>
            <w:r>
              <w:rPr/>
              <w:t>—</w:t>
            </w:r>
          </w:p>
        </w:tc>
        <w:tc>
          <w:tcPr>
            <w:tcW w:w="121" w:type="dxa"/>
            <w:tcBorders>
              <w:bottom w:val="single" w:sz="4" w:space="0" w:color="CCFFCC"/>
            </w:tcBorders>
            <w:shd w:fill="CCFFCC" w:val="clear"/>
            <w:vAlign w:val="bottom"/>
          </w:tcPr>
          <w:p>
            <w:pPr>
              <w:pStyle w:val="TableContents"/>
              <w:spacing w:before="0" w:after="283"/>
              <w:jc w:val="left"/>
              <w:rPr/>
            </w:pPr>
            <w:r>
              <w:rPr/>
              <w:t> </w:t>
            </w:r>
          </w:p>
        </w:tc>
      </w:tr>
      <w:tr>
        <w:trPr/>
        <w:tc>
          <w:tcPr>
            <w:tcW w:w="6884" w:type="dxa"/>
            <w:tcBorders>
              <w:bottom w:val="single" w:sz="4" w:space="0" w:color="FFFFFF"/>
            </w:tcBorders>
            <w:shd w:fill="FFFFFF" w:val="clear"/>
            <w:vAlign w:val="bottom"/>
          </w:tcPr>
          <w:p>
            <w:pPr>
              <w:pStyle w:val="TableContents"/>
              <w:spacing w:lineRule="auto" w:line="300" w:before="0" w:after="0"/>
              <w:ind w:left="180" w:right="16" w:hanging="0"/>
              <w:jc w:val="left"/>
              <w:rPr>
                <w:rFonts w:ascii="Times New Roman" w:hAnsi="Times New Roman"/>
                <w:sz w:val="20"/>
              </w:rPr>
            </w:pPr>
            <w:r>
              <w:rPr>
                <w:rFonts w:ascii="Times New Roman" w:hAnsi="Times New Roman"/>
                <w:sz w:val="20"/>
              </w:rPr>
              <w:t>Total assets</w:t>
            </w:r>
          </w:p>
        </w:tc>
        <w:tc>
          <w:tcPr>
            <w:tcW w:w="197" w:type="dxa"/>
            <w:tcBorders>
              <w:bottom w:val="single" w:sz="4" w:space="0" w:color="FFFFFF"/>
            </w:tcBorders>
            <w:shd w:fill="FFFFFF" w:val="clear"/>
            <w:vAlign w:val="center"/>
          </w:tcPr>
          <w:p>
            <w:pPr>
              <w:pStyle w:val="TableContents"/>
              <w:spacing w:before="0" w:after="283"/>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7,182,425</w:t>
            </w:r>
          </w:p>
        </w:tc>
        <w:tc>
          <w:tcPr>
            <w:tcW w:w="203"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4,240,721</w:t>
            </w:r>
          </w:p>
        </w:tc>
        <w:tc>
          <w:tcPr>
            <w:tcW w:w="121" w:type="dxa"/>
            <w:tcBorders>
              <w:bottom w:val="single" w:sz="4" w:space="0" w:color="FFFFFF"/>
            </w:tcBorders>
            <w:shd w:fill="FFFFFF" w:val="clear"/>
            <w:vAlign w:val="bottom"/>
          </w:tcPr>
          <w:p>
            <w:pPr>
              <w:pStyle w:val="TableContents"/>
              <w:spacing w:before="0" w:after="283"/>
              <w:jc w:val="left"/>
              <w:rPr/>
            </w:pPr>
            <w:r>
              <w:rPr/>
              <w:t> </w:t>
            </w:r>
          </w:p>
        </w:tc>
      </w:tr>
      <w:tr>
        <w:trPr/>
        <w:tc>
          <w:tcPr>
            <w:tcW w:w="6884" w:type="dxa"/>
            <w:tcBorders/>
            <w:shd w:fill="CCFFCC" w:val="clear"/>
            <w:tcMar>
              <w:bottom w:w="0" w:type="dxa"/>
            </w:tcMar>
            <w:vAlign w:val="bottom"/>
          </w:tcPr>
          <w:p>
            <w:pPr>
              <w:pStyle w:val="TableContents"/>
              <w:spacing w:lineRule="auto" w:line="300" w:before="0" w:after="0"/>
              <w:ind w:left="0" w:right="16" w:hanging="0"/>
              <w:jc w:val="left"/>
              <w:rPr/>
            </w:pPr>
            <w:r>
              <w:rPr/>
              <w:t> </w:t>
            </w:r>
          </w:p>
        </w:tc>
        <w:tc>
          <w:tcPr>
            <w:tcW w:w="197" w:type="dxa"/>
            <w:tcBorders/>
            <w:shd w:fill="CCFFCC" w:val="clear"/>
            <w:tcMar>
              <w:bottom w:w="0" w:type="dxa"/>
            </w:tcMar>
            <w:vAlign w:val="center"/>
          </w:tcPr>
          <w:p>
            <w:pPr>
              <w:pStyle w:val="TableContents"/>
              <w:spacing w:before="0" w:after="283"/>
              <w:rPr/>
            </w:pPr>
            <w:r>
              <w:rPr/>
              <w:t> </w:t>
            </w:r>
          </w:p>
        </w:tc>
        <w:tc>
          <w:tcPr>
            <w:tcW w:w="127" w:type="dxa"/>
            <w:tcBorders/>
            <w:shd w:fill="CCFFCC" w:val="clear"/>
            <w:tcMar>
              <w:bottom w:w="0" w:type="dxa"/>
            </w:tcMar>
            <w:vAlign w:val="bottom"/>
          </w:tcPr>
          <w:p>
            <w:pPr>
              <w:pStyle w:val="TableContents"/>
              <w:spacing w:before="0" w:after="283"/>
              <w:jc w:val="left"/>
              <w:rPr/>
            </w:pPr>
            <w:r>
              <w:rPr/>
              <w:t> </w:t>
            </w:r>
          </w:p>
        </w:tc>
        <w:tc>
          <w:tcPr>
            <w:tcW w:w="1273" w:type="dxa"/>
            <w:tcBorders/>
            <w:shd w:fill="CCFFCC" w:val="clear"/>
            <w:tcMar>
              <w:bottom w:w="0" w:type="dxa"/>
            </w:tcMar>
            <w:vAlign w:val="bottom"/>
          </w:tcPr>
          <w:p>
            <w:pPr>
              <w:pStyle w:val="TableContents"/>
              <w:spacing w:before="0" w:after="283"/>
              <w:rPr>
                <w:sz w:val="4"/>
                <w:szCs w:val="4"/>
              </w:rPr>
            </w:pPr>
            <w:r>
              <w:rPr>
                <w:sz w:val="4"/>
                <w:szCs w:val="4"/>
              </w:rPr>
            </w:r>
          </w:p>
        </w:tc>
        <w:tc>
          <w:tcPr>
            <w:tcW w:w="203" w:type="dxa"/>
            <w:tcBorders/>
            <w:shd w:fill="CCFFCC" w:val="clear"/>
            <w:tcMar>
              <w:bottom w:w="0" w:type="dxa"/>
            </w:tcMar>
            <w:vAlign w:val="bottom"/>
          </w:tcPr>
          <w:p>
            <w:pPr>
              <w:pStyle w:val="TableContents"/>
              <w:spacing w:before="0" w:after="283"/>
              <w:jc w:val="left"/>
              <w:rPr/>
            </w:pPr>
            <w:r>
              <w:rPr/>
              <w:t> </w:t>
            </w:r>
          </w:p>
        </w:tc>
        <w:tc>
          <w:tcPr>
            <w:tcW w:w="127" w:type="dxa"/>
            <w:tcBorders/>
            <w:shd w:fill="CCFFCC" w:val="clear"/>
            <w:tcMar>
              <w:bottom w:w="0" w:type="dxa"/>
            </w:tcMar>
            <w:vAlign w:val="bottom"/>
          </w:tcPr>
          <w:p>
            <w:pPr>
              <w:pStyle w:val="TableContents"/>
              <w:spacing w:before="0" w:after="283"/>
              <w:jc w:val="left"/>
              <w:rPr/>
            </w:pPr>
            <w:r>
              <w:rPr/>
              <w:t> </w:t>
            </w:r>
          </w:p>
        </w:tc>
        <w:tc>
          <w:tcPr>
            <w:tcW w:w="1273" w:type="dxa"/>
            <w:tcBorders/>
            <w:shd w:fill="CCFFCC" w:val="clear"/>
            <w:tcMar>
              <w:bottom w:w="0" w:type="dxa"/>
            </w:tcMar>
            <w:vAlign w:val="bottom"/>
          </w:tcPr>
          <w:p>
            <w:pPr>
              <w:pStyle w:val="TableContents"/>
              <w:spacing w:before="0" w:after="283"/>
              <w:rPr>
                <w:sz w:val="4"/>
                <w:szCs w:val="4"/>
              </w:rPr>
            </w:pPr>
            <w:r>
              <w:rPr>
                <w:sz w:val="4"/>
                <w:szCs w:val="4"/>
              </w:rPr>
            </w:r>
          </w:p>
        </w:tc>
        <w:tc>
          <w:tcPr>
            <w:tcW w:w="121" w:type="dxa"/>
            <w:tcBorders/>
            <w:shd w:fill="CCFFCC" w:val="clear"/>
            <w:tcMar>
              <w:bottom w:w="0" w:type="dxa"/>
            </w:tcMar>
            <w:vAlign w:val="bottom"/>
          </w:tcPr>
          <w:p>
            <w:pPr>
              <w:pStyle w:val="TableContents"/>
              <w:spacing w:before="0" w:after="283"/>
              <w:jc w:val="left"/>
              <w:rPr/>
            </w:pPr>
            <w:r>
              <w:rPr/>
              <w:t> </w:t>
            </w:r>
          </w:p>
        </w:tc>
      </w:tr>
      <w:tr>
        <w:trPr/>
        <w:tc>
          <w:tcPr>
            <w:tcW w:w="6884" w:type="dxa"/>
            <w:tcBorders/>
            <w:shd w:fill="FFFFFF" w:val="clear"/>
            <w:tcMar>
              <w:bottom w:w="0" w:type="dxa"/>
            </w:tcMar>
            <w:vAlign w:val="bottom"/>
          </w:tcPr>
          <w:p>
            <w:pPr>
              <w:pStyle w:val="TableContents"/>
              <w:spacing w:lineRule="auto" w:line="300" w:before="0" w:after="0"/>
              <w:ind w:left="0" w:right="16" w:hanging="0"/>
              <w:jc w:val="left"/>
              <w:rPr/>
            </w:pPr>
            <w:r>
              <w:rPr>
                <w:rStyle w:val="StrongEmphasis"/>
                <w:rFonts w:ascii="Times New Roman" w:hAnsi="Times New Roman"/>
                <w:sz w:val="20"/>
              </w:rPr>
              <w:t>LIABILITIES AND STOCKHOLDERS’ EQUITY</w:t>
            </w:r>
          </w:p>
        </w:tc>
        <w:tc>
          <w:tcPr>
            <w:tcW w:w="197"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shd w:fill="FFFFFF" w:val="clear"/>
            <w:tcMar>
              <w:bottom w:w="0" w:type="dxa"/>
            </w:tcMar>
            <w:vAlign w:val="bottom"/>
          </w:tcPr>
          <w:p>
            <w:pPr>
              <w:pStyle w:val="TableContents"/>
              <w:spacing w:before="0" w:after="283"/>
              <w:rPr>
                <w:sz w:val="4"/>
                <w:szCs w:val="4"/>
              </w:rPr>
            </w:pPr>
            <w:r>
              <w:rPr>
                <w:sz w:val="4"/>
                <w:szCs w:val="4"/>
              </w:rPr>
            </w:r>
          </w:p>
        </w:tc>
        <w:tc>
          <w:tcPr>
            <w:tcW w:w="203"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shd w:fill="FFFFFF" w:val="clear"/>
            <w:tcMar>
              <w:bottom w:w="0" w:type="dxa"/>
            </w:tcMar>
            <w:vAlign w:val="bottom"/>
          </w:tcPr>
          <w:p>
            <w:pPr>
              <w:pStyle w:val="TableContents"/>
              <w:spacing w:before="0" w:after="283"/>
              <w:rPr>
                <w:sz w:val="4"/>
                <w:szCs w:val="4"/>
              </w:rPr>
            </w:pPr>
            <w:r>
              <w:rPr>
                <w:sz w:val="4"/>
                <w:szCs w:val="4"/>
              </w:rPr>
            </w:r>
          </w:p>
        </w:tc>
        <w:tc>
          <w:tcPr>
            <w:tcW w:w="121" w:type="dxa"/>
            <w:tcBorders/>
            <w:shd w:fill="FFFFFF" w:val="clear"/>
            <w:tcMar>
              <w:bottom w:w="0" w:type="dxa"/>
            </w:tcMar>
            <w:vAlign w:val="bottom"/>
          </w:tcPr>
          <w:p>
            <w:pPr>
              <w:pStyle w:val="TableContents"/>
              <w:spacing w:before="0" w:after="283"/>
              <w:jc w:val="left"/>
              <w:rPr/>
            </w:pPr>
            <w:r>
              <w:rPr/>
              <w:t> </w:t>
            </w:r>
          </w:p>
        </w:tc>
      </w:tr>
      <w:tr>
        <w:trPr/>
        <w:tc>
          <w:tcPr>
            <w:tcW w:w="6884"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Current liabilities:</w:t>
            </w:r>
          </w:p>
        </w:tc>
        <w:tc>
          <w:tcPr>
            <w:tcW w:w="197" w:type="dxa"/>
            <w:tcBorders/>
            <w:shd w:fill="CCFFCC" w:val="clear"/>
            <w:tcMar>
              <w:bottom w:w="0" w:type="dxa"/>
            </w:tcMar>
            <w:vAlign w:val="center"/>
          </w:tcPr>
          <w:p>
            <w:pPr>
              <w:pStyle w:val="TableContents"/>
              <w:spacing w:before="0" w:after="283"/>
              <w:rPr/>
            </w:pPr>
            <w:r>
              <w:rPr/>
              <w:t> </w:t>
            </w:r>
          </w:p>
        </w:tc>
        <w:tc>
          <w:tcPr>
            <w:tcW w:w="127" w:type="dxa"/>
            <w:tcBorders/>
            <w:shd w:fill="CCFFCC" w:val="clear"/>
            <w:tcMar>
              <w:bottom w:w="0" w:type="dxa"/>
            </w:tcMar>
            <w:vAlign w:val="bottom"/>
          </w:tcPr>
          <w:p>
            <w:pPr>
              <w:pStyle w:val="TableContents"/>
              <w:spacing w:before="0" w:after="283"/>
              <w:jc w:val="left"/>
              <w:rPr/>
            </w:pPr>
            <w:r>
              <w:rPr/>
              <w:t> </w:t>
            </w:r>
          </w:p>
        </w:tc>
        <w:tc>
          <w:tcPr>
            <w:tcW w:w="1273" w:type="dxa"/>
            <w:tcBorders/>
            <w:shd w:fill="CCFFCC" w:val="clear"/>
            <w:tcMar>
              <w:bottom w:w="0" w:type="dxa"/>
            </w:tcMar>
            <w:vAlign w:val="bottom"/>
          </w:tcPr>
          <w:p>
            <w:pPr>
              <w:pStyle w:val="TableContents"/>
              <w:spacing w:before="0" w:after="283"/>
              <w:rPr>
                <w:sz w:val="4"/>
                <w:szCs w:val="4"/>
              </w:rPr>
            </w:pPr>
            <w:r>
              <w:rPr>
                <w:sz w:val="4"/>
                <w:szCs w:val="4"/>
              </w:rPr>
            </w:r>
          </w:p>
        </w:tc>
        <w:tc>
          <w:tcPr>
            <w:tcW w:w="203" w:type="dxa"/>
            <w:tcBorders/>
            <w:shd w:fill="CCFFCC" w:val="clear"/>
            <w:tcMar>
              <w:bottom w:w="0" w:type="dxa"/>
            </w:tcMar>
            <w:vAlign w:val="bottom"/>
          </w:tcPr>
          <w:p>
            <w:pPr>
              <w:pStyle w:val="TableContents"/>
              <w:spacing w:before="0" w:after="283"/>
              <w:jc w:val="left"/>
              <w:rPr/>
            </w:pPr>
            <w:r>
              <w:rPr/>
              <w:t> </w:t>
            </w:r>
          </w:p>
        </w:tc>
        <w:tc>
          <w:tcPr>
            <w:tcW w:w="127" w:type="dxa"/>
            <w:tcBorders/>
            <w:shd w:fill="CCFFCC" w:val="clear"/>
            <w:tcMar>
              <w:bottom w:w="0" w:type="dxa"/>
            </w:tcMar>
            <w:vAlign w:val="bottom"/>
          </w:tcPr>
          <w:p>
            <w:pPr>
              <w:pStyle w:val="TableContents"/>
              <w:spacing w:before="0" w:after="283"/>
              <w:jc w:val="left"/>
              <w:rPr/>
            </w:pPr>
            <w:r>
              <w:rPr/>
              <w:t> </w:t>
            </w:r>
          </w:p>
        </w:tc>
        <w:tc>
          <w:tcPr>
            <w:tcW w:w="1273" w:type="dxa"/>
            <w:tcBorders/>
            <w:shd w:fill="CCFFCC" w:val="clear"/>
            <w:tcMar>
              <w:bottom w:w="0" w:type="dxa"/>
            </w:tcMar>
            <w:vAlign w:val="bottom"/>
          </w:tcPr>
          <w:p>
            <w:pPr>
              <w:pStyle w:val="TableContents"/>
              <w:spacing w:before="0" w:after="283"/>
              <w:rPr>
                <w:sz w:val="4"/>
                <w:szCs w:val="4"/>
              </w:rPr>
            </w:pPr>
            <w:r>
              <w:rPr>
                <w:sz w:val="4"/>
                <w:szCs w:val="4"/>
              </w:rPr>
            </w:r>
          </w:p>
        </w:tc>
        <w:tc>
          <w:tcPr>
            <w:tcW w:w="121" w:type="dxa"/>
            <w:tcBorders/>
            <w:shd w:fill="CCFFCC" w:val="clear"/>
            <w:tcMar>
              <w:bottom w:w="0" w:type="dxa"/>
            </w:tcMar>
            <w:vAlign w:val="bottom"/>
          </w:tcPr>
          <w:p>
            <w:pPr>
              <w:pStyle w:val="TableContents"/>
              <w:spacing w:before="0" w:after="283"/>
              <w:jc w:val="left"/>
              <w:rPr/>
            </w:pPr>
            <w:r>
              <w:rPr/>
              <w:t> </w:t>
            </w:r>
          </w:p>
        </w:tc>
      </w:tr>
      <w:tr>
        <w:trPr/>
        <w:tc>
          <w:tcPr>
            <w:tcW w:w="6884" w:type="dxa"/>
            <w:tcBorders/>
            <w:shd w:fill="FFFFFF" w:val="clear"/>
            <w:tcMar>
              <w:bottom w:w="0" w:type="dxa"/>
            </w:tcMar>
            <w:vAlign w:val="bottom"/>
          </w:tcPr>
          <w:p>
            <w:pPr>
              <w:pStyle w:val="TableContents"/>
              <w:spacing w:lineRule="auto" w:line="300" w:before="0" w:after="0"/>
              <w:ind w:left="180" w:right="16" w:hanging="0"/>
              <w:jc w:val="left"/>
              <w:rPr>
                <w:rFonts w:ascii="Times New Roman" w:hAnsi="Times New Roman"/>
                <w:sz w:val="20"/>
              </w:rPr>
            </w:pPr>
            <w:r>
              <w:rPr>
                <w:rFonts w:ascii="Times New Roman" w:hAnsi="Times New Roman"/>
                <w:sz w:val="20"/>
              </w:rPr>
              <w:t>Accounts payable</w:t>
            </w:r>
          </w:p>
        </w:tc>
        <w:tc>
          <w:tcPr>
            <w:tcW w:w="197"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879,416</w:t>
            </w:r>
          </w:p>
        </w:tc>
        <w:tc>
          <w:tcPr>
            <w:tcW w:w="203"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696,340</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6884" w:type="dxa"/>
            <w:tcBorders>
              <w:bottom w:val="single" w:sz="4" w:space="0" w:color="CCFFCC"/>
            </w:tcBorders>
            <w:shd w:fill="CCFFCC" w:val="clear"/>
            <w:vAlign w:val="bottom"/>
          </w:tcPr>
          <w:p>
            <w:pPr>
              <w:pStyle w:val="TableContents"/>
              <w:spacing w:lineRule="auto" w:line="300" w:before="0" w:after="0"/>
              <w:ind w:left="180" w:right="16" w:hanging="0"/>
              <w:jc w:val="left"/>
              <w:rPr>
                <w:rFonts w:ascii="Times New Roman" w:hAnsi="Times New Roman"/>
                <w:sz w:val="20"/>
              </w:rPr>
            </w:pPr>
            <w:r>
              <w:rPr>
                <w:rFonts w:ascii="Times New Roman" w:hAnsi="Times New Roman"/>
                <w:sz w:val="20"/>
              </w:rPr>
              <w:t>Accrued expenses and payroll liabilities</w:t>
            </w:r>
          </w:p>
        </w:tc>
        <w:tc>
          <w:tcPr>
            <w:tcW w:w="197" w:type="dxa"/>
            <w:tcBorders>
              <w:bottom w:val="single" w:sz="4" w:space="0" w:color="CCFFCC"/>
            </w:tcBorders>
            <w:shd w:fill="CCFFCC" w:val="clear"/>
            <w:vAlign w:val="center"/>
          </w:tcPr>
          <w:p>
            <w:pPr>
              <w:pStyle w:val="TableContents"/>
              <w:spacing w:before="0" w:after="283"/>
              <w:rPr/>
            </w:pPr>
            <w:r>
              <w:rPr/>
              <w:t> </w:t>
            </w:r>
          </w:p>
        </w:tc>
        <w:tc>
          <w:tcPr>
            <w:tcW w:w="127" w:type="dxa"/>
            <w:tcBorders>
              <w:bottom w:val="single" w:sz="2" w:space="0" w:color="000000"/>
            </w:tcBorders>
            <w:shd w:fill="CCFFCC" w:val="clear"/>
            <w:vAlign w:val="bottom"/>
          </w:tcPr>
          <w:p>
            <w:pPr>
              <w:pStyle w:val="TableContents"/>
              <w:spacing w:before="0" w:after="283"/>
              <w:jc w:val="left"/>
              <w:rPr/>
            </w:pPr>
            <w:r>
              <w:rPr/>
              <w:t> </w:t>
            </w:r>
          </w:p>
        </w:tc>
        <w:tc>
          <w:tcPr>
            <w:tcW w:w="1273"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41,363</w:t>
            </w:r>
          </w:p>
        </w:tc>
        <w:tc>
          <w:tcPr>
            <w:tcW w:w="203" w:type="dxa"/>
            <w:tcBorders>
              <w:bottom w:val="single" w:sz="4" w:space="0" w:color="CCFFCC"/>
            </w:tcBorders>
            <w:shd w:fill="CCFFCC" w:val="clear"/>
            <w:vAlign w:val="bottom"/>
          </w:tcPr>
          <w:p>
            <w:pPr>
              <w:pStyle w:val="TableContents"/>
              <w:spacing w:before="0" w:after="283"/>
              <w:jc w:val="left"/>
              <w:rPr/>
            </w:pPr>
            <w:r>
              <w:rPr/>
              <w:t> </w:t>
            </w:r>
          </w:p>
        </w:tc>
        <w:tc>
          <w:tcPr>
            <w:tcW w:w="127" w:type="dxa"/>
            <w:tcBorders>
              <w:bottom w:val="single" w:sz="2" w:space="0" w:color="000000"/>
            </w:tcBorders>
            <w:shd w:fill="CCFFCC" w:val="clear"/>
            <w:vAlign w:val="bottom"/>
          </w:tcPr>
          <w:p>
            <w:pPr>
              <w:pStyle w:val="TableContents"/>
              <w:spacing w:before="0" w:after="283"/>
              <w:jc w:val="left"/>
              <w:rPr/>
            </w:pPr>
            <w:r>
              <w:rPr/>
              <w:t> </w:t>
            </w:r>
          </w:p>
        </w:tc>
        <w:tc>
          <w:tcPr>
            <w:tcW w:w="1273"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53,901</w:t>
            </w:r>
          </w:p>
        </w:tc>
        <w:tc>
          <w:tcPr>
            <w:tcW w:w="121" w:type="dxa"/>
            <w:tcBorders>
              <w:bottom w:val="single" w:sz="4" w:space="0" w:color="CCFFCC"/>
            </w:tcBorders>
            <w:shd w:fill="CCFFCC" w:val="clear"/>
            <w:vAlign w:val="bottom"/>
          </w:tcPr>
          <w:p>
            <w:pPr>
              <w:pStyle w:val="TableContents"/>
              <w:spacing w:before="0" w:after="283"/>
              <w:jc w:val="left"/>
              <w:rPr/>
            </w:pPr>
            <w:r>
              <w:rPr/>
              <w:t> </w:t>
            </w:r>
          </w:p>
        </w:tc>
      </w:tr>
      <w:tr>
        <w:trPr/>
        <w:tc>
          <w:tcPr>
            <w:tcW w:w="6884" w:type="dxa"/>
            <w:tcBorders>
              <w:bottom w:val="single" w:sz="4" w:space="0" w:color="FFFFFF"/>
            </w:tcBorders>
            <w:shd w:fill="FFFFFF" w:val="clear"/>
            <w:vAlign w:val="bottom"/>
          </w:tcPr>
          <w:p>
            <w:pPr>
              <w:pStyle w:val="TableContents"/>
              <w:spacing w:lineRule="auto" w:line="300" w:before="0" w:after="0"/>
              <w:ind w:left="720" w:right="16" w:hanging="0"/>
              <w:jc w:val="left"/>
              <w:rPr/>
            </w:pPr>
            <w:r>
              <w:rPr/>
              <w:t>   </w:t>
            </w:r>
            <w:r>
              <w:rPr>
                <w:rFonts w:ascii="Times New Roman" w:hAnsi="Times New Roman"/>
                <w:sz w:val="20"/>
              </w:rPr>
              <w:t>Total liabilities</w:t>
            </w:r>
          </w:p>
        </w:tc>
        <w:tc>
          <w:tcPr>
            <w:tcW w:w="197" w:type="dxa"/>
            <w:tcBorders>
              <w:bottom w:val="single" w:sz="4" w:space="0" w:color="FFFFFF"/>
            </w:tcBorders>
            <w:shd w:fill="FFFFFF" w:val="clear"/>
            <w:vAlign w:val="center"/>
          </w:tcPr>
          <w:p>
            <w:pPr>
              <w:pStyle w:val="TableContents"/>
              <w:spacing w:before="0" w:after="283"/>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27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920,779</w:t>
            </w:r>
          </w:p>
        </w:tc>
        <w:tc>
          <w:tcPr>
            <w:tcW w:w="203"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27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750,241</w:t>
            </w:r>
          </w:p>
        </w:tc>
        <w:tc>
          <w:tcPr>
            <w:tcW w:w="121" w:type="dxa"/>
            <w:tcBorders>
              <w:bottom w:val="single" w:sz="4" w:space="0" w:color="FFFFFF"/>
            </w:tcBorders>
            <w:shd w:fill="FFFFFF" w:val="clear"/>
            <w:vAlign w:val="bottom"/>
          </w:tcPr>
          <w:p>
            <w:pPr>
              <w:pStyle w:val="TableContents"/>
              <w:spacing w:before="0" w:after="283"/>
              <w:jc w:val="left"/>
              <w:rPr/>
            </w:pPr>
            <w:r>
              <w:rPr/>
              <w:t> </w:t>
            </w:r>
          </w:p>
        </w:tc>
      </w:tr>
      <w:tr>
        <w:trPr/>
        <w:tc>
          <w:tcPr>
            <w:tcW w:w="6884" w:type="dxa"/>
            <w:tcBorders/>
            <w:shd w:fill="CCFFCC" w:val="clear"/>
            <w:tcMar>
              <w:bottom w:w="0" w:type="dxa"/>
            </w:tcMar>
            <w:vAlign w:val="bottom"/>
          </w:tcPr>
          <w:p>
            <w:pPr>
              <w:pStyle w:val="TableContents"/>
              <w:spacing w:lineRule="auto" w:line="300" w:before="0" w:after="0"/>
              <w:ind w:left="0" w:right="16" w:hanging="0"/>
              <w:jc w:val="left"/>
              <w:rPr/>
            </w:pPr>
            <w:r>
              <w:rPr/>
              <w:t> </w:t>
            </w:r>
          </w:p>
        </w:tc>
        <w:tc>
          <w:tcPr>
            <w:tcW w:w="197" w:type="dxa"/>
            <w:tcBorders/>
            <w:shd w:fill="CCFFCC" w:val="clear"/>
            <w:tcMar>
              <w:bottom w:w="0" w:type="dxa"/>
            </w:tcMar>
            <w:vAlign w:val="center"/>
          </w:tcPr>
          <w:p>
            <w:pPr>
              <w:pStyle w:val="TableContents"/>
              <w:spacing w:before="0" w:after="283"/>
              <w:rPr/>
            </w:pPr>
            <w:r>
              <w:rPr/>
              <w:t> </w:t>
            </w:r>
          </w:p>
        </w:tc>
        <w:tc>
          <w:tcPr>
            <w:tcW w:w="127" w:type="dxa"/>
            <w:tcBorders/>
            <w:shd w:fill="CCFFCC" w:val="clear"/>
            <w:tcMar>
              <w:bottom w:w="0" w:type="dxa"/>
            </w:tcMar>
            <w:vAlign w:val="bottom"/>
          </w:tcPr>
          <w:p>
            <w:pPr>
              <w:pStyle w:val="TableContents"/>
              <w:spacing w:before="0" w:after="283"/>
              <w:jc w:val="left"/>
              <w:rPr/>
            </w:pPr>
            <w:r>
              <w:rPr/>
              <w:t> </w:t>
            </w:r>
          </w:p>
        </w:tc>
        <w:tc>
          <w:tcPr>
            <w:tcW w:w="1273" w:type="dxa"/>
            <w:tcBorders/>
            <w:shd w:fill="CCFFCC" w:val="clear"/>
            <w:tcMar>
              <w:bottom w:w="0" w:type="dxa"/>
            </w:tcMar>
            <w:vAlign w:val="bottom"/>
          </w:tcPr>
          <w:p>
            <w:pPr>
              <w:pStyle w:val="TableContents"/>
              <w:spacing w:before="0" w:after="283"/>
              <w:rPr>
                <w:sz w:val="4"/>
                <w:szCs w:val="4"/>
              </w:rPr>
            </w:pPr>
            <w:r>
              <w:rPr>
                <w:sz w:val="4"/>
                <w:szCs w:val="4"/>
              </w:rPr>
            </w:r>
          </w:p>
        </w:tc>
        <w:tc>
          <w:tcPr>
            <w:tcW w:w="203" w:type="dxa"/>
            <w:tcBorders/>
            <w:shd w:fill="CCFFCC" w:val="clear"/>
            <w:tcMar>
              <w:bottom w:w="0" w:type="dxa"/>
            </w:tcMar>
            <w:vAlign w:val="bottom"/>
          </w:tcPr>
          <w:p>
            <w:pPr>
              <w:pStyle w:val="TableContents"/>
              <w:spacing w:before="0" w:after="283"/>
              <w:jc w:val="left"/>
              <w:rPr/>
            </w:pPr>
            <w:r>
              <w:rPr/>
              <w:t> </w:t>
            </w:r>
          </w:p>
        </w:tc>
        <w:tc>
          <w:tcPr>
            <w:tcW w:w="127" w:type="dxa"/>
            <w:tcBorders/>
            <w:shd w:fill="CCFFCC" w:val="clear"/>
            <w:tcMar>
              <w:bottom w:w="0" w:type="dxa"/>
            </w:tcMar>
            <w:vAlign w:val="bottom"/>
          </w:tcPr>
          <w:p>
            <w:pPr>
              <w:pStyle w:val="TableContents"/>
              <w:spacing w:before="0" w:after="283"/>
              <w:jc w:val="left"/>
              <w:rPr/>
            </w:pPr>
            <w:r>
              <w:rPr/>
              <w:t> </w:t>
            </w:r>
          </w:p>
        </w:tc>
        <w:tc>
          <w:tcPr>
            <w:tcW w:w="1273" w:type="dxa"/>
            <w:tcBorders/>
            <w:shd w:fill="CCFFCC" w:val="clear"/>
            <w:tcMar>
              <w:bottom w:w="0" w:type="dxa"/>
            </w:tcMar>
            <w:vAlign w:val="bottom"/>
          </w:tcPr>
          <w:p>
            <w:pPr>
              <w:pStyle w:val="TableContents"/>
              <w:spacing w:before="0" w:after="283"/>
              <w:rPr>
                <w:sz w:val="4"/>
                <w:szCs w:val="4"/>
              </w:rPr>
            </w:pPr>
            <w:r>
              <w:rPr>
                <w:sz w:val="4"/>
                <w:szCs w:val="4"/>
              </w:rPr>
            </w:r>
          </w:p>
        </w:tc>
        <w:tc>
          <w:tcPr>
            <w:tcW w:w="121" w:type="dxa"/>
            <w:tcBorders/>
            <w:shd w:fill="CCFFCC" w:val="clear"/>
            <w:tcMar>
              <w:bottom w:w="0" w:type="dxa"/>
            </w:tcMar>
            <w:vAlign w:val="bottom"/>
          </w:tcPr>
          <w:p>
            <w:pPr>
              <w:pStyle w:val="TableContents"/>
              <w:spacing w:before="0" w:after="283"/>
              <w:jc w:val="left"/>
              <w:rPr/>
            </w:pPr>
            <w:r>
              <w:rPr/>
              <w:t> </w:t>
            </w:r>
          </w:p>
        </w:tc>
      </w:tr>
      <w:tr>
        <w:trPr/>
        <w:tc>
          <w:tcPr>
            <w:tcW w:w="6884" w:type="dxa"/>
            <w:tcBorders/>
            <w:shd w:fill="FFFFFF"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Stockholders’ equity:</w:t>
            </w:r>
          </w:p>
        </w:tc>
        <w:tc>
          <w:tcPr>
            <w:tcW w:w="197"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shd w:fill="FFFFFF" w:val="clear"/>
            <w:tcMar>
              <w:bottom w:w="0" w:type="dxa"/>
            </w:tcMar>
            <w:vAlign w:val="bottom"/>
          </w:tcPr>
          <w:p>
            <w:pPr>
              <w:pStyle w:val="TableContents"/>
              <w:spacing w:before="0" w:after="283"/>
              <w:rPr>
                <w:sz w:val="4"/>
                <w:szCs w:val="4"/>
              </w:rPr>
            </w:pPr>
            <w:r>
              <w:rPr>
                <w:sz w:val="4"/>
                <w:szCs w:val="4"/>
              </w:rPr>
            </w:r>
          </w:p>
        </w:tc>
        <w:tc>
          <w:tcPr>
            <w:tcW w:w="203"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shd w:fill="FFFFFF" w:val="clear"/>
            <w:tcMar>
              <w:bottom w:w="0" w:type="dxa"/>
            </w:tcMar>
            <w:vAlign w:val="bottom"/>
          </w:tcPr>
          <w:p>
            <w:pPr>
              <w:pStyle w:val="TableContents"/>
              <w:spacing w:before="0" w:after="283"/>
              <w:rPr>
                <w:sz w:val="4"/>
                <w:szCs w:val="4"/>
              </w:rPr>
            </w:pPr>
            <w:r>
              <w:rPr>
                <w:sz w:val="4"/>
                <w:szCs w:val="4"/>
              </w:rPr>
            </w:r>
          </w:p>
        </w:tc>
        <w:tc>
          <w:tcPr>
            <w:tcW w:w="121" w:type="dxa"/>
            <w:tcBorders/>
            <w:shd w:fill="FFFFFF" w:val="clear"/>
            <w:tcMar>
              <w:bottom w:w="0" w:type="dxa"/>
            </w:tcMar>
            <w:vAlign w:val="bottom"/>
          </w:tcPr>
          <w:p>
            <w:pPr>
              <w:pStyle w:val="TableContents"/>
              <w:spacing w:before="0" w:after="283"/>
              <w:jc w:val="left"/>
              <w:rPr/>
            </w:pPr>
            <w:r>
              <w:rPr/>
              <w:t> </w:t>
            </w:r>
          </w:p>
        </w:tc>
      </w:tr>
      <w:tr>
        <w:trPr/>
        <w:tc>
          <w:tcPr>
            <w:tcW w:w="6884" w:type="dxa"/>
            <w:tcBorders/>
            <w:shd w:fill="CCFFCC" w:val="clear"/>
            <w:tcMar>
              <w:bottom w:w="0" w:type="dxa"/>
            </w:tcMar>
            <w:vAlign w:val="bottom"/>
          </w:tcPr>
          <w:p>
            <w:pPr>
              <w:pStyle w:val="TableContents"/>
              <w:spacing w:lineRule="auto" w:line="300" w:before="0" w:after="0"/>
              <w:ind w:left="360" w:right="16" w:hanging="0"/>
              <w:jc w:val="left"/>
              <w:rPr>
                <w:rFonts w:ascii="Times New Roman" w:hAnsi="Times New Roman"/>
                <w:sz w:val="20"/>
              </w:rPr>
            </w:pPr>
            <w:r>
              <w:rPr>
                <w:rFonts w:ascii="Times New Roman" w:hAnsi="Times New Roman"/>
                <w:sz w:val="20"/>
              </w:rPr>
              <w:t>Preferred stock, $0.001 par value; 5,000,000 shares authorized, none outstanding</w:t>
            </w:r>
          </w:p>
        </w:tc>
        <w:tc>
          <w:tcPr>
            <w:tcW w:w="197" w:type="dxa"/>
            <w:tcBorders/>
            <w:shd w:fill="CCFFCC" w:val="clear"/>
            <w:tcMar>
              <w:bottom w:w="0" w:type="dxa"/>
            </w:tcMar>
            <w:vAlign w:val="center"/>
          </w:tcPr>
          <w:p>
            <w:pPr>
              <w:pStyle w:val="TableContents"/>
              <w:spacing w:before="0" w:after="283"/>
              <w:rPr/>
            </w:pPr>
            <w:r>
              <w:rPr/>
              <w:t> </w:t>
            </w:r>
          </w:p>
        </w:tc>
        <w:tc>
          <w:tcPr>
            <w:tcW w:w="127" w:type="dxa"/>
            <w:tcBorders/>
            <w:shd w:fill="CCFFCC" w:val="clear"/>
            <w:tcMar>
              <w:bottom w:w="0" w:type="dxa"/>
            </w:tcMar>
            <w:vAlign w:val="bottom"/>
          </w:tcPr>
          <w:p>
            <w:pPr>
              <w:pStyle w:val="TableContents"/>
              <w:spacing w:before="0" w:after="283"/>
              <w:jc w:val="left"/>
              <w:rPr/>
            </w:pPr>
            <w:r>
              <w:rPr/>
              <w:t> </w:t>
            </w:r>
          </w:p>
        </w:tc>
        <w:tc>
          <w:tcPr>
            <w:tcW w:w="1273"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203" w:type="dxa"/>
            <w:tcBorders/>
            <w:shd w:fill="CCFFCC" w:val="clear"/>
            <w:tcMar>
              <w:bottom w:w="0" w:type="dxa"/>
            </w:tcMar>
            <w:vAlign w:val="bottom"/>
          </w:tcPr>
          <w:p>
            <w:pPr>
              <w:pStyle w:val="TableContents"/>
              <w:spacing w:before="0" w:after="283"/>
              <w:jc w:val="left"/>
              <w:rPr/>
            </w:pPr>
            <w:r>
              <w:rPr/>
              <w:t> </w:t>
            </w:r>
          </w:p>
        </w:tc>
        <w:tc>
          <w:tcPr>
            <w:tcW w:w="127" w:type="dxa"/>
            <w:tcBorders/>
            <w:shd w:fill="CCFFCC" w:val="clear"/>
            <w:tcMar>
              <w:bottom w:w="0" w:type="dxa"/>
            </w:tcMar>
            <w:vAlign w:val="bottom"/>
          </w:tcPr>
          <w:p>
            <w:pPr>
              <w:pStyle w:val="TableContents"/>
              <w:spacing w:before="0" w:after="283"/>
              <w:jc w:val="left"/>
              <w:rPr/>
            </w:pPr>
            <w:r>
              <w:rPr/>
              <w:t> </w:t>
            </w:r>
          </w:p>
        </w:tc>
        <w:tc>
          <w:tcPr>
            <w:tcW w:w="1273"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6884" w:type="dxa"/>
            <w:tcBorders/>
            <w:shd w:fill="FFFFFF" w:val="clear"/>
            <w:tcMar>
              <w:bottom w:w="0" w:type="dxa"/>
            </w:tcMar>
            <w:vAlign w:val="bottom"/>
          </w:tcPr>
          <w:p>
            <w:pPr>
              <w:pStyle w:val="TableContents"/>
              <w:spacing w:lineRule="auto" w:line="300" w:before="0" w:after="0"/>
              <w:ind w:left="540" w:right="16" w:hanging="180"/>
              <w:jc w:val="left"/>
              <w:rPr>
                <w:rFonts w:ascii="Times New Roman" w:hAnsi="Times New Roman"/>
                <w:sz w:val="20"/>
              </w:rPr>
            </w:pPr>
            <w:r>
              <w:rPr>
                <w:rFonts w:ascii="Times New Roman" w:hAnsi="Times New Roman"/>
                <w:sz w:val="20"/>
              </w:rPr>
              <w:t>Common stock, $0.001 par value; 50,000,000 shares authorized, 15,545,184 and 13,727,004 shares outstanding as of June 30, 2008 and December 31, 2007, respectively</w:t>
            </w:r>
          </w:p>
        </w:tc>
        <w:tc>
          <w:tcPr>
            <w:tcW w:w="197" w:type="dxa"/>
            <w:tcBorders/>
            <w:shd w:fill="FFFFFF" w:val="clear"/>
            <w:tcMar>
              <w:bottom w:w="0" w:type="dxa"/>
            </w:tcMar>
            <w:vAlign w:val="center"/>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15,545</w:t>
            </w:r>
          </w:p>
        </w:tc>
        <w:tc>
          <w:tcPr>
            <w:tcW w:w="203" w:type="dxa"/>
            <w:tcBorders/>
            <w:shd w:fill="FFFFFF" w:val="clear"/>
            <w:tcMar>
              <w:bottom w:w="0" w:type="dxa"/>
            </w:tcMar>
            <w:vAlign w:val="bottom"/>
          </w:tcPr>
          <w:p>
            <w:pPr>
              <w:pStyle w:val="TableContents"/>
              <w:spacing w:before="0" w:after="283"/>
              <w:jc w:val="lef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273"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13,727</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6884"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Additional paid-in capital</w:t>
            </w:r>
          </w:p>
        </w:tc>
        <w:tc>
          <w:tcPr>
            <w:tcW w:w="197" w:type="dxa"/>
            <w:tcBorders/>
            <w:shd w:fill="CCFFCC" w:val="clear"/>
            <w:tcMar>
              <w:bottom w:w="0" w:type="dxa"/>
            </w:tcMar>
            <w:vAlign w:val="center"/>
          </w:tcPr>
          <w:p>
            <w:pPr>
              <w:pStyle w:val="TableContents"/>
              <w:spacing w:before="0" w:after="283"/>
              <w:rPr/>
            </w:pPr>
            <w:r>
              <w:rPr/>
              <w:t> </w:t>
            </w:r>
          </w:p>
        </w:tc>
        <w:tc>
          <w:tcPr>
            <w:tcW w:w="127" w:type="dxa"/>
            <w:tcBorders/>
            <w:shd w:fill="CCFFCC" w:val="clear"/>
            <w:tcMar>
              <w:bottom w:w="0" w:type="dxa"/>
            </w:tcMar>
            <w:vAlign w:val="bottom"/>
          </w:tcPr>
          <w:p>
            <w:pPr>
              <w:pStyle w:val="TableContents"/>
              <w:spacing w:before="0" w:after="283"/>
              <w:jc w:val="left"/>
              <w:rPr/>
            </w:pPr>
            <w:r>
              <w:rPr/>
              <w:t> </w:t>
            </w:r>
          </w:p>
        </w:tc>
        <w:tc>
          <w:tcPr>
            <w:tcW w:w="1273"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14,859,680</w:t>
            </w:r>
          </w:p>
        </w:tc>
        <w:tc>
          <w:tcPr>
            <w:tcW w:w="203" w:type="dxa"/>
            <w:tcBorders/>
            <w:shd w:fill="CCFFCC" w:val="clear"/>
            <w:tcMar>
              <w:bottom w:w="0" w:type="dxa"/>
            </w:tcMar>
            <w:vAlign w:val="bottom"/>
          </w:tcPr>
          <w:p>
            <w:pPr>
              <w:pStyle w:val="TableContents"/>
              <w:spacing w:before="0" w:after="283"/>
              <w:jc w:val="left"/>
              <w:rPr/>
            </w:pPr>
            <w:r>
              <w:rPr/>
              <w:t> </w:t>
            </w:r>
          </w:p>
        </w:tc>
        <w:tc>
          <w:tcPr>
            <w:tcW w:w="127" w:type="dxa"/>
            <w:tcBorders/>
            <w:shd w:fill="CCFFCC" w:val="clear"/>
            <w:tcMar>
              <w:bottom w:w="0" w:type="dxa"/>
            </w:tcMar>
            <w:vAlign w:val="bottom"/>
          </w:tcPr>
          <w:p>
            <w:pPr>
              <w:pStyle w:val="TableContents"/>
              <w:spacing w:before="0" w:after="283"/>
              <w:jc w:val="left"/>
              <w:rPr/>
            </w:pPr>
            <w:r>
              <w:rPr/>
              <w:t> </w:t>
            </w:r>
          </w:p>
        </w:tc>
        <w:tc>
          <w:tcPr>
            <w:tcW w:w="1273"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10,554,298</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6884" w:type="dxa"/>
            <w:tcBorders>
              <w:bottom w:val="single" w:sz="4" w:space="0" w:color="FFFFFF"/>
            </w:tcBorders>
            <w:shd w:fill="FFFFFF"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Deficit accumulated during the development stage</w:t>
            </w:r>
          </w:p>
        </w:tc>
        <w:tc>
          <w:tcPr>
            <w:tcW w:w="197" w:type="dxa"/>
            <w:tcBorders>
              <w:bottom w:val="single" w:sz="4" w:space="0" w:color="FFFFFF"/>
            </w:tcBorders>
            <w:shd w:fill="FFFFFF" w:val="clear"/>
            <w:vAlign w:val="center"/>
          </w:tcPr>
          <w:p>
            <w:pPr>
              <w:pStyle w:val="TableContents"/>
              <w:spacing w:before="0" w:after="283"/>
              <w:rPr/>
            </w:pPr>
            <w:r>
              <w:rPr/>
              <w:t> </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27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(8,613,579</w:t>
            </w:r>
          </w:p>
        </w:tc>
        <w:tc>
          <w:tcPr>
            <w:tcW w:w="203"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 w:type="dxa"/>
            <w:tcBorders>
              <w:bottom w:val="single" w:sz="2" w:space="0" w:color="000000"/>
            </w:tcBorders>
            <w:shd w:fill="FFFFFF" w:val="clear"/>
            <w:vAlign w:val="bottom"/>
          </w:tcPr>
          <w:p>
            <w:pPr>
              <w:pStyle w:val="TableContents"/>
              <w:spacing w:before="0" w:after="283"/>
              <w:jc w:val="left"/>
              <w:rPr/>
            </w:pPr>
            <w:r>
              <w:rPr/>
              <w:t> </w:t>
            </w:r>
          </w:p>
        </w:tc>
        <w:tc>
          <w:tcPr>
            <w:tcW w:w="1273"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(7,077,545</w:t>
            </w:r>
          </w:p>
        </w:tc>
        <w:tc>
          <w:tcPr>
            <w:tcW w:w="121"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884" w:type="dxa"/>
            <w:tcBorders>
              <w:bottom w:val="single" w:sz="4" w:space="0" w:color="CCFFCC"/>
            </w:tcBorders>
            <w:shd w:fill="CCFFCC"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Total stockholders’ equity</w:t>
            </w:r>
          </w:p>
        </w:tc>
        <w:tc>
          <w:tcPr>
            <w:tcW w:w="197" w:type="dxa"/>
            <w:tcBorders>
              <w:bottom w:val="single" w:sz="4" w:space="0" w:color="CCFFCC"/>
            </w:tcBorders>
            <w:shd w:fill="CCFFCC" w:val="clear"/>
            <w:vAlign w:val="center"/>
          </w:tcPr>
          <w:p>
            <w:pPr>
              <w:pStyle w:val="TableContents"/>
              <w:spacing w:before="0" w:after="283"/>
              <w:rPr/>
            </w:pPr>
            <w:r>
              <w:rPr/>
              <w:t> </w:t>
            </w:r>
          </w:p>
        </w:tc>
        <w:tc>
          <w:tcPr>
            <w:tcW w:w="127" w:type="dxa"/>
            <w:tcBorders>
              <w:bottom w:val="single" w:sz="2" w:space="0" w:color="000000"/>
            </w:tcBorders>
            <w:shd w:fill="CCFFCC" w:val="clear"/>
            <w:vAlign w:val="bottom"/>
          </w:tcPr>
          <w:p>
            <w:pPr>
              <w:pStyle w:val="TableContents"/>
              <w:spacing w:before="0" w:after="283"/>
              <w:jc w:val="left"/>
              <w:rPr/>
            </w:pPr>
            <w:r>
              <w:rPr/>
              <w:t> </w:t>
            </w:r>
          </w:p>
        </w:tc>
        <w:tc>
          <w:tcPr>
            <w:tcW w:w="1273"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6,261,646</w:t>
            </w:r>
          </w:p>
        </w:tc>
        <w:tc>
          <w:tcPr>
            <w:tcW w:w="203" w:type="dxa"/>
            <w:tcBorders>
              <w:bottom w:val="single" w:sz="4" w:space="0" w:color="CCFFCC"/>
            </w:tcBorders>
            <w:shd w:fill="CCFFCC" w:val="clear"/>
            <w:vAlign w:val="bottom"/>
          </w:tcPr>
          <w:p>
            <w:pPr>
              <w:pStyle w:val="TableContents"/>
              <w:spacing w:before="0" w:after="283"/>
              <w:jc w:val="left"/>
              <w:rPr/>
            </w:pPr>
            <w:r>
              <w:rPr/>
              <w:t> </w:t>
            </w:r>
          </w:p>
        </w:tc>
        <w:tc>
          <w:tcPr>
            <w:tcW w:w="127" w:type="dxa"/>
            <w:tcBorders>
              <w:bottom w:val="single" w:sz="2" w:space="0" w:color="000000"/>
            </w:tcBorders>
            <w:shd w:fill="CCFFCC" w:val="clear"/>
            <w:vAlign w:val="bottom"/>
          </w:tcPr>
          <w:p>
            <w:pPr>
              <w:pStyle w:val="TableContents"/>
              <w:spacing w:before="0" w:after="283"/>
              <w:jc w:val="left"/>
              <w:rPr/>
            </w:pPr>
            <w:r>
              <w:rPr/>
              <w:t> </w:t>
            </w:r>
          </w:p>
        </w:tc>
        <w:tc>
          <w:tcPr>
            <w:tcW w:w="1273"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3,490,480</w:t>
            </w:r>
          </w:p>
        </w:tc>
        <w:tc>
          <w:tcPr>
            <w:tcW w:w="121" w:type="dxa"/>
            <w:tcBorders>
              <w:bottom w:val="single" w:sz="4" w:space="0" w:color="CCFFCC"/>
            </w:tcBorders>
            <w:shd w:fill="CCFFCC" w:val="clear"/>
            <w:vAlign w:val="bottom"/>
          </w:tcPr>
          <w:p>
            <w:pPr>
              <w:pStyle w:val="TableContents"/>
              <w:spacing w:before="0" w:after="283"/>
              <w:jc w:val="left"/>
              <w:rPr/>
            </w:pPr>
            <w:r>
              <w:rPr/>
              <w:t> </w:t>
            </w:r>
          </w:p>
        </w:tc>
      </w:tr>
      <w:tr>
        <w:trPr/>
        <w:tc>
          <w:tcPr>
            <w:tcW w:w="6884" w:type="dxa"/>
            <w:tcBorders>
              <w:bottom w:val="double" w:sz="2" w:space="0" w:color="FFFFFF"/>
            </w:tcBorders>
            <w:shd w:fill="FFFFFF"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Total liabilities and stockholders’ equity</w:t>
            </w:r>
          </w:p>
        </w:tc>
        <w:tc>
          <w:tcPr>
            <w:tcW w:w="197" w:type="dxa"/>
            <w:tcBorders>
              <w:bottom w:val="single" w:sz="4" w:space="0" w:color="FFFFFF"/>
            </w:tcBorders>
            <w:shd w:fill="FFFFFF" w:val="clear"/>
            <w:vAlign w:val="center"/>
          </w:tcPr>
          <w:p>
            <w:pPr>
              <w:pStyle w:val="TableContents"/>
              <w:spacing w:before="0" w:after="283"/>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7,182,425</w:t>
            </w:r>
          </w:p>
        </w:tc>
        <w:tc>
          <w:tcPr>
            <w:tcW w:w="203" w:type="dxa"/>
            <w:tcBorders>
              <w:bottom w:val="single" w:sz="4" w:space="0" w:color="FFFFFF"/>
            </w:tcBorders>
            <w:shd w:fill="FFFFFF" w:val="clear"/>
            <w:vAlign w:val="bottom"/>
          </w:tcPr>
          <w:p>
            <w:pPr>
              <w:pStyle w:val="TableContents"/>
              <w:spacing w:before="0" w:after="283"/>
              <w:jc w:val="left"/>
              <w:rPr/>
            </w:pPr>
            <w:r>
              <w:rPr/>
              <w:t> </w:t>
            </w:r>
          </w:p>
        </w:tc>
        <w:tc>
          <w:tcPr>
            <w:tcW w:w="12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73"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4,240,721</w:t>
            </w:r>
          </w:p>
        </w:tc>
        <w:tc>
          <w:tcPr>
            <w:tcW w:w="121"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t> </w:t>
      </w:r>
    </w:p>
    <w:p>
      <w:pPr>
        <w:pStyle w:val="TextBody"/>
        <w:spacing w:lineRule="auto" w:line="300" w:before="0" w:after="0"/>
        <w:ind w:left="0" w:right="0" w:hanging="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0"/>
        <w:ind w:left="0" w:right="0" w:hanging="0"/>
        <w:jc w:val="center"/>
        <w:rPr/>
      </w:pPr>
      <w:r>
        <w:rPr/>
      </w:r>
      <w:bookmarkStart w:id="21" w:name="PGBRK1"/>
      <w:bookmarkStart w:id="22" w:name="PGBRK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r>
        <w:rPr/>
      </w:r>
      <w:bookmarkStart w:id="23" w:name="FTR1"/>
      <w:bookmarkStart w:id="24" w:name="FTR1"/>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r>
        <w:rPr/>
      </w:r>
      <w:bookmarkStart w:id="25" w:name="GLFTR1"/>
      <w:bookmarkStart w:id="26" w:name="GLFTR1"/>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sz w:val="20"/>
        </w:rPr>
      </w:pPr>
      <w:bookmarkStart w:id="27" w:name="PN1"/>
      <w:bookmarkEnd w:id="27"/>
      <w:r>
        <w:rPr>
          <w:sz w:val="20"/>
        </w:rPr>
        <w:t>2</w:t>
      </w:r>
    </w:p>
    <w:p>
      <w:pPr>
        <w:pStyle w:val="HorizontalLine"/>
        <w:pBdr>
          <w:bottom w:val="single" w:sz="12" w:space="0" w:color="808080"/>
        </w:pBdr>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r>
        <w:rPr/>
      </w:r>
      <w:bookmarkStart w:id="28" w:name="HDR1"/>
      <w:bookmarkStart w:id="29" w:name="HDR1"/>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r>
        <w:rPr/>
      </w:r>
      <w:bookmarkStart w:id="30" w:name="GLHDR1"/>
      <w:bookmarkStart w:id="31" w:name="GLHDR1"/>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r>
        <w:rPr>
          <w:rStyle w:val="StrongEmphasis"/>
          <w:rFonts w:ascii="Times New Roman" w:hAnsi="Times New Roman"/>
          <w:sz w:val="20"/>
        </w:rPr>
        <w:t>TRANSDEL PHARMACEUTICALS, INC.</w:t>
      </w:r>
    </w:p>
    <w:p>
      <w:pPr>
        <w:pStyle w:val="TextBody"/>
        <w:spacing w:lineRule="auto" w:line="300" w:before="0" w:after="0"/>
        <w:ind w:left="0" w:right="0" w:firstLine="540"/>
        <w:jc w:val="center"/>
        <w:rPr/>
      </w:pPr>
      <w:r>
        <w:rPr>
          <w:rStyle w:val="StrongEmphasis"/>
          <w:rFonts w:ascii="Times New Roman" w:hAnsi="Times New Roman"/>
          <w:sz w:val="20"/>
        </w:rPr>
        <w:t>(A Development Stage Company)</w:t>
      </w:r>
    </w:p>
    <w:p>
      <w:pPr>
        <w:pStyle w:val="TextBody"/>
        <w:spacing w:lineRule="auto" w:line="300" w:before="0" w:after="0"/>
        <w:ind w:left="0" w:right="0" w:firstLine="540"/>
        <w:jc w:val="center"/>
        <w:rPr/>
      </w:pPr>
      <w:r>
        <w:rPr>
          <w:rStyle w:val="StrongEmphasis"/>
          <w:rFonts w:ascii="Times New Roman" w:hAnsi="Times New Roman"/>
          <w:sz w:val="20"/>
        </w:rPr>
        <w:t>UNAUDITED CONDENSED CONSOLIDATED STATEMENTS OF OPERATIONS</w:t>
      </w:r>
    </w:p>
    <w:p>
      <w:pPr>
        <w:pStyle w:val="TextBody"/>
        <w:spacing w:lineRule="auto" w:line="300" w:before="0" w:after="0"/>
        <w:ind w:left="0" w:right="0" w:firstLine="540"/>
        <w:jc w:val="center"/>
        <w:rPr/>
      </w:pPr>
      <w:r>
        <w:rPr/>
      </w:r>
    </w:p>
    <w:p>
      <w:pPr>
        <w:pStyle w:val="TextBody"/>
        <w:spacing w:before="0" w:after="0"/>
        <w:rPr/>
      </w:pPr>
      <w:r>
        <w:rPr/>
        <w:t> </w:t>
      </w:r>
    </w:p>
    <w:p>
      <w:pPr>
        <w:pStyle w:val="Normal"/>
        <w:spacing w:before="0" w:after="0"/>
        <w:rPr>
          <w:sz w:val="4"/>
          <w:szCs w:val="4"/>
        </w:rPr>
      </w:pPr>
      <w:r>
        <w:rPr>
          <w:sz w:val="4"/>
          <w:szCs w:val="4"/>
        </w:rPr>
      </w:r>
      <w:bookmarkStart w:id="32" w:name="ftable1"/>
      <w:bookmarkStart w:id="33" w:name="ftable1"/>
      <w:bookmarkEnd w:id="33"/>
    </w:p>
    <w:tbl>
      <w:tblPr>
        <w:tblW w:w="5000" w:type="pct"/>
        <w:jc w:val="left"/>
        <w:tblInd w:w="0" w:type="dxa"/>
        <w:tblCellMar>
          <w:top w:w="0" w:type="dxa"/>
          <w:left w:w="0" w:type="dxa"/>
          <w:bottom w:w="28" w:type="dxa"/>
          <w:right w:w="0" w:type="dxa"/>
        </w:tblCellMar>
      </w:tblPr>
      <w:tblGrid>
        <w:gridCol w:w="3683"/>
        <w:gridCol w:w="172"/>
        <w:gridCol w:w="125"/>
        <w:gridCol w:w="1057"/>
        <w:gridCol w:w="106"/>
        <w:gridCol w:w="125"/>
        <w:gridCol w:w="1014"/>
        <w:gridCol w:w="106"/>
        <w:gridCol w:w="125"/>
        <w:gridCol w:w="1056"/>
        <w:gridCol w:w="106"/>
        <w:gridCol w:w="125"/>
        <w:gridCol w:w="1014"/>
        <w:gridCol w:w="106"/>
        <w:gridCol w:w="125"/>
        <w:gridCol w:w="1039"/>
        <w:gridCol w:w="121"/>
      </w:tblGrid>
      <w:tr>
        <w:trPr/>
        <w:tc>
          <w:tcPr>
            <w:tcW w:w="3683" w:type="dxa"/>
            <w:tcBorders>
              <w:bottom w:val="single" w:sz="4" w:space="0" w:color="FFFFFF"/>
            </w:tcBorders>
            <w:shd w:fill="auto" w:val="clear"/>
            <w:vAlign w:val="bottom"/>
          </w:tcPr>
          <w:p>
            <w:pPr>
              <w:pStyle w:val="TableContents"/>
              <w:spacing w:before="0" w:after="283"/>
              <w:jc w:val="left"/>
              <w:rPr/>
            </w:pPr>
            <w:r>
              <w:rPr/>
              <w:t> </w:t>
            </w:r>
          </w:p>
        </w:tc>
        <w:tc>
          <w:tcPr>
            <w:tcW w:w="172" w:type="dxa"/>
            <w:tcBorders>
              <w:bottom w:val="single" w:sz="4" w:space="0" w:color="FFFFFF"/>
            </w:tcBorders>
            <w:shd w:fill="auto" w:val="clear"/>
            <w:vAlign w:val="center"/>
          </w:tcPr>
          <w:p>
            <w:pPr>
              <w:pStyle w:val="TableContents"/>
              <w:spacing w:before="0" w:after="283"/>
              <w:rPr/>
            </w:pPr>
            <w:r>
              <w:rPr/>
              <w:t> </w:t>
            </w:r>
          </w:p>
        </w:tc>
        <w:tc>
          <w:tcPr>
            <w:tcW w:w="2427" w:type="dxa"/>
            <w:gridSpan w:val="5"/>
            <w:tcBorders>
              <w:bottom w:val="single" w:sz="2" w:space="0" w:color="000000"/>
            </w:tcBorders>
            <w:shd w:fill="auto" w:val="clear"/>
            <w:vAlign w:val="bottom"/>
          </w:tcPr>
          <w:p>
            <w:pPr>
              <w:pStyle w:val="TableContents"/>
              <w:spacing w:before="0" w:after="0"/>
              <w:jc w:val="both"/>
              <w:rPr/>
            </w:pPr>
            <w:r>
              <w:rPr/>
              <w:t xml:space="preserve">  </w:t>
            </w:r>
          </w:p>
          <w:p>
            <w:pPr>
              <w:pStyle w:val="TableContents"/>
              <w:spacing w:lineRule="auto" w:line="300" w:before="0" w:after="0"/>
              <w:ind w:left="0" w:right="0" w:hanging="0"/>
              <w:jc w:val="center"/>
              <w:rPr/>
            </w:pPr>
            <w:r>
              <w:rPr>
                <w:rStyle w:val="StrongEmphasis"/>
                <w:rFonts w:ascii="Times New Roman" w:hAnsi="Times New Roman"/>
                <w:sz w:val="20"/>
              </w:rPr>
              <w:t>Three Months Ended June 30,</w:t>
            </w:r>
          </w:p>
        </w:tc>
        <w:tc>
          <w:tcPr>
            <w:tcW w:w="106" w:type="dxa"/>
            <w:tcBorders>
              <w:bottom w:val="single" w:sz="4" w:space="0" w:color="FFFFFF"/>
            </w:tcBorders>
            <w:shd w:fill="auto" w:val="clear"/>
            <w:vAlign w:val="bottom"/>
          </w:tcPr>
          <w:p>
            <w:pPr>
              <w:pStyle w:val="TableContents"/>
              <w:spacing w:before="0" w:after="283"/>
              <w:jc w:val="left"/>
              <w:rPr/>
            </w:pPr>
            <w:r>
              <w:rPr/>
              <w:t> </w:t>
            </w:r>
          </w:p>
        </w:tc>
        <w:tc>
          <w:tcPr>
            <w:tcW w:w="2426" w:type="dxa"/>
            <w:gridSpan w:val="5"/>
            <w:tcBorders>
              <w:bottom w:val="single" w:sz="2" w:space="0" w:color="000000"/>
            </w:tcBorders>
            <w:shd w:fill="auto" w:val="clear"/>
            <w:vAlign w:val="bottom"/>
          </w:tcPr>
          <w:p>
            <w:pPr>
              <w:pStyle w:val="TableContents"/>
              <w:spacing w:before="0" w:after="0"/>
              <w:jc w:val="both"/>
              <w:rPr/>
            </w:pPr>
            <w:r>
              <w:rPr/>
              <w:t xml:space="preserve">  </w:t>
            </w:r>
          </w:p>
          <w:p>
            <w:pPr>
              <w:pStyle w:val="TableContents"/>
              <w:spacing w:lineRule="auto" w:line="300" w:before="0" w:after="0"/>
              <w:ind w:left="0" w:right="0" w:hanging="0"/>
              <w:jc w:val="center"/>
              <w:rPr/>
            </w:pPr>
            <w:r>
              <w:rPr>
                <w:rStyle w:val="StrongEmphasis"/>
                <w:rFonts w:ascii="Times New Roman" w:hAnsi="Times New Roman"/>
                <w:sz w:val="20"/>
              </w:rPr>
              <w:t>Six Months Ended June 30,</w:t>
            </w:r>
          </w:p>
        </w:tc>
        <w:tc>
          <w:tcPr>
            <w:tcW w:w="106" w:type="dxa"/>
            <w:tcBorders>
              <w:bottom w:val="single" w:sz="4" w:space="0" w:color="FFFFFF"/>
            </w:tcBorders>
            <w:shd w:fill="auto" w:val="clear"/>
            <w:vAlign w:val="bottom"/>
          </w:tcPr>
          <w:p>
            <w:pPr>
              <w:pStyle w:val="TableContents"/>
              <w:spacing w:before="0" w:after="283"/>
              <w:jc w:val="left"/>
              <w:rPr/>
            </w:pPr>
            <w:r>
              <w:rPr/>
              <w:t> </w:t>
            </w:r>
          </w:p>
        </w:tc>
        <w:tc>
          <w:tcPr>
            <w:tcW w:w="1164" w:type="dxa"/>
            <w:gridSpan w:val="2"/>
            <w:tcBorders>
              <w:bottom w:val="single" w:sz="2" w:space="0" w:color="FFFFFF"/>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For the Period From July 24, 1998 (Inception) Through June 30,</w:t>
            </w:r>
            <w:r>
              <w:rPr/>
              <w:t> </w:t>
            </w:r>
          </w:p>
        </w:tc>
        <w:tc>
          <w:tcPr>
            <w:tcW w:w="121" w:type="dxa"/>
            <w:tcBorders>
              <w:bottom w:val="single" w:sz="4" w:space="0" w:color="FFFFFF"/>
            </w:tcBorders>
            <w:shd w:fill="auto" w:val="clear"/>
            <w:vAlign w:val="bottom"/>
          </w:tcPr>
          <w:p>
            <w:pPr>
              <w:pStyle w:val="TableContents"/>
              <w:spacing w:before="0" w:after="283"/>
              <w:jc w:val="left"/>
              <w:rPr/>
            </w:pPr>
            <w:r>
              <w:rPr/>
              <w:t> </w:t>
            </w:r>
          </w:p>
        </w:tc>
      </w:tr>
      <w:tr>
        <w:trPr/>
        <w:tc>
          <w:tcPr>
            <w:tcW w:w="3683" w:type="dxa"/>
            <w:tcBorders>
              <w:bottom w:val="single" w:sz="4" w:space="0" w:color="FFFFFF"/>
            </w:tcBorders>
            <w:shd w:fill="auto" w:val="clear"/>
            <w:vAlign w:val="bottom"/>
          </w:tcPr>
          <w:p>
            <w:pPr>
              <w:pStyle w:val="TableContents"/>
              <w:spacing w:before="0" w:after="283"/>
              <w:jc w:val="left"/>
              <w:rPr/>
            </w:pPr>
            <w:r>
              <w:rPr/>
              <w:t> </w:t>
            </w:r>
          </w:p>
        </w:tc>
        <w:tc>
          <w:tcPr>
            <w:tcW w:w="172" w:type="dxa"/>
            <w:tcBorders>
              <w:bottom w:val="single" w:sz="4" w:space="0" w:color="FFFFFF"/>
            </w:tcBorders>
            <w:shd w:fill="auto" w:val="clear"/>
            <w:vAlign w:val="center"/>
          </w:tcPr>
          <w:p>
            <w:pPr>
              <w:pStyle w:val="TableContents"/>
              <w:spacing w:before="0" w:after="283"/>
              <w:rPr/>
            </w:pPr>
            <w:r>
              <w:rPr/>
              <w:t> </w:t>
            </w:r>
          </w:p>
        </w:tc>
        <w:tc>
          <w:tcPr>
            <w:tcW w:w="1182"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106" w:type="dxa"/>
            <w:tcBorders>
              <w:bottom w:val="single" w:sz="4" w:space="0" w:color="FFFFFF"/>
            </w:tcBorders>
            <w:shd w:fill="auto" w:val="clear"/>
            <w:vAlign w:val="bottom"/>
          </w:tcPr>
          <w:p>
            <w:pPr>
              <w:pStyle w:val="TableContents"/>
              <w:spacing w:before="0" w:after="283"/>
              <w:jc w:val="left"/>
              <w:rPr/>
            </w:pPr>
            <w:r>
              <w:rPr/>
              <w:t> </w:t>
            </w:r>
          </w:p>
        </w:tc>
        <w:tc>
          <w:tcPr>
            <w:tcW w:w="113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06" w:type="dxa"/>
            <w:tcBorders>
              <w:bottom w:val="single" w:sz="4" w:space="0" w:color="FFFFFF"/>
            </w:tcBorders>
            <w:shd w:fill="auto" w:val="clear"/>
            <w:vAlign w:val="bottom"/>
          </w:tcPr>
          <w:p>
            <w:pPr>
              <w:pStyle w:val="TableContents"/>
              <w:spacing w:before="0" w:after="283"/>
              <w:jc w:val="left"/>
              <w:rPr/>
            </w:pPr>
            <w:r>
              <w:rPr/>
              <w:t> </w:t>
            </w:r>
          </w:p>
        </w:tc>
        <w:tc>
          <w:tcPr>
            <w:tcW w:w="1181"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p>
        </w:tc>
        <w:tc>
          <w:tcPr>
            <w:tcW w:w="106" w:type="dxa"/>
            <w:tcBorders>
              <w:bottom w:val="single" w:sz="4" w:space="0" w:color="FFFFFF"/>
            </w:tcBorders>
            <w:shd w:fill="auto" w:val="clear"/>
            <w:vAlign w:val="bottom"/>
          </w:tcPr>
          <w:p>
            <w:pPr>
              <w:pStyle w:val="TableContents"/>
              <w:spacing w:before="0" w:after="283"/>
              <w:jc w:val="left"/>
              <w:rPr/>
            </w:pPr>
            <w:r>
              <w:rPr/>
              <w:t> </w:t>
            </w:r>
          </w:p>
        </w:tc>
        <w:tc>
          <w:tcPr>
            <w:tcW w:w="1139"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2007</w:t>
            </w:r>
          </w:p>
        </w:tc>
        <w:tc>
          <w:tcPr>
            <w:tcW w:w="106" w:type="dxa"/>
            <w:tcBorders>
              <w:bottom w:val="single" w:sz="4" w:space="0" w:color="FFFFFF"/>
            </w:tcBorders>
            <w:shd w:fill="auto" w:val="clear"/>
            <w:vAlign w:val="bottom"/>
          </w:tcPr>
          <w:p>
            <w:pPr>
              <w:pStyle w:val="TableContents"/>
              <w:spacing w:before="0" w:after="283"/>
              <w:jc w:val="left"/>
              <w:rPr/>
            </w:pPr>
            <w:r>
              <w:rPr/>
              <w:t> </w:t>
            </w:r>
          </w:p>
        </w:tc>
        <w:tc>
          <w:tcPr>
            <w:tcW w:w="1164" w:type="dxa"/>
            <w:gridSpan w:val="2"/>
            <w:tcBorders>
              <w:bottom w:val="single" w:sz="2" w:space="0" w:color="000000"/>
            </w:tcBorders>
            <w:shd w:fill="auto" w:val="clear"/>
            <w:vAlign w:val="bottom"/>
          </w:tcPr>
          <w:p>
            <w:pPr>
              <w:pStyle w:val="TableContents"/>
              <w:spacing w:lineRule="auto" w:line="300" w:before="0" w:after="0"/>
              <w:ind w:left="0" w:right="0" w:hanging="0"/>
              <w:jc w:val="center"/>
              <w:rPr/>
            </w:pPr>
            <w:r>
              <w:rPr>
                <w:rStyle w:val="StrongEmphasis"/>
                <w:rFonts w:ascii="Times New Roman" w:hAnsi="Times New Roman"/>
                <w:sz w:val="20"/>
              </w:rPr>
              <w:t>2008</w:t>
            </w:r>
            <w:r>
              <w:rPr/>
              <w:t> </w:t>
            </w:r>
          </w:p>
        </w:tc>
        <w:tc>
          <w:tcPr>
            <w:tcW w:w="121" w:type="dxa"/>
            <w:tcBorders>
              <w:bottom w:val="single" w:sz="4" w:space="0" w:color="FFFFFF"/>
            </w:tcBorders>
            <w:shd w:fill="auto" w:val="clear"/>
            <w:vAlign w:val="bottom"/>
          </w:tcPr>
          <w:p>
            <w:pPr>
              <w:pStyle w:val="TableContents"/>
              <w:spacing w:before="0" w:after="283"/>
              <w:jc w:val="left"/>
              <w:rPr/>
            </w:pPr>
            <w:r>
              <w:rPr/>
              <w:t> </w:t>
            </w:r>
          </w:p>
        </w:tc>
      </w:tr>
      <w:tr>
        <w:trPr/>
        <w:tc>
          <w:tcPr>
            <w:tcW w:w="3683" w:type="dxa"/>
            <w:tcBorders/>
            <w:shd w:fill="auto" w:val="clear"/>
            <w:tcMar>
              <w:bottom w:w="0" w:type="dxa"/>
            </w:tcMar>
            <w:vAlign w:val="bottom"/>
          </w:tcPr>
          <w:p>
            <w:pPr>
              <w:pStyle w:val="TableContents"/>
              <w:spacing w:before="0" w:after="283"/>
              <w:jc w:val="left"/>
              <w:rPr/>
            </w:pPr>
            <w:r>
              <w:rPr/>
              <w:t> </w:t>
            </w:r>
          </w:p>
        </w:tc>
        <w:tc>
          <w:tcPr>
            <w:tcW w:w="172" w:type="dxa"/>
            <w:tcBorders/>
            <w:shd w:fill="auto" w:val="clear"/>
            <w:tcMar>
              <w:bottom w:w="0" w:type="dxa"/>
            </w:tcMar>
            <w:vAlign w:val="center"/>
          </w:tcPr>
          <w:p>
            <w:pPr>
              <w:pStyle w:val="TableContents"/>
              <w:spacing w:before="0" w:after="283"/>
              <w:rPr/>
            </w:pPr>
            <w:r>
              <w:rPr/>
              <w:t> </w:t>
            </w:r>
          </w:p>
        </w:tc>
        <w:tc>
          <w:tcPr>
            <w:tcW w:w="1182" w:type="dxa"/>
            <w:gridSpan w:val="2"/>
            <w:tcBorders/>
            <w:shd w:fill="auto" w:val="clear"/>
            <w:tcMar>
              <w:bottom w:w="0" w:type="dxa"/>
            </w:tcMar>
            <w:vAlign w:val="bottom"/>
          </w:tcPr>
          <w:p>
            <w:pPr>
              <w:pStyle w:val="TableContents"/>
              <w:spacing w:before="0" w:after="283"/>
              <w:jc w:val="both"/>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139" w:type="dxa"/>
            <w:gridSpan w:val="2"/>
            <w:tcBorders/>
            <w:shd w:fill="auto" w:val="clear"/>
            <w:tcMar>
              <w:bottom w:w="0" w:type="dxa"/>
            </w:tcMar>
            <w:vAlign w:val="bottom"/>
          </w:tcPr>
          <w:p>
            <w:pPr>
              <w:pStyle w:val="TableContents"/>
              <w:spacing w:before="0" w:after="283"/>
              <w:jc w:val="both"/>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181" w:type="dxa"/>
            <w:gridSpan w:val="2"/>
            <w:tcBorders/>
            <w:shd w:fill="auto" w:val="clear"/>
            <w:tcMar>
              <w:bottom w:w="0" w:type="dxa"/>
            </w:tcMar>
            <w:vAlign w:val="bottom"/>
          </w:tcPr>
          <w:p>
            <w:pPr>
              <w:pStyle w:val="TableContents"/>
              <w:spacing w:before="0" w:after="283"/>
              <w:jc w:val="both"/>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139" w:type="dxa"/>
            <w:gridSpan w:val="2"/>
            <w:tcBorders/>
            <w:shd w:fill="auto" w:val="clear"/>
            <w:tcMar>
              <w:bottom w:w="0" w:type="dxa"/>
            </w:tcMar>
            <w:vAlign w:val="bottom"/>
          </w:tcPr>
          <w:p>
            <w:pPr>
              <w:pStyle w:val="TableContents"/>
              <w:spacing w:before="0" w:after="283"/>
              <w:jc w:val="both"/>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164" w:type="dxa"/>
            <w:gridSpan w:val="2"/>
            <w:tcBorders/>
            <w:shd w:fill="auto" w:val="clear"/>
            <w:tcMar>
              <w:bottom w:w="0" w:type="dxa"/>
            </w:tcMar>
            <w:vAlign w:val="bottom"/>
          </w:tcPr>
          <w:p>
            <w:pPr>
              <w:pStyle w:val="TableContents"/>
              <w:spacing w:before="0" w:after="283"/>
              <w:jc w:val="both"/>
              <w:rPr/>
            </w:pPr>
            <w:r>
              <w:rPr/>
              <w:t> </w:t>
            </w:r>
          </w:p>
        </w:tc>
        <w:tc>
          <w:tcPr>
            <w:tcW w:w="121" w:type="dxa"/>
            <w:tcBorders/>
            <w:shd w:fill="auto" w:val="clear"/>
            <w:tcMar>
              <w:bottom w:w="0" w:type="dxa"/>
            </w:tcMar>
            <w:vAlign w:val="bottom"/>
          </w:tcPr>
          <w:p>
            <w:pPr>
              <w:pStyle w:val="TableContents"/>
              <w:spacing w:before="0" w:after="283"/>
              <w:jc w:val="left"/>
              <w:rPr/>
            </w:pPr>
            <w:r>
              <w:rPr/>
              <w:t> </w:t>
            </w:r>
          </w:p>
        </w:tc>
      </w:tr>
      <w:tr>
        <w:trPr/>
        <w:tc>
          <w:tcPr>
            <w:tcW w:w="3683"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Operating expenses:</w:t>
            </w:r>
          </w:p>
        </w:tc>
        <w:tc>
          <w:tcPr>
            <w:tcW w:w="172" w:type="dxa"/>
            <w:tcBorders/>
            <w:shd w:fill="CCFFCC" w:val="clear"/>
            <w:tcMar>
              <w:bottom w:w="0" w:type="dxa"/>
            </w:tcMar>
            <w:vAlign w:val="center"/>
          </w:tcPr>
          <w:p>
            <w:pPr>
              <w:pStyle w:val="TableContents"/>
              <w:spacing w:before="0" w:after="283"/>
              <w:rPr/>
            </w:pPr>
            <w:r>
              <w:rPr/>
              <w:t> </w:t>
            </w:r>
          </w:p>
        </w:tc>
        <w:tc>
          <w:tcPr>
            <w:tcW w:w="1182" w:type="dxa"/>
            <w:gridSpan w:val="2"/>
            <w:tcBorders/>
            <w:shd w:fill="CCFFCC" w:val="clear"/>
            <w:tcMar>
              <w:bottom w:w="0" w:type="dxa"/>
            </w:tcMar>
            <w:vAlign w:val="bottom"/>
          </w:tcPr>
          <w:p>
            <w:pPr>
              <w:pStyle w:val="TableContents"/>
              <w:spacing w:before="0" w:after="283"/>
              <w:jc w:val="both"/>
              <w:rPr/>
            </w:pPr>
            <w:r>
              <w:rPr/>
              <w:t> </w:t>
            </w:r>
          </w:p>
        </w:tc>
        <w:tc>
          <w:tcPr>
            <w:tcW w:w="106" w:type="dxa"/>
            <w:tcBorders/>
            <w:shd w:fill="CCFFCC" w:val="clear"/>
            <w:tcMar>
              <w:bottom w:w="0" w:type="dxa"/>
            </w:tcMar>
            <w:vAlign w:val="bottom"/>
          </w:tcPr>
          <w:p>
            <w:pPr>
              <w:pStyle w:val="TableContents"/>
              <w:spacing w:before="0" w:after="283"/>
              <w:jc w:val="left"/>
              <w:rPr/>
            </w:pPr>
            <w:r>
              <w:rPr/>
              <w:t> </w:t>
            </w:r>
          </w:p>
        </w:tc>
        <w:tc>
          <w:tcPr>
            <w:tcW w:w="1139" w:type="dxa"/>
            <w:gridSpan w:val="2"/>
            <w:tcBorders/>
            <w:shd w:fill="CCFFCC" w:val="clear"/>
            <w:tcMar>
              <w:bottom w:w="0" w:type="dxa"/>
            </w:tcMar>
            <w:vAlign w:val="bottom"/>
          </w:tcPr>
          <w:p>
            <w:pPr>
              <w:pStyle w:val="TableContents"/>
              <w:spacing w:before="0" w:after="283"/>
              <w:jc w:val="both"/>
              <w:rPr/>
            </w:pPr>
            <w:r>
              <w:rPr/>
              <w:t> </w:t>
            </w:r>
          </w:p>
        </w:tc>
        <w:tc>
          <w:tcPr>
            <w:tcW w:w="106" w:type="dxa"/>
            <w:tcBorders/>
            <w:shd w:fill="CCFFCC" w:val="clear"/>
            <w:tcMar>
              <w:bottom w:w="0" w:type="dxa"/>
            </w:tcMar>
            <w:vAlign w:val="bottom"/>
          </w:tcPr>
          <w:p>
            <w:pPr>
              <w:pStyle w:val="TableContents"/>
              <w:spacing w:before="0" w:after="283"/>
              <w:jc w:val="left"/>
              <w:rPr/>
            </w:pPr>
            <w:r>
              <w:rPr/>
              <w:t> </w:t>
            </w:r>
          </w:p>
        </w:tc>
        <w:tc>
          <w:tcPr>
            <w:tcW w:w="1181" w:type="dxa"/>
            <w:gridSpan w:val="2"/>
            <w:tcBorders/>
            <w:shd w:fill="CCFFCC" w:val="clear"/>
            <w:tcMar>
              <w:bottom w:w="0" w:type="dxa"/>
            </w:tcMar>
            <w:vAlign w:val="bottom"/>
          </w:tcPr>
          <w:p>
            <w:pPr>
              <w:pStyle w:val="TableContents"/>
              <w:spacing w:before="0" w:after="283"/>
              <w:jc w:val="both"/>
              <w:rPr/>
            </w:pPr>
            <w:r>
              <w:rPr/>
              <w:t>  </w:t>
            </w:r>
          </w:p>
        </w:tc>
        <w:tc>
          <w:tcPr>
            <w:tcW w:w="106" w:type="dxa"/>
            <w:tcBorders/>
            <w:shd w:fill="CCFFCC" w:val="clear"/>
            <w:tcMar>
              <w:bottom w:w="0" w:type="dxa"/>
            </w:tcMar>
            <w:vAlign w:val="bottom"/>
          </w:tcPr>
          <w:p>
            <w:pPr>
              <w:pStyle w:val="TableContents"/>
              <w:spacing w:before="0" w:after="283"/>
              <w:jc w:val="left"/>
              <w:rPr/>
            </w:pPr>
            <w:r>
              <w:rPr/>
              <w:t> </w:t>
            </w:r>
          </w:p>
        </w:tc>
        <w:tc>
          <w:tcPr>
            <w:tcW w:w="1139" w:type="dxa"/>
            <w:gridSpan w:val="2"/>
            <w:tcBorders/>
            <w:shd w:fill="CCFFCC" w:val="clear"/>
            <w:tcMar>
              <w:bottom w:w="0" w:type="dxa"/>
            </w:tcMar>
            <w:vAlign w:val="bottom"/>
          </w:tcPr>
          <w:p>
            <w:pPr>
              <w:pStyle w:val="TableContents"/>
              <w:spacing w:before="0" w:after="283"/>
              <w:jc w:val="both"/>
              <w:rPr/>
            </w:pPr>
            <w:r>
              <w:rPr/>
              <w:t> </w:t>
            </w:r>
          </w:p>
        </w:tc>
        <w:tc>
          <w:tcPr>
            <w:tcW w:w="106" w:type="dxa"/>
            <w:tcBorders/>
            <w:shd w:fill="CCFFCC" w:val="clear"/>
            <w:tcMar>
              <w:bottom w:w="0" w:type="dxa"/>
            </w:tcMar>
            <w:vAlign w:val="bottom"/>
          </w:tcPr>
          <w:p>
            <w:pPr>
              <w:pStyle w:val="TableContents"/>
              <w:spacing w:before="0" w:after="283"/>
              <w:jc w:val="left"/>
              <w:rPr/>
            </w:pPr>
            <w:r>
              <w:rPr/>
              <w:t> </w:t>
            </w:r>
          </w:p>
        </w:tc>
        <w:tc>
          <w:tcPr>
            <w:tcW w:w="1164" w:type="dxa"/>
            <w:gridSpan w:val="2"/>
            <w:tcBorders/>
            <w:shd w:fill="CCFFCC" w:val="clear"/>
            <w:tcMar>
              <w:bottom w:w="0" w:type="dxa"/>
            </w:tcMar>
            <w:vAlign w:val="bottom"/>
          </w:tcPr>
          <w:p>
            <w:pPr>
              <w:pStyle w:val="TableContents"/>
              <w:spacing w:before="0" w:after="283"/>
              <w:jc w:val="both"/>
              <w:rPr/>
            </w:pPr>
            <w:r>
              <w:rPr/>
              <w:t> </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3683"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Selling, general and administrative</w:t>
            </w:r>
          </w:p>
        </w:tc>
        <w:tc>
          <w:tcPr>
            <w:tcW w:w="172"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5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562,324</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1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151,115</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1,010,179</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1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251,336</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3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4,093,760</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3683" w:type="dxa"/>
            <w:tcBorders>
              <w:bottom w:val="single" w:sz="4" w:space="0" w:color="CCFFCC"/>
            </w:tcBorders>
            <w:shd w:fill="CCFFCC"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Research and development</w:t>
            </w:r>
          </w:p>
        </w:tc>
        <w:tc>
          <w:tcPr>
            <w:tcW w:w="172" w:type="dxa"/>
            <w:tcBorders>
              <w:bottom w:val="single" w:sz="2"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057"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718,083 </w:t>
            </w:r>
          </w:p>
        </w:tc>
        <w:tc>
          <w:tcPr>
            <w:tcW w:w="106"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014"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47,547 </w:t>
            </w:r>
          </w:p>
        </w:tc>
        <w:tc>
          <w:tcPr>
            <w:tcW w:w="106"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056"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937,183</w:t>
            </w:r>
          </w:p>
        </w:tc>
        <w:tc>
          <w:tcPr>
            <w:tcW w:w="106"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014"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 xml:space="preserve">85,047 </w:t>
            </w:r>
          </w:p>
        </w:tc>
        <w:tc>
          <w:tcPr>
            <w:tcW w:w="106"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03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3,494,927</w:t>
            </w:r>
          </w:p>
        </w:tc>
        <w:tc>
          <w:tcPr>
            <w:tcW w:w="121" w:type="dxa"/>
            <w:tcBorders>
              <w:bottom w:val="single" w:sz="2" w:space="0" w:color="CCFFCC"/>
            </w:tcBorders>
            <w:shd w:fill="CCFFCC" w:val="clear"/>
            <w:vAlign w:val="bottom"/>
          </w:tcPr>
          <w:p>
            <w:pPr>
              <w:pStyle w:val="TableContents"/>
              <w:spacing w:before="0" w:after="283"/>
              <w:jc w:val="left"/>
              <w:rPr/>
            </w:pPr>
            <w:r>
              <w:rPr/>
              <w:t> </w:t>
            </w:r>
          </w:p>
        </w:tc>
      </w:tr>
      <w:tr>
        <w:trPr/>
        <w:tc>
          <w:tcPr>
            <w:tcW w:w="3683" w:type="dxa"/>
            <w:tcBorders>
              <w:bottom w:val="single" w:sz="4" w:space="0" w:color="FFFFFF"/>
            </w:tcBorders>
            <w:shd w:fill="FFFFFF" w:val="clear"/>
            <w:vAlign w:val="bottom"/>
          </w:tcPr>
          <w:p>
            <w:pPr>
              <w:pStyle w:val="TableContents"/>
              <w:spacing w:lineRule="auto" w:line="300" w:before="0" w:after="0"/>
              <w:ind w:left="540" w:right="0" w:hanging="0"/>
              <w:jc w:val="left"/>
              <w:rPr>
                <w:rFonts w:ascii="Times New Roman" w:hAnsi="Times New Roman"/>
                <w:sz w:val="20"/>
              </w:rPr>
            </w:pPr>
            <w:bookmarkStart w:id="34" w:name="TAB1"/>
            <w:bookmarkEnd w:id="34"/>
            <w:r>
              <w:rPr>
                <w:rFonts w:ascii="Times New Roman" w:hAnsi="Times New Roman"/>
                <w:sz w:val="20"/>
              </w:rPr>
              <w:t>Operating loss</w:t>
            </w:r>
          </w:p>
        </w:tc>
        <w:tc>
          <w:tcPr>
            <w:tcW w:w="172" w:type="dxa"/>
            <w:tcBorders>
              <w:bottom w:val="single" w:sz="2"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057"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1,280,407</w:t>
            </w:r>
          </w:p>
        </w:tc>
        <w:tc>
          <w:tcPr>
            <w:tcW w:w="106"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01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198,662</w:t>
            </w:r>
          </w:p>
        </w:tc>
        <w:tc>
          <w:tcPr>
            <w:tcW w:w="106"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05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1,947,362</w:t>
            </w:r>
          </w:p>
        </w:tc>
        <w:tc>
          <w:tcPr>
            <w:tcW w:w="106"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01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336,383</w:t>
            </w:r>
          </w:p>
        </w:tc>
        <w:tc>
          <w:tcPr>
            <w:tcW w:w="106"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03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7,588,687</w:t>
            </w:r>
          </w:p>
        </w:tc>
        <w:tc>
          <w:tcPr>
            <w:tcW w:w="121" w:type="dxa"/>
            <w:tcBorders>
              <w:bottom w:val="single" w:sz="2" w:space="0" w:color="FFFFFF"/>
            </w:tcBorders>
            <w:shd w:fill="FFFFFF" w:val="clear"/>
            <w:vAlign w:val="bottom"/>
          </w:tcPr>
          <w:p>
            <w:pPr>
              <w:pStyle w:val="TableContents"/>
              <w:spacing w:before="0" w:after="283"/>
              <w:jc w:val="left"/>
              <w:rPr/>
            </w:pPr>
            <w:r>
              <w:rPr/>
              <w:t> </w:t>
            </w:r>
          </w:p>
        </w:tc>
      </w:tr>
      <w:tr>
        <w:trPr/>
        <w:tc>
          <w:tcPr>
            <w:tcW w:w="3683" w:type="dxa"/>
            <w:tcBorders/>
            <w:shd w:fill="CCFFCC" w:val="clear"/>
            <w:tcMar>
              <w:bottom w:w="0" w:type="dxa"/>
            </w:tcMar>
            <w:vAlign w:val="bottom"/>
          </w:tcPr>
          <w:p>
            <w:pPr>
              <w:pStyle w:val="TableContents"/>
              <w:spacing w:before="0" w:after="283"/>
              <w:jc w:val="left"/>
              <w:rPr/>
            </w:pPr>
            <w:r>
              <w:rPr/>
              <w:t> </w:t>
            </w:r>
          </w:p>
        </w:tc>
        <w:tc>
          <w:tcPr>
            <w:tcW w:w="172"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057" w:type="dxa"/>
            <w:tcBorders/>
            <w:shd w:fill="CCFFCC" w:val="clear"/>
            <w:tcMar>
              <w:bottom w:w="0" w:type="dxa"/>
            </w:tcMar>
            <w:vAlign w:val="bottom"/>
          </w:tcPr>
          <w:p>
            <w:pPr>
              <w:pStyle w:val="TableContents"/>
              <w:spacing w:before="0" w:after="283"/>
              <w:jc w:val="right"/>
              <w:rPr/>
            </w:pPr>
            <w:r>
              <w:rPr/>
              <w:t> </w:t>
            </w:r>
          </w:p>
        </w:tc>
        <w:tc>
          <w:tcPr>
            <w:tcW w:w="106"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014" w:type="dxa"/>
            <w:tcBorders/>
            <w:shd w:fill="CCFFCC" w:val="clear"/>
            <w:tcMar>
              <w:bottom w:w="0" w:type="dxa"/>
            </w:tcMar>
            <w:vAlign w:val="bottom"/>
          </w:tcPr>
          <w:p>
            <w:pPr>
              <w:pStyle w:val="TableContents"/>
              <w:spacing w:before="0" w:after="283"/>
              <w:jc w:val="right"/>
              <w:rPr/>
            </w:pPr>
            <w:r>
              <w:rPr/>
              <w:t> </w:t>
            </w:r>
          </w:p>
        </w:tc>
        <w:tc>
          <w:tcPr>
            <w:tcW w:w="106"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056" w:type="dxa"/>
            <w:tcBorders/>
            <w:shd w:fill="CCFFCC" w:val="clear"/>
            <w:tcMar>
              <w:bottom w:w="0" w:type="dxa"/>
            </w:tcMar>
            <w:vAlign w:val="bottom"/>
          </w:tcPr>
          <w:p>
            <w:pPr>
              <w:pStyle w:val="TableContents"/>
              <w:spacing w:before="0" w:after="283"/>
              <w:jc w:val="right"/>
              <w:rPr/>
            </w:pPr>
            <w:r>
              <w:rPr/>
              <w:t> </w:t>
            </w:r>
          </w:p>
        </w:tc>
        <w:tc>
          <w:tcPr>
            <w:tcW w:w="106"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014" w:type="dxa"/>
            <w:tcBorders/>
            <w:shd w:fill="CCFFCC" w:val="clear"/>
            <w:tcMar>
              <w:bottom w:w="0" w:type="dxa"/>
            </w:tcMar>
            <w:vAlign w:val="bottom"/>
          </w:tcPr>
          <w:p>
            <w:pPr>
              <w:pStyle w:val="TableContents"/>
              <w:spacing w:before="0" w:after="283"/>
              <w:jc w:val="right"/>
              <w:rPr/>
            </w:pPr>
            <w:r>
              <w:rPr/>
              <w:t> </w:t>
            </w:r>
          </w:p>
        </w:tc>
        <w:tc>
          <w:tcPr>
            <w:tcW w:w="106"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039" w:type="dxa"/>
            <w:tcBorders/>
            <w:shd w:fill="CCFFCC" w:val="clear"/>
            <w:tcMar>
              <w:bottom w:w="0" w:type="dxa"/>
            </w:tcMar>
            <w:vAlign w:val="bottom"/>
          </w:tcPr>
          <w:p>
            <w:pPr>
              <w:pStyle w:val="TableContents"/>
              <w:spacing w:before="0" w:after="283"/>
              <w:jc w:val="right"/>
              <w:rPr/>
            </w:pPr>
            <w:r>
              <w:rPr/>
              <w:t> </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3683"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Other income (expense):</w:t>
            </w:r>
          </w:p>
        </w:tc>
        <w:tc>
          <w:tcPr>
            <w:tcW w:w="172"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7"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14"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6"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14"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39"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3683" w:type="dxa"/>
            <w:tcBorders/>
            <w:shd w:fill="CCFFCC"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Interest expense</w:t>
            </w:r>
          </w:p>
        </w:tc>
        <w:tc>
          <w:tcPr>
            <w:tcW w:w="172"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057"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06"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01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(8,394</w:t>
            </w:r>
          </w:p>
        </w:tc>
        <w:tc>
          <w:tcPr>
            <w:tcW w:w="106"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FFCC" w:val="clear"/>
            <w:tcMar>
              <w:bottom w:w="0" w:type="dxa"/>
            </w:tcMar>
            <w:vAlign w:val="bottom"/>
          </w:tcPr>
          <w:p>
            <w:pPr>
              <w:pStyle w:val="TableContents"/>
              <w:spacing w:before="0" w:after="283"/>
              <w:jc w:val="left"/>
              <w:rPr/>
            </w:pPr>
            <w:r>
              <w:rPr/>
              <w:t> </w:t>
            </w:r>
          </w:p>
        </w:tc>
        <w:tc>
          <w:tcPr>
            <w:tcW w:w="1056"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06"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01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(10,601</w:t>
            </w:r>
          </w:p>
        </w:tc>
        <w:tc>
          <w:tcPr>
            <w:tcW w:w="106"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FFCC" w:val="clear"/>
            <w:tcMar>
              <w:bottom w:w="0" w:type="dxa"/>
            </w:tcMar>
            <w:vAlign w:val="bottom"/>
          </w:tcPr>
          <w:p>
            <w:pPr>
              <w:pStyle w:val="TableContents"/>
              <w:spacing w:before="0" w:after="283"/>
              <w:jc w:val="left"/>
              <w:rPr/>
            </w:pPr>
            <w:r>
              <w:rPr/>
              <w:t> </w:t>
            </w:r>
          </w:p>
        </w:tc>
        <w:tc>
          <w:tcPr>
            <w:tcW w:w="103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(1,575,755</w:t>
            </w:r>
          </w:p>
        </w:tc>
        <w:tc>
          <w:tcPr>
            <w:tcW w:w="121"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3683" w:type="dxa"/>
            <w:tcBorders/>
            <w:shd w:fill="FFFFFF" w:val="clear"/>
            <w:tcMar>
              <w:bottom w:w="0" w:type="dxa"/>
            </w:tcM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Interest income</w:t>
            </w:r>
          </w:p>
        </w:tc>
        <w:tc>
          <w:tcPr>
            <w:tcW w:w="172"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17,094</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1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1,369</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6"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36,328</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1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1,369</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3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85,949</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3683" w:type="dxa"/>
            <w:tcBorders/>
            <w:shd w:fill="CCFFCC" w:val="clear"/>
            <w:tcMar>
              <w:bottom w:w="0" w:type="dxa"/>
            </w:tcMar>
            <w:vAlign w:val="bottom"/>
          </w:tcPr>
          <w:p>
            <w:pPr>
              <w:pStyle w:val="TableContents"/>
              <w:spacing w:lineRule="auto" w:line="300" w:before="0" w:after="0"/>
              <w:ind w:left="720" w:right="0" w:hanging="540"/>
              <w:jc w:val="left"/>
              <w:rPr>
                <w:rFonts w:ascii="Times New Roman" w:hAnsi="Times New Roman"/>
                <w:sz w:val="20"/>
              </w:rPr>
            </w:pPr>
            <w:r>
              <w:rPr>
                <w:rFonts w:ascii="Times New Roman" w:hAnsi="Times New Roman"/>
                <w:sz w:val="20"/>
              </w:rPr>
              <w:t>Gain on forgiveness of liabilities</w:t>
            </w:r>
          </w:p>
        </w:tc>
        <w:tc>
          <w:tcPr>
            <w:tcW w:w="172" w:type="dxa"/>
            <w:tcBorders/>
            <w:shd w:fill="CCFFCC" w:val="clear"/>
            <w:tcMar>
              <w:bottom w:w="0" w:type="dxa"/>
            </w:tcMar>
            <w:vAlign w:val="center"/>
          </w:tcPr>
          <w:p>
            <w:pPr>
              <w:pStyle w:val="TableContents"/>
              <w:spacing w:before="0" w:after="283"/>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057"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06"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01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89,914</w:t>
            </w:r>
          </w:p>
        </w:tc>
        <w:tc>
          <w:tcPr>
            <w:tcW w:w="106"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056"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06"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01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89,914</w:t>
            </w:r>
          </w:p>
        </w:tc>
        <w:tc>
          <w:tcPr>
            <w:tcW w:w="106" w:type="dxa"/>
            <w:tcBorders/>
            <w:shd w:fill="CCFFCC" w:val="clear"/>
            <w:tcMar>
              <w:bottom w:w="0" w:type="dxa"/>
            </w:tcMar>
            <w:vAlign w:val="bottom"/>
          </w:tcPr>
          <w:p>
            <w:pPr>
              <w:pStyle w:val="TableContents"/>
              <w:spacing w:before="0" w:after="283"/>
              <w:jc w:val="left"/>
              <w:rPr/>
            </w:pPr>
            <w:r>
              <w:rPr/>
              <w:t> </w:t>
            </w:r>
          </w:p>
        </w:tc>
        <w:tc>
          <w:tcPr>
            <w:tcW w:w="125" w:type="dxa"/>
            <w:tcBorders/>
            <w:shd w:fill="CCFFCC" w:val="clear"/>
            <w:tcMar>
              <w:bottom w:w="0" w:type="dxa"/>
            </w:tcMar>
            <w:vAlign w:val="bottom"/>
          </w:tcPr>
          <w:p>
            <w:pPr>
              <w:pStyle w:val="TableContents"/>
              <w:spacing w:before="0" w:after="283"/>
              <w:jc w:val="left"/>
              <w:rPr/>
            </w:pPr>
            <w:r>
              <w:rPr/>
              <w:t> </w:t>
            </w:r>
          </w:p>
        </w:tc>
        <w:tc>
          <w:tcPr>
            <w:tcW w:w="103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89,914</w:t>
            </w:r>
          </w:p>
        </w:tc>
        <w:tc>
          <w:tcPr>
            <w:tcW w:w="121" w:type="dxa"/>
            <w:tcBorders/>
            <w:shd w:fill="CCFFCC" w:val="clear"/>
            <w:tcMar>
              <w:bottom w:w="0" w:type="dxa"/>
            </w:tcMar>
            <w:vAlign w:val="bottom"/>
          </w:tcPr>
          <w:p>
            <w:pPr>
              <w:pStyle w:val="TableContents"/>
              <w:spacing w:before="0" w:after="283"/>
              <w:jc w:val="left"/>
              <w:rPr/>
            </w:pPr>
            <w:r>
              <w:rPr/>
              <w:t> </w:t>
            </w:r>
          </w:p>
        </w:tc>
      </w:tr>
      <w:tr>
        <w:trPr/>
        <w:tc>
          <w:tcPr>
            <w:tcW w:w="3683" w:type="dxa"/>
            <w:tcBorders>
              <w:bottom w:val="single" w:sz="4" w:space="0" w:color="FFFFFF"/>
            </w:tcBorders>
            <w:shd w:fill="FFFFFF"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Gain on settlement</w:t>
            </w:r>
          </w:p>
        </w:tc>
        <w:tc>
          <w:tcPr>
            <w:tcW w:w="172" w:type="dxa"/>
            <w:tcBorders>
              <w:bottom w:val="single" w:sz="2" w:space="0" w:color="FFFFFF"/>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057" w:type="dxa"/>
            <w:tcBorders>
              <w:bottom w:val="single" w:sz="2" w:space="0" w:color="000000"/>
            </w:tcBorders>
            <w:shd w:fill="FFFFFF" w:val="clear"/>
            <w:vAlign w:val="bottom"/>
          </w:tcPr>
          <w:p>
            <w:pPr>
              <w:pStyle w:val="TableContents"/>
              <w:spacing w:lineRule="auto" w:line="300" w:before="0" w:after="0"/>
              <w:ind w:left="0" w:right="0" w:hanging="0"/>
              <w:jc w:val="right"/>
              <w:rPr/>
            </w:pPr>
            <w:r>
              <w:rPr/>
              <w:t>—</w:t>
            </w:r>
          </w:p>
        </w:tc>
        <w:tc>
          <w:tcPr>
            <w:tcW w:w="106"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014" w:type="dxa"/>
            <w:tcBorders>
              <w:bottom w:val="single" w:sz="2" w:space="0" w:color="000000"/>
            </w:tcBorders>
            <w:shd w:fill="FFFFFF" w:val="clear"/>
            <w:vAlign w:val="bottom"/>
          </w:tcPr>
          <w:p>
            <w:pPr>
              <w:pStyle w:val="TableContents"/>
              <w:spacing w:lineRule="auto" w:line="300" w:before="0" w:after="0"/>
              <w:ind w:left="0" w:right="0" w:hanging="0"/>
              <w:jc w:val="right"/>
              <w:rPr/>
            </w:pPr>
            <w:r>
              <w:rPr/>
              <w:t>—</w:t>
            </w:r>
          </w:p>
        </w:tc>
        <w:tc>
          <w:tcPr>
            <w:tcW w:w="106"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056"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375,000</w:t>
            </w:r>
          </w:p>
        </w:tc>
        <w:tc>
          <w:tcPr>
            <w:tcW w:w="106"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014" w:type="dxa"/>
            <w:tcBorders>
              <w:bottom w:val="single" w:sz="2" w:space="0" w:color="000000"/>
            </w:tcBorders>
            <w:shd w:fill="FFFFFF" w:val="clear"/>
            <w:vAlign w:val="bottom"/>
          </w:tcPr>
          <w:p>
            <w:pPr>
              <w:pStyle w:val="TableContents"/>
              <w:spacing w:lineRule="auto" w:line="300" w:before="0" w:after="0"/>
              <w:ind w:left="0" w:right="0" w:hanging="0"/>
              <w:jc w:val="right"/>
              <w:rPr/>
            </w:pPr>
            <w:r>
              <w:rPr/>
              <w:t>—</w:t>
            </w:r>
          </w:p>
        </w:tc>
        <w:tc>
          <w:tcPr>
            <w:tcW w:w="106" w:type="dxa"/>
            <w:tcBorders>
              <w:bottom w:val="single" w:sz="2" w:space="0" w:color="FFFFFF"/>
            </w:tcBorders>
            <w:shd w:fill="FFFFFF" w:val="clear"/>
            <w:vAlign w:val="bottom"/>
          </w:tcPr>
          <w:p>
            <w:pPr>
              <w:pStyle w:val="TableContents"/>
              <w:spacing w:before="0" w:after="283"/>
              <w:jc w:val="left"/>
              <w:rPr/>
            </w:pPr>
            <w:r>
              <w:rPr/>
              <w:t> </w:t>
            </w:r>
          </w:p>
        </w:tc>
        <w:tc>
          <w:tcPr>
            <w:tcW w:w="125" w:type="dxa"/>
            <w:tcBorders>
              <w:bottom w:val="single" w:sz="2" w:space="0" w:color="000000"/>
            </w:tcBorders>
            <w:shd w:fill="FFFFFF" w:val="clear"/>
            <w:vAlign w:val="bottom"/>
          </w:tcPr>
          <w:p>
            <w:pPr>
              <w:pStyle w:val="TableContents"/>
              <w:spacing w:before="0" w:after="283"/>
              <w:jc w:val="left"/>
              <w:rPr/>
            </w:pPr>
            <w:r>
              <w:rPr/>
              <w:t> </w:t>
            </w:r>
          </w:p>
        </w:tc>
        <w:tc>
          <w:tcPr>
            <w:tcW w:w="103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375,000</w:t>
            </w:r>
          </w:p>
        </w:tc>
        <w:tc>
          <w:tcPr>
            <w:tcW w:w="121" w:type="dxa"/>
            <w:tcBorders>
              <w:bottom w:val="single" w:sz="2" w:space="0" w:color="FFFFFF"/>
            </w:tcBorders>
            <w:shd w:fill="FFFFFF" w:val="clear"/>
            <w:vAlign w:val="bottom"/>
          </w:tcPr>
          <w:p>
            <w:pPr>
              <w:pStyle w:val="TableContents"/>
              <w:spacing w:before="0" w:after="283"/>
              <w:jc w:val="left"/>
              <w:rPr/>
            </w:pPr>
            <w:r>
              <w:rPr/>
              <w:t> </w:t>
            </w:r>
          </w:p>
        </w:tc>
      </w:tr>
      <w:tr>
        <w:trPr/>
        <w:tc>
          <w:tcPr>
            <w:tcW w:w="3683" w:type="dxa"/>
            <w:tcBorders>
              <w:bottom w:val="single" w:sz="4" w:space="0" w:color="CCFFCC"/>
            </w:tcBorders>
            <w:shd w:fill="CCFFCC" w:val="clear"/>
            <w:vAlign w:val="bottom"/>
          </w:tcPr>
          <w:p>
            <w:pPr>
              <w:pStyle w:val="TableContents"/>
              <w:spacing w:lineRule="auto" w:line="300" w:before="0" w:after="0"/>
              <w:ind w:left="180" w:right="0" w:hanging="0"/>
              <w:jc w:val="left"/>
              <w:rPr>
                <w:rFonts w:ascii="Times New Roman" w:hAnsi="Times New Roman"/>
                <w:sz w:val="20"/>
              </w:rPr>
            </w:pPr>
            <w:r>
              <w:rPr>
                <w:rFonts w:ascii="Times New Roman" w:hAnsi="Times New Roman"/>
                <w:sz w:val="20"/>
              </w:rPr>
              <w:t>Total other income (expense), net</w:t>
            </w:r>
          </w:p>
        </w:tc>
        <w:tc>
          <w:tcPr>
            <w:tcW w:w="172" w:type="dxa"/>
            <w:tcBorders>
              <w:bottom w:val="single" w:sz="2" w:space="0" w:color="CCFFCC"/>
            </w:tcBorders>
            <w:shd w:fill="CCFFCC" w:val="clear"/>
            <w:vAlign w:val="center"/>
          </w:tcPr>
          <w:p>
            <w:pPr>
              <w:pStyle w:val="TableContents"/>
              <w:spacing w:before="0" w:after="283"/>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057"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17,094</w:t>
            </w:r>
          </w:p>
        </w:tc>
        <w:tc>
          <w:tcPr>
            <w:tcW w:w="106"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014"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82,889</w:t>
            </w:r>
          </w:p>
        </w:tc>
        <w:tc>
          <w:tcPr>
            <w:tcW w:w="106"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056"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411,328</w:t>
            </w:r>
          </w:p>
        </w:tc>
        <w:tc>
          <w:tcPr>
            <w:tcW w:w="106"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014"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80,682</w:t>
            </w:r>
          </w:p>
        </w:tc>
        <w:tc>
          <w:tcPr>
            <w:tcW w:w="106" w:type="dxa"/>
            <w:tcBorders>
              <w:bottom w:val="single" w:sz="2" w:space="0" w:color="CCFFCC"/>
            </w:tcBorders>
            <w:shd w:fill="CCFFCC" w:val="clear"/>
            <w:vAlign w:val="bottom"/>
          </w:tcPr>
          <w:p>
            <w:pPr>
              <w:pStyle w:val="TableContents"/>
              <w:spacing w:before="0" w:after="283"/>
              <w:jc w:val="left"/>
              <w:rPr/>
            </w:pPr>
            <w:r>
              <w:rPr/>
              <w:t> </w:t>
            </w:r>
          </w:p>
        </w:tc>
        <w:tc>
          <w:tcPr>
            <w:tcW w:w="125" w:type="dxa"/>
            <w:tcBorders>
              <w:bottom w:val="single" w:sz="2" w:space="0" w:color="000000"/>
            </w:tcBorders>
            <w:shd w:fill="CCFFCC" w:val="clear"/>
            <w:vAlign w:val="bottom"/>
          </w:tcPr>
          <w:p>
            <w:pPr>
              <w:pStyle w:val="TableContents"/>
              <w:spacing w:before="0" w:after="283"/>
              <w:jc w:val="left"/>
              <w:rPr/>
            </w:pPr>
            <w:r>
              <w:rPr/>
              <w:t> </w:t>
            </w:r>
          </w:p>
        </w:tc>
        <w:tc>
          <w:tcPr>
            <w:tcW w:w="103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(1,024,892</w:t>
            </w:r>
          </w:p>
        </w:tc>
        <w:tc>
          <w:tcPr>
            <w:tcW w:w="121" w:type="dxa"/>
            <w:tcBorders>
              <w:bottom w:val="single" w:sz="2"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3683" w:type="dxa"/>
            <w:tcBorders/>
            <w:shd w:fill="FFFFFF" w:val="clear"/>
            <w:tcMar>
              <w:bottom w:w="0" w:type="dxa"/>
            </w:tcMar>
            <w:vAlign w:val="bottom"/>
          </w:tcPr>
          <w:p>
            <w:pPr>
              <w:pStyle w:val="TableContents"/>
              <w:spacing w:before="0" w:after="283"/>
              <w:jc w:val="left"/>
              <w:rPr/>
            </w:pPr>
            <w:r>
              <w:rPr/>
              <w:t> </w:t>
            </w:r>
          </w:p>
        </w:tc>
        <w:tc>
          <w:tcPr>
            <w:tcW w:w="172"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7"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14"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6"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14"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39"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3683" w:type="dxa"/>
            <w:tcBorders>
              <w:bottom w:val="single" w:sz="4" w:space="0" w:color="CCFFCC"/>
            </w:tcBorders>
            <w:shd w:fill="CCFFCC" w:val="clear"/>
            <w:vAlign w:val="bottom"/>
          </w:tcPr>
          <w:p>
            <w:pPr>
              <w:pStyle w:val="TableContents"/>
              <w:spacing w:lineRule="auto" w:line="300" w:before="0" w:after="0"/>
              <w:ind w:left="540" w:right="0" w:hanging="0"/>
              <w:jc w:val="left"/>
              <w:rPr>
                <w:rFonts w:ascii="Times New Roman" w:hAnsi="Times New Roman"/>
                <w:sz w:val="20"/>
              </w:rPr>
            </w:pPr>
            <w:bookmarkStart w:id="35" w:name="TAB11"/>
            <w:bookmarkEnd w:id="35"/>
            <w:r>
              <w:rPr>
                <w:rFonts w:ascii="Times New Roman" w:hAnsi="Times New Roman"/>
                <w:sz w:val="20"/>
              </w:rPr>
              <w:t>Net loss</w:t>
            </w:r>
          </w:p>
        </w:tc>
        <w:tc>
          <w:tcPr>
            <w:tcW w:w="172" w:type="dxa"/>
            <w:tcBorders>
              <w:bottom w:val="single" w:sz="2" w:space="0" w:color="CCFFCC"/>
            </w:tcBorders>
            <w:shd w:fill="CCFFCC" w:val="clear"/>
            <w:vAlign w:val="center"/>
          </w:tcPr>
          <w:p>
            <w:pPr>
              <w:pStyle w:val="TableContents"/>
              <w:spacing w:before="0" w:after="283"/>
              <w:rPr/>
            </w:pPr>
            <w:r>
              <w:rPr/>
              <w:t> </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57"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(1,263,313</w:t>
            </w:r>
          </w:p>
        </w:tc>
        <w:tc>
          <w:tcPr>
            <w:tcW w:w="106"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14"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(115,773</w:t>
            </w:r>
          </w:p>
        </w:tc>
        <w:tc>
          <w:tcPr>
            <w:tcW w:w="106"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56"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(1,536,034</w:t>
            </w:r>
          </w:p>
        </w:tc>
        <w:tc>
          <w:tcPr>
            <w:tcW w:w="106"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14"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(255,701</w:t>
            </w:r>
          </w:p>
        </w:tc>
        <w:tc>
          <w:tcPr>
            <w:tcW w:w="106"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39"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8,613,579</w:t>
            </w:r>
          </w:p>
        </w:tc>
        <w:tc>
          <w:tcPr>
            <w:tcW w:w="121" w:type="dxa"/>
            <w:tcBorders>
              <w:bottom w:val="single" w:sz="4" w:space="0" w:color="CCFFCC"/>
            </w:tcBorders>
            <w:shd w:fill="CCFFCC" w:val="clear"/>
            <w:vAlign w:val="bottom"/>
          </w:tcPr>
          <w:p>
            <w:pPr>
              <w:pStyle w:val="TableContents"/>
              <w:spacing w:before="0" w:after="283"/>
              <w:jc w:val="left"/>
              <w:rPr/>
            </w:pPr>
            <w:r>
              <w:rPr/>
              <w:t> </w:t>
            </w:r>
          </w:p>
        </w:tc>
      </w:tr>
      <w:tr>
        <w:trPr/>
        <w:tc>
          <w:tcPr>
            <w:tcW w:w="3683" w:type="dxa"/>
            <w:tcBorders/>
            <w:shd w:fill="FFFFFF" w:val="clear"/>
            <w:tcMar>
              <w:bottom w:w="0" w:type="dxa"/>
            </w:tcMar>
            <w:vAlign w:val="bottom"/>
          </w:tcPr>
          <w:p>
            <w:pPr>
              <w:pStyle w:val="TableContents"/>
              <w:spacing w:before="0" w:after="283"/>
              <w:jc w:val="left"/>
              <w:rPr/>
            </w:pPr>
            <w:r>
              <w:rPr/>
              <w:t> </w:t>
            </w:r>
          </w:p>
        </w:tc>
        <w:tc>
          <w:tcPr>
            <w:tcW w:w="172"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7"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14"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6"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14"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39"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3683" w:type="dxa"/>
            <w:tcBorders>
              <w:bottom w:val="single" w:sz="4" w:space="0" w:color="CCFFCC"/>
            </w:tcBorders>
            <w:shd w:fill="CCFFCC" w:val="cle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Basic and diluted loss per common share</w:t>
            </w:r>
          </w:p>
        </w:tc>
        <w:tc>
          <w:tcPr>
            <w:tcW w:w="172" w:type="dxa"/>
            <w:tcBorders>
              <w:bottom w:val="single" w:sz="2" w:space="0" w:color="CCFFCC"/>
            </w:tcBorders>
            <w:shd w:fill="CCFFCC" w:val="clear"/>
            <w:vAlign w:val="center"/>
          </w:tcPr>
          <w:p>
            <w:pPr>
              <w:pStyle w:val="TableContents"/>
              <w:spacing w:before="0" w:after="283"/>
              <w:rPr/>
            </w:pPr>
            <w:r>
              <w:rPr/>
              <w:t> </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57"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(0.09</w:t>
            </w:r>
          </w:p>
        </w:tc>
        <w:tc>
          <w:tcPr>
            <w:tcW w:w="106"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14"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(0.01</w:t>
            </w:r>
          </w:p>
        </w:tc>
        <w:tc>
          <w:tcPr>
            <w:tcW w:w="106"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56"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(0.11</w:t>
            </w:r>
          </w:p>
        </w:tc>
        <w:tc>
          <w:tcPr>
            <w:tcW w:w="106"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014"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(0.04</w:t>
            </w:r>
          </w:p>
        </w:tc>
        <w:tc>
          <w:tcPr>
            <w:tcW w:w="106"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CCFFCC" w:val="clear"/>
            <w:tcMar>
              <w:bottom w:w="0" w:type="dxa"/>
            </w:tcMar>
            <w:vAlign w:val="bottom"/>
          </w:tcPr>
          <w:p>
            <w:pPr>
              <w:pStyle w:val="TableContents"/>
              <w:spacing w:before="0" w:after="283"/>
              <w:jc w:val="left"/>
              <w:rPr/>
            </w:pPr>
            <w:r>
              <w:rPr/>
              <w:t> </w:t>
            </w:r>
          </w:p>
        </w:tc>
        <w:tc>
          <w:tcPr>
            <w:tcW w:w="1039" w:type="dxa"/>
            <w:tcBorders>
              <w:bottom w:val="single" w:sz="2" w:space="0" w:color="CCFFCC"/>
            </w:tcBorders>
            <w:shd w:fill="CCFFCC" w:val="clear"/>
            <w:vAlign w:val="bottom"/>
          </w:tcPr>
          <w:p>
            <w:pPr>
              <w:pStyle w:val="TableContents"/>
              <w:spacing w:before="0" w:after="283"/>
              <w:jc w:val="right"/>
              <w:rPr/>
            </w:pPr>
            <w:r>
              <w:rPr/>
              <w:t> </w:t>
            </w:r>
          </w:p>
        </w:tc>
        <w:tc>
          <w:tcPr>
            <w:tcW w:w="121" w:type="dxa"/>
            <w:tcBorders>
              <w:bottom w:val="single" w:sz="2" w:space="0" w:color="CCFFCC"/>
            </w:tcBorders>
            <w:shd w:fill="CCFFCC" w:val="clear"/>
            <w:vAlign w:val="bottom"/>
          </w:tcPr>
          <w:p>
            <w:pPr>
              <w:pStyle w:val="TableContents"/>
              <w:spacing w:before="0" w:after="283"/>
              <w:jc w:val="left"/>
              <w:rPr/>
            </w:pPr>
            <w:r>
              <w:rPr/>
              <w:t> </w:t>
            </w:r>
          </w:p>
        </w:tc>
      </w:tr>
      <w:tr>
        <w:trPr/>
        <w:tc>
          <w:tcPr>
            <w:tcW w:w="3683" w:type="dxa"/>
            <w:tcBorders>
              <w:bottom w:val="single" w:sz="4" w:space="0" w:color="FFFFFF"/>
            </w:tcBorders>
            <w:shd w:fill="FFFFFF" w:val="clear"/>
            <w:vAlign w:val="bottom"/>
          </w:tcPr>
          <w:p>
            <w:pPr>
              <w:pStyle w:val="TableContents"/>
              <w:spacing w:lineRule="auto" w:line="300" w:before="0" w:after="0"/>
              <w:ind w:left="360" w:right="0" w:hanging="360"/>
              <w:jc w:val="left"/>
              <w:rPr>
                <w:rFonts w:ascii="Times New Roman" w:hAnsi="Times New Roman"/>
                <w:sz w:val="20"/>
              </w:rPr>
            </w:pPr>
            <w:r>
              <w:rPr>
                <w:rFonts w:ascii="Times New Roman" w:hAnsi="Times New Roman"/>
                <w:sz w:val="20"/>
              </w:rPr>
              <w:t>Weighted average common shares outstanding</w:t>
            </w:r>
          </w:p>
        </w:tc>
        <w:tc>
          <w:tcPr>
            <w:tcW w:w="172" w:type="dxa"/>
            <w:tcBorders>
              <w:bottom w:val="single" w:sz="2" w:space="0" w:color="FFFFFF"/>
            </w:tcBorders>
            <w:shd w:fill="FFFFFF" w:val="clear"/>
            <w:vAlign w:val="center"/>
          </w:tcPr>
          <w:p>
            <w:pPr>
              <w:pStyle w:val="TableContents"/>
              <w:spacing w:before="0" w:after="283"/>
              <w:rPr/>
            </w:pPr>
            <w:r>
              <w:rPr/>
              <w:t> </w:t>
            </w:r>
          </w:p>
        </w:tc>
        <w:tc>
          <w:tcPr>
            <w:tcW w:w="125" w:type="dxa"/>
            <w:tcBorders>
              <w:bottom w:val="double" w:sz="2" w:space="0" w:color="000000"/>
            </w:tcBorders>
            <w:shd w:fill="FFFFFF" w:val="clear"/>
            <w:vAlign w:val="bottom"/>
          </w:tcPr>
          <w:p>
            <w:pPr>
              <w:pStyle w:val="TableContents"/>
              <w:spacing w:before="0" w:after="283"/>
              <w:jc w:val="left"/>
              <w:rPr/>
            </w:pPr>
            <w:r>
              <w:rPr/>
              <w:t> </w:t>
            </w:r>
          </w:p>
        </w:tc>
        <w:tc>
          <w:tcPr>
            <w:tcW w:w="105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14,726,004</w:t>
            </w:r>
          </w:p>
        </w:tc>
        <w:tc>
          <w:tcPr>
            <w:tcW w:w="106"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before="0" w:after="283"/>
              <w:jc w:val="left"/>
              <w:rPr/>
            </w:pPr>
            <w:r>
              <w:rPr/>
              <w:t> </w:t>
            </w:r>
          </w:p>
        </w:tc>
        <w:tc>
          <w:tcPr>
            <w:tcW w:w="101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7,793,441</w:t>
            </w:r>
          </w:p>
        </w:tc>
        <w:tc>
          <w:tcPr>
            <w:tcW w:w="106"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before="0" w:after="283"/>
              <w:jc w:val="left"/>
              <w:rPr/>
            </w:pPr>
            <w:r>
              <w:rPr/>
              <w:t> </w:t>
            </w:r>
          </w:p>
        </w:tc>
        <w:tc>
          <w:tcPr>
            <w:tcW w:w="1056"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14,226,504</w:t>
            </w:r>
          </w:p>
        </w:tc>
        <w:tc>
          <w:tcPr>
            <w:tcW w:w="106"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bottom w:val="double" w:sz="2" w:space="0" w:color="000000"/>
            </w:tcBorders>
            <w:shd w:fill="FFFFFF" w:val="clear"/>
            <w:vAlign w:val="bottom"/>
          </w:tcPr>
          <w:p>
            <w:pPr>
              <w:pStyle w:val="TableContents"/>
              <w:spacing w:before="0" w:after="283"/>
              <w:jc w:val="left"/>
              <w:rPr/>
            </w:pPr>
            <w:r>
              <w:rPr/>
              <w:t> </w:t>
            </w:r>
          </w:p>
        </w:tc>
        <w:tc>
          <w:tcPr>
            <w:tcW w:w="101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6,421,544</w:t>
            </w:r>
          </w:p>
        </w:tc>
        <w:tc>
          <w:tcPr>
            <w:tcW w:w="106" w:type="dxa"/>
            <w:tcBorders>
              <w:bottom w:val="single" w:sz="4" w:space="0" w:color="FFFFFF"/>
            </w:tcBorders>
            <w:shd w:fill="FFFFFF" w:val="cle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39" w:type="dxa"/>
            <w:tcBorders>
              <w:bottom w:val="single" w:sz="2" w:space="0" w:color="FFFFFF"/>
            </w:tcBorders>
            <w:shd w:fill="FFFFFF" w:val="clear"/>
            <w:vAlign w:val="bottom"/>
          </w:tcPr>
          <w:p>
            <w:pPr>
              <w:pStyle w:val="TableContents"/>
              <w:spacing w:before="0" w:after="283"/>
              <w:jc w:val="right"/>
              <w:rPr/>
            </w:pPr>
            <w:r>
              <w:rPr/>
              <w:t> </w:t>
            </w:r>
          </w:p>
        </w:tc>
        <w:tc>
          <w:tcPr>
            <w:tcW w:w="121" w:type="dxa"/>
            <w:tcBorders>
              <w:bottom w:val="single" w:sz="2"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firstLine="540"/>
        <w:jc w:val="center"/>
        <w:rPr/>
      </w:pPr>
      <w:r>
        <w:rPr/>
      </w:r>
    </w:p>
    <w:p>
      <w:pPr>
        <w:pStyle w:val="TextBody"/>
        <w:spacing w:lineRule="auto" w:line="300" w:before="0" w:after="0"/>
        <w:ind w:left="0" w:right="0" w:hanging="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0"/>
        <w:ind w:left="0" w:right="0" w:hanging="0"/>
        <w:jc w:val="center"/>
        <w:rPr/>
      </w:pPr>
      <w:r>
        <w:rPr/>
      </w:r>
      <w:bookmarkStart w:id="36" w:name="PGBRK2"/>
      <w:bookmarkStart w:id="37" w:name="PGBRK2"/>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r>
        <w:rPr/>
      </w:r>
      <w:bookmarkStart w:id="38" w:name="FTR2"/>
      <w:bookmarkStart w:id="39" w:name="FTR2"/>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r>
        <w:rPr/>
      </w:r>
      <w:bookmarkStart w:id="40" w:name="GLFTR2"/>
      <w:bookmarkStart w:id="41" w:name="GLFTR2"/>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sz w:val="20"/>
        </w:rPr>
      </w:pPr>
      <w:bookmarkStart w:id="42" w:name="PN2"/>
      <w:bookmarkEnd w:id="42"/>
      <w:r>
        <w:rPr>
          <w:sz w:val="20"/>
        </w:rPr>
        <w:t>3</w:t>
      </w:r>
    </w:p>
    <w:p>
      <w:pPr>
        <w:pStyle w:val="HorizontalLine"/>
        <w:pBdr>
          <w:bottom w:val="single" w:sz="12" w:space="0" w:color="808080"/>
        </w:pBdr>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r>
        <w:rPr/>
      </w:r>
      <w:bookmarkStart w:id="43" w:name="HDR2"/>
      <w:bookmarkStart w:id="44" w:name="HDR2"/>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r>
        <w:rPr/>
      </w:r>
      <w:bookmarkStart w:id="45" w:name="GLHDR2"/>
      <w:bookmarkStart w:id="46" w:name="GLHDR2"/>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bookmarkStart w:id="47" w:name="FIS_CASH_FLOW"/>
      <w:bookmarkEnd w:id="47"/>
      <w:r>
        <w:rPr>
          <w:rStyle w:val="StrongEmphasis"/>
          <w:rFonts w:ascii="Times New Roman" w:hAnsi="Times New Roman"/>
          <w:sz w:val="20"/>
        </w:rPr>
        <w:t>TRANSDEL PHARMACEUTICALS, INC.</w:t>
      </w:r>
    </w:p>
    <w:p>
      <w:pPr>
        <w:pStyle w:val="TextBody"/>
        <w:spacing w:lineRule="auto" w:line="300" w:before="0" w:after="0"/>
        <w:ind w:left="0" w:right="0" w:firstLine="540"/>
        <w:jc w:val="center"/>
        <w:rPr/>
      </w:pPr>
      <w:r>
        <w:rPr>
          <w:rStyle w:val="StrongEmphasis"/>
          <w:rFonts w:ascii="Times New Roman" w:hAnsi="Times New Roman"/>
          <w:sz w:val="20"/>
        </w:rPr>
        <w:t>(A Development Stage Company)</w:t>
      </w:r>
    </w:p>
    <w:p>
      <w:pPr>
        <w:pStyle w:val="TextBody"/>
        <w:spacing w:lineRule="auto" w:line="300" w:before="0" w:after="0"/>
        <w:ind w:left="0" w:right="0" w:firstLine="540"/>
        <w:jc w:val="center"/>
        <w:rPr/>
      </w:pPr>
      <w:r>
        <w:rPr>
          <w:rStyle w:val="StrongEmphasis"/>
          <w:rFonts w:ascii="Times New Roman" w:hAnsi="Times New Roman"/>
          <w:sz w:val="20"/>
        </w:rPr>
        <w:t>UNAUDITED CONDENSED CONSOLIDATED STATEMENTS OF CASH FLOWS</w:t>
      </w:r>
    </w:p>
    <w:p>
      <w:pPr>
        <w:pStyle w:val="TextBody"/>
        <w:spacing w:lineRule="auto" w:line="300" w:before="0" w:after="0"/>
        <w:ind w:left="0" w:right="0" w:firstLine="540"/>
        <w:jc w:val="center"/>
        <w:rPr/>
      </w:pPr>
      <w:r>
        <w:rPr/>
        <w:t> </w:t>
      </w:r>
    </w:p>
    <w:p>
      <w:pPr>
        <w:pStyle w:val="Normal"/>
        <w:spacing w:before="0" w:after="0"/>
        <w:rPr>
          <w:sz w:val="4"/>
          <w:szCs w:val="4"/>
        </w:rPr>
      </w:pPr>
      <w:r>
        <w:rPr>
          <w:sz w:val="4"/>
          <w:szCs w:val="4"/>
        </w:rPr>
      </w:r>
      <w:bookmarkStart w:id="48" w:name="ftable2"/>
      <w:bookmarkStart w:id="49" w:name="ftable2"/>
      <w:bookmarkEnd w:id="49"/>
    </w:p>
    <w:tbl>
      <w:tblPr>
        <w:tblW w:w="5000" w:type="pct"/>
        <w:jc w:val="left"/>
        <w:tblInd w:w="0" w:type="dxa"/>
        <w:tblCellMar>
          <w:top w:w="0" w:type="dxa"/>
          <w:left w:w="0" w:type="dxa"/>
          <w:bottom w:w="28" w:type="dxa"/>
          <w:right w:w="0" w:type="dxa"/>
        </w:tblCellMar>
      </w:tblPr>
      <w:tblGrid>
        <w:gridCol w:w="4828"/>
        <w:gridCol w:w="175"/>
        <w:gridCol w:w="147"/>
        <w:gridCol w:w="1329"/>
        <w:gridCol w:w="187"/>
        <w:gridCol w:w="147"/>
        <w:gridCol w:w="1291"/>
        <w:gridCol w:w="187"/>
        <w:gridCol w:w="184"/>
        <w:gridCol w:w="1594"/>
        <w:gridCol w:w="136"/>
      </w:tblGrid>
      <w:tr>
        <w:trPr/>
        <w:tc>
          <w:tcPr>
            <w:tcW w:w="4828" w:type="dxa"/>
            <w:tcBorders>
              <w:bottom w:val="single" w:sz="2" w:space="0" w:color="FFFFFF"/>
            </w:tcBorders>
            <w:shd w:fill="auto" w:val="clear"/>
            <w:vAlign w:val="bottom"/>
          </w:tcPr>
          <w:p>
            <w:pPr>
              <w:pStyle w:val="TableContents"/>
              <w:spacing w:lineRule="auto" w:line="300" w:before="0" w:after="0"/>
              <w:ind w:left="0" w:right="16" w:hanging="0"/>
              <w:jc w:val="left"/>
              <w:rPr/>
            </w:pPr>
            <w:r>
              <w:rPr/>
              <w:t> </w:t>
            </w:r>
          </w:p>
        </w:tc>
        <w:tc>
          <w:tcPr>
            <w:tcW w:w="175" w:type="dxa"/>
            <w:tcBorders>
              <w:bottom w:val="single" w:sz="2" w:space="0" w:color="FFFFFF"/>
            </w:tcBorders>
            <w:shd w:fill="auto" w:val="clear"/>
            <w:vAlign w:val="center"/>
          </w:tcPr>
          <w:p>
            <w:pPr>
              <w:pStyle w:val="TableContents"/>
              <w:spacing w:before="0" w:after="283"/>
              <w:rPr/>
            </w:pPr>
            <w:r>
              <w:rPr/>
              <w:t> </w:t>
            </w:r>
          </w:p>
        </w:tc>
        <w:tc>
          <w:tcPr>
            <w:tcW w:w="3101" w:type="dxa"/>
            <w:gridSpan w:val="5"/>
            <w:tcBorders>
              <w:bottom w:val="single" w:sz="2" w:space="0" w:color="000000"/>
            </w:tcBorders>
            <w:shd w:fill="auto" w:val="clear"/>
            <w:vAlign w:val="bottom"/>
          </w:tcPr>
          <w:p>
            <w:pPr>
              <w:pStyle w:val="TableContents"/>
              <w:spacing w:lineRule="auto" w:line="300" w:before="0" w:after="0"/>
              <w:ind w:left="0" w:right="192" w:hanging="0"/>
              <w:jc w:val="center"/>
              <w:rPr/>
            </w:pPr>
            <w:r>
              <w:rPr>
                <w:rStyle w:val="StrongEmphasis"/>
                <w:rFonts w:ascii="Times New Roman" w:hAnsi="Times New Roman"/>
                <w:sz w:val="20"/>
              </w:rPr>
              <w:t>Six Months Ended</w:t>
            </w:r>
          </w:p>
          <w:p>
            <w:pPr>
              <w:pStyle w:val="TableContents"/>
              <w:spacing w:lineRule="auto" w:line="300" w:before="0" w:after="0"/>
              <w:jc w:val="center"/>
              <w:rPr/>
            </w:pPr>
            <w:r>
              <w:rPr>
                <w:rStyle w:val="StrongEmphasis"/>
                <w:rFonts w:ascii="Times New Roman" w:hAnsi="Times New Roman"/>
                <w:sz w:val="20"/>
              </w:rPr>
              <w:t>June 30,</w:t>
            </w:r>
          </w:p>
        </w:tc>
        <w:tc>
          <w:tcPr>
            <w:tcW w:w="187" w:type="dxa"/>
            <w:tcBorders>
              <w:bottom w:val="single" w:sz="2" w:space="0" w:color="FFFFFF"/>
            </w:tcBorders>
            <w:shd w:fill="auto" w:val="clear"/>
            <w:vAlign w:val="bottom"/>
          </w:tcPr>
          <w:p>
            <w:pPr>
              <w:pStyle w:val="TableContents"/>
              <w:spacing w:before="0" w:after="283"/>
              <w:jc w:val="left"/>
              <w:rPr/>
            </w:pPr>
            <w:r>
              <w:rPr/>
              <w:t> </w:t>
            </w:r>
          </w:p>
        </w:tc>
        <w:tc>
          <w:tcPr>
            <w:tcW w:w="1778" w:type="dxa"/>
            <w:gridSpan w:val="2"/>
            <w:tcBorders>
              <w:bottom w:val="single" w:sz="2" w:space="0" w:color="FFFFFF"/>
            </w:tcBorders>
            <w:shd w:fill="auto" w:val="clear"/>
            <w:vAlign w:val="bottom"/>
          </w:tcPr>
          <w:p>
            <w:pPr>
              <w:pStyle w:val="TableContents"/>
              <w:spacing w:lineRule="auto" w:line="300" w:before="0" w:after="0"/>
              <w:ind w:left="0" w:right="180" w:hanging="0"/>
              <w:jc w:val="center"/>
              <w:rPr/>
            </w:pPr>
            <w:r>
              <w:rPr>
                <w:rStyle w:val="StrongEmphasis"/>
                <w:rFonts w:ascii="Times New Roman" w:hAnsi="Times New Roman"/>
                <w:sz w:val="20"/>
              </w:rPr>
              <w:t>For The Period</w:t>
            </w:r>
          </w:p>
          <w:p>
            <w:pPr>
              <w:pStyle w:val="TableContents"/>
              <w:spacing w:lineRule="auto" w:line="300" w:before="0" w:after="0"/>
              <w:jc w:val="center"/>
              <w:rPr/>
            </w:pPr>
            <w:r>
              <w:rPr>
                <w:rStyle w:val="StrongEmphasis"/>
                <w:rFonts w:ascii="Times New Roman" w:hAnsi="Times New Roman"/>
                <w:sz w:val="20"/>
              </w:rPr>
              <w:t>From</w:t>
            </w:r>
            <w:r>
              <w:rPr>
                <w:rStyle w:val="StrongEmphasis"/>
              </w:rPr>
              <w:t> </w:t>
            </w:r>
            <w:r>
              <w:rPr>
                <w:rStyle w:val="StrongEmphasis"/>
                <w:rFonts w:ascii="Times New Roman" w:hAnsi="Times New Roman"/>
                <w:sz w:val="20"/>
              </w:rPr>
              <w:t>July</w:t>
            </w:r>
            <w:r>
              <w:rPr>
                <w:rStyle w:val="StrongEmphasis"/>
              </w:rPr>
              <w:t> </w:t>
            </w:r>
            <w:r>
              <w:rPr>
                <w:rStyle w:val="StrongEmphasis"/>
                <w:rFonts w:ascii="Times New Roman" w:hAnsi="Times New Roman"/>
                <w:sz w:val="20"/>
              </w:rPr>
              <w:t>24,</w:t>
            </w:r>
          </w:p>
          <w:p>
            <w:pPr>
              <w:pStyle w:val="TableContents"/>
              <w:spacing w:lineRule="auto" w:line="300" w:before="0" w:after="0"/>
              <w:jc w:val="center"/>
              <w:rPr/>
            </w:pPr>
            <w:r>
              <w:rPr>
                <w:rStyle w:val="StrongEmphasis"/>
                <w:rFonts w:ascii="Times New Roman" w:hAnsi="Times New Roman"/>
                <w:sz w:val="20"/>
              </w:rPr>
              <w:t>1998</w:t>
            </w:r>
          </w:p>
          <w:p>
            <w:pPr>
              <w:pStyle w:val="TableContents"/>
              <w:spacing w:lineRule="auto" w:line="300" w:before="0" w:after="0"/>
              <w:ind w:left="0" w:right="108" w:hanging="0"/>
              <w:jc w:val="center"/>
              <w:rPr/>
            </w:pPr>
            <w:r>
              <w:rPr>
                <w:rStyle w:val="StrongEmphasis"/>
                <w:rFonts w:ascii="Times New Roman" w:hAnsi="Times New Roman"/>
                <w:sz w:val="20"/>
              </w:rPr>
              <w:t>(Inception)</w:t>
            </w:r>
          </w:p>
          <w:p>
            <w:pPr>
              <w:pStyle w:val="TableContents"/>
              <w:spacing w:lineRule="auto" w:line="300" w:before="0" w:after="0"/>
              <w:jc w:val="center"/>
              <w:rPr/>
            </w:pPr>
            <w:r>
              <w:rPr>
                <w:rStyle w:val="StrongEmphasis"/>
                <w:rFonts w:ascii="Times New Roman" w:hAnsi="Times New Roman"/>
                <w:sz w:val="20"/>
              </w:rPr>
              <w:t>Through</w:t>
            </w:r>
          </w:p>
          <w:p>
            <w:pPr>
              <w:pStyle w:val="TableContents"/>
              <w:spacing w:lineRule="auto" w:line="300" w:before="0" w:after="0"/>
              <w:jc w:val="center"/>
              <w:rPr/>
            </w:pPr>
            <w:r>
              <w:rPr>
                <w:rStyle w:val="StrongEmphasis"/>
                <w:rFonts w:ascii="Times New Roman" w:hAnsi="Times New Roman"/>
                <w:sz w:val="20"/>
              </w:rPr>
              <w:t>June 30,</w:t>
            </w:r>
          </w:p>
        </w:tc>
        <w:tc>
          <w:tcPr>
            <w:tcW w:w="136" w:type="dxa"/>
            <w:tcBorders>
              <w:bottom w:val="single" w:sz="2" w:space="0" w:color="FFFFFF"/>
            </w:tcBorders>
            <w:shd w:fill="auto" w:val="clear"/>
            <w:vAlign w:val="bottom"/>
          </w:tcPr>
          <w:p>
            <w:pPr>
              <w:pStyle w:val="TableContents"/>
              <w:spacing w:before="0" w:after="283"/>
              <w:jc w:val="left"/>
              <w:rPr/>
            </w:pPr>
            <w:r>
              <w:rPr/>
              <w:t> </w:t>
            </w:r>
          </w:p>
        </w:tc>
      </w:tr>
      <w:tr>
        <w:trPr/>
        <w:tc>
          <w:tcPr>
            <w:tcW w:w="4828" w:type="dxa"/>
            <w:tcBorders>
              <w:bottom w:val="single" w:sz="2" w:space="0" w:color="FFFFFF"/>
            </w:tcBorders>
            <w:shd w:fill="auto" w:val="clear"/>
            <w:vAlign w:val="bottom"/>
          </w:tcPr>
          <w:p>
            <w:pPr>
              <w:pStyle w:val="TableContents"/>
              <w:spacing w:lineRule="auto" w:line="300" w:before="0" w:after="0"/>
              <w:ind w:left="0" w:right="16" w:hanging="0"/>
              <w:jc w:val="left"/>
              <w:rPr/>
            </w:pPr>
            <w:r>
              <w:rPr/>
              <w:t> </w:t>
            </w:r>
          </w:p>
        </w:tc>
        <w:tc>
          <w:tcPr>
            <w:tcW w:w="175" w:type="dxa"/>
            <w:tcBorders>
              <w:bottom w:val="single" w:sz="2" w:space="0" w:color="FFFFFF"/>
            </w:tcBorders>
            <w:shd w:fill="auto" w:val="clear"/>
            <w:vAlign w:val="center"/>
          </w:tcPr>
          <w:p>
            <w:pPr>
              <w:pStyle w:val="TableContents"/>
              <w:spacing w:before="0" w:after="283"/>
              <w:rPr/>
            </w:pPr>
            <w:r>
              <w:rPr/>
              <w:t> </w:t>
            </w:r>
          </w:p>
        </w:tc>
        <w:tc>
          <w:tcPr>
            <w:tcW w:w="1476" w:type="dxa"/>
            <w:gridSpan w:val="2"/>
            <w:tcBorders>
              <w:bottom w:val="single" w:sz="2" w:space="0" w:color="000000"/>
            </w:tcBorders>
            <w:shd w:fill="auto" w:val="clear"/>
            <w:vAlign w:val="bottom"/>
          </w:tcPr>
          <w:p>
            <w:pPr>
              <w:pStyle w:val="TableContents"/>
              <w:spacing w:lineRule="auto" w:line="300" w:before="0" w:after="0"/>
              <w:ind w:left="0" w:right="36" w:hanging="0"/>
              <w:jc w:val="center"/>
              <w:rPr/>
            </w:pPr>
            <w:r>
              <w:rPr>
                <w:rStyle w:val="StrongEmphasis"/>
                <w:rFonts w:ascii="Times New Roman" w:hAnsi="Times New Roman"/>
                <w:sz w:val="20"/>
              </w:rPr>
              <w:t>2008</w:t>
            </w:r>
          </w:p>
        </w:tc>
        <w:tc>
          <w:tcPr>
            <w:tcW w:w="187" w:type="dxa"/>
            <w:tcBorders>
              <w:bottom w:val="single" w:sz="2" w:space="0" w:color="FFFFFF"/>
            </w:tcBorders>
            <w:shd w:fill="auto" w:val="clear"/>
            <w:vAlign w:val="bottom"/>
          </w:tcPr>
          <w:p>
            <w:pPr>
              <w:pStyle w:val="TableContents"/>
              <w:spacing w:before="0" w:after="283"/>
              <w:jc w:val="left"/>
              <w:rPr/>
            </w:pPr>
            <w:r>
              <w:rPr/>
              <w:t> </w:t>
            </w:r>
          </w:p>
        </w:tc>
        <w:tc>
          <w:tcPr>
            <w:tcW w:w="1438" w:type="dxa"/>
            <w:gridSpan w:val="2"/>
            <w:tcBorders>
              <w:bottom w:val="single" w:sz="2" w:space="0" w:color="000000"/>
            </w:tcBorders>
            <w:shd w:fill="auto" w:val="clear"/>
            <w:vAlign w:val="bottom"/>
          </w:tcPr>
          <w:p>
            <w:pPr>
              <w:pStyle w:val="TableContents"/>
              <w:spacing w:lineRule="auto" w:line="300" w:before="0" w:after="0"/>
              <w:ind w:left="0" w:right="36" w:hanging="0"/>
              <w:jc w:val="center"/>
              <w:rPr/>
            </w:pPr>
            <w:r>
              <w:rPr>
                <w:rStyle w:val="StrongEmphasis"/>
                <w:rFonts w:ascii="Times New Roman" w:hAnsi="Times New Roman"/>
                <w:sz w:val="20"/>
              </w:rPr>
              <w:t>2007</w:t>
            </w:r>
          </w:p>
        </w:tc>
        <w:tc>
          <w:tcPr>
            <w:tcW w:w="187" w:type="dxa"/>
            <w:tcBorders>
              <w:bottom w:val="single" w:sz="2" w:space="0" w:color="FFFFFF"/>
            </w:tcBorders>
            <w:shd w:fill="auto" w:val="clear"/>
            <w:vAlign w:val="bottom"/>
          </w:tcPr>
          <w:p>
            <w:pPr>
              <w:pStyle w:val="TableContents"/>
              <w:spacing w:before="0" w:after="283"/>
              <w:jc w:val="left"/>
              <w:rPr/>
            </w:pPr>
            <w:r>
              <w:rPr/>
              <w:t> </w:t>
            </w:r>
          </w:p>
        </w:tc>
        <w:tc>
          <w:tcPr>
            <w:tcW w:w="1778" w:type="dxa"/>
            <w:gridSpan w:val="2"/>
            <w:tcBorders>
              <w:bottom w:val="single" w:sz="2" w:space="0" w:color="000000"/>
            </w:tcBorders>
            <w:shd w:fill="auto" w:val="clear"/>
            <w:vAlign w:val="bottom"/>
          </w:tcPr>
          <w:p>
            <w:pPr>
              <w:pStyle w:val="TableContents"/>
              <w:spacing w:lineRule="auto" w:line="300" w:before="0" w:after="0"/>
              <w:ind w:left="0" w:right="36" w:hanging="0"/>
              <w:jc w:val="center"/>
              <w:rPr/>
            </w:pPr>
            <w:r>
              <w:rPr>
                <w:rStyle w:val="StrongEmphasis"/>
                <w:rFonts w:ascii="Times New Roman" w:hAnsi="Times New Roman"/>
                <w:sz w:val="20"/>
              </w:rPr>
              <w:t>2008</w:t>
            </w:r>
          </w:p>
        </w:tc>
        <w:tc>
          <w:tcPr>
            <w:tcW w:w="136" w:type="dxa"/>
            <w:tcBorders>
              <w:bottom w:val="single" w:sz="2" w:space="0" w:color="FFFFFF"/>
            </w:tcBorders>
            <w:shd w:fill="auto" w:val="clear"/>
            <w:vAlign w:val="bottom"/>
          </w:tcPr>
          <w:p>
            <w:pPr>
              <w:pStyle w:val="TableContents"/>
              <w:spacing w:before="0" w:after="283"/>
              <w:jc w:val="left"/>
              <w:rPr/>
            </w:pPr>
            <w:r>
              <w:rPr/>
              <w:t> </w:t>
            </w:r>
          </w:p>
        </w:tc>
      </w:tr>
      <w:tr>
        <w:trPr/>
        <w:tc>
          <w:tcPr>
            <w:tcW w:w="4828" w:type="dxa"/>
            <w:tcBorders/>
            <w:shd w:fill="auto" w:val="clear"/>
            <w:tcMar>
              <w:bottom w:w="0" w:type="dxa"/>
            </w:tcMar>
            <w:vAlign w:val="bottom"/>
          </w:tcPr>
          <w:p>
            <w:pPr>
              <w:pStyle w:val="TableContents"/>
              <w:spacing w:lineRule="auto" w:line="300" w:before="0" w:after="0"/>
              <w:ind w:left="0" w:right="16" w:hanging="0"/>
              <w:jc w:val="left"/>
              <w:rPr/>
            </w:pPr>
            <w:r>
              <w:rPr/>
              <w:t> </w:t>
            </w:r>
          </w:p>
        </w:tc>
        <w:tc>
          <w:tcPr>
            <w:tcW w:w="175" w:type="dxa"/>
            <w:tcBorders/>
            <w:shd w:fill="auto" w:val="clear"/>
            <w:tcMar>
              <w:bottom w:w="0" w:type="dxa"/>
            </w:tcMar>
            <w:vAlign w:val="center"/>
          </w:tcPr>
          <w:p>
            <w:pPr>
              <w:pStyle w:val="TableContents"/>
              <w:spacing w:before="0" w:after="283"/>
              <w:rPr/>
            </w:pPr>
            <w:r>
              <w:rPr/>
              <w:t> </w:t>
            </w:r>
          </w:p>
        </w:tc>
        <w:tc>
          <w:tcPr>
            <w:tcW w:w="1476" w:type="dxa"/>
            <w:gridSpan w:val="2"/>
            <w:tcBorders/>
            <w:shd w:fill="auto" w:val="clear"/>
            <w:tcMar>
              <w:bottom w:w="0" w:type="dxa"/>
            </w:tcMar>
            <w:vAlign w:val="bottom"/>
          </w:tcPr>
          <w:p>
            <w:pPr>
              <w:pStyle w:val="TableContents"/>
              <w:spacing w:lineRule="auto" w:line="300" w:before="0" w:after="0"/>
              <w:ind w:left="0" w:right="36" w:hanging="0"/>
              <w:jc w:val="lef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1438" w:type="dxa"/>
            <w:gridSpan w:val="2"/>
            <w:tcBorders/>
            <w:shd w:fill="auto" w:val="clear"/>
            <w:tcMar>
              <w:bottom w:w="0" w:type="dxa"/>
            </w:tcMar>
            <w:vAlign w:val="bottom"/>
          </w:tcPr>
          <w:p>
            <w:pPr>
              <w:pStyle w:val="TableContents"/>
              <w:spacing w:lineRule="auto" w:line="300" w:before="0" w:after="0"/>
              <w:ind w:left="0" w:right="36" w:hanging="0"/>
              <w:jc w:val="lef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1778" w:type="dxa"/>
            <w:gridSpan w:val="2"/>
            <w:tcBorders/>
            <w:shd w:fill="auto" w:val="clear"/>
            <w:tcMar>
              <w:bottom w:w="0" w:type="dxa"/>
            </w:tcMar>
            <w:vAlign w:val="bottom"/>
          </w:tcPr>
          <w:p>
            <w:pPr>
              <w:pStyle w:val="TableContents"/>
              <w:spacing w:lineRule="auto" w:line="300" w:before="0" w:after="0"/>
              <w:ind w:left="0" w:right="36" w:hanging="0"/>
              <w:jc w:val="left"/>
              <w:rPr/>
            </w:pPr>
            <w:r>
              <w:rPr/>
              <w:t> </w:t>
            </w:r>
          </w:p>
        </w:tc>
        <w:tc>
          <w:tcPr>
            <w:tcW w:w="136" w:type="dxa"/>
            <w:tcBorders/>
            <w:shd w:fill="auto" w:val="clear"/>
            <w:tcMar>
              <w:bottom w:w="0" w:type="dxa"/>
            </w:tcMar>
            <w:vAlign w:val="bottom"/>
          </w:tcPr>
          <w:p>
            <w:pPr>
              <w:pStyle w:val="TableContents"/>
              <w:spacing w:before="0" w:after="283"/>
              <w:jc w:val="left"/>
              <w:rPr/>
            </w:pPr>
            <w:r>
              <w:rPr/>
              <w:t> </w:t>
            </w:r>
          </w:p>
        </w:tc>
      </w:tr>
      <w:tr>
        <w:trPr/>
        <w:tc>
          <w:tcPr>
            <w:tcW w:w="4828" w:type="dxa"/>
            <w:tcBorders/>
            <w:shd w:fill="CCFFCC" w:val="clear"/>
            <w:tcMar>
              <w:bottom w:w="0" w:type="dxa"/>
            </w:tcMar>
            <w:vAlign w:val="bottom"/>
          </w:tcPr>
          <w:p>
            <w:pPr>
              <w:pStyle w:val="TableContents"/>
              <w:spacing w:lineRule="auto" w:line="300" w:before="0" w:after="0"/>
              <w:ind w:left="0" w:right="16" w:hanging="0"/>
              <w:jc w:val="left"/>
              <w:rPr/>
            </w:pPr>
            <w:r>
              <w:rPr>
                <w:rStyle w:val="StrongEmphasis"/>
                <w:rFonts w:ascii="Times New Roman" w:hAnsi="Times New Roman"/>
                <w:sz w:val="20"/>
              </w:rPr>
              <w:t>Cash from operating activities:</w:t>
            </w:r>
          </w:p>
        </w:tc>
        <w:tc>
          <w:tcPr>
            <w:tcW w:w="175" w:type="dxa"/>
            <w:tcBorders/>
            <w:shd w:fill="CCFFCC" w:val="clear"/>
            <w:tcMar>
              <w:bottom w:w="0" w:type="dxa"/>
            </w:tcMar>
            <w:vAlign w:val="center"/>
          </w:tcPr>
          <w:p>
            <w:pPr>
              <w:pStyle w:val="TableContents"/>
              <w:spacing w:before="0" w:after="283"/>
              <w:rPr/>
            </w:pPr>
            <w:r>
              <w:rPr/>
              <w:t> </w:t>
            </w:r>
          </w:p>
        </w:tc>
        <w:tc>
          <w:tcPr>
            <w:tcW w:w="1476" w:type="dxa"/>
            <w:gridSpan w:val="2"/>
            <w:tcBorders/>
            <w:shd w:fill="CCFFCC" w:val="clear"/>
            <w:tcMar>
              <w:bottom w:w="0" w:type="dxa"/>
            </w:tcMar>
            <w:vAlign w:val="bottom"/>
          </w:tcPr>
          <w:p>
            <w:pPr>
              <w:pStyle w:val="TableContents"/>
              <w:spacing w:lineRule="auto" w:line="300" w:before="0" w:after="0"/>
              <w:ind w:left="0" w:right="36" w:hanging="0"/>
              <w:jc w:val="both"/>
              <w:rPr/>
            </w:pPr>
            <w:r>
              <w:rPr/>
              <w:t> </w:t>
            </w:r>
          </w:p>
        </w:tc>
        <w:tc>
          <w:tcPr>
            <w:tcW w:w="187" w:type="dxa"/>
            <w:tcBorders/>
            <w:shd w:fill="CCFFCC" w:val="clear"/>
            <w:tcMar>
              <w:bottom w:w="0" w:type="dxa"/>
            </w:tcMar>
            <w:vAlign w:val="bottom"/>
          </w:tcPr>
          <w:p>
            <w:pPr>
              <w:pStyle w:val="TableContents"/>
              <w:spacing w:before="0" w:after="283"/>
              <w:jc w:val="left"/>
              <w:rPr/>
            </w:pPr>
            <w:r>
              <w:rPr/>
              <w:t> </w:t>
            </w:r>
          </w:p>
        </w:tc>
        <w:tc>
          <w:tcPr>
            <w:tcW w:w="1438" w:type="dxa"/>
            <w:gridSpan w:val="2"/>
            <w:tcBorders/>
            <w:shd w:fill="CCFFCC" w:val="clear"/>
            <w:tcMar>
              <w:bottom w:w="0" w:type="dxa"/>
            </w:tcMar>
            <w:vAlign w:val="bottom"/>
          </w:tcPr>
          <w:p>
            <w:pPr>
              <w:pStyle w:val="TableContents"/>
              <w:spacing w:lineRule="auto" w:line="300" w:before="0" w:after="0"/>
              <w:ind w:left="0" w:right="36" w:hanging="0"/>
              <w:jc w:val="left"/>
              <w:rPr/>
            </w:pPr>
            <w:r>
              <w:rPr/>
              <w:t> </w:t>
            </w:r>
          </w:p>
        </w:tc>
        <w:tc>
          <w:tcPr>
            <w:tcW w:w="187" w:type="dxa"/>
            <w:tcBorders/>
            <w:shd w:fill="CCFFCC" w:val="clear"/>
            <w:tcMar>
              <w:bottom w:w="0" w:type="dxa"/>
            </w:tcMar>
            <w:vAlign w:val="bottom"/>
          </w:tcPr>
          <w:p>
            <w:pPr>
              <w:pStyle w:val="TableContents"/>
              <w:spacing w:before="0" w:after="283"/>
              <w:jc w:val="left"/>
              <w:rPr/>
            </w:pPr>
            <w:r>
              <w:rPr/>
              <w:t> </w:t>
            </w:r>
          </w:p>
        </w:tc>
        <w:tc>
          <w:tcPr>
            <w:tcW w:w="1778" w:type="dxa"/>
            <w:gridSpan w:val="2"/>
            <w:tcBorders/>
            <w:shd w:fill="CCFFCC" w:val="clear"/>
            <w:tcMar>
              <w:bottom w:w="0" w:type="dxa"/>
            </w:tcMar>
            <w:vAlign w:val="bottom"/>
          </w:tcPr>
          <w:p>
            <w:pPr>
              <w:pStyle w:val="TableContents"/>
              <w:spacing w:lineRule="auto" w:line="300" w:before="0" w:after="0"/>
              <w:ind w:left="0" w:right="36" w:hanging="0"/>
              <w:jc w:val="both"/>
              <w:rPr/>
            </w:pPr>
            <w:r>
              <w:rPr/>
              <w:t> </w:t>
            </w:r>
          </w:p>
        </w:tc>
        <w:tc>
          <w:tcPr>
            <w:tcW w:w="136" w:type="dxa"/>
            <w:tcBorders/>
            <w:shd w:fill="CCFFCC" w:val="clear"/>
            <w:tcMar>
              <w:bottom w:w="0" w:type="dxa"/>
            </w:tcMar>
            <w:vAlign w:val="bottom"/>
          </w:tcPr>
          <w:p>
            <w:pPr>
              <w:pStyle w:val="TableContents"/>
              <w:spacing w:before="0" w:after="283"/>
              <w:jc w:val="left"/>
              <w:rPr/>
            </w:pPr>
            <w:r>
              <w:rPr/>
              <w:t> </w:t>
            </w:r>
          </w:p>
        </w:tc>
      </w:tr>
      <w:tr>
        <w:trPr/>
        <w:tc>
          <w:tcPr>
            <w:tcW w:w="4828" w:type="dxa"/>
            <w:tcBorders/>
            <w:shd w:fill="FFFFFF" w:val="clear"/>
            <w:tcMar>
              <w:bottom w:w="0" w:type="dxa"/>
            </w:tcMar>
            <w:vAlign w:val="bottom"/>
          </w:tcPr>
          <w:p>
            <w:pPr>
              <w:pStyle w:val="TableContents"/>
              <w:spacing w:lineRule="auto" w:line="300" w:before="0" w:after="0"/>
              <w:ind w:left="180" w:right="16" w:hanging="0"/>
              <w:jc w:val="left"/>
              <w:rPr>
                <w:rFonts w:ascii="Times New Roman" w:hAnsi="Times New Roman"/>
                <w:sz w:val="20"/>
              </w:rPr>
            </w:pPr>
            <w:r>
              <w:rPr>
                <w:rFonts w:ascii="Times New Roman" w:hAnsi="Times New Roman"/>
                <w:sz w:val="20"/>
              </w:rPr>
              <w:t>Net loss</w:t>
            </w:r>
          </w:p>
        </w:tc>
        <w:tc>
          <w:tcPr>
            <w:tcW w:w="175"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2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(1,536,034</w:t>
            </w:r>
          </w:p>
        </w:tc>
        <w:tc>
          <w:tcPr>
            <w:tcW w:w="18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9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(255,701</w:t>
            </w:r>
          </w:p>
        </w:tc>
        <w:tc>
          <w:tcPr>
            <w:tcW w:w="18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84"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9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(8,613,579</w:t>
            </w:r>
          </w:p>
        </w:tc>
        <w:tc>
          <w:tcPr>
            <w:tcW w:w="13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4828" w:type="dxa"/>
            <w:tcBorders/>
            <w:shd w:fill="CCFFCC" w:val="clear"/>
            <w:tcMar>
              <w:bottom w:w="0" w:type="dxa"/>
            </w:tcMar>
            <w:vAlign w:val="bottom"/>
          </w:tcPr>
          <w:p>
            <w:pPr>
              <w:pStyle w:val="TableContents"/>
              <w:spacing w:lineRule="auto" w:line="300" w:before="0" w:after="0"/>
              <w:ind w:left="360" w:right="16" w:hanging="180"/>
              <w:jc w:val="left"/>
              <w:rPr>
                <w:rFonts w:ascii="Times New Roman" w:hAnsi="Times New Roman"/>
                <w:sz w:val="20"/>
              </w:rPr>
            </w:pPr>
            <w:r>
              <w:rPr>
                <w:rFonts w:ascii="Times New Roman" w:hAnsi="Times New Roman"/>
                <w:sz w:val="20"/>
              </w:rPr>
              <w:t>Adjustments to reconcile net loss to net cash used in operating activities:</w:t>
            </w:r>
          </w:p>
        </w:tc>
        <w:tc>
          <w:tcPr>
            <w:tcW w:w="175" w:type="dxa"/>
            <w:tcBorders/>
            <w:shd w:fill="CCFFCC" w:val="clear"/>
            <w:tcMar>
              <w:bottom w:w="0" w:type="dxa"/>
            </w:tcMar>
            <w:vAlign w:val="center"/>
          </w:tcPr>
          <w:p>
            <w:pPr>
              <w:pStyle w:val="TableContents"/>
              <w:spacing w:before="0" w:after="283"/>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329"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291"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84" w:type="dxa"/>
            <w:tcBorders/>
            <w:shd w:fill="CCFFCC" w:val="clear"/>
            <w:tcMar>
              <w:bottom w:w="0" w:type="dxa"/>
            </w:tcMar>
            <w:vAlign w:val="bottom"/>
          </w:tcPr>
          <w:p>
            <w:pPr>
              <w:pStyle w:val="TableContents"/>
              <w:spacing w:before="0" w:after="283"/>
              <w:jc w:val="left"/>
              <w:rPr/>
            </w:pPr>
            <w:r>
              <w:rPr/>
              <w:t> </w:t>
            </w:r>
          </w:p>
        </w:tc>
        <w:tc>
          <w:tcPr>
            <w:tcW w:w="1594" w:type="dxa"/>
            <w:tcBorders/>
            <w:shd w:fill="CCFFCC" w:val="clear"/>
            <w:tcMar>
              <w:bottom w:w="0" w:type="dxa"/>
            </w:tcMar>
            <w:vAlign w:val="bottom"/>
          </w:tcPr>
          <w:p>
            <w:pPr>
              <w:pStyle w:val="TableContents"/>
              <w:spacing w:before="0" w:after="283"/>
              <w:rPr>
                <w:sz w:val="4"/>
                <w:szCs w:val="4"/>
              </w:rPr>
            </w:pPr>
            <w:r>
              <w:rPr>
                <w:sz w:val="4"/>
                <w:szCs w:val="4"/>
              </w:rPr>
            </w:r>
          </w:p>
        </w:tc>
        <w:tc>
          <w:tcPr>
            <w:tcW w:w="136" w:type="dxa"/>
            <w:tcBorders/>
            <w:shd w:fill="CCFFCC" w:val="clear"/>
            <w:tcMar>
              <w:bottom w:w="0" w:type="dxa"/>
            </w:tcMar>
            <w:vAlign w:val="bottom"/>
          </w:tcPr>
          <w:p>
            <w:pPr>
              <w:pStyle w:val="TableContents"/>
              <w:spacing w:before="0" w:after="283"/>
              <w:jc w:val="left"/>
              <w:rPr/>
            </w:pPr>
            <w:r>
              <w:rPr/>
              <w:t> </w:t>
            </w:r>
          </w:p>
        </w:tc>
      </w:tr>
      <w:tr>
        <w:trPr/>
        <w:tc>
          <w:tcPr>
            <w:tcW w:w="4828" w:type="dxa"/>
            <w:tcBorders/>
            <w:shd w:fill="FFFFFF" w:val="clear"/>
            <w:tcMar>
              <w:bottom w:w="0" w:type="dxa"/>
            </w:tcMar>
            <w:vAlign w:val="bottom"/>
          </w:tcPr>
          <w:p>
            <w:pPr>
              <w:pStyle w:val="TableContents"/>
              <w:spacing w:lineRule="auto" w:line="300" w:before="0" w:after="0"/>
              <w:ind w:left="180" w:right="16" w:hanging="0"/>
              <w:jc w:val="left"/>
              <w:rPr>
                <w:rFonts w:ascii="Times New Roman" w:hAnsi="Times New Roman"/>
                <w:sz w:val="20"/>
              </w:rPr>
            </w:pPr>
            <w:r>
              <w:rPr>
                <w:rFonts w:ascii="Times New Roman" w:hAnsi="Times New Roman"/>
                <w:sz w:val="20"/>
              </w:rPr>
              <w:t>Estimated fair value of contributed services</w:t>
            </w:r>
          </w:p>
        </w:tc>
        <w:tc>
          <w:tcPr>
            <w:tcW w:w="175"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329" w:type="dxa"/>
            <w:tcBorders/>
            <w:shd w:fill="FFFFFF" w:val="clear"/>
            <w:tcMar>
              <w:bottom w:w="0" w:type="dxa"/>
            </w:tcMar>
            <w:vAlign w:val="bottom"/>
          </w:tcPr>
          <w:p>
            <w:pPr>
              <w:pStyle w:val="TableContents"/>
              <w:spacing w:lineRule="auto" w:line="300" w:before="0" w:after="0"/>
              <w:ind w:left="0" w:right="0" w:hanging="0"/>
              <w:jc w:val="right"/>
              <w:rPr/>
            </w:pPr>
            <w:r>
              <w:rPr/>
              <w:t>—</w:t>
            </w:r>
          </w:p>
        </w:tc>
        <w:tc>
          <w:tcPr>
            <w:tcW w:w="187" w:type="dxa"/>
            <w:tcBorders/>
            <w:shd w:fill="FFFFFF" w:val="clear"/>
            <w:tcMar>
              <w:bottom w:w="0" w:type="dxa"/>
            </w:tcMar>
            <w:vAlign w:val="bottom"/>
          </w:tcPr>
          <w:p>
            <w:pPr>
              <w:pStyle w:val="TableContents"/>
              <w:spacing w:before="0" w:after="283"/>
              <w:jc w:val="left"/>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29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175,000</w:t>
            </w:r>
          </w:p>
        </w:tc>
        <w:tc>
          <w:tcPr>
            <w:tcW w:w="187"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159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2,475,000</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828" w:type="dxa"/>
            <w:tcBorders/>
            <w:shd w:fill="CCFFCC" w:val="clear"/>
            <w:tcMar>
              <w:bottom w:w="0" w:type="dxa"/>
            </w:tcMar>
            <w:vAlign w:val="bottom"/>
          </w:tcPr>
          <w:p>
            <w:pPr>
              <w:pStyle w:val="TableContents"/>
              <w:spacing w:lineRule="auto" w:line="300" w:before="0" w:after="0"/>
              <w:ind w:left="180" w:right="16" w:hanging="0"/>
              <w:jc w:val="left"/>
              <w:rPr>
                <w:rFonts w:ascii="Times New Roman" w:hAnsi="Times New Roman"/>
                <w:sz w:val="20"/>
              </w:rPr>
            </w:pPr>
            <w:r>
              <w:rPr>
                <w:rFonts w:ascii="Times New Roman" w:hAnsi="Times New Roman"/>
                <w:sz w:val="20"/>
              </w:rPr>
              <w:t>Gain on forgiveness of liabilities</w:t>
            </w:r>
          </w:p>
        </w:tc>
        <w:tc>
          <w:tcPr>
            <w:tcW w:w="175" w:type="dxa"/>
            <w:tcBorders/>
            <w:shd w:fill="CCFFCC" w:val="clear"/>
            <w:tcMar>
              <w:bottom w:w="0" w:type="dxa"/>
            </w:tcMar>
            <w:vAlign w:val="center"/>
          </w:tcPr>
          <w:p>
            <w:pPr>
              <w:pStyle w:val="TableContents"/>
              <w:spacing w:before="0" w:after="283"/>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329"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87" w:type="dxa"/>
            <w:tcBorders/>
            <w:shd w:fill="CCFFCC" w:val="clear"/>
            <w:tcMar>
              <w:bottom w:w="0" w:type="dxa"/>
            </w:tcMar>
            <w:vAlign w:val="bottom"/>
          </w:tcPr>
          <w:p>
            <w:pPr>
              <w:pStyle w:val="TableContents"/>
              <w:spacing w:before="0" w:after="283"/>
              <w:jc w:val="left"/>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291"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87" w:type="dxa"/>
            <w:tcBorders/>
            <w:shd w:fill="CCFFCC" w:val="clear"/>
            <w:tcMar>
              <w:bottom w:w="0" w:type="dxa"/>
            </w:tcMar>
            <w:vAlign w:val="bottom"/>
          </w:tcPr>
          <w:p>
            <w:pPr>
              <w:pStyle w:val="TableContents"/>
              <w:spacing w:before="0" w:after="283"/>
              <w:jc w:val="left"/>
              <w:rPr/>
            </w:pPr>
            <w:r>
              <w:rPr/>
              <w:t> </w:t>
            </w:r>
          </w:p>
        </w:tc>
        <w:tc>
          <w:tcPr>
            <w:tcW w:w="184" w:type="dxa"/>
            <w:tcBorders/>
            <w:shd w:fill="CCFFCC" w:val="clear"/>
            <w:tcMar>
              <w:bottom w:w="0" w:type="dxa"/>
            </w:tcMar>
            <w:vAlign w:val="bottom"/>
          </w:tcPr>
          <w:p>
            <w:pPr>
              <w:pStyle w:val="TableContents"/>
              <w:spacing w:before="0" w:after="283"/>
              <w:jc w:val="left"/>
              <w:rPr/>
            </w:pPr>
            <w:r>
              <w:rPr/>
              <w:t> </w:t>
            </w:r>
          </w:p>
        </w:tc>
        <w:tc>
          <w:tcPr>
            <w:tcW w:w="159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(89,914</w:t>
            </w:r>
          </w:p>
        </w:tc>
        <w:tc>
          <w:tcPr>
            <w:tcW w:w="136"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4828" w:type="dxa"/>
            <w:tcBorders/>
            <w:shd w:fill="FFFFFF" w:val="clear"/>
            <w:tcMar>
              <w:bottom w:w="0" w:type="dxa"/>
            </w:tcMar>
            <w:vAlign w:val="bottom"/>
          </w:tcPr>
          <w:p>
            <w:pPr>
              <w:pStyle w:val="TableContents"/>
              <w:spacing w:lineRule="auto" w:line="300" w:before="0" w:after="0"/>
              <w:ind w:left="180" w:right="16" w:hanging="0"/>
              <w:jc w:val="left"/>
              <w:rPr>
                <w:rFonts w:ascii="Times New Roman" w:hAnsi="Times New Roman"/>
                <w:sz w:val="20"/>
              </w:rPr>
            </w:pPr>
            <w:r>
              <w:rPr>
                <w:rFonts w:ascii="Times New Roman" w:hAnsi="Times New Roman"/>
                <w:sz w:val="20"/>
              </w:rPr>
              <w:t>Amortization of prepaid consulting fees and depreciation</w:t>
            </w:r>
          </w:p>
        </w:tc>
        <w:tc>
          <w:tcPr>
            <w:tcW w:w="175"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32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303,983</w:t>
            </w:r>
          </w:p>
        </w:tc>
        <w:tc>
          <w:tcPr>
            <w:tcW w:w="187" w:type="dxa"/>
            <w:tcBorders/>
            <w:shd w:fill="FFFFFF" w:val="clear"/>
            <w:tcMar>
              <w:bottom w:w="0" w:type="dxa"/>
            </w:tcMar>
            <w:vAlign w:val="bottom"/>
          </w:tcPr>
          <w:p>
            <w:pPr>
              <w:pStyle w:val="TableContents"/>
              <w:spacing w:before="0" w:after="283"/>
              <w:jc w:val="left"/>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291" w:type="dxa"/>
            <w:tcBorders/>
            <w:shd w:fill="FFFFFF" w:val="clear"/>
            <w:tcMar>
              <w:bottom w:w="0" w:type="dxa"/>
            </w:tcMar>
            <w:vAlign w:val="bottom"/>
          </w:tcPr>
          <w:p>
            <w:pPr>
              <w:pStyle w:val="TableContents"/>
              <w:spacing w:lineRule="auto" w:line="300" w:before="0" w:after="0"/>
              <w:ind w:left="0" w:right="0" w:hanging="0"/>
              <w:jc w:val="right"/>
              <w:rPr/>
            </w:pPr>
            <w:r>
              <w:rPr/>
              <w:t>—</w:t>
            </w:r>
          </w:p>
        </w:tc>
        <w:tc>
          <w:tcPr>
            <w:tcW w:w="187"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159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505,235</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828" w:type="dxa"/>
            <w:tcBorders/>
            <w:shd w:fill="CCFFCC" w:val="clear"/>
            <w:tcMar>
              <w:bottom w:w="0" w:type="dxa"/>
            </w:tcMar>
            <w:vAlign w:val="bottom"/>
          </w:tcPr>
          <w:p>
            <w:pPr>
              <w:pStyle w:val="TableContents"/>
              <w:spacing w:lineRule="auto" w:line="300" w:before="0" w:after="0"/>
              <w:ind w:left="180" w:right="16" w:hanging="0"/>
              <w:jc w:val="left"/>
              <w:rPr>
                <w:rFonts w:ascii="Times New Roman" w:hAnsi="Times New Roman"/>
                <w:sz w:val="20"/>
              </w:rPr>
            </w:pPr>
            <w:r>
              <w:rPr>
                <w:rFonts w:ascii="Times New Roman" w:hAnsi="Times New Roman"/>
                <w:sz w:val="20"/>
              </w:rPr>
              <w:t>Non-cash interest on notes payable</w:t>
            </w:r>
          </w:p>
        </w:tc>
        <w:tc>
          <w:tcPr>
            <w:tcW w:w="175" w:type="dxa"/>
            <w:tcBorders/>
            <w:shd w:fill="CCFFCC" w:val="clear"/>
            <w:tcMar>
              <w:bottom w:w="0" w:type="dxa"/>
            </w:tcMar>
            <w:vAlign w:val="center"/>
          </w:tcPr>
          <w:p>
            <w:pPr>
              <w:pStyle w:val="TableContents"/>
              <w:spacing w:before="0" w:after="283"/>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329"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87" w:type="dxa"/>
            <w:tcBorders/>
            <w:shd w:fill="CCFFCC" w:val="clear"/>
            <w:tcMar>
              <w:bottom w:w="0" w:type="dxa"/>
            </w:tcMar>
            <w:vAlign w:val="bottom"/>
          </w:tcPr>
          <w:p>
            <w:pPr>
              <w:pStyle w:val="TableContents"/>
              <w:spacing w:before="0" w:after="283"/>
              <w:jc w:val="left"/>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291"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10,601</w:t>
            </w:r>
          </w:p>
        </w:tc>
        <w:tc>
          <w:tcPr>
            <w:tcW w:w="187" w:type="dxa"/>
            <w:tcBorders/>
            <w:shd w:fill="CCFFCC" w:val="clear"/>
            <w:tcMar>
              <w:bottom w:w="0" w:type="dxa"/>
            </w:tcMar>
            <w:vAlign w:val="bottom"/>
          </w:tcPr>
          <w:p>
            <w:pPr>
              <w:pStyle w:val="TableContents"/>
              <w:spacing w:before="0" w:after="283"/>
              <w:jc w:val="left"/>
              <w:rPr/>
            </w:pPr>
            <w:r>
              <w:rPr/>
              <w:t> </w:t>
            </w:r>
          </w:p>
        </w:tc>
        <w:tc>
          <w:tcPr>
            <w:tcW w:w="184" w:type="dxa"/>
            <w:tcBorders/>
            <w:shd w:fill="CCFFCC" w:val="clear"/>
            <w:tcMar>
              <w:bottom w:w="0" w:type="dxa"/>
            </w:tcMar>
            <w:vAlign w:val="bottom"/>
          </w:tcPr>
          <w:p>
            <w:pPr>
              <w:pStyle w:val="TableContents"/>
              <w:spacing w:before="0" w:after="283"/>
              <w:jc w:val="left"/>
              <w:rPr/>
            </w:pPr>
            <w:r>
              <w:rPr/>
              <w:t> </w:t>
            </w:r>
          </w:p>
        </w:tc>
        <w:tc>
          <w:tcPr>
            <w:tcW w:w="159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1,575,755</w:t>
            </w:r>
          </w:p>
        </w:tc>
        <w:tc>
          <w:tcPr>
            <w:tcW w:w="136" w:type="dxa"/>
            <w:tcBorders/>
            <w:shd w:fill="CCFFCC" w:val="clear"/>
            <w:tcMar>
              <w:bottom w:w="0" w:type="dxa"/>
            </w:tcMar>
            <w:vAlign w:val="bottom"/>
          </w:tcPr>
          <w:p>
            <w:pPr>
              <w:pStyle w:val="TableContents"/>
              <w:spacing w:before="0" w:after="283"/>
              <w:jc w:val="left"/>
              <w:rPr/>
            </w:pPr>
            <w:r>
              <w:rPr/>
              <w:t> </w:t>
            </w:r>
          </w:p>
        </w:tc>
      </w:tr>
      <w:tr>
        <w:trPr/>
        <w:tc>
          <w:tcPr>
            <w:tcW w:w="4828" w:type="dxa"/>
            <w:tcBorders/>
            <w:shd w:fill="FFFFFF" w:val="clear"/>
            <w:tcMar>
              <w:bottom w:w="0" w:type="dxa"/>
            </w:tcMar>
            <w:vAlign w:val="bottom"/>
          </w:tcPr>
          <w:p>
            <w:pPr>
              <w:pStyle w:val="TableContents"/>
              <w:spacing w:lineRule="auto" w:line="300" w:before="0" w:after="0"/>
              <w:ind w:left="180" w:right="16" w:hanging="0"/>
              <w:jc w:val="left"/>
              <w:rPr>
                <w:rFonts w:ascii="Times New Roman" w:hAnsi="Times New Roman"/>
                <w:sz w:val="20"/>
              </w:rPr>
            </w:pPr>
            <w:r>
              <w:rPr>
                <w:rFonts w:ascii="Times New Roman" w:hAnsi="Times New Roman"/>
                <w:sz w:val="20"/>
              </w:rPr>
              <w:t>Stock-based compensation</w:t>
            </w:r>
          </w:p>
        </w:tc>
        <w:tc>
          <w:tcPr>
            <w:tcW w:w="175"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32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412,089</w:t>
            </w:r>
          </w:p>
        </w:tc>
        <w:tc>
          <w:tcPr>
            <w:tcW w:w="187" w:type="dxa"/>
            <w:tcBorders/>
            <w:shd w:fill="FFFFFF" w:val="clear"/>
            <w:tcMar>
              <w:bottom w:w="0" w:type="dxa"/>
            </w:tcMar>
            <w:vAlign w:val="bottom"/>
          </w:tcPr>
          <w:p>
            <w:pPr>
              <w:pStyle w:val="TableContents"/>
              <w:spacing w:before="0" w:after="283"/>
              <w:jc w:val="left"/>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291" w:type="dxa"/>
            <w:tcBorders/>
            <w:shd w:fill="FFFFFF" w:val="clear"/>
            <w:tcMar>
              <w:bottom w:w="0" w:type="dxa"/>
            </w:tcMar>
            <w:vAlign w:val="bottom"/>
          </w:tcPr>
          <w:p>
            <w:pPr>
              <w:pStyle w:val="TableContents"/>
              <w:spacing w:lineRule="auto" w:line="300" w:before="0" w:after="0"/>
              <w:ind w:left="0" w:right="0" w:hanging="0"/>
              <w:jc w:val="right"/>
              <w:rPr/>
            </w:pPr>
            <w:r>
              <w:rPr/>
              <w:t>—</w:t>
            </w:r>
          </w:p>
        </w:tc>
        <w:tc>
          <w:tcPr>
            <w:tcW w:w="187"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159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596,611</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828" w:type="dxa"/>
            <w:tcBorders/>
            <w:shd w:fill="CCFFCC" w:val="clear"/>
            <w:tcMar>
              <w:bottom w:w="0" w:type="dxa"/>
            </w:tcMar>
            <w:vAlign w:val="bottom"/>
          </w:tcPr>
          <w:p>
            <w:pPr>
              <w:pStyle w:val="TableContents"/>
              <w:spacing w:lineRule="auto" w:line="300" w:before="0" w:after="0"/>
              <w:ind w:left="360" w:right="16" w:hanging="0"/>
              <w:jc w:val="left"/>
              <w:rPr>
                <w:rFonts w:ascii="Times New Roman" w:hAnsi="Times New Roman"/>
                <w:sz w:val="20"/>
              </w:rPr>
            </w:pPr>
            <w:r>
              <w:rPr>
                <w:rFonts w:ascii="Times New Roman" w:hAnsi="Times New Roman"/>
                <w:sz w:val="20"/>
              </w:rPr>
              <w:t>Changes in operating assets and liabilities:</w:t>
            </w:r>
          </w:p>
        </w:tc>
        <w:tc>
          <w:tcPr>
            <w:tcW w:w="175" w:type="dxa"/>
            <w:tcBorders/>
            <w:shd w:fill="CCFFCC" w:val="clear"/>
            <w:tcMar>
              <w:bottom w:w="0" w:type="dxa"/>
            </w:tcMar>
            <w:vAlign w:val="center"/>
          </w:tcPr>
          <w:p>
            <w:pPr>
              <w:pStyle w:val="TableContents"/>
              <w:spacing w:before="0" w:after="283"/>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329"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291"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84" w:type="dxa"/>
            <w:tcBorders/>
            <w:shd w:fill="CCFFCC" w:val="clear"/>
            <w:tcMar>
              <w:bottom w:w="0" w:type="dxa"/>
            </w:tcMar>
            <w:vAlign w:val="bottom"/>
          </w:tcPr>
          <w:p>
            <w:pPr>
              <w:pStyle w:val="TableContents"/>
              <w:spacing w:before="0" w:after="283"/>
              <w:jc w:val="left"/>
              <w:rPr/>
            </w:pPr>
            <w:r>
              <w:rPr/>
              <w:t> </w:t>
            </w:r>
          </w:p>
        </w:tc>
        <w:tc>
          <w:tcPr>
            <w:tcW w:w="1594" w:type="dxa"/>
            <w:tcBorders/>
            <w:shd w:fill="CCFFCC" w:val="clear"/>
            <w:tcMar>
              <w:bottom w:w="0" w:type="dxa"/>
            </w:tcMar>
            <w:vAlign w:val="bottom"/>
          </w:tcPr>
          <w:p>
            <w:pPr>
              <w:pStyle w:val="TableContents"/>
              <w:spacing w:before="0" w:after="283"/>
              <w:rPr>
                <w:sz w:val="4"/>
                <w:szCs w:val="4"/>
              </w:rPr>
            </w:pPr>
            <w:r>
              <w:rPr>
                <w:sz w:val="4"/>
                <w:szCs w:val="4"/>
              </w:rPr>
            </w:r>
          </w:p>
        </w:tc>
        <w:tc>
          <w:tcPr>
            <w:tcW w:w="136" w:type="dxa"/>
            <w:tcBorders/>
            <w:shd w:fill="CCFFCC" w:val="clear"/>
            <w:tcMar>
              <w:bottom w:w="0" w:type="dxa"/>
            </w:tcMar>
            <w:vAlign w:val="bottom"/>
          </w:tcPr>
          <w:p>
            <w:pPr>
              <w:pStyle w:val="TableContents"/>
              <w:spacing w:before="0" w:after="283"/>
              <w:jc w:val="left"/>
              <w:rPr/>
            </w:pPr>
            <w:r>
              <w:rPr/>
              <w:t> </w:t>
            </w:r>
          </w:p>
        </w:tc>
      </w:tr>
      <w:tr>
        <w:trPr/>
        <w:tc>
          <w:tcPr>
            <w:tcW w:w="4828" w:type="dxa"/>
            <w:tcBorders/>
            <w:shd w:fill="FFFFFF" w:val="clear"/>
            <w:tcMar>
              <w:bottom w:w="0" w:type="dxa"/>
            </w:tcMar>
            <w:vAlign w:val="bottom"/>
          </w:tcPr>
          <w:p>
            <w:pPr>
              <w:pStyle w:val="TableContents"/>
              <w:spacing w:lineRule="auto" w:line="300" w:before="0" w:after="0"/>
              <w:ind w:left="1080" w:right="16" w:hanging="540"/>
              <w:jc w:val="left"/>
              <w:rPr>
                <w:rFonts w:ascii="Times New Roman" w:hAnsi="Times New Roman"/>
                <w:sz w:val="20"/>
              </w:rPr>
            </w:pPr>
            <w:r>
              <w:rPr>
                <w:rFonts w:ascii="Times New Roman" w:hAnsi="Times New Roman"/>
                <w:sz w:val="20"/>
              </w:rPr>
              <w:t>Prepaid consulting costs</w:t>
            </w:r>
          </w:p>
        </w:tc>
        <w:tc>
          <w:tcPr>
            <w:tcW w:w="175"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329" w:type="dxa"/>
            <w:tcBorders/>
            <w:shd w:fill="FFFFFF" w:val="clear"/>
            <w:tcMar>
              <w:bottom w:w="0" w:type="dxa"/>
            </w:tcMar>
            <w:vAlign w:val="bottom"/>
          </w:tcPr>
          <w:p>
            <w:pPr>
              <w:pStyle w:val="TableContents"/>
              <w:spacing w:lineRule="auto" w:line="300" w:before="0" w:after="0"/>
              <w:ind w:left="0" w:right="0" w:hanging="0"/>
              <w:jc w:val="right"/>
              <w:rPr/>
            </w:pPr>
            <w:r>
              <w:rPr/>
              <w:t>—</w:t>
            </w:r>
          </w:p>
        </w:tc>
        <w:tc>
          <w:tcPr>
            <w:tcW w:w="187" w:type="dxa"/>
            <w:tcBorders/>
            <w:shd w:fill="FFFFFF" w:val="clear"/>
            <w:tcMar>
              <w:bottom w:w="0" w:type="dxa"/>
            </w:tcMar>
            <w:vAlign w:val="bottom"/>
          </w:tcPr>
          <w:p>
            <w:pPr>
              <w:pStyle w:val="TableContents"/>
              <w:spacing w:before="0" w:after="283"/>
              <w:jc w:val="left"/>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291" w:type="dxa"/>
            <w:tcBorders/>
            <w:shd w:fill="FFFFFF" w:val="clear"/>
            <w:tcMar>
              <w:bottom w:w="0" w:type="dxa"/>
            </w:tcMar>
            <w:vAlign w:val="bottom"/>
          </w:tcPr>
          <w:p>
            <w:pPr>
              <w:pStyle w:val="TableContents"/>
              <w:spacing w:lineRule="auto" w:line="300" w:before="0" w:after="0"/>
              <w:ind w:left="0" w:right="0" w:hanging="0"/>
              <w:jc w:val="right"/>
              <w:rPr/>
            </w:pPr>
            <w:r>
              <w:rPr/>
              <w:t>—</w:t>
            </w:r>
          </w:p>
        </w:tc>
        <w:tc>
          <w:tcPr>
            <w:tcW w:w="187"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159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(140,000</w:t>
            </w:r>
          </w:p>
        </w:tc>
        <w:tc>
          <w:tcPr>
            <w:tcW w:w="136"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4828" w:type="dxa"/>
            <w:tcBorders/>
            <w:shd w:fill="CCFFCC" w:val="clear"/>
            <w:tcMar>
              <w:bottom w:w="0" w:type="dxa"/>
            </w:tcMar>
            <w:vAlign w:val="bottom"/>
          </w:tcPr>
          <w:p>
            <w:pPr>
              <w:pStyle w:val="TableContents"/>
              <w:spacing w:lineRule="auto" w:line="300" w:before="0" w:after="0"/>
              <w:ind w:left="1080" w:right="16" w:hanging="540"/>
              <w:jc w:val="left"/>
              <w:rPr>
                <w:rFonts w:ascii="Times New Roman" w:hAnsi="Times New Roman"/>
                <w:sz w:val="20"/>
              </w:rPr>
            </w:pPr>
            <w:r>
              <w:rPr>
                <w:rFonts w:ascii="Times New Roman" w:hAnsi="Times New Roman"/>
                <w:sz w:val="20"/>
              </w:rPr>
              <w:t>Prepaid expenses and other current assets</w:t>
            </w:r>
          </w:p>
        </w:tc>
        <w:tc>
          <w:tcPr>
            <w:tcW w:w="175" w:type="dxa"/>
            <w:tcBorders/>
            <w:shd w:fill="CCFFCC" w:val="clear"/>
            <w:tcMar>
              <w:bottom w:w="0" w:type="dxa"/>
            </w:tcMar>
            <w:vAlign w:val="center"/>
          </w:tcPr>
          <w:p>
            <w:pPr>
              <w:pStyle w:val="TableContents"/>
              <w:spacing w:before="0" w:after="283"/>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32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(284,463</w:t>
            </w:r>
          </w:p>
        </w:tc>
        <w:tc>
          <w:tcPr>
            <w:tcW w:w="187"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7" w:type="dxa"/>
            <w:tcBorders/>
            <w:shd w:fill="CCFFCC" w:val="clear"/>
            <w:tcMar>
              <w:bottom w:w="0" w:type="dxa"/>
            </w:tcMar>
            <w:vAlign w:val="bottom"/>
          </w:tcPr>
          <w:p>
            <w:pPr>
              <w:pStyle w:val="TableContents"/>
              <w:spacing w:before="0" w:after="283"/>
              <w:jc w:val="left"/>
              <w:rPr/>
            </w:pPr>
            <w:r>
              <w:rPr/>
              <w:t> </w:t>
            </w:r>
          </w:p>
        </w:tc>
        <w:tc>
          <w:tcPr>
            <w:tcW w:w="1291"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(96,802</w:t>
            </w:r>
          </w:p>
        </w:tc>
        <w:tc>
          <w:tcPr>
            <w:tcW w:w="187"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84" w:type="dxa"/>
            <w:tcBorders/>
            <w:shd w:fill="CCFFCC" w:val="clear"/>
            <w:tcMar>
              <w:bottom w:w="0" w:type="dxa"/>
            </w:tcMar>
            <w:vAlign w:val="bottom"/>
          </w:tcPr>
          <w:p>
            <w:pPr>
              <w:pStyle w:val="TableContents"/>
              <w:spacing w:before="0" w:after="283"/>
              <w:jc w:val="left"/>
              <w:rPr/>
            </w:pPr>
            <w:r>
              <w:rPr/>
              <w:t> </w:t>
            </w:r>
          </w:p>
        </w:tc>
        <w:tc>
          <w:tcPr>
            <w:tcW w:w="159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(330,067</w:t>
            </w:r>
          </w:p>
        </w:tc>
        <w:tc>
          <w:tcPr>
            <w:tcW w:w="136"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4828" w:type="dxa"/>
            <w:tcBorders/>
            <w:shd w:fill="FFFFFF" w:val="clear"/>
            <w:tcMar>
              <w:bottom w:w="0" w:type="dxa"/>
            </w:tcMar>
            <w:vAlign w:val="bottom"/>
          </w:tcPr>
          <w:p>
            <w:pPr>
              <w:pStyle w:val="TableContents"/>
              <w:spacing w:lineRule="auto" w:line="300" w:before="0" w:after="0"/>
              <w:ind w:left="540" w:right="16" w:hanging="0"/>
              <w:jc w:val="left"/>
              <w:rPr>
                <w:rFonts w:ascii="Times New Roman" w:hAnsi="Times New Roman"/>
                <w:sz w:val="20"/>
              </w:rPr>
            </w:pPr>
            <w:r>
              <w:rPr>
                <w:rFonts w:ascii="Times New Roman" w:hAnsi="Times New Roman"/>
                <w:sz w:val="20"/>
              </w:rPr>
              <w:t>Accounts payable</w:t>
            </w:r>
          </w:p>
        </w:tc>
        <w:tc>
          <w:tcPr>
            <w:tcW w:w="175"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32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183,076</w:t>
            </w:r>
          </w:p>
        </w:tc>
        <w:tc>
          <w:tcPr>
            <w:tcW w:w="187" w:type="dxa"/>
            <w:tcBorders/>
            <w:shd w:fill="FFFFFF" w:val="clear"/>
            <w:tcMar>
              <w:bottom w:w="0" w:type="dxa"/>
            </w:tcMar>
            <w:vAlign w:val="bottom"/>
          </w:tcPr>
          <w:p>
            <w:pPr>
              <w:pStyle w:val="TableContents"/>
              <w:spacing w:before="0" w:after="283"/>
              <w:jc w:val="left"/>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29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(96,260</w:t>
            </w:r>
          </w:p>
        </w:tc>
        <w:tc>
          <w:tcPr>
            <w:tcW w:w="187" w:type="dxa"/>
            <w:tcBorders/>
            <w:shd w:fill="FFFFFF"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84" w:type="dxa"/>
            <w:tcBorders/>
            <w:shd w:fill="FFFFFF" w:val="clear"/>
            <w:tcMar>
              <w:bottom w:w="0" w:type="dxa"/>
            </w:tcMar>
            <w:vAlign w:val="bottom"/>
          </w:tcPr>
          <w:p>
            <w:pPr>
              <w:pStyle w:val="TableContents"/>
              <w:spacing w:before="0" w:after="283"/>
              <w:jc w:val="left"/>
              <w:rPr/>
            </w:pPr>
            <w:r>
              <w:rPr/>
              <w:t> </w:t>
            </w:r>
          </w:p>
        </w:tc>
        <w:tc>
          <w:tcPr>
            <w:tcW w:w="159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969,330</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828" w:type="dxa"/>
            <w:tcBorders>
              <w:bottom w:val="single" w:sz="4" w:space="0" w:color="CCFFCC"/>
            </w:tcBorders>
            <w:shd w:fill="CCFFCC" w:val="clear"/>
            <w:vAlign w:val="bottom"/>
          </w:tcPr>
          <w:p>
            <w:pPr>
              <w:pStyle w:val="TableContents"/>
              <w:spacing w:lineRule="auto" w:line="300" w:before="0" w:after="0"/>
              <w:ind w:left="540" w:right="16" w:hanging="0"/>
              <w:jc w:val="left"/>
              <w:rPr>
                <w:rFonts w:ascii="Times New Roman" w:hAnsi="Times New Roman"/>
                <w:sz w:val="20"/>
              </w:rPr>
            </w:pPr>
            <w:r>
              <w:rPr>
                <w:rFonts w:ascii="Times New Roman" w:hAnsi="Times New Roman"/>
                <w:sz w:val="20"/>
              </w:rPr>
              <w:t>Accrued expenses and payroll liabilities</w:t>
            </w:r>
          </w:p>
        </w:tc>
        <w:tc>
          <w:tcPr>
            <w:tcW w:w="175" w:type="dxa"/>
            <w:tcBorders>
              <w:bottom w:val="single" w:sz="4" w:space="0" w:color="CCFFCC"/>
            </w:tcBorders>
            <w:shd w:fill="CCFFCC" w:val="clear"/>
            <w:vAlign w:val="center"/>
          </w:tcPr>
          <w:p>
            <w:pPr>
              <w:pStyle w:val="TableContents"/>
              <w:spacing w:before="0" w:after="283"/>
              <w:rPr/>
            </w:pPr>
            <w:r>
              <w:rPr/>
              <w:t> </w:t>
            </w:r>
          </w:p>
        </w:tc>
        <w:tc>
          <w:tcPr>
            <w:tcW w:w="147" w:type="dxa"/>
            <w:tcBorders>
              <w:bottom w:val="single" w:sz="2" w:space="0" w:color="000000"/>
            </w:tcBorders>
            <w:shd w:fill="CCFFCC" w:val="clear"/>
            <w:vAlign w:val="bottom"/>
          </w:tcPr>
          <w:p>
            <w:pPr>
              <w:pStyle w:val="TableContents"/>
              <w:spacing w:before="0" w:after="283"/>
              <w:jc w:val="left"/>
              <w:rPr/>
            </w:pPr>
            <w:r>
              <w:rPr/>
              <w:t> </w:t>
            </w:r>
          </w:p>
        </w:tc>
        <w:tc>
          <w:tcPr>
            <w:tcW w:w="132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(12,538</w:t>
            </w:r>
          </w:p>
        </w:tc>
        <w:tc>
          <w:tcPr>
            <w:tcW w:w="187"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7" w:type="dxa"/>
            <w:tcBorders>
              <w:bottom w:val="single" w:sz="2" w:space="0" w:color="000000"/>
            </w:tcBorders>
            <w:shd w:fill="CCFFCC" w:val="clear"/>
            <w:vAlign w:val="bottom"/>
          </w:tcPr>
          <w:p>
            <w:pPr>
              <w:pStyle w:val="TableContents"/>
              <w:spacing w:before="0" w:after="283"/>
              <w:jc w:val="left"/>
              <w:rPr/>
            </w:pPr>
            <w:r>
              <w:rPr/>
              <w:t> </w:t>
            </w:r>
          </w:p>
        </w:tc>
        <w:tc>
          <w:tcPr>
            <w:tcW w:w="1291"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32,177</w:t>
            </w:r>
          </w:p>
        </w:tc>
        <w:tc>
          <w:tcPr>
            <w:tcW w:w="187" w:type="dxa"/>
            <w:tcBorders>
              <w:bottom w:val="single" w:sz="4" w:space="0" w:color="CCFFCC"/>
            </w:tcBorders>
            <w:shd w:fill="CCFFCC" w:val="clear"/>
            <w:vAlign w:val="bottom"/>
          </w:tcPr>
          <w:p>
            <w:pPr>
              <w:pStyle w:val="TableContents"/>
              <w:spacing w:before="0" w:after="283"/>
              <w:jc w:val="left"/>
              <w:rPr/>
            </w:pPr>
            <w:r>
              <w:rPr/>
              <w:t> </w:t>
            </w:r>
          </w:p>
        </w:tc>
        <w:tc>
          <w:tcPr>
            <w:tcW w:w="184" w:type="dxa"/>
            <w:tcBorders>
              <w:bottom w:val="single" w:sz="2" w:space="0" w:color="000000"/>
            </w:tcBorders>
            <w:shd w:fill="CCFFCC" w:val="clear"/>
            <w:vAlign w:val="bottom"/>
          </w:tcPr>
          <w:p>
            <w:pPr>
              <w:pStyle w:val="TableContents"/>
              <w:spacing w:before="0" w:after="283"/>
              <w:jc w:val="left"/>
              <w:rPr/>
            </w:pPr>
            <w:r>
              <w:rPr/>
              <w:t> </w:t>
            </w:r>
          </w:p>
        </w:tc>
        <w:tc>
          <w:tcPr>
            <w:tcW w:w="1594"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41,363</w:t>
            </w:r>
          </w:p>
        </w:tc>
        <w:tc>
          <w:tcPr>
            <w:tcW w:w="136" w:type="dxa"/>
            <w:tcBorders>
              <w:bottom w:val="single" w:sz="4" w:space="0" w:color="CCFFCC"/>
            </w:tcBorders>
            <w:shd w:fill="CCFFCC" w:val="clear"/>
            <w:vAlign w:val="bottom"/>
          </w:tcPr>
          <w:p>
            <w:pPr>
              <w:pStyle w:val="TableContents"/>
              <w:spacing w:before="0" w:after="283"/>
              <w:jc w:val="left"/>
              <w:rPr/>
            </w:pPr>
            <w:r>
              <w:rPr/>
              <w:t> </w:t>
            </w:r>
          </w:p>
        </w:tc>
      </w:tr>
      <w:tr>
        <w:trPr/>
        <w:tc>
          <w:tcPr>
            <w:tcW w:w="4828"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175"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329" w:type="dxa"/>
            <w:tcBorders/>
            <w:shd w:fill="FFFFFF" w:val="clear"/>
            <w:tcMar>
              <w:bottom w:w="0" w:type="dxa"/>
            </w:tcMar>
            <w:vAlign w:val="bottom"/>
          </w:tcPr>
          <w:p>
            <w:pPr>
              <w:pStyle w:val="TableContents"/>
              <w:spacing w:before="0" w:after="283"/>
              <w:rPr>
                <w:sz w:val="4"/>
                <w:szCs w:val="4"/>
              </w:rPr>
            </w:pPr>
            <w:r>
              <w:rPr>
                <w:sz w:val="4"/>
                <w:szCs w:val="4"/>
              </w:rPr>
            </w:r>
          </w:p>
        </w:tc>
        <w:tc>
          <w:tcPr>
            <w:tcW w:w="187" w:type="dxa"/>
            <w:tcBorders/>
            <w:shd w:fill="FFFFFF" w:val="clear"/>
            <w:tcMar>
              <w:bottom w:w="0" w:type="dxa"/>
            </w:tcMar>
            <w:vAlign w:val="bottom"/>
          </w:tcPr>
          <w:p>
            <w:pPr>
              <w:pStyle w:val="TableContents"/>
              <w:spacing w:before="0" w:after="283"/>
              <w:jc w:val="left"/>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291" w:type="dxa"/>
            <w:tcBorders/>
            <w:shd w:fill="FFFFFF" w:val="clear"/>
            <w:tcMar>
              <w:bottom w:w="0" w:type="dxa"/>
            </w:tcMar>
            <w:vAlign w:val="bottom"/>
          </w:tcPr>
          <w:p>
            <w:pPr>
              <w:pStyle w:val="TableContents"/>
              <w:spacing w:before="0" w:after="283"/>
              <w:rPr>
                <w:sz w:val="4"/>
                <w:szCs w:val="4"/>
              </w:rPr>
            </w:pPr>
            <w:r>
              <w:rPr>
                <w:sz w:val="4"/>
                <w:szCs w:val="4"/>
              </w:rPr>
            </w:r>
          </w:p>
        </w:tc>
        <w:tc>
          <w:tcPr>
            <w:tcW w:w="187"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1594" w:type="dxa"/>
            <w:tcBorders/>
            <w:shd w:fill="FFFFFF" w:val="clear"/>
            <w:tcMar>
              <w:bottom w:w="0" w:type="dxa"/>
            </w:tcMar>
            <w:vAlign w:val="bottom"/>
          </w:tcPr>
          <w:p>
            <w:pPr>
              <w:pStyle w:val="TableContents"/>
              <w:spacing w:before="0" w:after="283"/>
              <w:rPr>
                <w:sz w:val="4"/>
                <w:szCs w:val="4"/>
              </w:rPr>
            </w:pPr>
            <w:r>
              <w:rPr>
                <w:sz w:val="4"/>
                <w:szCs w:val="4"/>
              </w:rPr>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828" w:type="dxa"/>
            <w:tcBorders>
              <w:bottom w:val="single" w:sz="4" w:space="0" w:color="CCFFCC"/>
            </w:tcBorders>
            <w:shd w:fill="CCFFCC"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Net cash used in operating activities</w:t>
            </w:r>
          </w:p>
        </w:tc>
        <w:tc>
          <w:tcPr>
            <w:tcW w:w="175" w:type="dxa"/>
            <w:tcBorders>
              <w:bottom w:val="single" w:sz="4" w:space="0" w:color="CCFFCC"/>
            </w:tcBorders>
            <w:shd w:fill="CCFFCC" w:val="clear"/>
            <w:vAlign w:val="center"/>
          </w:tcPr>
          <w:p>
            <w:pPr>
              <w:pStyle w:val="TableContents"/>
              <w:spacing w:before="0" w:after="283"/>
              <w:rPr/>
            </w:pPr>
            <w:r>
              <w:rPr/>
              <w:t> </w:t>
            </w:r>
          </w:p>
        </w:tc>
        <w:tc>
          <w:tcPr>
            <w:tcW w:w="147" w:type="dxa"/>
            <w:tcBorders>
              <w:bottom w:val="single" w:sz="2" w:space="0" w:color="000000"/>
            </w:tcBorders>
            <w:shd w:fill="CCFFCC" w:val="clear"/>
            <w:vAlign w:val="bottom"/>
          </w:tcPr>
          <w:p>
            <w:pPr>
              <w:pStyle w:val="TableContents"/>
              <w:spacing w:before="0" w:after="283"/>
              <w:jc w:val="left"/>
              <w:rPr/>
            </w:pPr>
            <w:r>
              <w:rPr/>
              <w:t> </w:t>
            </w:r>
          </w:p>
        </w:tc>
        <w:tc>
          <w:tcPr>
            <w:tcW w:w="132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(933,887</w:t>
            </w:r>
          </w:p>
        </w:tc>
        <w:tc>
          <w:tcPr>
            <w:tcW w:w="187"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7" w:type="dxa"/>
            <w:tcBorders>
              <w:bottom w:val="single" w:sz="2" w:space="0" w:color="000000"/>
            </w:tcBorders>
            <w:shd w:fill="CCFFCC" w:val="clear"/>
            <w:vAlign w:val="bottom"/>
          </w:tcPr>
          <w:p>
            <w:pPr>
              <w:pStyle w:val="TableContents"/>
              <w:spacing w:before="0" w:after="283"/>
              <w:jc w:val="left"/>
              <w:rPr/>
            </w:pPr>
            <w:r>
              <w:rPr/>
              <w:t> </w:t>
            </w:r>
          </w:p>
        </w:tc>
        <w:tc>
          <w:tcPr>
            <w:tcW w:w="1291"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(230,985</w:t>
            </w:r>
          </w:p>
        </w:tc>
        <w:tc>
          <w:tcPr>
            <w:tcW w:w="187"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84" w:type="dxa"/>
            <w:tcBorders>
              <w:bottom w:val="single" w:sz="2" w:space="0" w:color="000000"/>
            </w:tcBorders>
            <w:shd w:fill="CCFFCC" w:val="clear"/>
            <w:vAlign w:val="bottom"/>
          </w:tcPr>
          <w:p>
            <w:pPr>
              <w:pStyle w:val="TableContents"/>
              <w:spacing w:before="0" w:after="283"/>
              <w:jc w:val="left"/>
              <w:rPr/>
            </w:pPr>
            <w:r>
              <w:rPr/>
              <w:t> </w:t>
            </w:r>
          </w:p>
        </w:tc>
        <w:tc>
          <w:tcPr>
            <w:tcW w:w="1594"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(3,010,266</w:t>
            </w:r>
          </w:p>
        </w:tc>
        <w:tc>
          <w:tcPr>
            <w:tcW w:w="136"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4828" w:type="dxa"/>
            <w:tcBorders/>
            <w:shd w:fill="FFFFFF" w:val="clear"/>
            <w:tcMar>
              <w:bottom w:w="0" w:type="dxa"/>
            </w:tcMar>
            <w:vAlign w:val="bottom"/>
          </w:tcPr>
          <w:p>
            <w:pPr>
              <w:pStyle w:val="TableContents"/>
              <w:spacing w:lineRule="auto" w:line="300" w:before="0" w:after="0"/>
              <w:ind w:left="0" w:right="16" w:hanging="0"/>
              <w:jc w:val="left"/>
              <w:rPr/>
            </w:pPr>
            <w:r>
              <w:rPr/>
              <w:t> </w:t>
            </w:r>
          </w:p>
        </w:tc>
        <w:tc>
          <w:tcPr>
            <w:tcW w:w="175"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329" w:type="dxa"/>
            <w:tcBorders/>
            <w:shd w:fill="FFFFFF" w:val="clear"/>
            <w:tcMar>
              <w:bottom w:w="0" w:type="dxa"/>
            </w:tcMar>
            <w:vAlign w:val="bottom"/>
          </w:tcPr>
          <w:p>
            <w:pPr>
              <w:pStyle w:val="TableContents"/>
              <w:spacing w:before="0" w:after="283"/>
              <w:rPr>
                <w:sz w:val="4"/>
                <w:szCs w:val="4"/>
              </w:rPr>
            </w:pPr>
            <w:r>
              <w:rPr>
                <w:sz w:val="4"/>
                <w:szCs w:val="4"/>
              </w:rPr>
            </w:r>
          </w:p>
        </w:tc>
        <w:tc>
          <w:tcPr>
            <w:tcW w:w="187" w:type="dxa"/>
            <w:tcBorders/>
            <w:shd w:fill="FFFFFF" w:val="clear"/>
            <w:tcMar>
              <w:bottom w:w="0" w:type="dxa"/>
            </w:tcMar>
            <w:vAlign w:val="bottom"/>
          </w:tcPr>
          <w:p>
            <w:pPr>
              <w:pStyle w:val="TableContents"/>
              <w:spacing w:before="0" w:after="283"/>
              <w:jc w:val="left"/>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291" w:type="dxa"/>
            <w:tcBorders/>
            <w:shd w:fill="FFFFFF" w:val="clear"/>
            <w:tcMar>
              <w:bottom w:w="0" w:type="dxa"/>
            </w:tcMar>
            <w:vAlign w:val="bottom"/>
          </w:tcPr>
          <w:p>
            <w:pPr>
              <w:pStyle w:val="TableContents"/>
              <w:spacing w:before="0" w:after="283"/>
              <w:rPr>
                <w:sz w:val="4"/>
                <w:szCs w:val="4"/>
              </w:rPr>
            </w:pPr>
            <w:r>
              <w:rPr>
                <w:sz w:val="4"/>
                <w:szCs w:val="4"/>
              </w:rPr>
            </w:r>
          </w:p>
        </w:tc>
        <w:tc>
          <w:tcPr>
            <w:tcW w:w="187"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1594" w:type="dxa"/>
            <w:tcBorders/>
            <w:shd w:fill="FFFFFF" w:val="clear"/>
            <w:tcMar>
              <w:bottom w:w="0" w:type="dxa"/>
            </w:tcMar>
            <w:vAlign w:val="bottom"/>
          </w:tcPr>
          <w:p>
            <w:pPr>
              <w:pStyle w:val="TableContents"/>
              <w:spacing w:before="0" w:after="283"/>
              <w:rPr>
                <w:sz w:val="4"/>
                <w:szCs w:val="4"/>
              </w:rPr>
            </w:pPr>
            <w:r>
              <w:rPr>
                <w:sz w:val="4"/>
                <w:szCs w:val="4"/>
              </w:rPr>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828" w:type="dxa"/>
            <w:tcBorders/>
            <w:shd w:fill="CCFFCC" w:val="clear"/>
            <w:tcMar>
              <w:bottom w:w="0" w:type="dxa"/>
            </w:tcMar>
            <w:vAlign w:val="bottom"/>
          </w:tcPr>
          <w:p>
            <w:pPr>
              <w:pStyle w:val="TableContents"/>
              <w:spacing w:lineRule="auto" w:line="300" w:before="0" w:after="0"/>
              <w:ind w:left="360" w:right="16" w:hanging="360"/>
              <w:jc w:val="left"/>
              <w:rPr/>
            </w:pPr>
            <w:r>
              <w:rPr>
                <w:rStyle w:val="StrongEmphasis"/>
                <w:rFonts w:ascii="Times New Roman" w:hAnsi="Times New Roman"/>
                <w:sz w:val="20"/>
              </w:rPr>
              <w:t>Cash flows from investing activities:</w:t>
            </w:r>
          </w:p>
        </w:tc>
        <w:tc>
          <w:tcPr>
            <w:tcW w:w="175" w:type="dxa"/>
            <w:tcBorders/>
            <w:shd w:fill="CCFFCC" w:val="clear"/>
            <w:tcMar>
              <w:bottom w:w="0" w:type="dxa"/>
            </w:tcMar>
            <w:vAlign w:val="center"/>
          </w:tcPr>
          <w:p>
            <w:pPr>
              <w:pStyle w:val="TableContents"/>
              <w:spacing w:before="0" w:after="283"/>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329" w:type="dxa"/>
            <w:tcBorders/>
            <w:shd w:fill="CCFFCC" w:val="clear"/>
            <w:tcMar>
              <w:bottom w:w="0" w:type="dxa"/>
            </w:tcMar>
            <w:vAlign w:val="bottom"/>
          </w:tcPr>
          <w:p>
            <w:pPr>
              <w:pStyle w:val="TableContents"/>
              <w:spacing w:before="0" w:after="283"/>
              <w:jc w:val="right"/>
              <w:rPr/>
            </w:pPr>
            <w:r>
              <w:rPr/>
              <w:t> </w:t>
            </w:r>
          </w:p>
        </w:tc>
        <w:tc>
          <w:tcPr>
            <w:tcW w:w="187" w:type="dxa"/>
            <w:tcBorders/>
            <w:shd w:fill="CCFFCC" w:val="clear"/>
            <w:tcMar>
              <w:bottom w:w="0" w:type="dxa"/>
            </w:tcMar>
            <w:vAlign w:val="bottom"/>
          </w:tcPr>
          <w:p>
            <w:pPr>
              <w:pStyle w:val="TableContents"/>
              <w:spacing w:before="0" w:after="283"/>
              <w:jc w:val="left"/>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291" w:type="dxa"/>
            <w:tcBorders/>
            <w:shd w:fill="CCFFCC" w:val="clear"/>
            <w:tcMar>
              <w:bottom w:w="0" w:type="dxa"/>
            </w:tcMar>
            <w:vAlign w:val="bottom"/>
          </w:tcPr>
          <w:p>
            <w:pPr>
              <w:pStyle w:val="TableContents"/>
              <w:spacing w:before="0" w:after="283"/>
              <w:jc w:val="right"/>
              <w:rPr/>
            </w:pPr>
            <w:r>
              <w:rPr/>
              <w:t> </w:t>
            </w:r>
          </w:p>
        </w:tc>
        <w:tc>
          <w:tcPr>
            <w:tcW w:w="187" w:type="dxa"/>
            <w:tcBorders/>
            <w:shd w:fill="CCFFCC" w:val="clear"/>
            <w:tcMar>
              <w:bottom w:w="0" w:type="dxa"/>
            </w:tcMar>
            <w:vAlign w:val="bottom"/>
          </w:tcPr>
          <w:p>
            <w:pPr>
              <w:pStyle w:val="TableContents"/>
              <w:spacing w:before="0" w:after="283"/>
              <w:jc w:val="left"/>
              <w:rPr/>
            </w:pPr>
            <w:r>
              <w:rPr/>
              <w:t> </w:t>
            </w:r>
          </w:p>
        </w:tc>
        <w:tc>
          <w:tcPr>
            <w:tcW w:w="184" w:type="dxa"/>
            <w:tcBorders/>
            <w:shd w:fill="CCFFCC" w:val="clear"/>
            <w:tcMar>
              <w:bottom w:w="0" w:type="dxa"/>
            </w:tcMar>
            <w:vAlign w:val="bottom"/>
          </w:tcPr>
          <w:p>
            <w:pPr>
              <w:pStyle w:val="TableContents"/>
              <w:spacing w:before="0" w:after="283"/>
              <w:jc w:val="left"/>
              <w:rPr/>
            </w:pPr>
            <w:r>
              <w:rPr/>
              <w:t> </w:t>
            </w:r>
          </w:p>
        </w:tc>
        <w:tc>
          <w:tcPr>
            <w:tcW w:w="1594" w:type="dxa"/>
            <w:tcBorders/>
            <w:shd w:fill="CCFFCC" w:val="clear"/>
            <w:tcMar>
              <w:bottom w:w="0" w:type="dxa"/>
            </w:tcMar>
            <w:vAlign w:val="bottom"/>
          </w:tcPr>
          <w:p>
            <w:pPr>
              <w:pStyle w:val="TableContents"/>
              <w:spacing w:before="0" w:after="283"/>
              <w:jc w:val="right"/>
              <w:rPr/>
            </w:pPr>
            <w:r>
              <w:rPr/>
              <w:t> </w:t>
            </w:r>
          </w:p>
        </w:tc>
        <w:tc>
          <w:tcPr>
            <w:tcW w:w="136" w:type="dxa"/>
            <w:tcBorders/>
            <w:shd w:fill="CCFFCC" w:val="clear"/>
            <w:tcMar>
              <w:bottom w:w="0" w:type="dxa"/>
            </w:tcMar>
            <w:vAlign w:val="bottom"/>
          </w:tcPr>
          <w:p>
            <w:pPr>
              <w:pStyle w:val="TableContents"/>
              <w:spacing w:before="0" w:after="283"/>
              <w:jc w:val="left"/>
              <w:rPr/>
            </w:pPr>
            <w:r>
              <w:rPr/>
              <w:t> </w:t>
            </w:r>
          </w:p>
        </w:tc>
      </w:tr>
      <w:tr>
        <w:trPr/>
        <w:tc>
          <w:tcPr>
            <w:tcW w:w="4828" w:type="dxa"/>
            <w:tcBorders>
              <w:bottom w:val="single" w:sz="4" w:space="0" w:color="FFFFFF"/>
            </w:tcBorders>
            <w:shd w:fill="FFFFFF" w:val="clear"/>
            <w:vAlign w:val="bottom"/>
          </w:tcPr>
          <w:p>
            <w:pPr>
              <w:pStyle w:val="TableContents"/>
              <w:spacing w:lineRule="auto" w:line="300" w:before="0" w:after="0"/>
              <w:ind w:left="540" w:right="16" w:hanging="360"/>
              <w:jc w:val="left"/>
              <w:rPr>
                <w:rFonts w:ascii="Times New Roman" w:hAnsi="Times New Roman"/>
                <w:sz w:val="20"/>
              </w:rPr>
            </w:pPr>
            <w:r>
              <w:rPr>
                <w:rFonts w:ascii="Times New Roman" w:hAnsi="Times New Roman"/>
                <w:sz w:val="20"/>
              </w:rPr>
              <w:t>Purchase of equipment</w:t>
            </w:r>
          </w:p>
        </w:tc>
        <w:tc>
          <w:tcPr>
            <w:tcW w:w="175" w:type="dxa"/>
            <w:tcBorders>
              <w:bottom w:val="single" w:sz="4" w:space="0" w:color="FFFFFF"/>
            </w:tcBorders>
            <w:shd w:fill="FFFFFF" w:val="clear"/>
            <w:vAlign w:val="center"/>
          </w:tcPr>
          <w:p>
            <w:pPr>
              <w:pStyle w:val="TableContents"/>
              <w:spacing w:before="0" w:after="283"/>
              <w:rPr/>
            </w:pPr>
            <w:r>
              <w:rPr/>
              <w:t> </w:t>
            </w:r>
          </w:p>
        </w:tc>
        <w:tc>
          <w:tcPr>
            <w:tcW w:w="147" w:type="dxa"/>
            <w:tcBorders>
              <w:bottom w:val="single" w:sz="2" w:space="0" w:color="000000"/>
            </w:tcBorders>
            <w:shd w:fill="FFFFFF" w:val="clear"/>
            <w:vAlign w:val="bottom"/>
          </w:tcPr>
          <w:p>
            <w:pPr>
              <w:pStyle w:val="TableContents"/>
              <w:spacing w:before="0" w:after="283"/>
              <w:jc w:val="left"/>
              <w:rPr/>
            </w:pPr>
            <w:r>
              <w:rPr/>
              <w:t> </w:t>
            </w:r>
          </w:p>
        </w:tc>
        <w:tc>
          <w:tcPr>
            <w:tcW w:w="132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(3,154</w:t>
            </w:r>
          </w:p>
        </w:tc>
        <w:tc>
          <w:tcPr>
            <w:tcW w:w="187"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7" w:type="dxa"/>
            <w:tcBorders>
              <w:bottom w:val="single" w:sz="2" w:space="0" w:color="000000"/>
            </w:tcBorders>
            <w:shd w:fill="FFFFFF" w:val="clear"/>
            <w:vAlign w:val="bottom"/>
          </w:tcPr>
          <w:p>
            <w:pPr>
              <w:pStyle w:val="TableContents"/>
              <w:spacing w:before="0" w:after="283"/>
              <w:jc w:val="left"/>
              <w:rPr/>
            </w:pPr>
            <w:r>
              <w:rPr/>
              <w:t> </w:t>
            </w:r>
          </w:p>
        </w:tc>
        <w:tc>
          <w:tcPr>
            <w:tcW w:w="1291" w:type="dxa"/>
            <w:tcBorders>
              <w:bottom w:val="single" w:sz="2" w:space="0" w:color="000000"/>
            </w:tcBorders>
            <w:shd w:fill="FFFFFF" w:val="clear"/>
            <w:vAlign w:val="bottom"/>
          </w:tcPr>
          <w:p>
            <w:pPr>
              <w:pStyle w:val="TableContents"/>
              <w:spacing w:lineRule="auto" w:line="300" w:before="0" w:after="0"/>
              <w:ind w:left="0" w:right="0" w:hanging="0"/>
              <w:jc w:val="right"/>
              <w:rPr/>
            </w:pPr>
            <w:r>
              <w:rPr/>
              <w:t>—</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84" w:type="dxa"/>
            <w:tcBorders>
              <w:bottom w:val="single" w:sz="2" w:space="0" w:color="000000"/>
            </w:tcBorders>
            <w:shd w:fill="FFFFFF" w:val="clear"/>
            <w:vAlign w:val="bottom"/>
          </w:tcPr>
          <w:p>
            <w:pPr>
              <w:pStyle w:val="TableContents"/>
              <w:spacing w:before="0" w:after="283"/>
              <w:jc w:val="left"/>
              <w:rPr/>
            </w:pPr>
            <w:r>
              <w:rPr/>
              <w:t> </w:t>
            </w:r>
          </w:p>
        </w:tc>
        <w:tc>
          <w:tcPr>
            <w:tcW w:w="159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(3,154</w:t>
            </w:r>
          </w:p>
        </w:tc>
        <w:tc>
          <w:tcPr>
            <w:tcW w:w="136"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4828" w:type="dxa"/>
            <w:tcBorders>
              <w:bottom w:val="single" w:sz="4" w:space="0" w:color="CCFFCC"/>
            </w:tcBorders>
            <w:shd w:fill="CCFFCC"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Net cash used in investing activities</w:t>
            </w:r>
          </w:p>
        </w:tc>
        <w:tc>
          <w:tcPr>
            <w:tcW w:w="175" w:type="dxa"/>
            <w:tcBorders>
              <w:bottom w:val="single" w:sz="4" w:space="0" w:color="CCFFCC"/>
            </w:tcBorders>
            <w:shd w:fill="CCFFCC" w:val="clear"/>
            <w:vAlign w:val="center"/>
          </w:tcPr>
          <w:p>
            <w:pPr>
              <w:pStyle w:val="TableContents"/>
              <w:spacing w:before="0" w:after="283"/>
              <w:rPr/>
            </w:pPr>
            <w:r>
              <w:rPr/>
              <w:t> </w:t>
            </w:r>
          </w:p>
        </w:tc>
        <w:tc>
          <w:tcPr>
            <w:tcW w:w="147" w:type="dxa"/>
            <w:tcBorders>
              <w:bottom w:val="single" w:sz="2" w:space="0" w:color="000000"/>
            </w:tcBorders>
            <w:shd w:fill="CCFFCC" w:val="clear"/>
            <w:vAlign w:val="bottom"/>
          </w:tcPr>
          <w:p>
            <w:pPr>
              <w:pStyle w:val="TableContents"/>
              <w:spacing w:before="0" w:after="283"/>
              <w:jc w:val="left"/>
              <w:rPr/>
            </w:pPr>
            <w:r>
              <w:rPr/>
              <w:t> </w:t>
            </w:r>
          </w:p>
        </w:tc>
        <w:tc>
          <w:tcPr>
            <w:tcW w:w="1329"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(3,154</w:t>
            </w:r>
          </w:p>
        </w:tc>
        <w:tc>
          <w:tcPr>
            <w:tcW w:w="187"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7" w:type="dxa"/>
            <w:tcBorders>
              <w:bottom w:val="single" w:sz="2" w:space="0" w:color="000000"/>
            </w:tcBorders>
            <w:shd w:fill="CCFFCC" w:val="clear"/>
            <w:vAlign w:val="bottom"/>
          </w:tcPr>
          <w:p>
            <w:pPr>
              <w:pStyle w:val="TableContents"/>
              <w:spacing w:before="0" w:after="283"/>
              <w:jc w:val="left"/>
              <w:rPr/>
            </w:pPr>
            <w:r>
              <w:rPr/>
              <w:t> </w:t>
            </w:r>
          </w:p>
        </w:tc>
        <w:tc>
          <w:tcPr>
            <w:tcW w:w="1291" w:type="dxa"/>
            <w:tcBorders>
              <w:bottom w:val="single" w:sz="2" w:space="0" w:color="000000"/>
            </w:tcBorders>
            <w:shd w:fill="CCFFCC" w:val="clear"/>
            <w:vAlign w:val="bottom"/>
          </w:tcPr>
          <w:p>
            <w:pPr>
              <w:pStyle w:val="TableContents"/>
              <w:spacing w:lineRule="auto" w:line="300" w:before="0" w:after="0"/>
              <w:ind w:left="0" w:right="0" w:hanging="0"/>
              <w:jc w:val="right"/>
              <w:rPr/>
            </w:pPr>
            <w:r>
              <w:rPr/>
              <w:t>—</w:t>
            </w:r>
          </w:p>
        </w:tc>
        <w:tc>
          <w:tcPr>
            <w:tcW w:w="187" w:type="dxa"/>
            <w:tcBorders>
              <w:bottom w:val="single" w:sz="4" w:space="0" w:color="CCFFCC"/>
            </w:tcBorders>
            <w:shd w:fill="CCFFCC" w:val="clear"/>
            <w:vAlign w:val="bottom"/>
          </w:tcPr>
          <w:p>
            <w:pPr>
              <w:pStyle w:val="TableContents"/>
              <w:spacing w:before="0" w:after="283"/>
              <w:jc w:val="left"/>
              <w:rPr/>
            </w:pPr>
            <w:r>
              <w:rPr/>
              <w:t> </w:t>
            </w:r>
          </w:p>
        </w:tc>
        <w:tc>
          <w:tcPr>
            <w:tcW w:w="184" w:type="dxa"/>
            <w:tcBorders>
              <w:bottom w:val="single" w:sz="2" w:space="0" w:color="000000"/>
            </w:tcBorders>
            <w:shd w:fill="CCFFCC" w:val="clear"/>
            <w:vAlign w:val="bottom"/>
          </w:tcPr>
          <w:p>
            <w:pPr>
              <w:pStyle w:val="TableContents"/>
              <w:spacing w:before="0" w:after="283"/>
              <w:jc w:val="left"/>
              <w:rPr/>
            </w:pPr>
            <w:r>
              <w:rPr/>
              <w:t> </w:t>
            </w:r>
          </w:p>
        </w:tc>
        <w:tc>
          <w:tcPr>
            <w:tcW w:w="1594" w:type="dxa"/>
            <w:tcBorders>
              <w:bottom w:val="sing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(3,154</w:t>
            </w:r>
          </w:p>
        </w:tc>
        <w:tc>
          <w:tcPr>
            <w:tcW w:w="136"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4828" w:type="dxa"/>
            <w:tcBorders/>
            <w:shd w:fill="FFFFFF" w:val="clear"/>
            <w:tcMar>
              <w:bottom w:w="0" w:type="dxa"/>
            </w:tcMar>
            <w:vAlign w:val="bottom"/>
          </w:tcPr>
          <w:p>
            <w:pPr>
              <w:pStyle w:val="TableContents"/>
              <w:spacing w:before="0" w:after="283"/>
              <w:jc w:val="left"/>
              <w:rPr/>
            </w:pPr>
            <w:r>
              <w:rPr/>
              <w:t> </w:t>
            </w:r>
          </w:p>
        </w:tc>
        <w:tc>
          <w:tcPr>
            <w:tcW w:w="175"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329" w:type="dxa"/>
            <w:tcBorders/>
            <w:shd w:fill="FFFFFF" w:val="clear"/>
            <w:tcMar>
              <w:bottom w:w="0" w:type="dxa"/>
            </w:tcMar>
            <w:vAlign w:val="bottom"/>
          </w:tcPr>
          <w:p>
            <w:pPr>
              <w:pStyle w:val="TableContents"/>
              <w:spacing w:before="0" w:after="283"/>
              <w:jc w:val="right"/>
              <w:rPr/>
            </w:pPr>
            <w:r>
              <w:rPr/>
              <w:t> </w:t>
            </w:r>
          </w:p>
        </w:tc>
        <w:tc>
          <w:tcPr>
            <w:tcW w:w="187" w:type="dxa"/>
            <w:tcBorders/>
            <w:shd w:fill="FFFFFF" w:val="clear"/>
            <w:tcMar>
              <w:bottom w:w="0" w:type="dxa"/>
            </w:tcMar>
            <w:vAlign w:val="bottom"/>
          </w:tcPr>
          <w:p>
            <w:pPr>
              <w:pStyle w:val="TableContents"/>
              <w:spacing w:before="0" w:after="283"/>
              <w:jc w:val="left"/>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291" w:type="dxa"/>
            <w:tcBorders/>
            <w:shd w:fill="FFFFFF" w:val="clear"/>
            <w:tcMar>
              <w:bottom w:w="0" w:type="dxa"/>
            </w:tcMar>
            <w:vAlign w:val="bottom"/>
          </w:tcPr>
          <w:p>
            <w:pPr>
              <w:pStyle w:val="TableContents"/>
              <w:spacing w:before="0" w:after="283"/>
              <w:jc w:val="right"/>
              <w:rPr/>
            </w:pPr>
            <w:r>
              <w:rPr/>
              <w:t> </w:t>
            </w:r>
          </w:p>
        </w:tc>
        <w:tc>
          <w:tcPr>
            <w:tcW w:w="187"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1594" w:type="dxa"/>
            <w:tcBorders/>
            <w:shd w:fill="FFFFFF" w:val="clear"/>
            <w:tcMar>
              <w:bottom w:w="0" w:type="dxa"/>
            </w:tcMar>
            <w:vAlign w:val="bottom"/>
          </w:tcPr>
          <w:p>
            <w:pPr>
              <w:pStyle w:val="TableContents"/>
              <w:spacing w:before="0" w:after="283"/>
              <w:jc w:val="right"/>
              <w:rPr/>
            </w:pPr>
            <w:r>
              <w:rPr/>
              <w:t> </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828" w:type="dxa"/>
            <w:tcBorders/>
            <w:shd w:fill="CCFFCC" w:val="clear"/>
            <w:tcMar>
              <w:bottom w:w="0" w:type="dxa"/>
            </w:tcMar>
            <w:vAlign w:val="bottom"/>
          </w:tcPr>
          <w:p>
            <w:pPr>
              <w:pStyle w:val="TableContents"/>
              <w:spacing w:lineRule="auto" w:line="300" w:before="0" w:after="0"/>
              <w:ind w:left="360" w:right="16" w:hanging="360"/>
              <w:jc w:val="left"/>
              <w:rPr/>
            </w:pPr>
            <w:r>
              <w:rPr>
                <w:rStyle w:val="StrongEmphasis"/>
                <w:rFonts w:ascii="Times New Roman" w:hAnsi="Times New Roman"/>
                <w:sz w:val="20"/>
              </w:rPr>
              <w:t>Cash flows from financing activities:</w:t>
            </w:r>
          </w:p>
        </w:tc>
        <w:tc>
          <w:tcPr>
            <w:tcW w:w="175" w:type="dxa"/>
            <w:tcBorders/>
            <w:shd w:fill="CCFFCC" w:val="clear"/>
            <w:tcMar>
              <w:bottom w:w="0" w:type="dxa"/>
            </w:tcMar>
            <w:vAlign w:val="center"/>
          </w:tcPr>
          <w:p>
            <w:pPr>
              <w:pStyle w:val="TableContents"/>
              <w:spacing w:before="0" w:after="283"/>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329"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291"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84" w:type="dxa"/>
            <w:tcBorders/>
            <w:shd w:fill="CCFFCC" w:val="clear"/>
            <w:tcMar>
              <w:bottom w:w="0" w:type="dxa"/>
            </w:tcMar>
            <w:vAlign w:val="bottom"/>
          </w:tcPr>
          <w:p>
            <w:pPr>
              <w:pStyle w:val="TableContents"/>
              <w:spacing w:before="0" w:after="283"/>
              <w:jc w:val="left"/>
              <w:rPr/>
            </w:pPr>
            <w:r>
              <w:rPr/>
              <w:t> </w:t>
            </w:r>
          </w:p>
        </w:tc>
        <w:tc>
          <w:tcPr>
            <w:tcW w:w="1594" w:type="dxa"/>
            <w:tcBorders/>
            <w:shd w:fill="CCFFCC" w:val="clear"/>
            <w:tcMar>
              <w:bottom w:w="0" w:type="dxa"/>
            </w:tcMar>
            <w:vAlign w:val="bottom"/>
          </w:tcPr>
          <w:p>
            <w:pPr>
              <w:pStyle w:val="TableContents"/>
              <w:spacing w:before="0" w:after="283"/>
              <w:rPr>
                <w:sz w:val="4"/>
                <w:szCs w:val="4"/>
              </w:rPr>
            </w:pPr>
            <w:r>
              <w:rPr>
                <w:sz w:val="4"/>
                <w:szCs w:val="4"/>
              </w:rPr>
            </w:r>
          </w:p>
        </w:tc>
        <w:tc>
          <w:tcPr>
            <w:tcW w:w="136" w:type="dxa"/>
            <w:tcBorders/>
            <w:shd w:fill="CCFFCC" w:val="clear"/>
            <w:tcMar>
              <w:bottom w:w="0" w:type="dxa"/>
            </w:tcMar>
            <w:vAlign w:val="bottom"/>
          </w:tcPr>
          <w:p>
            <w:pPr>
              <w:pStyle w:val="TableContents"/>
              <w:spacing w:before="0" w:after="283"/>
              <w:jc w:val="left"/>
              <w:rPr/>
            </w:pPr>
            <w:r>
              <w:rPr/>
              <w:t> </w:t>
            </w:r>
          </w:p>
        </w:tc>
      </w:tr>
      <w:tr>
        <w:trPr/>
        <w:tc>
          <w:tcPr>
            <w:tcW w:w="4828" w:type="dxa"/>
            <w:tcBorders/>
            <w:shd w:fill="FFFFFF" w:val="clear"/>
            <w:tcMar>
              <w:bottom w:w="0" w:type="dxa"/>
            </w:tcMar>
            <w:vAlign w:val="bottom"/>
          </w:tcPr>
          <w:p>
            <w:pPr>
              <w:pStyle w:val="TableContents"/>
              <w:spacing w:lineRule="auto" w:line="300" w:before="0" w:after="0"/>
              <w:ind w:left="540" w:right="16" w:hanging="360"/>
              <w:jc w:val="left"/>
              <w:rPr>
                <w:rFonts w:ascii="Times New Roman" w:hAnsi="Times New Roman"/>
                <w:sz w:val="20"/>
              </w:rPr>
            </w:pPr>
            <w:r>
              <w:rPr>
                <w:rFonts w:ascii="Times New Roman" w:hAnsi="Times New Roman"/>
                <w:sz w:val="20"/>
              </w:rPr>
              <w:t>Proceeds from notes payable to stockholders</w:t>
            </w:r>
          </w:p>
        </w:tc>
        <w:tc>
          <w:tcPr>
            <w:tcW w:w="175"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329" w:type="dxa"/>
            <w:tcBorders/>
            <w:shd w:fill="FFFFFF" w:val="clear"/>
            <w:tcMar>
              <w:bottom w:w="0" w:type="dxa"/>
            </w:tcMar>
            <w:vAlign w:val="bottom"/>
          </w:tcPr>
          <w:p>
            <w:pPr>
              <w:pStyle w:val="TableContents"/>
              <w:spacing w:lineRule="auto" w:line="300" w:before="0" w:after="0"/>
              <w:ind w:left="0" w:right="0" w:hanging="0"/>
              <w:jc w:val="right"/>
              <w:rPr/>
            </w:pPr>
            <w:r>
              <w:rPr/>
              <w:t>—</w:t>
            </w:r>
          </w:p>
        </w:tc>
        <w:tc>
          <w:tcPr>
            <w:tcW w:w="187" w:type="dxa"/>
            <w:tcBorders/>
            <w:shd w:fill="FFFFFF" w:val="clear"/>
            <w:tcMar>
              <w:bottom w:w="0" w:type="dxa"/>
            </w:tcMar>
            <w:vAlign w:val="bottom"/>
          </w:tcPr>
          <w:p>
            <w:pPr>
              <w:pStyle w:val="TableContents"/>
              <w:spacing w:before="0" w:after="283"/>
              <w:jc w:val="left"/>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291" w:type="dxa"/>
            <w:tcBorders/>
            <w:shd w:fill="FFFFFF" w:val="clear"/>
            <w:tcMar>
              <w:bottom w:w="0" w:type="dxa"/>
            </w:tcMar>
            <w:vAlign w:val="bottom"/>
          </w:tcPr>
          <w:p>
            <w:pPr>
              <w:pStyle w:val="TableContents"/>
              <w:spacing w:lineRule="auto" w:line="300" w:before="0" w:after="0"/>
              <w:ind w:left="0" w:right="0" w:hanging="0"/>
              <w:jc w:val="right"/>
              <w:rPr/>
            </w:pPr>
            <w:r>
              <w:rPr/>
              <w:t>—</w:t>
            </w:r>
          </w:p>
        </w:tc>
        <w:tc>
          <w:tcPr>
            <w:tcW w:w="187"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159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226,300</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828" w:type="dxa"/>
            <w:tcBorders/>
            <w:shd w:fill="CCFFCC" w:val="clear"/>
            <w:tcMar>
              <w:bottom w:w="0" w:type="dxa"/>
            </w:tcMar>
            <w:vAlign w:val="bottom"/>
          </w:tcPr>
          <w:p>
            <w:pPr>
              <w:pStyle w:val="TableContents"/>
              <w:spacing w:lineRule="auto" w:line="300" w:before="0" w:after="0"/>
              <w:ind w:left="540" w:right="16" w:hanging="360"/>
              <w:jc w:val="left"/>
              <w:rPr>
                <w:rFonts w:ascii="Times New Roman" w:hAnsi="Times New Roman"/>
                <w:sz w:val="20"/>
              </w:rPr>
            </w:pPr>
            <w:r>
              <w:rPr>
                <w:rFonts w:ascii="Times New Roman" w:hAnsi="Times New Roman"/>
                <w:sz w:val="20"/>
              </w:rPr>
              <w:t>Proceeds from notes payable</w:t>
            </w:r>
          </w:p>
        </w:tc>
        <w:tc>
          <w:tcPr>
            <w:tcW w:w="175" w:type="dxa"/>
            <w:tcBorders/>
            <w:shd w:fill="CCFFCC" w:val="clear"/>
            <w:tcMar>
              <w:bottom w:w="0" w:type="dxa"/>
            </w:tcMar>
            <w:vAlign w:val="center"/>
          </w:tcPr>
          <w:p>
            <w:pPr>
              <w:pStyle w:val="TableContents"/>
              <w:spacing w:before="0" w:after="283"/>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329"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87" w:type="dxa"/>
            <w:tcBorders/>
            <w:shd w:fill="CCFFCC" w:val="clear"/>
            <w:tcMar>
              <w:bottom w:w="0" w:type="dxa"/>
            </w:tcMar>
            <w:vAlign w:val="bottom"/>
          </w:tcPr>
          <w:p>
            <w:pPr>
              <w:pStyle w:val="TableContents"/>
              <w:spacing w:before="0" w:after="283"/>
              <w:jc w:val="left"/>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291"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1,500,000</w:t>
            </w:r>
          </w:p>
        </w:tc>
        <w:tc>
          <w:tcPr>
            <w:tcW w:w="187" w:type="dxa"/>
            <w:tcBorders/>
            <w:shd w:fill="CCFFCC" w:val="clear"/>
            <w:tcMar>
              <w:bottom w:w="0" w:type="dxa"/>
            </w:tcMar>
            <w:vAlign w:val="bottom"/>
          </w:tcPr>
          <w:p>
            <w:pPr>
              <w:pStyle w:val="TableContents"/>
              <w:spacing w:before="0" w:after="283"/>
              <w:jc w:val="left"/>
              <w:rPr/>
            </w:pPr>
            <w:r>
              <w:rPr/>
              <w:t> </w:t>
            </w:r>
          </w:p>
        </w:tc>
        <w:tc>
          <w:tcPr>
            <w:tcW w:w="184" w:type="dxa"/>
            <w:tcBorders/>
            <w:shd w:fill="CCFFCC" w:val="clear"/>
            <w:tcMar>
              <w:bottom w:w="0" w:type="dxa"/>
            </w:tcMar>
            <w:vAlign w:val="bottom"/>
          </w:tcPr>
          <w:p>
            <w:pPr>
              <w:pStyle w:val="TableContents"/>
              <w:spacing w:before="0" w:after="283"/>
              <w:jc w:val="left"/>
              <w:rPr/>
            </w:pPr>
            <w:r>
              <w:rPr/>
              <w:t> </w:t>
            </w:r>
          </w:p>
        </w:tc>
        <w:tc>
          <w:tcPr>
            <w:tcW w:w="159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1,500,000</w:t>
            </w:r>
          </w:p>
        </w:tc>
        <w:tc>
          <w:tcPr>
            <w:tcW w:w="136" w:type="dxa"/>
            <w:tcBorders/>
            <w:shd w:fill="CCFFCC" w:val="clear"/>
            <w:tcMar>
              <w:bottom w:w="0" w:type="dxa"/>
            </w:tcMar>
            <w:vAlign w:val="bottom"/>
          </w:tcPr>
          <w:p>
            <w:pPr>
              <w:pStyle w:val="TableContents"/>
              <w:spacing w:before="0" w:after="283"/>
              <w:jc w:val="left"/>
              <w:rPr/>
            </w:pPr>
            <w:r>
              <w:rPr/>
              <w:t> </w:t>
            </w:r>
          </w:p>
        </w:tc>
      </w:tr>
      <w:tr>
        <w:trPr/>
        <w:tc>
          <w:tcPr>
            <w:tcW w:w="4828" w:type="dxa"/>
            <w:tcBorders/>
            <w:shd w:fill="FFFFFF" w:val="clear"/>
            <w:tcMar>
              <w:bottom w:w="0" w:type="dxa"/>
            </w:tcMar>
            <w:vAlign w:val="bottom"/>
          </w:tcPr>
          <w:p>
            <w:pPr>
              <w:pStyle w:val="TableContents"/>
              <w:spacing w:lineRule="auto" w:line="300" w:before="0" w:after="0"/>
              <w:ind w:left="540" w:right="16" w:hanging="360"/>
              <w:jc w:val="left"/>
              <w:rPr>
                <w:rFonts w:ascii="Times New Roman" w:hAnsi="Times New Roman"/>
                <w:sz w:val="20"/>
              </w:rPr>
            </w:pPr>
            <w:r>
              <w:rPr>
                <w:rFonts w:ascii="Times New Roman" w:hAnsi="Times New Roman"/>
                <w:sz w:val="20"/>
              </w:rPr>
              <w:t>Capital contributions</w:t>
            </w:r>
          </w:p>
        </w:tc>
        <w:tc>
          <w:tcPr>
            <w:tcW w:w="175"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329" w:type="dxa"/>
            <w:tcBorders/>
            <w:shd w:fill="FFFFFF" w:val="clear"/>
            <w:tcMar>
              <w:bottom w:w="0" w:type="dxa"/>
            </w:tcMar>
            <w:vAlign w:val="bottom"/>
          </w:tcPr>
          <w:p>
            <w:pPr>
              <w:pStyle w:val="TableContents"/>
              <w:spacing w:lineRule="auto" w:line="300" w:before="0" w:after="0"/>
              <w:ind w:left="0" w:right="0" w:hanging="0"/>
              <w:jc w:val="right"/>
              <w:rPr/>
            </w:pPr>
            <w:r>
              <w:rPr/>
              <w:t>—</w:t>
            </w:r>
          </w:p>
        </w:tc>
        <w:tc>
          <w:tcPr>
            <w:tcW w:w="187" w:type="dxa"/>
            <w:tcBorders/>
            <w:shd w:fill="FFFFFF" w:val="clear"/>
            <w:tcMar>
              <w:bottom w:w="0" w:type="dxa"/>
            </w:tcMar>
            <w:vAlign w:val="bottom"/>
          </w:tcPr>
          <w:p>
            <w:pPr>
              <w:pStyle w:val="TableContents"/>
              <w:spacing w:before="0" w:after="283"/>
              <w:jc w:val="left"/>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29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105,907</w:t>
            </w:r>
          </w:p>
        </w:tc>
        <w:tc>
          <w:tcPr>
            <w:tcW w:w="187"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159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168,707</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828" w:type="dxa"/>
            <w:tcBorders/>
            <w:shd w:fill="CCFFCC" w:val="clear"/>
            <w:tcMar>
              <w:bottom w:w="0" w:type="dxa"/>
            </w:tcMar>
            <w:vAlign w:val="bottom"/>
          </w:tcPr>
          <w:p>
            <w:pPr>
              <w:pStyle w:val="TableContents"/>
              <w:spacing w:lineRule="auto" w:line="300" w:before="0" w:after="0"/>
              <w:ind w:left="540" w:right="16" w:hanging="360"/>
              <w:jc w:val="left"/>
              <w:rPr>
                <w:rFonts w:ascii="Times New Roman" w:hAnsi="Times New Roman"/>
                <w:sz w:val="20"/>
              </w:rPr>
            </w:pPr>
            <w:r>
              <w:rPr>
                <w:rFonts w:ascii="Times New Roman" w:hAnsi="Times New Roman"/>
                <w:sz w:val="20"/>
              </w:rPr>
              <w:t>Proceeds from purchase of common stock and exercise of warrants and stock options</w:t>
            </w:r>
          </w:p>
        </w:tc>
        <w:tc>
          <w:tcPr>
            <w:tcW w:w="175" w:type="dxa"/>
            <w:tcBorders/>
            <w:shd w:fill="CCFFCC" w:val="clear"/>
            <w:tcMar>
              <w:bottom w:w="0" w:type="dxa"/>
            </w:tcMar>
            <w:vAlign w:val="center"/>
          </w:tcPr>
          <w:p>
            <w:pPr>
              <w:pStyle w:val="TableContents"/>
              <w:spacing w:before="0" w:after="283"/>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329"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87" w:type="dxa"/>
            <w:tcBorders/>
            <w:shd w:fill="CCFFCC" w:val="clear"/>
            <w:tcMar>
              <w:bottom w:w="0" w:type="dxa"/>
            </w:tcMar>
            <w:vAlign w:val="bottom"/>
          </w:tcPr>
          <w:p>
            <w:pPr>
              <w:pStyle w:val="TableContents"/>
              <w:spacing w:before="0" w:after="283"/>
              <w:jc w:val="left"/>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291"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25,700</w:t>
            </w:r>
          </w:p>
        </w:tc>
        <w:tc>
          <w:tcPr>
            <w:tcW w:w="187" w:type="dxa"/>
            <w:tcBorders/>
            <w:shd w:fill="CCFFCC" w:val="clear"/>
            <w:tcMar>
              <w:bottom w:w="0" w:type="dxa"/>
            </w:tcMar>
            <w:vAlign w:val="bottom"/>
          </w:tcPr>
          <w:p>
            <w:pPr>
              <w:pStyle w:val="TableContents"/>
              <w:spacing w:before="0" w:after="283"/>
              <w:jc w:val="left"/>
              <w:rPr/>
            </w:pPr>
            <w:r>
              <w:rPr/>
              <w:t> </w:t>
            </w:r>
          </w:p>
        </w:tc>
        <w:tc>
          <w:tcPr>
            <w:tcW w:w="184" w:type="dxa"/>
            <w:tcBorders/>
            <w:shd w:fill="CCFFCC" w:val="clear"/>
            <w:tcMar>
              <w:bottom w:w="0" w:type="dxa"/>
            </w:tcMar>
            <w:vAlign w:val="bottom"/>
          </w:tcPr>
          <w:p>
            <w:pPr>
              <w:pStyle w:val="TableContents"/>
              <w:spacing w:before="0" w:after="283"/>
              <w:jc w:val="left"/>
              <w:rPr/>
            </w:pPr>
            <w:r>
              <w:rPr/>
              <w:t> </w:t>
            </w:r>
          </w:p>
        </w:tc>
        <w:tc>
          <w:tcPr>
            <w:tcW w:w="1594"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49,950</w:t>
            </w:r>
          </w:p>
        </w:tc>
        <w:tc>
          <w:tcPr>
            <w:tcW w:w="136" w:type="dxa"/>
            <w:tcBorders/>
            <w:shd w:fill="CCFFCC" w:val="clear"/>
            <w:tcMar>
              <w:bottom w:w="0" w:type="dxa"/>
            </w:tcMar>
            <w:vAlign w:val="bottom"/>
          </w:tcPr>
          <w:p>
            <w:pPr>
              <w:pStyle w:val="TableContents"/>
              <w:spacing w:before="0" w:after="283"/>
              <w:jc w:val="left"/>
              <w:rPr/>
            </w:pPr>
            <w:r>
              <w:rPr/>
              <w:t> </w:t>
            </w:r>
          </w:p>
        </w:tc>
      </w:tr>
      <w:tr>
        <w:trPr/>
        <w:tc>
          <w:tcPr>
            <w:tcW w:w="4828" w:type="dxa"/>
            <w:tcBorders>
              <w:bottom w:val="single" w:sz="4" w:space="0" w:color="FFFFFF"/>
            </w:tcBorders>
            <w:shd w:fill="FFFFFF" w:val="clear"/>
            <w:vAlign w:val="bottom"/>
          </w:tcPr>
          <w:p>
            <w:pPr>
              <w:pStyle w:val="TableContents"/>
              <w:spacing w:lineRule="auto" w:line="300" w:before="0" w:after="0"/>
              <w:ind w:left="540" w:right="16" w:hanging="360"/>
              <w:jc w:val="left"/>
              <w:rPr>
                <w:rFonts w:ascii="Times New Roman" w:hAnsi="Times New Roman"/>
                <w:sz w:val="20"/>
              </w:rPr>
            </w:pPr>
            <w:r>
              <w:rPr>
                <w:rFonts w:ascii="Times New Roman" w:hAnsi="Times New Roman"/>
                <w:sz w:val="20"/>
              </w:rPr>
              <w:t>Net proceeds from Private Placements</w:t>
            </w:r>
          </w:p>
        </w:tc>
        <w:tc>
          <w:tcPr>
            <w:tcW w:w="175" w:type="dxa"/>
            <w:tcBorders>
              <w:bottom w:val="single" w:sz="4" w:space="0" w:color="FFFFFF"/>
            </w:tcBorders>
            <w:shd w:fill="FFFFFF" w:val="clear"/>
            <w:vAlign w:val="center"/>
          </w:tcPr>
          <w:p>
            <w:pPr>
              <w:pStyle w:val="TableContents"/>
              <w:spacing w:before="0" w:after="283"/>
              <w:rPr/>
            </w:pPr>
            <w:r>
              <w:rPr/>
              <w:t> </w:t>
            </w:r>
          </w:p>
        </w:tc>
        <w:tc>
          <w:tcPr>
            <w:tcW w:w="147" w:type="dxa"/>
            <w:tcBorders>
              <w:bottom w:val="single" w:sz="2" w:space="0" w:color="000000"/>
            </w:tcBorders>
            <w:shd w:fill="FFFFFF" w:val="clear"/>
            <w:vAlign w:val="bottom"/>
          </w:tcPr>
          <w:p>
            <w:pPr>
              <w:pStyle w:val="TableContents"/>
              <w:spacing w:before="0" w:after="283"/>
              <w:jc w:val="left"/>
              <w:rPr/>
            </w:pPr>
            <w:r>
              <w:rPr/>
              <w:t> </w:t>
            </w:r>
          </w:p>
        </w:tc>
        <w:tc>
          <w:tcPr>
            <w:tcW w:w="132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3,941,301</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47" w:type="dxa"/>
            <w:tcBorders>
              <w:bottom w:val="single" w:sz="2" w:space="0" w:color="000000"/>
            </w:tcBorders>
            <w:shd w:fill="FFFFFF" w:val="clear"/>
            <w:vAlign w:val="bottom"/>
          </w:tcPr>
          <w:p>
            <w:pPr>
              <w:pStyle w:val="TableContents"/>
              <w:spacing w:before="0" w:after="283"/>
              <w:jc w:val="left"/>
              <w:rPr/>
            </w:pPr>
            <w:r>
              <w:rPr/>
              <w:t> </w:t>
            </w:r>
          </w:p>
        </w:tc>
        <w:tc>
          <w:tcPr>
            <w:tcW w:w="1291" w:type="dxa"/>
            <w:tcBorders>
              <w:bottom w:val="single" w:sz="2" w:space="0" w:color="000000"/>
            </w:tcBorders>
            <w:shd w:fill="FFFFFF" w:val="clear"/>
            <w:vAlign w:val="bottom"/>
          </w:tcPr>
          <w:p>
            <w:pPr>
              <w:pStyle w:val="TableContents"/>
              <w:spacing w:lineRule="auto" w:line="300" w:before="0" w:after="0"/>
              <w:ind w:left="0" w:right="0" w:hanging="0"/>
              <w:jc w:val="right"/>
              <w:rPr/>
            </w:pPr>
            <w:r>
              <w:rPr/>
              <w:t>—</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84" w:type="dxa"/>
            <w:tcBorders>
              <w:bottom w:val="single" w:sz="2" w:space="0" w:color="000000"/>
            </w:tcBorders>
            <w:shd w:fill="FFFFFF" w:val="clear"/>
            <w:vAlign w:val="bottom"/>
          </w:tcPr>
          <w:p>
            <w:pPr>
              <w:pStyle w:val="TableContents"/>
              <w:spacing w:before="0" w:after="283"/>
              <w:jc w:val="left"/>
              <w:rPr/>
            </w:pPr>
            <w:r>
              <w:rPr/>
              <w:t> </w:t>
            </w:r>
          </w:p>
        </w:tc>
        <w:tc>
          <w:tcPr>
            <w:tcW w:w="159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7,779,092</w:t>
            </w:r>
          </w:p>
        </w:tc>
        <w:tc>
          <w:tcPr>
            <w:tcW w:w="136" w:type="dxa"/>
            <w:tcBorders>
              <w:bottom w:val="single" w:sz="4" w:space="0" w:color="FFFFFF"/>
            </w:tcBorders>
            <w:shd w:fill="FFFFFF" w:val="clear"/>
            <w:vAlign w:val="bottom"/>
          </w:tcPr>
          <w:p>
            <w:pPr>
              <w:pStyle w:val="TableContents"/>
              <w:spacing w:before="0" w:after="283"/>
              <w:jc w:val="left"/>
              <w:rPr/>
            </w:pPr>
            <w:r>
              <w:rPr/>
              <w:t> </w:t>
            </w:r>
          </w:p>
        </w:tc>
      </w:tr>
      <w:tr>
        <w:trPr/>
        <w:tc>
          <w:tcPr>
            <w:tcW w:w="4828" w:type="dxa"/>
            <w:tcBorders/>
            <w:shd w:fill="CCFFCC" w:val="clear"/>
            <w:tcMar>
              <w:bottom w:w="0" w:type="dxa"/>
            </w:tcMar>
            <w:vAlign w:val="bottom"/>
          </w:tcPr>
          <w:p>
            <w:pPr>
              <w:pStyle w:val="TableContents"/>
              <w:spacing w:lineRule="auto" w:line="300" w:before="0" w:after="0"/>
              <w:ind w:left="0" w:right="16" w:hanging="0"/>
              <w:jc w:val="left"/>
              <w:rPr/>
            </w:pPr>
            <w:r>
              <w:rPr/>
              <w:t> </w:t>
            </w:r>
          </w:p>
        </w:tc>
        <w:tc>
          <w:tcPr>
            <w:tcW w:w="175" w:type="dxa"/>
            <w:tcBorders/>
            <w:shd w:fill="CCFFCC" w:val="clear"/>
            <w:tcMar>
              <w:bottom w:w="0" w:type="dxa"/>
            </w:tcMar>
            <w:vAlign w:val="center"/>
          </w:tcPr>
          <w:p>
            <w:pPr>
              <w:pStyle w:val="TableContents"/>
              <w:spacing w:before="0" w:after="283"/>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329"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291"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84" w:type="dxa"/>
            <w:tcBorders/>
            <w:shd w:fill="CCFFCC" w:val="clear"/>
            <w:tcMar>
              <w:bottom w:w="0" w:type="dxa"/>
            </w:tcMar>
            <w:vAlign w:val="bottom"/>
          </w:tcPr>
          <w:p>
            <w:pPr>
              <w:pStyle w:val="TableContents"/>
              <w:spacing w:before="0" w:after="283"/>
              <w:jc w:val="left"/>
              <w:rPr/>
            </w:pPr>
            <w:r>
              <w:rPr/>
              <w:t> </w:t>
            </w:r>
          </w:p>
        </w:tc>
        <w:tc>
          <w:tcPr>
            <w:tcW w:w="1594" w:type="dxa"/>
            <w:tcBorders/>
            <w:shd w:fill="CCFFCC" w:val="clear"/>
            <w:tcMar>
              <w:bottom w:w="0" w:type="dxa"/>
            </w:tcMar>
            <w:vAlign w:val="bottom"/>
          </w:tcPr>
          <w:p>
            <w:pPr>
              <w:pStyle w:val="TableContents"/>
              <w:spacing w:before="0" w:after="283"/>
              <w:rPr>
                <w:sz w:val="4"/>
                <w:szCs w:val="4"/>
              </w:rPr>
            </w:pPr>
            <w:r>
              <w:rPr>
                <w:sz w:val="4"/>
                <w:szCs w:val="4"/>
              </w:rPr>
            </w:r>
          </w:p>
        </w:tc>
        <w:tc>
          <w:tcPr>
            <w:tcW w:w="136" w:type="dxa"/>
            <w:tcBorders/>
            <w:shd w:fill="CCFFCC" w:val="clear"/>
            <w:tcMar>
              <w:bottom w:w="0" w:type="dxa"/>
            </w:tcMar>
            <w:vAlign w:val="bottom"/>
          </w:tcPr>
          <w:p>
            <w:pPr>
              <w:pStyle w:val="TableContents"/>
              <w:spacing w:before="0" w:after="283"/>
              <w:jc w:val="left"/>
              <w:rPr/>
            </w:pPr>
            <w:r>
              <w:rPr/>
              <w:t> </w:t>
            </w:r>
          </w:p>
        </w:tc>
      </w:tr>
      <w:tr>
        <w:trPr/>
        <w:tc>
          <w:tcPr>
            <w:tcW w:w="4828" w:type="dxa"/>
            <w:tcBorders>
              <w:bottom w:val="single" w:sz="4" w:space="0" w:color="FFFFFF"/>
            </w:tcBorders>
            <w:shd w:fill="FFFFFF"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Net cash provided by financing activities</w:t>
            </w:r>
          </w:p>
        </w:tc>
        <w:tc>
          <w:tcPr>
            <w:tcW w:w="175" w:type="dxa"/>
            <w:tcBorders>
              <w:bottom w:val="single" w:sz="4" w:space="0" w:color="FFFFFF"/>
            </w:tcBorders>
            <w:shd w:fill="FFFFFF" w:val="clear"/>
            <w:vAlign w:val="center"/>
          </w:tcPr>
          <w:p>
            <w:pPr>
              <w:pStyle w:val="TableContents"/>
              <w:spacing w:before="0" w:after="283"/>
              <w:rPr/>
            </w:pPr>
            <w:r>
              <w:rPr/>
              <w:t> </w:t>
            </w:r>
          </w:p>
        </w:tc>
        <w:tc>
          <w:tcPr>
            <w:tcW w:w="147" w:type="dxa"/>
            <w:tcBorders>
              <w:bottom w:val="single" w:sz="2" w:space="0" w:color="000000"/>
            </w:tcBorders>
            <w:shd w:fill="FFFFFF" w:val="clear"/>
            <w:vAlign w:val="bottom"/>
          </w:tcPr>
          <w:p>
            <w:pPr>
              <w:pStyle w:val="TableContents"/>
              <w:spacing w:before="0" w:after="283"/>
              <w:jc w:val="left"/>
              <w:rPr/>
            </w:pPr>
            <w:r>
              <w:rPr/>
              <w:t> </w:t>
            </w:r>
          </w:p>
        </w:tc>
        <w:tc>
          <w:tcPr>
            <w:tcW w:w="132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3,941,301</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47" w:type="dxa"/>
            <w:tcBorders>
              <w:bottom w:val="single" w:sz="2" w:space="0" w:color="000000"/>
            </w:tcBorders>
            <w:shd w:fill="FFFFFF" w:val="clear"/>
            <w:vAlign w:val="bottom"/>
          </w:tcPr>
          <w:p>
            <w:pPr>
              <w:pStyle w:val="TableContents"/>
              <w:spacing w:before="0" w:after="283"/>
              <w:jc w:val="left"/>
              <w:rPr/>
            </w:pPr>
            <w:r>
              <w:rPr/>
              <w:t> </w:t>
            </w:r>
          </w:p>
        </w:tc>
        <w:tc>
          <w:tcPr>
            <w:tcW w:w="129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1,631,607</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84" w:type="dxa"/>
            <w:tcBorders>
              <w:bottom w:val="single" w:sz="2" w:space="0" w:color="000000"/>
            </w:tcBorders>
            <w:shd w:fill="FFFFFF" w:val="clear"/>
            <w:vAlign w:val="bottom"/>
          </w:tcPr>
          <w:p>
            <w:pPr>
              <w:pStyle w:val="TableContents"/>
              <w:spacing w:before="0" w:after="283"/>
              <w:jc w:val="left"/>
              <w:rPr/>
            </w:pPr>
            <w:r>
              <w:rPr/>
              <w:t> </w:t>
            </w:r>
          </w:p>
        </w:tc>
        <w:tc>
          <w:tcPr>
            <w:tcW w:w="1594"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9,724,049</w:t>
            </w:r>
          </w:p>
        </w:tc>
        <w:tc>
          <w:tcPr>
            <w:tcW w:w="136" w:type="dxa"/>
            <w:tcBorders>
              <w:bottom w:val="single" w:sz="4" w:space="0" w:color="FFFFFF"/>
            </w:tcBorders>
            <w:shd w:fill="FFFFFF" w:val="clear"/>
            <w:vAlign w:val="bottom"/>
          </w:tcPr>
          <w:p>
            <w:pPr>
              <w:pStyle w:val="TableContents"/>
              <w:spacing w:before="0" w:after="283"/>
              <w:jc w:val="left"/>
              <w:rPr/>
            </w:pPr>
            <w:r>
              <w:rPr/>
              <w:t> </w:t>
            </w:r>
          </w:p>
        </w:tc>
      </w:tr>
      <w:tr>
        <w:trPr/>
        <w:tc>
          <w:tcPr>
            <w:tcW w:w="4828" w:type="dxa"/>
            <w:tcBorders/>
            <w:shd w:fill="CCFFCC" w:val="clear"/>
            <w:tcMar>
              <w:bottom w:w="0" w:type="dxa"/>
            </w:tcMar>
            <w:vAlign w:val="bottom"/>
          </w:tcPr>
          <w:p>
            <w:pPr>
              <w:pStyle w:val="TableContents"/>
              <w:spacing w:lineRule="auto" w:line="300" w:before="0" w:after="0"/>
              <w:ind w:left="0" w:right="16" w:hanging="0"/>
              <w:jc w:val="left"/>
              <w:rPr/>
            </w:pPr>
            <w:r>
              <w:rPr/>
              <w:t> </w:t>
            </w:r>
          </w:p>
        </w:tc>
        <w:tc>
          <w:tcPr>
            <w:tcW w:w="175" w:type="dxa"/>
            <w:tcBorders/>
            <w:shd w:fill="CCFFCC" w:val="clear"/>
            <w:tcMar>
              <w:bottom w:w="0" w:type="dxa"/>
            </w:tcMar>
            <w:vAlign w:val="center"/>
          </w:tcPr>
          <w:p>
            <w:pPr>
              <w:pStyle w:val="TableContents"/>
              <w:spacing w:before="0" w:after="283"/>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329"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291"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84" w:type="dxa"/>
            <w:tcBorders/>
            <w:shd w:fill="CCFFCC" w:val="clear"/>
            <w:tcMar>
              <w:bottom w:w="0" w:type="dxa"/>
            </w:tcMar>
            <w:vAlign w:val="bottom"/>
          </w:tcPr>
          <w:p>
            <w:pPr>
              <w:pStyle w:val="TableContents"/>
              <w:spacing w:before="0" w:after="283"/>
              <w:jc w:val="left"/>
              <w:rPr/>
            </w:pPr>
            <w:r>
              <w:rPr/>
              <w:t> </w:t>
            </w:r>
          </w:p>
        </w:tc>
        <w:tc>
          <w:tcPr>
            <w:tcW w:w="1594" w:type="dxa"/>
            <w:tcBorders/>
            <w:shd w:fill="CCFFCC" w:val="clear"/>
            <w:tcMar>
              <w:bottom w:w="0" w:type="dxa"/>
            </w:tcMar>
            <w:vAlign w:val="bottom"/>
          </w:tcPr>
          <w:p>
            <w:pPr>
              <w:pStyle w:val="TableContents"/>
              <w:spacing w:before="0" w:after="283"/>
              <w:rPr>
                <w:sz w:val="4"/>
                <w:szCs w:val="4"/>
              </w:rPr>
            </w:pPr>
            <w:r>
              <w:rPr>
                <w:sz w:val="4"/>
                <w:szCs w:val="4"/>
              </w:rPr>
            </w:r>
          </w:p>
        </w:tc>
        <w:tc>
          <w:tcPr>
            <w:tcW w:w="136" w:type="dxa"/>
            <w:tcBorders/>
            <w:shd w:fill="CCFFCC" w:val="clear"/>
            <w:tcMar>
              <w:bottom w:w="0" w:type="dxa"/>
            </w:tcMar>
            <w:vAlign w:val="bottom"/>
          </w:tcPr>
          <w:p>
            <w:pPr>
              <w:pStyle w:val="TableContents"/>
              <w:spacing w:before="0" w:after="283"/>
              <w:jc w:val="left"/>
              <w:rPr/>
            </w:pPr>
            <w:r>
              <w:rPr/>
              <w:t> </w:t>
            </w:r>
          </w:p>
        </w:tc>
      </w:tr>
      <w:tr>
        <w:trPr/>
        <w:tc>
          <w:tcPr>
            <w:tcW w:w="4828" w:type="dxa"/>
            <w:tcBorders/>
            <w:shd w:fill="FFFFFF" w:val="clear"/>
            <w:tcMar>
              <w:bottom w:w="0" w:type="dxa"/>
            </w:tcMar>
            <w:vAlign w:val="bottom"/>
          </w:tcPr>
          <w:p>
            <w:pPr>
              <w:pStyle w:val="TableContents"/>
              <w:spacing w:lineRule="auto" w:line="300" w:before="0" w:after="0"/>
              <w:ind w:left="360" w:right="16" w:hanging="360"/>
              <w:jc w:val="left"/>
              <w:rPr/>
            </w:pPr>
            <w:r>
              <w:rPr>
                <w:rStyle w:val="StrongEmphasis"/>
                <w:rFonts w:ascii="Times New Roman" w:hAnsi="Times New Roman"/>
                <w:sz w:val="20"/>
              </w:rPr>
              <w:t>Net change in cash</w:t>
            </w:r>
          </w:p>
        </w:tc>
        <w:tc>
          <w:tcPr>
            <w:tcW w:w="175"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32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3,004,260</w:t>
            </w:r>
          </w:p>
        </w:tc>
        <w:tc>
          <w:tcPr>
            <w:tcW w:w="187" w:type="dxa"/>
            <w:tcBorders/>
            <w:shd w:fill="FFFFFF" w:val="clear"/>
            <w:tcMar>
              <w:bottom w:w="0" w:type="dxa"/>
            </w:tcMar>
            <w:vAlign w:val="bottom"/>
          </w:tcPr>
          <w:p>
            <w:pPr>
              <w:pStyle w:val="TableContents"/>
              <w:spacing w:before="0" w:after="283"/>
              <w:jc w:val="left"/>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291"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1,400,622</w:t>
            </w:r>
          </w:p>
        </w:tc>
        <w:tc>
          <w:tcPr>
            <w:tcW w:w="187"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1594"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6,710,629</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828" w:type="dxa"/>
            <w:tcBorders/>
            <w:shd w:fill="CCFFCC" w:val="clear"/>
            <w:tcMar>
              <w:bottom w:w="0" w:type="dxa"/>
            </w:tcMar>
            <w:vAlign w:val="bottom"/>
          </w:tcPr>
          <w:p>
            <w:pPr>
              <w:pStyle w:val="TableContents"/>
              <w:spacing w:lineRule="auto" w:line="300" w:before="0" w:after="0"/>
              <w:ind w:left="0" w:right="16" w:hanging="0"/>
              <w:jc w:val="left"/>
              <w:rPr/>
            </w:pPr>
            <w:r>
              <w:rPr/>
              <w:t> </w:t>
            </w:r>
          </w:p>
        </w:tc>
        <w:tc>
          <w:tcPr>
            <w:tcW w:w="175" w:type="dxa"/>
            <w:tcBorders/>
            <w:shd w:fill="CCFFCC" w:val="clear"/>
            <w:tcMar>
              <w:bottom w:w="0" w:type="dxa"/>
            </w:tcMar>
            <w:vAlign w:val="center"/>
          </w:tcPr>
          <w:p>
            <w:pPr>
              <w:pStyle w:val="TableContents"/>
              <w:spacing w:before="0" w:after="283"/>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329"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291"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84" w:type="dxa"/>
            <w:tcBorders/>
            <w:shd w:fill="CCFFCC" w:val="clear"/>
            <w:tcMar>
              <w:bottom w:w="0" w:type="dxa"/>
            </w:tcMar>
            <w:vAlign w:val="bottom"/>
          </w:tcPr>
          <w:p>
            <w:pPr>
              <w:pStyle w:val="TableContents"/>
              <w:spacing w:before="0" w:after="283"/>
              <w:jc w:val="left"/>
              <w:rPr/>
            </w:pPr>
            <w:r>
              <w:rPr/>
              <w:t> </w:t>
            </w:r>
          </w:p>
        </w:tc>
        <w:tc>
          <w:tcPr>
            <w:tcW w:w="1594" w:type="dxa"/>
            <w:tcBorders/>
            <w:shd w:fill="CCFFCC" w:val="clear"/>
            <w:tcMar>
              <w:bottom w:w="0" w:type="dxa"/>
            </w:tcMar>
            <w:vAlign w:val="bottom"/>
          </w:tcPr>
          <w:p>
            <w:pPr>
              <w:pStyle w:val="TableContents"/>
              <w:spacing w:before="0" w:after="283"/>
              <w:rPr>
                <w:sz w:val="4"/>
                <w:szCs w:val="4"/>
              </w:rPr>
            </w:pPr>
            <w:r>
              <w:rPr>
                <w:sz w:val="4"/>
                <w:szCs w:val="4"/>
              </w:rPr>
            </w:r>
          </w:p>
        </w:tc>
        <w:tc>
          <w:tcPr>
            <w:tcW w:w="136" w:type="dxa"/>
            <w:tcBorders/>
            <w:shd w:fill="CCFFCC" w:val="clear"/>
            <w:tcMar>
              <w:bottom w:w="0" w:type="dxa"/>
            </w:tcMar>
            <w:vAlign w:val="bottom"/>
          </w:tcPr>
          <w:p>
            <w:pPr>
              <w:pStyle w:val="TableContents"/>
              <w:spacing w:before="0" w:after="283"/>
              <w:jc w:val="left"/>
              <w:rPr/>
            </w:pPr>
            <w:r>
              <w:rPr/>
              <w:t> </w:t>
            </w:r>
          </w:p>
        </w:tc>
      </w:tr>
      <w:tr>
        <w:trPr/>
        <w:tc>
          <w:tcPr>
            <w:tcW w:w="4828" w:type="dxa"/>
            <w:tcBorders>
              <w:bottom w:val="single" w:sz="4" w:space="0" w:color="FFFFFF"/>
            </w:tcBorders>
            <w:shd w:fill="FFFFFF" w:val="clear"/>
            <w:vAlign w:val="bottom"/>
          </w:tcPr>
          <w:p>
            <w:pPr>
              <w:pStyle w:val="TableContents"/>
              <w:spacing w:lineRule="auto" w:line="300" w:before="0" w:after="0"/>
              <w:ind w:left="360" w:right="16" w:hanging="360"/>
              <w:jc w:val="left"/>
              <w:rPr/>
            </w:pPr>
            <w:r>
              <w:rPr>
                <w:rStyle w:val="StrongEmphasis"/>
                <w:rFonts w:ascii="Times New Roman" w:hAnsi="Times New Roman"/>
                <w:sz w:val="20"/>
              </w:rPr>
              <w:t>Cash, beginning of period</w:t>
            </w:r>
          </w:p>
        </w:tc>
        <w:tc>
          <w:tcPr>
            <w:tcW w:w="175" w:type="dxa"/>
            <w:tcBorders>
              <w:bottom w:val="single" w:sz="4" w:space="0" w:color="FFFFFF"/>
            </w:tcBorders>
            <w:shd w:fill="FFFFFF" w:val="clear"/>
            <w:vAlign w:val="center"/>
          </w:tcPr>
          <w:p>
            <w:pPr>
              <w:pStyle w:val="TableContents"/>
              <w:spacing w:before="0" w:after="283"/>
              <w:rPr/>
            </w:pPr>
            <w:r>
              <w:rPr/>
              <w:t> </w:t>
            </w:r>
          </w:p>
        </w:tc>
        <w:tc>
          <w:tcPr>
            <w:tcW w:w="147" w:type="dxa"/>
            <w:tcBorders>
              <w:bottom w:val="single" w:sz="2" w:space="0" w:color="000000"/>
            </w:tcBorders>
            <w:shd w:fill="FFFFFF" w:val="clear"/>
            <w:vAlign w:val="bottom"/>
          </w:tcPr>
          <w:p>
            <w:pPr>
              <w:pStyle w:val="TableContents"/>
              <w:spacing w:before="0" w:after="283"/>
              <w:jc w:val="left"/>
              <w:rPr/>
            </w:pPr>
            <w:r>
              <w:rPr/>
              <w:t> </w:t>
            </w:r>
          </w:p>
        </w:tc>
        <w:tc>
          <w:tcPr>
            <w:tcW w:w="1329"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3,706,369</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47" w:type="dxa"/>
            <w:tcBorders>
              <w:bottom w:val="single" w:sz="2" w:space="0" w:color="000000"/>
            </w:tcBorders>
            <w:shd w:fill="FFFFFF" w:val="clear"/>
            <w:vAlign w:val="bottom"/>
          </w:tcPr>
          <w:p>
            <w:pPr>
              <w:pStyle w:val="TableContents"/>
              <w:spacing w:before="0" w:after="283"/>
              <w:jc w:val="left"/>
              <w:rPr/>
            </w:pPr>
            <w:r>
              <w:rPr/>
              <w:t> </w:t>
            </w:r>
          </w:p>
        </w:tc>
        <w:tc>
          <w:tcPr>
            <w:tcW w:w="1291"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542</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84" w:type="dxa"/>
            <w:tcBorders>
              <w:bottom w:val="single" w:sz="2" w:space="0" w:color="000000"/>
            </w:tcBorders>
            <w:shd w:fill="FFFFFF" w:val="clear"/>
            <w:vAlign w:val="bottom"/>
          </w:tcPr>
          <w:p>
            <w:pPr>
              <w:pStyle w:val="TableContents"/>
              <w:spacing w:before="0" w:after="283"/>
              <w:jc w:val="left"/>
              <w:rPr/>
            </w:pPr>
            <w:r>
              <w:rPr/>
              <w:t> </w:t>
            </w:r>
          </w:p>
        </w:tc>
        <w:tc>
          <w:tcPr>
            <w:tcW w:w="1594" w:type="dxa"/>
            <w:tcBorders>
              <w:bottom w:val="single" w:sz="2" w:space="0" w:color="000000"/>
            </w:tcBorders>
            <w:shd w:fill="FFFFFF" w:val="clear"/>
            <w:vAlign w:val="bottom"/>
          </w:tcPr>
          <w:p>
            <w:pPr>
              <w:pStyle w:val="TableContents"/>
              <w:spacing w:lineRule="auto" w:line="300" w:before="0" w:after="0"/>
              <w:ind w:left="0" w:right="0" w:hanging="0"/>
              <w:jc w:val="right"/>
              <w:rPr/>
            </w:pPr>
            <w:r>
              <w:rPr/>
              <w:t>—</w:t>
            </w:r>
          </w:p>
        </w:tc>
        <w:tc>
          <w:tcPr>
            <w:tcW w:w="136" w:type="dxa"/>
            <w:tcBorders>
              <w:bottom w:val="single" w:sz="4" w:space="0" w:color="FFFFFF"/>
            </w:tcBorders>
            <w:shd w:fill="FFFFFF" w:val="clear"/>
            <w:vAlign w:val="bottom"/>
          </w:tcPr>
          <w:p>
            <w:pPr>
              <w:pStyle w:val="TableContents"/>
              <w:spacing w:before="0" w:after="283"/>
              <w:jc w:val="left"/>
              <w:rPr/>
            </w:pPr>
            <w:r>
              <w:rPr/>
              <w:t> </w:t>
            </w:r>
          </w:p>
        </w:tc>
      </w:tr>
      <w:tr>
        <w:trPr/>
        <w:tc>
          <w:tcPr>
            <w:tcW w:w="4828" w:type="dxa"/>
            <w:tcBorders/>
            <w:shd w:fill="CCFFCC" w:val="clear"/>
            <w:tcMar>
              <w:bottom w:w="0" w:type="dxa"/>
            </w:tcMar>
            <w:vAlign w:val="bottom"/>
          </w:tcPr>
          <w:p>
            <w:pPr>
              <w:pStyle w:val="TableContents"/>
              <w:spacing w:lineRule="auto" w:line="300" w:before="0" w:after="0"/>
              <w:ind w:left="0" w:right="16" w:hanging="0"/>
              <w:jc w:val="left"/>
              <w:rPr/>
            </w:pPr>
            <w:r>
              <w:rPr/>
              <w:t> </w:t>
            </w:r>
          </w:p>
        </w:tc>
        <w:tc>
          <w:tcPr>
            <w:tcW w:w="175" w:type="dxa"/>
            <w:tcBorders/>
            <w:shd w:fill="CCFFCC" w:val="clear"/>
            <w:tcMar>
              <w:bottom w:w="0" w:type="dxa"/>
            </w:tcMar>
            <w:vAlign w:val="center"/>
          </w:tcPr>
          <w:p>
            <w:pPr>
              <w:pStyle w:val="TableContents"/>
              <w:spacing w:before="0" w:after="283"/>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329"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291"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84" w:type="dxa"/>
            <w:tcBorders/>
            <w:shd w:fill="CCFFCC" w:val="clear"/>
            <w:tcMar>
              <w:bottom w:w="0" w:type="dxa"/>
            </w:tcMar>
            <w:vAlign w:val="bottom"/>
          </w:tcPr>
          <w:p>
            <w:pPr>
              <w:pStyle w:val="TableContents"/>
              <w:spacing w:before="0" w:after="283"/>
              <w:jc w:val="left"/>
              <w:rPr/>
            </w:pPr>
            <w:r>
              <w:rPr/>
              <w:t> </w:t>
            </w:r>
          </w:p>
        </w:tc>
        <w:tc>
          <w:tcPr>
            <w:tcW w:w="1594" w:type="dxa"/>
            <w:tcBorders/>
            <w:shd w:fill="CCFFCC" w:val="clear"/>
            <w:tcMar>
              <w:bottom w:w="0" w:type="dxa"/>
            </w:tcMar>
            <w:vAlign w:val="bottom"/>
          </w:tcPr>
          <w:p>
            <w:pPr>
              <w:pStyle w:val="TableContents"/>
              <w:spacing w:before="0" w:after="283"/>
              <w:rPr>
                <w:sz w:val="4"/>
                <w:szCs w:val="4"/>
              </w:rPr>
            </w:pPr>
            <w:r>
              <w:rPr>
                <w:sz w:val="4"/>
                <w:szCs w:val="4"/>
              </w:rPr>
            </w:r>
          </w:p>
        </w:tc>
        <w:tc>
          <w:tcPr>
            <w:tcW w:w="136" w:type="dxa"/>
            <w:tcBorders/>
            <w:shd w:fill="CCFFCC" w:val="clear"/>
            <w:tcMar>
              <w:bottom w:w="0" w:type="dxa"/>
            </w:tcMar>
            <w:vAlign w:val="bottom"/>
          </w:tcPr>
          <w:p>
            <w:pPr>
              <w:pStyle w:val="TableContents"/>
              <w:spacing w:before="0" w:after="283"/>
              <w:jc w:val="left"/>
              <w:rPr/>
            </w:pPr>
            <w:r>
              <w:rPr/>
              <w:t> </w:t>
            </w:r>
          </w:p>
        </w:tc>
      </w:tr>
      <w:tr>
        <w:trPr/>
        <w:tc>
          <w:tcPr>
            <w:tcW w:w="4828" w:type="dxa"/>
            <w:tcBorders>
              <w:bottom w:val="double" w:sz="2" w:space="0" w:color="FFFFFF"/>
            </w:tcBorders>
            <w:shd w:fill="FFFFFF" w:val="clear"/>
            <w:vAlign w:val="bottom"/>
          </w:tcPr>
          <w:p>
            <w:pPr>
              <w:pStyle w:val="TableContents"/>
              <w:spacing w:lineRule="auto" w:line="300" w:before="0" w:after="0"/>
              <w:ind w:left="360" w:right="16" w:hanging="360"/>
              <w:jc w:val="left"/>
              <w:rPr/>
            </w:pPr>
            <w:r>
              <w:rPr>
                <w:rStyle w:val="StrongEmphasis"/>
                <w:rFonts w:ascii="Times New Roman" w:hAnsi="Times New Roman"/>
                <w:sz w:val="20"/>
              </w:rPr>
              <w:t>Cash, end of period</w:t>
            </w:r>
          </w:p>
        </w:tc>
        <w:tc>
          <w:tcPr>
            <w:tcW w:w="175" w:type="dxa"/>
            <w:tcBorders>
              <w:bottom w:val="single" w:sz="4" w:space="0" w:color="FFFFFF"/>
            </w:tcBorders>
            <w:shd w:fill="FFFFFF" w:val="clear"/>
            <w:vAlign w:val="center"/>
          </w:tcPr>
          <w:p>
            <w:pPr>
              <w:pStyle w:val="TableContents"/>
              <w:spacing w:before="0" w:after="283"/>
              <w:rPr/>
            </w:pPr>
            <w:r>
              <w:rPr/>
              <w:t> </w:t>
            </w:r>
          </w:p>
        </w:tc>
        <w:tc>
          <w:tcPr>
            <w:tcW w:w="14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6,710,629</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4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91"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1,401,164</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8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9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6,710,629</w:t>
            </w:r>
          </w:p>
        </w:tc>
        <w:tc>
          <w:tcPr>
            <w:tcW w:w="136" w:type="dxa"/>
            <w:tcBorders>
              <w:bottom w:val="single" w:sz="4" w:space="0" w:color="FFFFFF"/>
            </w:tcBorders>
            <w:shd w:fill="FFFFFF" w:val="clear"/>
            <w:vAlign w:val="bottom"/>
          </w:tcPr>
          <w:p>
            <w:pPr>
              <w:pStyle w:val="TableContents"/>
              <w:spacing w:before="0" w:after="283"/>
              <w:jc w:val="left"/>
              <w:rPr/>
            </w:pPr>
            <w:r>
              <w:rPr/>
              <w:t> </w:t>
            </w:r>
          </w:p>
        </w:tc>
      </w:tr>
      <w:tr>
        <w:trPr/>
        <w:tc>
          <w:tcPr>
            <w:tcW w:w="4828" w:type="dxa"/>
            <w:tcBorders/>
            <w:shd w:fill="CCFFCC" w:val="clear"/>
            <w:tcMar>
              <w:bottom w:w="0" w:type="dxa"/>
            </w:tcMar>
            <w:vAlign w:val="bottom"/>
          </w:tcPr>
          <w:p>
            <w:pPr>
              <w:pStyle w:val="TableContents"/>
              <w:spacing w:lineRule="auto" w:line="300" w:before="0" w:after="0"/>
              <w:ind w:left="0" w:right="16" w:hanging="0"/>
              <w:jc w:val="left"/>
              <w:rPr/>
            </w:pPr>
            <w:r>
              <w:rPr/>
              <w:t> </w:t>
            </w:r>
          </w:p>
        </w:tc>
        <w:tc>
          <w:tcPr>
            <w:tcW w:w="175" w:type="dxa"/>
            <w:tcBorders/>
            <w:shd w:fill="CCFFCC" w:val="clear"/>
            <w:tcMar>
              <w:bottom w:w="0" w:type="dxa"/>
            </w:tcMar>
            <w:vAlign w:val="center"/>
          </w:tcPr>
          <w:p>
            <w:pPr>
              <w:pStyle w:val="TableContents"/>
              <w:spacing w:before="0" w:after="283"/>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329"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47" w:type="dxa"/>
            <w:tcBorders/>
            <w:shd w:fill="CCFFCC" w:val="clear"/>
            <w:tcMar>
              <w:bottom w:w="0" w:type="dxa"/>
            </w:tcMar>
            <w:vAlign w:val="bottom"/>
          </w:tcPr>
          <w:p>
            <w:pPr>
              <w:pStyle w:val="TableContents"/>
              <w:spacing w:before="0" w:after="283"/>
              <w:jc w:val="left"/>
              <w:rPr/>
            </w:pPr>
            <w:r>
              <w:rPr/>
              <w:t> </w:t>
            </w:r>
          </w:p>
        </w:tc>
        <w:tc>
          <w:tcPr>
            <w:tcW w:w="1291" w:type="dxa"/>
            <w:tcBorders/>
            <w:shd w:fill="CCFFCC" w:val="clear"/>
            <w:tcMar>
              <w:bottom w:w="0" w:type="dxa"/>
            </w:tcMar>
            <w:vAlign w:val="bottom"/>
          </w:tcPr>
          <w:p>
            <w:pPr>
              <w:pStyle w:val="TableContents"/>
              <w:spacing w:before="0" w:after="283"/>
              <w:rPr>
                <w:sz w:val="4"/>
                <w:szCs w:val="4"/>
              </w:rPr>
            </w:pPr>
            <w:r>
              <w:rPr>
                <w:sz w:val="4"/>
                <w:szCs w:val="4"/>
              </w:rPr>
            </w:r>
          </w:p>
        </w:tc>
        <w:tc>
          <w:tcPr>
            <w:tcW w:w="187" w:type="dxa"/>
            <w:tcBorders/>
            <w:shd w:fill="CCFFCC" w:val="clear"/>
            <w:tcMar>
              <w:bottom w:w="0" w:type="dxa"/>
            </w:tcMar>
            <w:vAlign w:val="bottom"/>
          </w:tcPr>
          <w:p>
            <w:pPr>
              <w:pStyle w:val="TableContents"/>
              <w:spacing w:before="0" w:after="283"/>
              <w:jc w:val="left"/>
              <w:rPr/>
            </w:pPr>
            <w:r>
              <w:rPr/>
              <w:t> </w:t>
            </w:r>
          </w:p>
        </w:tc>
        <w:tc>
          <w:tcPr>
            <w:tcW w:w="184" w:type="dxa"/>
            <w:tcBorders/>
            <w:shd w:fill="CCFFCC" w:val="clear"/>
            <w:tcMar>
              <w:bottom w:w="0" w:type="dxa"/>
            </w:tcMar>
            <w:vAlign w:val="bottom"/>
          </w:tcPr>
          <w:p>
            <w:pPr>
              <w:pStyle w:val="TableContents"/>
              <w:spacing w:before="0" w:after="283"/>
              <w:jc w:val="left"/>
              <w:rPr/>
            </w:pPr>
            <w:r>
              <w:rPr/>
              <w:t> </w:t>
            </w:r>
          </w:p>
        </w:tc>
        <w:tc>
          <w:tcPr>
            <w:tcW w:w="1594" w:type="dxa"/>
            <w:tcBorders/>
            <w:shd w:fill="CCFFCC" w:val="clear"/>
            <w:tcMar>
              <w:bottom w:w="0" w:type="dxa"/>
            </w:tcMar>
            <w:vAlign w:val="bottom"/>
          </w:tcPr>
          <w:p>
            <w:pPr>
              <w:pStyle w:val="TableContents"/>
              <w:spacing w:before="0" w:after="283"/>
              <w:rPr>
                <w:sz w:val="4"/>
                <w:szCs w:val="4"/>
              </w:rPr>
            </w:pPr>
            <w:r>
              <w:rPr>
                <w:sz w:val="4"/>
                <w:szCs w:val="4"/>
              </w:rPr>
            </w:r>
          </w:p>
        </w:tc>
        <w:tc>
          <w:tcPr>
            <w:tcW w:w="136" w:type="dxa"/>
            <w:tcBorders/>
            <w:shd w:fill="CCFFCC" w:val="clear"/>
            <w:tcMar>
              <w:bottom w:w="0" w:type="dxa"/>
            </w:tcMar>
            <w:vAlign w:val="bottom"/>
          </w:tcPr>
          <w:p>
            <w:pPr>
              <w:pStyle w:val="TableContents"/>
              <w:spacing w:before="0" w:after="283"/>
              <w:jc w:val="left"/>
              <w:rPr/>
            </w:pPr>
            <w:r>
              <w:rPr/>
              <w:t> </w:t>
            </w:r>
          </w:p>
        </w:tc>
      </w:tr>
      <w:tr>
        <w:trPr/>
        <w:tc>
          <w:tcPr>
            <w:tcW w:w="4828" w:type="dxa"/>
            <w:tcBorders/>
            <w:shd w:fill="FFFFFF" w:val="clear"/>
            <w:tcMar>
              <w:bottom w:w="0" w:type="dxa"/>
            </w:tcMar>
            <w:vAlign w:val="bottom"/>
          </w:tcPr>
          <w:p>
            <w:pPr>
              <w:pStyle w:val="TableContents"/>
              <w:spacing w:lineRule="auto" w:line="300" w:before="0" w:after="0"/>
              <w:ind w:left="360" w:right="16" w:hanging="360"/>
              <w:jc w:val="left"/>
              <w:rPr/>
            </w:pPr>
            <w:r>
              <w:rPr>
                <w:rStyle w:val="StrongEmphasis"/>
                <w:rFonts w:ascii="Times New Roman" w:hAnsi="Times New Roman"/>
                <w:sz w:val="20"/>
              </w:rPr>
              <w:t>Supplemental disclosure of cash flow information:</w:t>
            </w:r>
          </w:p>
        </w:tc>
        <w:tc>
          <w:tcPr>
            <w:tcW w:w="175" w:type="dxa"/>
            <w:tcBorders/>
            <w:shd w:fill="FFFFFF" w:val="clear"/>
            <w:tcMar>
              <w:bottom w:w="0" w:type="dxa"/>
            </w:tcMar>
            <w:vAlign w:val="center"/>
          </w:tcPr>
          <w:p>
            <w:pPr>
              <w:pStyle w:val="TableContents"/>
              <w:spacing w:before="0" w:after="283"/>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329" w:type="dxa"/>
            <w:tcBorders/>
            <w:shd w:fill="FFFFFF" w:val="clear"/>
            <w:tcMar>
              <w:bottom w:w="0" w:type="dxa"/>
            </w:tcMar>
            <w:vAlign w:val="bottom"/>
          </w:tcPr>
          <w:p>
            <w:pPr>
              <w:pStyle w:val="TableContents"/>
              <w:spacing w:before="0" w:after="283"/>
              <w:rPr>
                <w:sz w:val="4"/>
                <w:szCs w:val="4"/>
              </w:rPr>
            </w:pPr>
            <w:r>
              <w:rPr>
                <w:sz w:val="4"/>
                <w:szCs w:val="4"/>
              </w:rPr>
            </w:r>
          </w:p>
        </w:tc>
        <w:tc>
          <w:tcPr>
            <w:tcW w:w="187" w:type="dxa"/>
            <w:tcBorders/>
            <w:shd w:fill="FFFFFF" w:val="clear"/>
            <w:tcMar>
              <w:bottom w:w="0" w:type="dxa"/>
            </w:tcMar>
            <w:vAlign w:val="bottom"/>
          </w:tcPr>
          <w:p>
            <w:pPr>
              <w:pStyle w:val="TableContents"/>
              <w:spacing w:before="0" w:after="283"/>
              <w:jc w:val="left"/>
              <w:rPr/>
            </w:pPr>
            <w:r>
              <w:rPr/>
              <w:t> </w:t>
            </w:r>
          </w:p>
        </w:tc>
        <w:tc>
          <w:tcPr>
            <w:tcW w:w="147" w:type="dxa"/>
            <w:tcBorders/>
            <w:shd w:fill="FFFFFF" w:val="clear"/>
            <w:tcMar>
              <w:bottom w:w="0" w:type="dxa"/>
            </w:tcMar>
            <w:vAlign w:val="bottom"/>
          </w:tcPr>
          <w:p>
            <w:pPr>
              <w:pStyle w:val="TableContents"/>
              <w:spacing w:before="0" w:after="283"/>
              <w:jc w:val="left"/>
              <w:rPr/>
            </w:pPr>
            <w:r>
              <w:rPr/>
              <w:t> </w:t>
            </w:r>
          </w:p>
        </w:tc>
        <w:tc>
          <w:tcPr>
            <w:tcW w:w="1291" w:type="dxa"/>
            <w:tcBorders/>
            <w:shd w:fill="FFFFFF" w:val="clear"/>
            <w:tcMar>
              <w:bottom w:w="0" w:type="dxa"/>
            </w:tcMar>
            <w:vAlign w:val="bottom"/>
          </w:tcPr>
          <w:p>
            <w:pPr>
              <w:pStyle w:val="TableContents"/>
              <w:spacing w:before="0" w:after="283"/>
              <w:rPr>
                <w:sz w:val="4"/>
                <w:szCs w:val="4"/>
              </w:rPr>
            </w:pPr>
            <w:r>
              <w:rPr>
                <w:sz w:val="4"/>
                <w:szCs w:val="4"/>
              </w:rPr>
            </w:r>
          </w:p>
        </w:tc>
        <w:tc>
          <w:tcPr>
            <w:tcW w:w="187"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1594" w:type="dxa"/>
            <w:tcBorders/>
            <w:shd w:fill="FFFFFF" w:val="clear"/>
            <w:tcMar>
              <w:bottom w:w="0" w:type="dxa"/>
            </w:tcMar>
            <w:vAlign w:val="bottom"/>
          </w:tcPr>
          <w:p>
            <w:pPr>
              <w:pStyle w:val="TableContents"/>
              <w:spacing w:before="0" w:after="283"/>
              <w:rPr>
                <w:sz w:val="4"/>
                <w:szCs w:val="4"/>
              </w:rPr>
            </w:pPr>
            <w:r>
              <w:rPr>
                <w:sz w:val="4"/>
                <w:szCs w:val="4"/>
              </w:rPr>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828" w:type="dxa"/>
            <w:tcBorders>
              <w:bottom w:val="double" w:sz="2" w:space="0" w:color="CCFFCC"/>
            </w:tcBorders>
            <w:shd w:fill="CCFFCC" w:val="clear"/>
            <w:vAlign w:val="bottom"/>
          </w:tcPr>
          <w:p>
            <w:pPr>
              <w:pStyle w:val="TableContents"/>
              <w:spacing w:lineRule="auto" w:line="300" w:before="0" w:after="0"/>
              <w:ind w:left="360" w:right="16" w:hanging="0"/>
              <w:jc w:val="left"/>
              <w:rPr>
                <w:rFonts w:ascii="Times New Roman" w:hAnsi="Times New Roman"/>
                <w:sz w:val="20"/>
              </w:rPr>
            </w:pPr>
            <w:r>
              <w:rPr>
                <w:rFonts w:ascii="Times New Roman" w:hAnsi="Times New Roman"/>
                <w:sz w:val="20"/>
              </w:rPr>
              <w:t>(Revaluation) issuance of common stock and warrants to consulting firms for prepaid consulting fees, net</w:t>
            </w:r>
          </w:p>
        </w:tc>
        <w:tc>
          <w:tcPr>
            <w:tcW w:w="175" w:type="dxa"/>
            <w:tcBorders>
              <w:bottom w:val="single" w:sz="4" w:space="0" w:color="CCFFCC"/>
            </w:tcBorders>
            <w:shd w:fill="CCFFCC" w:val="clear"/>
            <w:vAlign w:val="center"/>
          </w:tcPr>
          <w:p>
            <w:pPr>
              <w:pStyle w:val="TableContents"/>
              <w:spacing w:before="0" w:after="283"/>
              <w:rPr/>
            </w:pPr>
            <w:r>
              <w:rPr/>
              <w:t> </w:t>
            </w:r>
          </w:p>
        </w:tc>
        <w:tc>
          <w:tcPr>
            <w:tcW w:w="147"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(46,190</w:t>
            </w:r>
          </w:p>
        </w:tc>
        <w:tc>
          <w:tcPr>
            <w:tcW w:w="187" w:type="dxa"/>
            <w:tcBorders>
              <w:bottom w:val="single" w:sz="4" w:space="0" w:color="CCFFCC"/>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47"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91" w:type="dxa"/>
            <w:tcBorders>
              <w:bottom w:val="double" w:sz="2" w:space="0" w:color="000000"/>
            </w:tcBorders>
            <w:shd w:fill="CCFFCC" w:val="clear"/>
            <w:vAlign w:val="bottom"/>
          </w:tcPr>
          <w:p>
            <w:pPr>
              <w:pStyle w:val="TableContents"/>
              <w:spacing w:lineRule="auto" w:line="300" w:before="0" w:after="0"/>
              <w:ind w:left="0" w:right="0" w:hanging="0"/>
              <w:jc w:val="right"/>
              <w:rPr/>
            </w:pPr>
            <w:r>
              <w:rPr/>
              <w:t>—</w:t>
            </w:r>
          </w:p>
        </w:tc>
        <w:tc>
          <w:tcPr>
            <w:tcW w:w="187" w:type="dxa"/>
            <w:tcBorders>
              <w:bottom w:val="single" w:sz="4" w:space="0" w:color="CCFFCC"/>
            </w:tcBorders>
            <w:shd w:fill="CCFFCC" w:val="clear"/>
            <w:vAlign w:val="bottom"/>
          </w:tcPr>
          <w:p>
            <w:pPr>
              <w:pStyle w:val="TableContents"/>
              <w:spacing w:before="0" w:after="283"/>
              <w:rPr>
                <w:sz w:val="4"/>
                <w:szCs w:val="4"/>
              </w:rPr>
            </w:pPr>
            <w:r>
              <w:rPr>
                <w:sz w:val="4"/>
                <w:szCs w:val="4"/>
              </w:rPr>
            </w:r>
          </w:p>
        </w:tc>
        <w:tc>
          <w:tcPr>
            <w:tcW w:w="184"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94"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503,810</w:t>
            </w:r>
          </w:p>
        </w:tc>
        <w:tc>
          <w:tcPr>
            <w:tcW w:w="136" w:type="dxa"/>
            <w:tcBorders>
              <w:bottom w:val="single" w:sz="4" w:space="0" w:color="CCFFCC"/>
            </w:tcBorders>
            <w:shd w:fill="CCFFCC" w:val="clear"/>
            <w:vAlign w:val="bottom"/>
          </w:tcPr>
          <w:p>
            <w:pPr>
              <w:pStyle w:val="TableContents"/>
              <w:spacing w:before="0" w:after="283"/>
              <w:jc w:val="left"/>
              <w:rPr/>
            </w:pPr>
            <w:r>
              <w:rPr/>
              <w:t> </w:t>
            </w:r>
          </w:p>
        </w:tc>
      </w:tr>
      <w:tr>
        <w:trPr/>
        <w:tc>
          <w:tcPr>
            <w:tcW w:w="4828" w:type="dxa"/>
            <w:tcBorders>
              <w:bottom w:val="double" w:sz="2" w:space="0" w:color="FFFFFF"/>
            </w:tcBorders>
            <w:shd w:fill="FFFFFF" w:val="clear"/>
            <w:vAlign w:val="bottom"/>
          </w:tcPr>
          <w:p>
            <w:pPr>
              <w:pStyle w:val="TableContents"/>
              <w:spacing w:lineRule="auto" w:line="300" w:before="0" w:after="0"/>
              <w:ind w:left="360" w:right="16" w:hanging="0"/>
              <w:jc w:val="left"/>
              <w:rPr>
                <w:rFonts w:ascii="Times New Roman" w:hAnsi="Times New Roman"/>
                <w:sz w:val="20"/>
              </w:rPr>
            </w:pPr>
            <w:r>
              <w:rPr>
                <w:rFonts w:ascii="Times New Roman" w:hAnsi="Times New Roman"/>
                <w:sz w:val="20"/>
              </w:rPr>
              <w:t>Conversion of notes payable and accrued interest into common stock</w:t>
            </w:r>
          </w:p>
        </w:tc>
        <w:tc>
          <w:tcPr>
            <w:tcW w:w="175" w:type="dxa"/>
            <w:tcBorders>
              <w:bottom w:val="single" w:sz="4" w:space="0" w:color="FFFFFF"/>
            </w:tcBorders>
            <w:shd w:fill="FFFFFF" w:val="clear"/>
            <w:vAlign w:val="center"/>
          </w:tcPr>
          <w:p>
            <w:pPr>
              <w:pStyle w:val="TableContents"/>
              <w:spacing w:before="0" w:after="283"/>
              <w:rPr/>
            </w:pPr>
            <w:r>
              <w:rPr/>
              <w:t> </w:t>
            </w:r>
          </w:p>
        </w:tc>
        <w:tc>
          <w:tcPr>
            <w:tcW w:w="14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2" w:space="0" w:color="000000"/>
            </w:tcBorders>
            <w:shd w:fill="FFFFFF" w:val="clear"/>
            <w:vAlign w:val="bottom"/>
          </w:tcPr>
          <w:p>
            <w:pPr>
              <w:pStyle w:val="TableContents"/>
              <w:spacing w:lineRule="auto" w:line="300" w:before="0" w:after="0"/>
              <w:ind w:left="0" w:right="0" w:hanging="0"/>
              <w:jc w:val="right"/>
              <w:rPr/>
            </w:pPr>
            <w:r>
              <w:rPr/>
              <w:t>—</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4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91" w:type="dxa"/>
            <w:tcBorders>
              <w:bottom w:val="double" w:sz="2" w:space="0" w:color="000000"/>
            </w:tcBorders>
            <w:shd w:fill="FFFFFF" w:val="clear"/>
            <w:vAlign w:val="bottom"/>
          </w:tcPr>
          <w:p>
            <w:pPr>
              <w:pStyle w:val="TableContents"/>
              <w:spacing w:lineRule="auto" w:line="300" w:before="0" w:after="0"/>
              <w:ind w:left="0" w:right="0" w:hanging="0"/>
              <w:jc w:val="right"/>
              <w:rPr/>
            </w:pPr>
            <w:r>
              <w:rPr/>
              <w:t>—</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8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9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1,530,177</w:t>
            </w:r>
          </w:p>
        </w:tc>
        <w:tc>
          <w:tcPr>
            <w:tcW w:w="136" w:type="dxa"/>
            <w:tcBorders>
              <w:bottom w:val="single" w:sz="4" w:space="0" w:color="FFFFFF"/>
            </w:tcBorders>
            <w:shd w:fill="FFFFFF" w:val="clear"/>
            <w:vAlign w:val="bottom"/>
          </w:tcPr>
          <w:p>
            <w:pPr>
              <w:pStyle w:val="TableContents"/>
              <w:spacing w:before="0" w:after="283"/>
              <w:jc w:val="left"/>
              <w:rPr/>
            </w:pPr>
            <w:r>
              <w:rPr/>
              <w:t> </w:t>
            </w:r>
          </w:p>
        </w:tc>
      </w:tr>
      <w:tr>
        <w:trPr/>
        <w:tc>
          <w:tcPr>
            <w:tcW w:w="4828" w:type="dxa"/>
            <w:tcBorders>
              <w:bottom w:val="double" w:sz="2" w:space="0" w:color="CCFFCC"/>
            </w:tcBorders>
            <w:shd w:fill="CCFFCC" w:val="clear"/>
            <w:vAlign w:val="bottom"/>
          </w:tcPr>
          <w:p>
            <w:pPr>
              <w:pStyle w:val="TableContents"/>
              <w:spacing w:lineRule="auto" w:line="300" w:before="0" w:after="0"/>
              <w:ind w:left="360" w:right="16" w:hanging="0"/>
              <w:jc w:val="left"/>
              <w:rPr>
                <w:rFonts w:ascii="Times New Roman" w:hAnsi="Times New Roman"/>
                <w:sz w:val="20"/>
              </w:rPr>
            </w:pPr>
            <w:r>
              <w:rPr>
                <w:rFonts w:ascii="Times New Roman" w:hAnsi="Times New Roman"/>
                <w:sz w:val="20"/>
              </w:rPr>
              <w:t>Forgiveness of notes payable and accrued interest to shareholders</w:t>
            </w:r>
          </w:p>
        </w:tc>
        <w:tc>
          <w:tcPr>
            <w:tcW w:w="175" w:type="dxa"/>
            <w:tcBorders>
              <w:bottom w:val="single" w:sz="4" w:space="0" w:color="CCFFCC"/>
            </w:tcBorders>
            <w:shd w:fill="CCFFCC" w:val="clear"/>
            <w:vAlign w:val="center"/>
          </w:tcPr>
          <w:p>
            <w:pPr>
              <w:pStyle w:val="TableContents"/>
              <w:spacing w:before="0" w:after="283"/>
              <w:rPr/>
            </w:pPr>
            <w:r>
              <w:rPr/>
              <w:t> </w:t>
            </w:r>
          </w:p>
        </w:tc>
        <w:tc>
          <w:tcPr>
            <w:tcW w:w="147"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2" w:space="0" w:color="000000"/>
            </w:tcBorders>
            <w:shd w:fill="CCFFCC" w:val="clear"/>
            <w:vAlign w:val="bottom"/>
          </w:tcPr>
          <w:p>
            <w:pPr>
              <w:pStyle w:val="TableContents"/>
              <w:spacing w:lineRule="auto" w:line="300" w:before="0" w:after="0"/>
              <w:ind w:left="0" w:right="0" w:hanging="0"/>
              <w:jc w:val="right"/>
              <w:rPr/>
            </w:pPr>
            <w:r>
              <w:rPr/>
              <w:t>—</w:t>
            </w:r>
          </w:p>
        </w:tc>
        <w:tc>
          <w:tcPr>
            <w:tcW w:w="187" w:type="dxa"/>
            <w:tcBorders>
              <w:bottom w:val="single" w:sz="4" w:space="0" w:color="CCFFCC"/>
            </w:tcBorders>
            <w:shd w:fill="CCFFCC" w:val="clear"/>
            <w:vAlign w:val="bottom"/>
          </w:tcPr>
          <w:p>
            <w:pPr>
              <w:pStyle w:val="TableContents"/>
              <w:spacing w:before="0" w:after="283"/>
              <w:jc w:val="left"/>
              <w:rPr/>
            </w:pPr>
            <w:r>
              <w:rPr/>
              <w:t> </w:t>
            </w:r>
          </w:p>
        </w:tc>
        <w:tc>
          <w:tcPr>
            <w:tcW w:w="147"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91"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241,701</w:t>
            </w:r>
          </w:p>
        </w:tc>
        <w:tc>
          <w:tcPr>
            <w:tcW w:w="187" w:type="dxa"/>
            <w:tcBorders>
              <w:bottom w:val="single" w:sz="4" w:space="0" w:color="CCFFCC"/>
            </w:tcBorders>
            <w:shd w:fill="CCFFCC" w:val="clear"/>
            <w:vAlign w:val="bottom"/>
          </w:tcPr>
          <w:p>
            <w:pPr>
              <w:pStyle w:val="TableContents"/>
              <w:spacing w:before="0" w:after="283"/>
              <w:jc w:val="left"/>
              <w:rPr/>
            </w:pPr>
            <w:r>
              <w:rPr/>
              <w:t> </w:t>
            </w:r>
          </w:p>
        </w:tc>
        <w:tc>
          <w:tcPr>
            <w:tcW w:w="184"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94"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241,701</w:t>
            </w:r>
          </w:p>
        </w:tc>
        <w:tc>
          <w:tcPr>
            <w:tcW w:w="136" w:type="dxa"/>
            <w:tcBorders>
              <w:bottom w:val="single" w:sz="4" w:space="0" w:color="CCFFCC"/>
            </w:tcBorders>
            <w:shd w:fill="CCFFCC" w:val="clear"/>
            <w:vAlign w:val="bottom"/>
          </w:tcPr>
          <w:p>
            <w:pPr>
              <w:pStyle w:val="TableContents"/>
              <w:spacing w:before="0" w:after="283"/>
              <w:jc w:val="left"/>
              <w:rPr/>
            </w:pPr>
            <w:r>
              <w:rPr/>
              <w:t> </w:t>
            </w:r>
          </w:p>
        </w:tc>
      </w:tr>
      <w:tr>
        <w:trPr/>
        <w:tc>
          <w:tcPr>
            <w:tcW w:w="4828" w:type="dxa"/>
            <w:tcBorders>
              <w:bottom w:val="double" w:sz="2" w:space="0" w:color="FFFFFF"/>
            </w:tcBorders>
            <w:shd w:fill="FFFFFF" w:val="clear"/>
            <w:vAlign w:val="bottom"/>
          </w:tcPr>
          <w:p>
            <w:pPr>
              <w:pStyle w:val="TableContents"/>
              <w:spacing w:lineRule="auto" w:line="300" w:before="0" w:after="0"/>
              <w:ind w:left="360" w:right="16" w:hanging="0"/>
              <w:jc w:val="left"/>
              <w:rPr>
                <w:rFonts w:ascii="Times New Roman" w:hAnsi="Times New Roman"/>
                <w:sz w:val="20"/>
              </w:rPr>
            </w:pPr>
            <w:r>
              <w:rPr>
                <w:rFonts w:ascii="Times New Roman" w:hAnsi="Times New Roman"/>
                <w:sz w:val="20"/>
              </w:rPr>
              <w:t>Conversion of notes payable to shareholders</w:t>
            </w:r>
          </w:p>
        </w:tc>
        <w:tc>
          <w:tcPr>
            <w:tcW w:w="175" w:type="dxa"/>
            <w:tcBorders>
              <w:bottom w:val="single" w:sz="4" w:space="0" w:color="FFFFFF"/>
            </w:tcBorders>
            <w:shd w:fill="FFFFFF" w:val="clear"/>
            <w:vAlign w:val="center"/>
          </w:tcPr>
          <w:p>
            <w:pPr>
              <w:pStyle w:val="TableContents"/>
              <w:spacing w:before="0" w:after="283"/>
              <w:rPr/>
            </w:pPr>
            <w:r>
              <w:rPr/>
              <w:t> </w:t>
            </w:r>
          </w:p>
        </w:tc>
        <w:tc>
          <w:tcPr>
            <w:tcW w:w="14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2" w:space="0" w:color="000000"/>
            </w:tcBorders>
            <w:shd w:fill="FFFFFF" w:val="clear"/>
            <w:vAlign w:val="bottom"/>
          </w:tcPr>
          <w:p>
            <w:pPr>
              <w:pStyle w:val="TableContents"/>
              <w:spacing w:lineRule="auto" w:line="300" w:before="0" w:after="0"/>
              <w:ind w:left="0" w:right="0" w:hanging="0"/>
              <w:jc w:val="right"/>
              <w:rPr/>
            </w:pPr>
            <w:r>
              <w:rPr/>
              <w:t>—</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47"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91" w:type="dxa"/>
            <w:tcBorders>
              <w:bottom w:val="double" w:sz="2" w:space="0" w:color="000000"/>
            </w:tcBorders>
            <w:shd w:fill="FFFFFF" w:val="clear"/>
            <w:vAlign w:val="bottom"/>
          </w:tcPr>
          <w:p>
            <w:pPr>
              <w:pStyle w:val="TableContents"/>
              <w:spacing w:lineRule="auto" w:line="300" w:before="0" w:after="0"/>
              <w:ind w:left="0" w:right="0" w:hanging="0"/>
              <w:jc w:val="right"/>
              <w:rPr/>
            </w:pPr>
            <w:r>
              <w:rPr/>
              <w:t>—</w:t>
            </w:r>
          </w:p>
        </w:tc>
        <w:tc>
          <w:tcPr>
            <w:tcW w:w="187" w:type="dxa"/>
            <w:tcBorders>
              <w:bottom w:val="single" w:sz="4" w:space="0" w:color="FFFFFF"/>
            </w:tcBorders>
            <w:shd w:fill="FFFFFF" w:val="clear"/>
            <w:vAlign w:val="bottom"/>
          </w:tcPr>
          <w:p>
            <w:pPr>
              <w:pStyle w:val="TableContents"/>
              <w:spacing w:before="0" w:after="283"/>
              <w:jc w:val="left"/>
              <w:rPr/>
            </w:pPr>
            <w:r>
              <w:rPr/>
              <w:t> </w:t>
            </w:r>
          </w:p>
        </w:tc>
        <w:tc>
          <w:tcPr>
            <w:tcW w:w="184" w:type="dxa"/>
            <w:tcBorders>
              <w:bottom w:val="double" w:sz="2" w:space="0" w:color="000000"/>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594"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196,300</w:t>
            </w:r>
          </w:p>
        </w:tc>
        <w:tc>
          <w:tcPr>
            <w:tcW w:w="136"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ind w:left="0" w:right="0" w:hanging="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ind w:left="0" w:right="0" w:hanging="0"/>
        <w:jc w:val="center"/>
        <w:rPr/>
      </w:pPr>
      <w:r>
        <w:rPr/>
      </w:r>
      <w:bookmarkStart w:id="50" w:name="PGBRK3"/>
      <w:bookmarkStart w:id="51" w:name="PGBRK3"/>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center"/>
        <w:rPr/>
      </w:pPr>
      <w:r>
        <w:rPr/>
      </w:r>
      <w:bookmarkStart w:id="52" w:name="FTR3"/>
      <w:bookmarkStart w:id="53" w:name="FTR3"/>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center"/>
        <w:rPr/>
      </w:pPr>
      <w:r>
        <w:rPr/>
      </w:r>
      <w:bookmarkStart w:id="54" w:name="GLFTR3"/>
      <w:bookmarkStart w:id="55" w:name="GLFTR3"/>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sz w:val="20"/>
        </w:rPr>
      </w:pPr>
      <w:bookmarkStart w:id="56" w:name="PN3"/>
      <w:bookmarkEnd w:id="56"/>
      <w:r>
        <w:rPr>
          <w:sz w:val="20"/>
        </w:rPr>
        <w:t>4</w:t>
      </w:r>
    </w:p>
    <w:p>
      <w:pPr>
        <w:pStyle w:val="HorizontalLine"/>
        <w:pBdr>
          <w:bottom w:val="single" w:sz="12" w:space="0" w:color="808080"/>
        </w:pBdr>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center"/>
        <w:rPr/>
      </w:pPr>
      <w:r>
        <w:rPr/>
      </w:r>
      <w:bookmarkStart w:id="57" w:name="HDR3"/>
      <w:bookmarkStart w:id="58" w:name="HDR3"/>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center"/>
        <w:rPr/>
      </w:pPr>
      <w:r>
        <w:rPr/>
      </w:r>
      <w:bookmarkStart w:id="59" w:name="GLHDR3"/>
      <w:bookmarkStart w:id="60" w:name="GLHDR3"/>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r>
        <w:rPr>
          <w:rStyle w:val="StrongEmphasis"/>
          <w:rFonts w:ascii="Times New Roman" w:hAnsi="Times New Roman"/>
          <w:sz w:val="20"/>
        </w:rPr>
        <w:t>TRANSDEL PHARMACEUTICALS, INC.</w:t>
      </w:r>
    </w:p>
    <w:p>
      <w:pPr>
        <w:pStyle w:val="TextBody"/>
        <w:spacing w:lineRule="auto" w:line="300" w:before="0" w:after="0"/>
        <w:ind w:left="0" w:right="0" w:hanging="0"/>
        <w:jc w:val="center"/>
        <w:rPr/>
      </w:pPr>
      <w:r>
        <w:rPr>
          <w:rStyle w:val="StrongEmphasis"/>
          <w:rFonts w:ascii="Times New Roman" w:hAnsi="Times New Roman"/>
          <w:sz w:val="20"/>
        </w:rPr>
        <w:t>(A Development Stage Company)</w:t>
      </w:r>
    </w:p>
    <w:p>
      <w:pPr>
        <w:pStyle w:val="TextBody"/>
        <w:spacing w:lineRule="auto" w:line="300" w:before="0" w:after="0"/>
        <w:ind w:left="0" w:right="0" w:hanging="0"/>
        <w:jc w:val="center"/>
        <w:rPr/>
      </w:pPr>
      <w:r>
        <w:rPr>
          <w:rStyle w:val="StrongEmphasis"/>
          <w:rFonts w:ascii="Times New Roman" w:hAnsi="Times New Roman"/>
          <w:sz w:val="20"/>
        </w:rPr>
        <w:t>NOTES TO THE UNAUDITED CONDENSED CONSOLIDATED FINANCIAL STATEMENTS</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Style w:val="StrongEmphasis"/>
          <w:rFonts w:ascii="Times New Roman" w:hAnsi="Times New Roman"/>
          <w:sz w:val="20"/>
        </w:rPr>
        <w:t>Note 1.    Business Description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rPr>
        <w:t xml:space="preserve">Transdel Pharmaceuticals, Inc. (“Transdel” or the “Company”) is a specialty pharmaceutical company focused on the development and commercialization of non-invasive topically delivered medications. The Company’s lead topical drug, Ketotransdel </w:t>
      </w:r>
      <w:r>
        <w:rPr>
          <w:rFonts w:ascii="Times New Roman" w:hAnsi="Times New Roman"/>
          <w:position w:val="5"/>
          <w:sz w:val="13"/>
          <w:sz w:val="16"/>
        </w:rPr>
        <w:t>TM</w:t>
      </w:r>
      <w:r>
        <w:rPr>
          <w:rFonts w:ascii="Times New Roman" w:hAnsi="Times New Roman"/>
          <w:sz w:val="20"/>
        </w:rPr>
        <w:t xml:space="preserve">, utilizes the Company’s proprietary Transdel </w:t>
      </w:r>
      <w:r>
        <w:rPr>
          <w:rFonts w:ascii="Times New Roman" w:hAnsi="Times New Roman"/>
          <w:position w:val="5"/>
          <w:sz w:val="13"/>
          <w:sz w:val="16"/>
        </w:rPr>
        <w:t>TM</w:t>
      </w:r>
      <w:r>
        <w:rPr/>
        <w:t xml:space="preserve"> </w:t>
      </w:r>
      <w:r>
        <w:rPr>
          <w:rFonts w:ascii="Times New Roman" w:hAnsi="Times New Roman"/>
          <w:sz w:val="20"/>
        </w:rPr>
        <w:t xml:space="preserve">cream formulation to facilitate the passage of ketoprofen, a non-steroidal anti-inflammatory drug (“NSAID”), through the skin barrier to reach targeted underlying tissue where the drug exerts its prolonged localized anti-inflammatory and analgesic effect. The Company is also investigating other drug candidates and treatments for transdermal delivery using the Transdel </w:t>
      </w:r>
      <w:r>
        <w:rPr>
          <w:rFonts w:ascii="Times New Roman" w:hAnsi="Times New Roman"/>
          <w:position w:val="5"/>
          <w:sz w:val="13"/>
          <w:sz w:val="16"/>
        </w:rPr>
        <w:t>TM</w:t>
      </w:r>
      <w:r>
        <w:rPr/>
        <w:t xml:space="preserve"> </w:t>
      </w:r>
      <w:r>
        <w:rPr>
          <w:rFonts w:ascii="Times New Roman" w:hAnsi="Times New Roman"/>
          <w:sz w:val="20"/>
        </w:rPr>
        <w:t>platform technology for products in pain management and other therapeutic areas.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Note 2. Basis of Presentation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Company has prepared the accompanying unaudited condensed consolidated financial statements in accordance with United States generally accepted accounting principles (“GAAP”) for interim financial information and with the rules and regulations of the Securities and Exchange Commission (the “SEC”) related to a Quarterly Report on Form 10-Q and Article 8 of Regulation S-X. Accordingly, they do not include all of the information and disclosures required by GAAP for annual financial statements.   The consolidated financial statements include the accounts of Transdel and its wholly owned subsidiary, Transdel Pharmaceuticals Holdings, Inc. (formerly known as Trans-Pharma Corporation). All significant intercompany balances and transactions have been eliminated in consolidation. In the opinion of the Company’s management, the accompanying condensed consolidated financial statements contain all the adjustments necessary (consisting only of normal recurring accruals) to make the financial position of the Company as of June 30, 2008, the results of operations for three and six months ended June 30, 2008 and 2007, and cash flows for the six months ended June 30, 2008 and 2007, fairly stated. The condensed consolidated financial statements should be read in conjunction with the audited financial statements for the year ended December 31, 2007 contained in Form 10-KSB filed on March 26, 2008 with the SEC. Interim operating results are not necessarily indicative of operating results for the full year.</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Style w:val="StrongEmphasis"/>
          <w:rFonts w:ascii="Times New Roman" w:hAnsi="Times New Roman"/>
          <w:sz w:val="20"/>
        </w:rPr>
        <w:t>Note 3. Merger with Public Company and Reorganization</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On September 17, 2007, Transdel entered into an Agreement of Merger and Plan of Reorganization (the “Merger Agreement”) by and among Transdel, Transdel Pharmaceuticals Holdings, Inc., a privately held Nevada corporation (“Transdel Holdings”), and Trans-Pharma Acquisition Corp., a newly formed, wholly owned Delaware subsidiary of Transdel (“Acquisition Sub”). Upon closing of the merger transaction contemplated under the Merger Agreement (the “Merger”), Acquisition Sub merged with and into Transdel Holdings, and Transdel Holdings, as the surviving corporation, became a wholly owned subsidiary of Transdel.</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 connection with the Merger, 1,849,993 shares of Transdel common stock remain outstanding and all other outstanding shares of Transdel were cancelled. Also, at the closing of the Merger, each share of Transdel Holdings common stock issued and outstanding immediately prior to the closing of the Merger was exchanged for the right to receive 0.15625 of one share of Transdel’s common stock. An aggregate of 8,000,000 shares of Transdel’s common stock, which included 195,313 shares of restricted stock which were subject to forfeiture (see Note 7), were issued to the holders of Transdel Holdings’ common stock. As a result of the transaction, the former owners of Transdel Holdings became the controlling stockholders of Transdel. Accordingly, the merger of Transdel Holdings and Transdel is a reverse merger that has been accounted for as a recapitalization of Transdel Holdings.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Effective on September 17, 2007, and for all reporting periods thereafter, Transdel’s operating activities, including any prior comparative period, will include only those of Transdel Holdings. All references to shares and per share amounts in the accompanying condensed consolidated financial statements have been restated to reflect the aforementioned share exchange.</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 w:name="PGBRK4"/>
      <w:bookmarkStart w:id="62" w:name="PGBRK4"/>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 w:name="FTR4"/>
      <w:bookmarkStart w:id="64" w:name="FTR4"/>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 w:name="GLFTR4"/>
      <w:bookmarkStart w:id="66" w:name="GLFTR4"/>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67" w:name="PN4"/>
      <w:bookmarkEnd w:id="67"/>
      <w:r>
        <w:rPr>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HDR4"/>
      <w:bookmarkStart w:id="69" w:name="HDR4"/>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 w:name="GLHDR4"/>
      <w:bookmarkStart w:id="71" w:name="GLHDR4"/>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r>
        <w:rPr>
          <w:rStyle w:val="StrongEmphasis"/>
          <w:rFonts w:ascii="Times New Roman" w:hAnsi="Times New Roman"/>
          <w:sz w:val="20"/>
        </w:rPr>
        <w:t>TRANSDEL PHARMACEUTICALS, INC.</w:t>
      </w:r>
    </w:p>
    <w:p>
      <w:pPr>
        <w:pStyle w:val="TextBody"/>
        <w:spacing w:lineRule="auto" w:line="300" w:before="0" w:after="0"/>
        <w:ind w:left="0" w:right="0" w:hanging="0"/>
        <w:jc w:val="center"/>
        <w:rPr/>
      </w:pPr>
      <w:r>
        <w:rPr>
          <w:rStyle w:val="StrongEmphasis"/>
          <w:rFonts w:ascii="Times New Roman" w:hAnsi="Times New Roman"/>
          <w:sz w:val="20"/>
        </w:rPr>
        <w:t>(A Development Stage Company)</w:t>
      </w:r>
    </w:p>
    <w:p>
      <w:pPr>
        <w:pStyle w:val="TextBody"/>
        <w:spacing w:lineRule="auto" w:line="300" w:before="0" w:after="0"/>
        <w:ind w:left="0" w:right="0" w:hanging="0"/>
        <w:jc w:val="center"/>
        <w:rPr/>
      </w:pPr>
      <w:r>
        <w:rPr>
          <w:rStyle w:val="StrongEmphasis"/>
          <w:rFonts w:ascii="Times New Roman" w:hAnsi="Times New Roman"/>
          <w:sz w:val="20"/>
        </w:rPr>
        <w:t>NOTES TO THE UNAUDITED CONDENSED CONSOLIDATED FINANCIAL STATEMENTS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Note 4.    Summary of Significant Accounting Policies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Emphasis"/>
          <w:rFonts w:ascii="Times New Roman" w:hAnsi="Times New Roman"/>
          <w:sz w:val="20"/>
        </w:rPr>
        <w:t>Going Concern</w:t>
      </w:r>
      <w:r>
        <w:rPr>
          <w:rFonts w:ascii="Times New Roman" w:hAnsi="Times New Roman"/>
          <w:sz w:val="20"/>
        </w:rPr>
        <w:t>. The accompanying unaudited condensed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revenues since July 24, 1998 (“Inception”). In addition, the Company had an accumulated deficit during the development stage of $8,613,579 at June 30, 2008. These factors raise substantial doubt about the Company’s ability to continue as a going concern.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rPr>
        <w:t>The Company’s continuation as a going concern is dependent on its ability to obtain additional financing to fund operations, implement its business model, and ultimately, to attain profitable operations. The Company intends to obtain additional financing to fund its operations through equity or debt financing or a corporate partnership for its lead topical drug, Ketotransdel</w:t>
      </w:r>
      <w:r>
        <w:rPr>
          <w:rFonts w:ascii="Times New Roman" w:hAnsi="Times New Roman"/>
          <w:position w:val="5"/>
          <w:sz w:val="13"/>
          <w:sz w:val="16"/>
        </w:rPr>
        <w:t>TM</w:t>
      </w:r>
      <w:r>
        <w:rPr>
          <w:rFonts w:ascii="Times New Roman" w:hAnsi="Times New Roman"/>
          <w:sz w:val="20"/>
        </w:rPr>
        <w:t>. However, there is no assurance that sufficient financing will be available or, if available, on terms that would be acceptable to the Company.</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unaudited condensed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Development Stage Enterprise.</w:t>
      </w:r>
      <w:r>
        <w:rPr/>
        <w:t xml:space="preserve"> </w:t>
      </w:r>
      <w:r>
        <w:rPr>
          <w:rFonts w:ascii="Times New Roman" w:hAnsi="Times New Roman"/>
          <w:sz w:val="20"/>
        </w:rPr>
        <w:t xml:space="preserve">The Company is a development stage company as defined in Statement of Financial Accounting Standards (“SFAS”) No. 7, </w:t>
      </w:r>
      <w:r>
        <w:rPr>
          <w:rStyle w:val="Emphasis"/>
          <w:rFonts w:ascii="Times New Roman" w:hAnsi="Times New Roman"/>
          <w:sz w:val="20"/>
        </w:rPr>
        <w:t>Accounting and Reporting by Development Stage Enterprises</w:t>
      </w:r>
      <w:r>
        <w:rPr>
          <w:rFonts w:ascii="Times New Roman" w:hAnsi="Times New Roman"/>
          <w:sz w:val="20"/>
        </w:rPr>
        <w:t>.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Research and Development.</w:t>
      </w:r>
      <w:r>
        <w:rPr/>
        <w:t xml:space="preserve"> </w:t>
      </w:r>
      <w:r>
        <w:rPr>
          <w:rFonts w:ascii="Times New Roman" w:hAnsi="Times New Roman"/>
          <w:sz w:val="20"/>
        </w:rPr>
        <w:t xml:space="preserve">Research and development costs are charged to expense when incurred.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Cash and cash equivalents</w:t>
      </w:r>
      <w:r>
        <w:rPr>
          <w:rFonts w:ascii="Times New Roman" w:hAnsi="Times New Roman"/>
          <w:sz w:val="20"/>
        </w:rPr>
        <w:t>. Cash equivalents consist of highly liquid investments with maturities of three months or less from the original purchase date.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Concentrations of Credit Risk.</w:t>
      </w:r>
      <w:r>
        <w:rPr/>
        <w:t xml:space="preserve"> </w:t>
      </w:r>
      <w:r>
        <w:rPr>
          <w:rFonts w:ascii="Times New Roman" w:hAnsi="Times New Roman"/>
          <w:sz w:val="20"/>
        </w:rPr>
        <w:t>Financial instruments that potentially subject the Company to a concentration of credit risk consist primarily of cash and cash equivalents. In order to minimize the Company’s risk related to the cash equivalents, they are maintained in a money market demand account. Due to the short-term nature of this investment, the Company believes that there is no material exposure to interest rate risk. The Company maintains its cash and cash equivalents at a high-quality institution that is insured by the Federal Deposit Insurance Corporation (“FDIC”). At June 30, 2008, the Company had approximately $6,610,629 on deposit in excess of the federally insured limit of $100,000. The Company performs an ongoing evaluation of this institution to limit its concentration of risk exposure.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Fair Value of Financial Instruments.</w:t>
      </w:r>
      <w:r>
        <w:rPr/>
        <w:t xml:space="preserve"> </w:t>
      </w:r>
      <w:r>
        <w:rPr>
          <w:rFonts w:ascii="Times New Roman" w:hAnsi="Times New Roman"/>
          <w:sz w:val="20"/>
        </w:rPr>
        <w:t>The fair values of the Company’s cash and cash equivalents, accounts payable and accrued expenses approximate their carrying values due to their short maturities.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Beneficial Conversion Feature.</w:t>
      </w:r>
      <w:r>
        <w:rPr/>
        <w:t xml:space="preserve"> </w:t>
      </w:r>
      <w:r>
        <w:rPr>
          <w:rFonts w:ascii="Times New Roman" w:hAnsi="Times New Roman"/>
          <w:sz w:val="20"/>
        </w:rPr>
        <w:t xml:space="preserve">The convertible features of the convertible notes provided for a rate of conversion that was below market value (see Note 5). Such feature is normally characterized as a “beneficial conversion feature” (“BCF”). Pursuant to Emerging Issues Task Force Issue (“EITF”) No. 98-5 </w:t>
      </w:r>
      <w:r>
        <w:rPr>
          <w:rStyle w:val="Emphasis"/>
          <w:rFonts w:ascii="Times New Roman" w:hAnsi="Times New Roman"/>
          <w:sz w:val="20"/>
        </w:rPr>
        <w:t>Accounting For Convertible Securities with Beneficial Conversion Features or Contingently Adjustable Conversion Ratio,</w:t>
      </w:r>
      <w:r>
        <w:rPr/>
        <w:t xml:space="preserve"> </w:t>
      </w:r>
      <w:r>
        <w:rPr>
          <w:rFonts w:ascii="Times New Roman" w:hAnsi="Times New Roman"/>
          <w:sz w:val="20"/>
        </w:rPr>
        <w:t xml:space="preserve">and EITF No. 00-27, </w:t>
      </w:r>
      <w:r>
        <w:rPr>
          <w:rStyle w:val="Emphasis"/>
          <w:rFonts w:ascii="Times New Roman" w:hAnsi="Times New Roman"/>
          <w:sz w:val="20"/>
        </w:rPr>
        <w:t>Application of EITF Issue No. 98-5 To Certain Convertible Instruments,</w:t>
      </w:r>
      <w:r>
        <w:rPr/>
        <w:t xml:space="preserve"> </w:t>
      </w:r>
      <w:r>
        <w:rPr>
          <w:rFonts w:ascii="Times New Roman" w:hAnsi="Times New Roman"/>
          <w:sz w:val="20"/>
        </w:rPr>
        <w:t>the relative fair values of the BCFs have been recorded as a discount from the face amount of the respective debt instrument. The Company recorded the corresponding debt discount related to the BCF as interest expense when the related instrument was converted into the Company’s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 w:name="PGBRK5"/>
      <w:bookmarkStart w:id="73" w:name="PGBRK5"/>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 w:name="FTR5"/>
      <w:bookmarkStart w:id="75" w:name="FTR5"/>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 w:name="GLFTR5"/>
      <w:bookmarkStart w:id="77" w:name="GLFTR5"/>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78" w:name="PN5"/>
      <w:bookmarkEnd w:id="78"/>
      <w:r>
        <w:rPr>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 w:name="HDR5"/>
      <w:bookmarkStart w:id="80" w:name="HDR5"/>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 w:name="GLHDR5"/>
      <w:bookmarkStart w:id="82" w:name="GLHDR5"/>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r>
        <w:rPr>
          <w:rStyle w:val="StrongEmphasis"/>
          <w:rFonts w:ascii="Times New Roman" w:hAnsi="Times New Roman"/>
          <w:sz w:val="20"/>
        </w:rPr>
        <w:t>TRANSDEL PHARMACEUTICALS, INC.</w:t>
      </w:r>
    </w:p>
    <w:p>
      <w:pPr>
        <w:pStyle w:val="TextBody"/>
        <w:spacing w:lineRule="auto" w:line="300" w:before="0" w:after="0"/>
        <w:ind w:left="0" w:right="0" w:hanging="0"/>
        <w:jc w:val="center"/>
        <w:rPr/>
      </w:pPr>
      <w:r>
        <w:rPr>
          <w:rStyle w:val="StrongEmphasis"/>
          <w:rFonts w:ascii="Times New Roman" w:hAnsi="Times New Roman"/>
          <w:sz w:val="20"/>
        </w:rPr>
        <w:t>(A Development Stage Company)</w:t>
      </w:r>
    </w:p>
    <w:p>
      <w:pPr>
        <w:pStyle w:val="TextBody"/>
        <w:spacing w:lineRule="auto" w:line="300" w:before="0" w:after="0"/>
        <w:ind w:left="0" w:right="0" w:hanging="0"/>
        <w:jc w:val="center"/>
        <w:rPr/>
      </w:pPr>
      <w:r>
        <w:rPr>
          <w:rStyle w:val="StrongEmphasis"/>
          <w:rFonts w:ascii="Times New Roman" w:hAnsi="Times New Roman"/>
          <w:sz w:val="20"/>
        </w:rPr>
        <w:t>NOTES TO THE UNAUDITED CONDENSED CONSOLIDATED FINANCIAL STATEMENTS</w:t>
      </w:r>
    </w:p>
    <w:p>
      <w:pPr>
        <w:pStyle w:val="TextBody"/>
        <w:spacing w:lineRule="auto" w:line="300" w:before="0" w:after="0"/>
        <w:ind w:left="0" w:right="0" w:hanging="0"/>
        <w:jc w:val="center"/>
        <w:rPr/>
      </w:pPr>
      <w:r>
        <w:rPr/>
        <w:t> </w:t>
      </w:r>
    </w:p>
    <w:p>
      <w:pPr>
        <w:pStyle w:val="TextBody"/>
        <w:spacing w:lineRule="auto" w:line="300" w:before="0" w:after="0"/>
        <w:ind w:left="0" w:right="0" w:hanging="0"/>
        <w:jc w:val="both"/>
        <w:rPr/>
      </w:pPr>
      <w:r>
        <w:rPr>
          <w:rStyle w:val="StrongEmphasis"/>
          <w:rFonts w:ascii="Times New Roman" w:hAnsi="Times New Roman"/>
          <w:sz w:val="20"/>
        </w:rPr>
        <w:t>Note 4.    Summary of Significant Accounting Policies, continued</w:t>
      </w:r>
      <w:r>
        <w:rPr/>
        <w:t> </w:t>
      </w:r>
      <w:r>
        <w:rPr>
          <w:rStyle w:val="Emphasis"/>
        </w:rPr>
        <w:t>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Revenue Recognition.</w:t>
      </w:r>
      <w:r>
        <w:rPr/>
        <w:t xml:space="preserve"> </w:t>
      </w:r>
      <w:r>
        <w:rPr>
          <w:rFonts w:ascii="Times New Roman" w:hAnsi="Times New Roman"/>
          <w:sz w:val="20"/>
        </w:rPr>
        <w:t xml:space="preserve">The Company will recognize revenues in accordance with the SEC Staff Accounting Bulletin (“SAB”) No. 101, </w:t>
      </w:r>
      <w:r>
        <w:rPr>
          <w:rStyle w:val="Emphasis"/>
          <w:rFonts w:ascii="Times New Roman" w:hAnsi="Times New Roman"/>
          <w:sz w:val="20"/>
        </w:rPr>
        <w:t>Revenue Recognition</w:t>
      </w:r>
      <w:r>
        <w:rPr>
          <w:rFonts w:ascii="Times New Roman" w:hAnsi="Times New Roman"/>
          <w:sz w:val="20"/>
        </w:rPr>
        <w:t>, as amended by SAB No. 104. SAB No. 104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As of June 30, 2008, the Company had not generated any revenues and the Company does not anticipate that it will generate any revenues until one or more of its drug candidates are approved by the U.S. Food and Drug Administration (“FDA”) and effective sales and marketing support are in place. The FDA approval process is highly uncertain and the Company cannot estimate when it will generate revenues at this time.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Stock-Based Compensation.</w:t>
      </w:r>
      <w:r>
        <w:rPr/>
        <w:t xml:space="preserve"> </w:t>
      </w:r>
      <w:r>
        <w:rPr>
          <w:rFonts w:ascii="Times New Roman" w:hAnsi="Times New Roman"/>
          <w:sz w:val="20"/>
        </w:rPr>
        <w:t xml:space="preserve">Effective January 1, 2006, the Company adopted SFAS No. 123 (revised 2004), </w:t>
      </w:r>
      <w:r>
        <w:rPr>
          <w:rStyle w:val="Emphasis"/>
          <w:rFonts w:ascii="Times New Roman" w:hAnsi="Times New Roman"/>
          <w:sz w:val="20"/>
        </w:rPr>
        <w:t>Share-Based Payment</w:t>
      </w:r>
      <w:r>
        <w:rPr>
          <w:rFonts w:ascii="Times New Roman" w:hAnsi="Times New Roman"/>
          <w:sz w:val="20"/>
        </w:rPr>
        <w:t xml:space="preserve">, (‘‘SFAS No. 123R’’), which is a revision of SFAS No. 123, </w:t>
      </w:r>
      <w:r>
        <w:rPr>
          <w:rStyle w:val="Emphasis"/>
          <w:rFonts w:ascii="Times New Roman" w:hAnsi="Times New Roman"/>
          <w:sz w:val="20"/>
        </w:rPr>
        <w:t>Accounting for Stock-Based Compensation</w:t>
      </w:r>
      <w:r>
        <w:rPr>
          <w:rFonts w:ascii="Times New Roman" w:hAnsi="Times New Roman"/>
          <w:sz w:val="20"/>
        </w:rPr>
        <w:t xml:space="preserve">. SFAS No. 123R supersedes Accounting Principles Board Opinion (“APB”) No. 25, </w:t>
      </w:r>
      <w:r>
        <w:rPr>
          <w:rStyle w:val="Emphasis"/>
          <w:rFonts w:ascii="Times New Roman" w:hAnsi="Times New Roman"/>
          <w:sz w:val="20"/>
        </w:rPr>
        <w:t>Accounting for Stock Issued to Employees</w:t>
      </w:r>
      <w:r>
        <w:rPr>
          <w:rFonts w:ascii="Times New Roman" w:hAnsi="Times New Roman"/>
          <w:sz w:val="20"/>
        </w:rPr>
        <w:t xml:space="preserve">, and amends SFAS No. 95, </w:t>
      </w:r>
      <w:r>
        <w:rPr>
          <w:rStyle w:val="Emphasis"/>
          <w:rFonts w:ascii="Times New Roman" w:hAnsi="Times New Roman"/>
          <w:sz w:val="20"/>
        </w:rPr>
        <w:t>Statement of Cash Flows</w:t>
      </w:r>
      <w:r>
        <w:rPr>
          <w:rFonts w:ascii="Times New Roman" w:hAnsi="Times New Roman"/>
          <w:sz w:val="20"/>
        </w:rPr>
        <w:t>. SFAS 123R requires all share-based payments to employees, including grants of employee stock options and restricted stock grants, to be recognized in the financial statements based upon their fair values. The Company recorded total stock-based compensation of $412,089, $0 and $596,611 for the six months ended June 30, 2008 and 2007 and for the period from Inception to June 30, 2008, respectively, for options and restricted stock granted and vested which is included in general and administrative expenses and research and development expenses in the amount of $129,366 and $282,723, respectively, for the six months ended June 30, 2008 and $192,945 and $403,666, respectively, for the period from Inception to June 30, 2008. The fair value of the unvested stock option grants amounted to approximately $885,000 as of June 30, 2008.</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 xml:space="preserve">The Company’s accounting policy for equity instruments issued to consultants and vendors in exchange for goods and services follows the provisions of SFAS No. 123, EITF No. 96-18, </w:t>
      </w:r>
      <w:r>
        <w:rPr>
          <w:rStyle w:val="Emphasis"/>
          <w:rFonts w:ascii="Times New Roman" w:hAnsi="Times New Roman"/>
          <w:sz w:val="20"/>
        </w:rPr>
        <w:t>Accounting for Equity Instruments That are Issued to Other Than Employees for Acquiring, or in Conjunction with Selling, Goods or Services,</w:t>
      </w:r>
      <w:r>
        <w:rPr/>
        <w:t xml:space="preserve"> </w:t>
      </w:r>
      <w:r>
        <w:rPr>
          <w:rFonts w:ascii="Times New Roman" w:hAnsi="Times New Roman"/>
          <w:sz w:val="20"/>
        </w:rPr>
        <w:t xml:space="preserve">and EITF No. 00-18, </w:t>
      </w:r>
      <w:r>
        <w:rPr>
          <w:rStyle w:val="Emphasis"/>
          <w:rFonts w:ascii="Times New Roman" w:hAnsi="Times New Roman"/>
          <w:sz w:val="20"/>
        </w:rPr>
        <w:t>Accounting Recognition for Certain Transactions Involving Equity Instruments Granted to Other Than Employees.</w:t>
      </w:r>
      <w:r>
        <w:rPr/>
        <w:t xml:space="preserve">  </w:t>
      </w:r>
      <w:r>
        <w:rPr>
          <w:rFonts w:ascii="Times New Roman" w:hAnsi="Times New Roman"/>
          <w:sz w:val="20"/>
        </w:rPr>
        <w:t>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In accordance with EITF No. 00-18,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recorded the fair value of the common stock issued for future consulting services as prepaid consulting fees in its condensed consolidated balance sheets (see Note 6).</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Basic and Diluted Loss per Common Share</w:t>
      </w:r>
      <w:r>
        <w:rPr>
          <w:rFonts w:ascii="Times New Roman" w:hAnsi="Times New Roman"/>
          <w:sz w:val="20"/>
        </w:rPr>
        <w:t xml:space="preserve">. In accordance with SFAS No. 128, </w:t>
      </w:r>
      <w:r>
        <w:rPr>
          <w:rStyle w:val="Emphasis"/>
          <w:rFonts w:ascii="Times New Roman" w:hAnsi="Times New Roman"/>
          <w:sz w:val="20"/>
        </w:rPr>
        <w:t>Earnings Per Share</w:t>
      </w:r>
      <w:r>
        <w:rPr>
          <w:rFonts w:ascii="Times New Roman" w:hAnsi="Times New Roman"/>
          <w:sz w:val="20"/>
        </w:rPr>
        <w:t>, and SAB No. 98, basic net loss per common share is computed by dividing net loss for the period by the weighted average number of common shares outstanding during the period.  Under SFAS No. 128, diluted net loss per share is computed by dividing the net loss for the period by the weighted average number of common and common equivalent shares, such as stock options and warrants outstanding during the period.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Basic and diluted net loss applicable to common stock per share is computed using the weighted average number of common shares outstanding during the period. Common stock equivalents (prior to application of the treasury stock, if converted method) from stock options, warrants and convertible notes were 1,812,730 and 1,523,076 for the six months ended June 30, 2008 and 2007, respectively, are excluded from the calculation of diluted net loss per share for all periods presented because the effect is anti-dilutive.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0"/>
        <w:ind w:left="0" w:right="0" w:hanging="0"/>
        <w:jc w:val="both"/>
        <w:rPr/>
      </w:pPr>
      <w:r>
        <w:rPr/>
      </w:r>
      <w:bookmarkStart w:id="83" w:name="PGBRK6"/>
      <w:bookmarkStart w:id="84" w:name="PGBRK6"/>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
      <w:bookmarkStart w:id="85" w:name="FTR6"/>
      <w:bookmarkStart w:id="86" w:name="FTR6"/>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
      <w:bookmarkStart w:id="87" w:name="GLFTR6"/>
      <w:bookmarkStart w:id="88" w:name="GLFTR6"/>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sz w:val="20"/>
        </w:rPr>
      </w:pPr>
      <w:bookmarkStart w:id="89" w:name="PN6"/>
      <w:bookmarkEnd w:id="89"/>
      <w:r>
        <w:rPr>
          <w:sz w:val="20"/>
        </w:rPr>
        <w:t>7</w:t>
      </w:r>
    </w:p>
    <w:p>
      <w:pPr>
        <w:pStyle w:val="HorizontalLine"/>
        <w:pBdr>
          <w:bottom w:val="single" w:sz="12" w:space="0" w:color="808080"/>
        </w:pBdr>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
      <w:bookmarkStart w:id="90" w:name="HDR6"/>
      <w:bookmarkStart w:id="91" w:name="HDR6"/>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
      <w:bookmarkStart w:id="92" w:name="GLHDR6"/>
      <w:bookmarkStart w:id="93" w:name="GLHDR6"/>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r>
        <w:rPr>
          <w:rStyle w:val="StrongEmphasis"/>
          <w:rFonts w:ascii="Times New Roman" w:hAnsi="Times New Roman"/>
          <w:sz w:val="20"/>
        </w:rPr>
        <w:t>TRANSDEL PHARMACEUTICALS, INC.</w:t>
      </w:r>
    </w:p>
    <w:p>
      <w:pPr>
        <w:pStyle w:val="TextBody"/>
        <w:spacing w:lineRule="auto" w:line="300" w:before="0" w:after="0"/>
        <w:ind w:left="0" w:right="0" w:hanging="0"/>
        <w:jc w:val="center"/>
        <w:rPr/>
      </w:pPr>
      <w:r>
        <w:rPr>
          <w:rStyle w:val="StrongEmphasis"/>
          <w:rFonts w:ascii="Times New Roman" w:hAnsi="Times New Roman"/>
          <w:sz w:val="20"/>
        </w:rPr>
        <w:t>(A Development Stage Company)</w:t>
      </w:r>
    </w:p>
    <w:p>
      <w:pPr>
        <w:pStyle w:val="TextBody"/>
        <w:spacing w:lineRule="auto" w:line="300" w:before="0" w:after="0"/>
        <w:ind w:left="0" w:right="0" w:hanging="0"/>
        <w:jc w:val="center"/>
        <w:rPr/>
      </w:pPr>
      <w:r>
        <w:rPr>
          <w:rStyle w:val="StrongEmphasis"/>
          <w:rFonts w:ascii="Times New Roman" w:hAnsi="Times New Roman"/>
          <w:sz w:val="20"/>
        </w:rPr>
        <w:t>NOTES TO THE UNAUDITED CONDENSED CONSOLIDATED FINANCIAL STATEMENTS</w:t>
      </w:r>
    </w:p>
    <w:p>
      <w:pPr>
        <w:pStyle w:val="TextBody"/>
        <w:spacing w:lineRule="auto" w:line="300" w:before="0" w:after="0"/>
        <w:ind w:left="0" w:right="0" w:hanging="0"/>
        <w:jc w:val="left"/>
        <w:rPr/>
      </w:pPr>
      <w:r>
        <w:rPr/>
        <w:t> </w:t>
      </w:r>
    </w:p>
    <w:p>
      <w:pPr>
        <w:pStyle w:val="TextBody"/>
        <w:spacing w:lineRule="auto" w:line="300" w:before="0" w:after="0"/>
        <w:ind w:left="0" w:right="0" w:hanging="0"/>
        <w:jc w:val="both"/>
        <w:rPr/>
      </w:pPr>
      <w:r>
        <w:rPr>
          <w:rStyle w:val="StrongEmphasis"/>
          <w:rFonts w:ascii="Times New Roman" w:hAnsi="Times New Roman"/>
          <w:sz w:val="20"/>
        </w:rPr>
        <w:t>Note 4.    Summary of Significant Accounting Policies, continued</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Use of Estimates.</w:t>
      </w:r>
      <w:r>
        <w:rPr/>
        <w:t xml:space="preserve"> </w:t>
      </w:r>
      <w:r>
        <w:rPr>
          <w:rFonts w:ascii="Times New Roman" w:hAnsi="Times New Roman"/>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and realizability of contributed services, stock options, deferred taxes and stock-based compensation issued to non-employees. Actual results could differ from those estimates.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Note 5. Notes Payable</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35,359 shares of the Company’s common stock. The warrants were determined to have an insignificant fair value.</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$3,150 and $15,401 for six months ended June 30, 2007 and the period from Inception to June 30, 2008, respectively.</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 May and June 2007, the Company issued convertible notes payable to various lenders for an aggregate amount of $1,500,000 (collectively, the “2007 Notes”). Each of the 2007 Notes included interest at 7% per annum and were to mature on December 16, 2007 (“Maturity Date”). However, as a result of the Merger and Private Placement (see Note 6), the entire outstanding principal amount and accrued interest was converted into the Company’s common stock at a conversion price equal to $1.00 per share, which resulted in the issuance of 1,530,177 shares. Also, the Company recorded a debt discount of $1,530,177, which was amortized immediately to interest expense upon the conversion of the 2007 Notes. Excluding the debt discount, interest expense on the 2007 Notes was $7,451 and $30,177 for the six months ended June 30, 2007 and the period from Inception to June 30, 2008.</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Style w:val="StrongEmphasis"/>
          <w:rFonts w:ascii="Times New Roman" w:hAnsi="Times New Roman"/>
          <w:sz w:val="20"/>
        </w:rPr>
        <w:t>Note 6. Stockholders’ Equity</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On May 12, 2008, the Company sold 1,818,180 shares of common stock for gross proceeds of $4,000,000 through a follow-on private placement (the “Follow-on Private Placement”) to accredited investors. In addition, the investors received warrants to purchase 227,272 shares of common stock for a period of five years at a cash and cashless exercise price of $4.40 and $5.50 per share, respectively. In connection with the Follow-On Private Placement, the Company incurred expenses of $22,470, which was recorded as a reduction of additional paid-in capital.</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Concurrent with the Merger, the Company sold 2,071,834 shares of common stock for gross proceeds of $4,143,667 through a private placement (the “Private Placement”). In addition, the investors received warrants to purchase 517,958 shares of common stock for a period of five years at a cash and cashless exercise price of $4.00 and $5.00 per share, respectively. In connection with the Private Placement, the Company incurred placement agent fees and other related expenses totaling $342,105 of which $36,229 was incurred in 2008, and issued warrants to purchase up to 33,750 shares of common stock for a period of three years at a cash and cashless exercise price of $4.00 and $5.00 per share, respectively.</w:t>
      </w:r>
    </w:p>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4" w:name="PGBRK7"/>
      <w:bookmarkStart w:id="95" w:name="PGBRK7"/>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 w:name="FTR7"/>
      <w:bookmarkStart w:id="97" w:name="FTR7"/>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 w:name="GLFTR7"/>
      <w:bookmarkStart w:id="99" w:name="GLFTR7"/>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00" w:name="PN7"/>
      <w:bookmarkEnd w:id="100"/>
      <w:r>
        <w:rPr>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 w:name="HDR7"/>
      <w:bookmarkStart w:id="102" w:name="HDR7"/>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 w:name="GLHDR7"/>
      <w:bookmarkStart w:id="104" w:name="GLHDR7"/>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r>
        <w:rPr>
          <w:rStyle w:val="StrongEmphasis"/>
          <w:rFonts w:ascii="Times New Roman" w:hAnsi="Times New Roman"/>
          <w:sz w:val="20"/>
        </w:rPr>
        <w:t>TRANSDEL PHARMACEUTICALS, INC.</w:t>
      </w:r>
    </w:p>
    <w:p>
      <w:pPr>
        <w:pStyle w:val="TextBody"/>
        <w:spacing w:lineRule="auto" w:line="300" w:before="0" w:after="0"/>
        <w:ind w:left="0" w:right="0" w:hanging="0"/>
        <w:jc w:val="center"/>
        <w:rPr/>
      </w:pPr>
      <w:r>
        <w:rPr>
          <w:rStyle w:val="StrongEmphasis"/>
          <w:rFonts w:ascii="Times New Roman" w:hAnsi="Times New Roman"/>
          <w:sz w:val="20"/>
        </w:rPr>
        <w:t>(A Development Stage Company)</w:t>
      </w:r>
    </w:p>
    <w:p>
      <w:pPr>
        <w:pStyle w:val="TextBody"/>
        <w:spacing w:lineRule="auto" w:line="300" w:before="0" w:after="0"/>
        <w:ind w:left="0" w:right="0" w:hanging="0"/>
        <w:jc w:val="center"/>
        <w:rPr/>
      </w:pPr>
      <w:r>
        <w:rPr>
          <w:rStyle w:val="StrongEmphasis"/>
          <w:rFonts w:ascii="Times New Roman" w:hAnsi="Times New Roman"/>
          <w:sz w:val="20"/>
        </w:rPr>
        <w:t>NOTES TO THE UNAUDITED CONDENSED CONSOLIDATED FINANCIAL STATEMENTS</w:t>
      </w:r>
    </w:p>
    <w:p>
      <w:pPr>
        <w:pStyle w:val="TextBody"/>
        <w:spacing w:lineRule="auto" w:line="300" w:before="0" w:after="0"/>
        <w:ind w:left="0" w:right="0" w:hanging="0"/>
        <w:jc w:val="center"/>
        <w:rPr/>
      </w:pPr>
      <w:r>
        <w:rPr/>
        <w:t> </w:t>
      </w:r>
    </w:p>
    <w:p>
      <w:pPr>
        <w:pStyle w:val="TextBody"/>
        <w:spacing w:lineRule="auto" w:line="300" w:before="0" w:after="0"/>
        <w:ind w:left="0" w:right="0" w:hanging="0"/>
        <w:jc w:val="left"/>
        <w:rPr/>
      </w:pPr>
      <w:r>
        <w:rPr>
          <w:rStyle w:val="StrongEmphasis"/>
          <w:rFonts w:ascii="Times New Roman" w:hAnsi="Times New Roman"/>
          <w:sz w:val="20"/>
        </w:rPr>
        <w:t>Note 6. Stockholders’ Equity (continued)</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 September 2007, the Company entered into three, one-year consulting agreements with three separate firms to provide services related to investor communications. The terms per one of the agreements, among other items, include monthly payments of $7,500 plus expenses and for another agreement a non-refundable fee of $140,000. Also, in the aggregate, 275,000 shares of common stock were issued in accordance with the terms of the agreements along with a warrant to purchase 18,750 shares of common stock for a period of five years at a cash and cashless exercise price of $4.00 and $5.00, respectively. The fair value of the stock and warrants were valued at $550,000. The estimated costs of the consulting agreements, including the stock, warrants and non-refundable fee are being amortized over the one-year terms.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 accordance with EITF No. 00-18, 100,000 of the 275,000 shares of common stock are subject to remeasurement on a periodic basis as the performance condition for these shares is not satisfied until the end of the contract term. The remeasurement for the 100,000 shares was completed in two stages. First, in February 2008, the consulting agreement associated with these shares was terminated and as a condition of the termination, the firm retained 50,000 shares and transferred the remaining 50,000 shares to another firm. Therefore, since the performance obligation related to the 50,000 shares, retained by the terminated consulting firm, is complete, they were revalued as of the February termination date to $60,000, which was the fair market value of the shares on the termination date. Second, the remaining 50,000 shares that were transferred to the other firm will be utilized for the payment of investor communications services to be provided through September 2008. In accordance with the related agreement, the Company initially recorded the value of these shares at $100,000, which was revalued at June 30, 2008 to $92,500 (the estimated fair market value based on the closing market price). In the aggregate, the remeasurement of the 50,000 shares earned and the transfer of the remaining 50,000 shares resulted in a reduction of additional paid in capital of $47,500 ($200,000 original value less $152,500 remeasured value). For the six months ended June 30, 2008 and 2007 and for the period from Inception through June 30, 2008, the Company amortized $303,807, $0 and $505,058, respectively, of prepaid consulting fees which is included as part of selling, general and administrative expenses.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On April 24, 2008, the Company entered into a one-year consulting agreement with a firm to provide the Company with financial advisory services. As compensation for the services, the Company issued a three-year warrant to purchase 5,000 shares of the Company’s common stock at a cash and cashless price of $2.00 per share. The fair value of the warrant, determined based on the Black-Scholes pricing model, was valued at $1,310, which is being amortized over the one-year term.</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StrongEmphasis"/>
          <w:rFonts w:ascii="Times New Roman" w:hAnsi="Times New Roman"/>
          <w:sz w:val="20"/>
        </w:rPr>
        <w:t>Note 7. Stock Option Plans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On September 17, 2007, the Company’s board of directors and stockholders adopted the 2007 Incentive Stock and Awards Plan (the “Plan”), which provides for the issuance of a maximum of 1,500,000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Pursuant to the terms of the Private Placement, for one year following the initial closing of the Private Placement, the Company may not issue options to purchase shares of common stock at an exercise price below $2.00 per share. In addition, for a period of 18 months following the initial closing of the Private Placement, the Company may not file a registration statement, including, without limitation, a registration statement on Form S-8, covering the resale of any shares of common stock issued pursuant to an employee benefit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5" w:name="PGBRK8"/>
      <w:bookmarkStart w:id="106" w:name="PGBRK8"/>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 w:name="FTR8"/>
      <w:bookmarkStart w:id="108" w:name="FTR8"/>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 w:name="GLFTR8"/>
      <w:bookmarkStart w:id="110" w:name="GLFTR8"/>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11" w:name="PN8"/>
      <w:bookmarkEnd w:id="111"/>
      <w:r>
        <w:rPr>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 w:name="HDR8"/>
      <w:bookmarkStart w:id="113" w:name="HDR8"/>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 w:name="GLHDR8"/>
      <w:bookmarkStart w:id="115" w:name="GLHDR8"/>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r>
        <w:rPr>
          <w:rStyle w:val="StrongEmphasis"/>
          <w:rFonts w:ascii="Times New Roman" w:hAnsi="Times New Roman"/>
          <w:sz w:val="20"/>
        </w:rPr>
        <w:t>TRANSDEL PHARMACEUTICALS, INC.</w:t>
      </w:r>
    </w:p>
    <w:p>
      <w:pPr>
        <w:pStyle w:val="TextBody"/>
        <w:spacing w:lineRule="auto" w:line="300" w:before="0" w:after="0"/>
        <w:ind w:left="0" w:right="0" w:hanging="0"/>
        <w:jc w:val="center"/>
        <w:rPr/>
      </w:pPr>
      <w:r>
        <w:rPr>
          <w:rStyle w:val="StrongEmphasis"/>
          <w:rFonts w:ascii="Times New Roman" w:hAnsi="Times New Roman"/>
          <w:sz w:val="20"/>
        </w:rPr>
        <w:t>(A Development Stage Company)</w:t>
      </w:r>
    </w:p>
    <w:p>
      <w:pPr>
        <w:pStyle w:val="TextBody"/>
        <w:spacing w:lineRule="auto" w:line="300" w:before="0" w:after="0"/>
        <w:ind w:left="0" w:right="0" w:hanging="0"/>
        <w:jc w:val="center"/>
        <w:rPr/>
      </w:pPr>
      <w:r>
        <w:rPr>
          <w:rStyle w:val="StrongEmphasis"/>
          <w:rFonts w:ascii="Times New Roman" w:hAnsi="Times New Roman"/>
          <w:sz w:val="20"/>
        </w:rPr>
        <w:t>NOTES TO THE UNAUDITED CONDENSED CONSOLIDATED FINANCIAL STATEMENTS</w:t>
      </w:r>
    </w:p>
    <w:p>
      <w:pPr>
        <w:pStyle w:val="TextBody"/>
        <w:spacing w:lineRule="auto" w:line="300" w:before="0" w:after="0"/>
        <w:ind w:left="0" w:right="0" w:hanging="0"/>
        <w:jc w:val="center"/>
        <w:rPr/>
      </w:pPr>
      <w:r>
        <w:rPr/>
        <w:t> </w:t>
      </w:r>
    </w:p>
    <w:p>
      <w:pPr>
        <w:pStyle w:val="TextBody"/>
        <w:spacing w:lineRule="auto" w:line="300" w:before="0" w:after="0"/>
        <w:ind w:left="0" w:right="0" w:hanging="0"/>
        <w:jc w:val="both"/>
        <w:rPr/>
      </w:pPr>
      <w:r>
        <w:rPr>
          <w:rStyle w:val="StrongEmphasis"/>
          <w:rFonts w:ascii="Times New Roman" w:hAnsi="Times New Roman"/>
          <w:sz w:val="20"/>
        </w:rPr>
        <w:t>Note 7. Stock Option Plans</w:t>
      </w:r>
      <w:r>
        <w:rPr>
          <w:rFonts w:ascii="Times New Roman" w:hAnsi="Times New Roman"/>
          <w:sz w:val="20"/>
        </w:rPr>
        <w:t xml:space="preserve">, </w:t>
      </w:r>
      <w:r>
        <w:rPr>
          <w:rStyle w:val="StrongEmphasis"/>
          <w:rFonts w:ascii="Times New Roman" w:hAnsi="Times New Roman"/>
          <w:sz w:val="20"/>
        </w:rPr>
        <w:t>continued</w:t>
      </w:r>
      <w:r>
        <w:rPr/>
        <w:t> </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 summary of the status of the Plan for the six months ended June 30, 2008 is as follows:</w:t>
      </w:r>
    </w:p>
    <w:p>
      <w:pPr>
        <w:pStyle w:val="TextBody"/>
        <w:spacing w:lineRule="auto" w:line="300" w:before="0" w:after="0"/>
        <w:ind w:left="0" w:right="0" w:firstLine="540"/>
        <w:jc w:val="left"/>
        <w:rPr/>
      </w:pPr>
      <w:r>
        <w:rPr/>
      </w:r>
    </w:p>
    <w:p>
      <w:pPr>
        <w:pStyle w:val="Normal"/>
        <w:spacing w:before="0" w:after="0"/>
        <w:rPr>
          <w:sz w:val="4"/>
          <w:szCs w:val="4"/>
        </w:rPr>
      </w:pPr>
      <w:r>
        <w:rPr>
          <w:sz w:val="4"/>
          <w:szCs w:val="4"/>
        </w:rPr>
      </w:r>
      <w:bookmarkStart w:id="116" w:name="ftable3"/>
      <w:bookmarkStart w:id="117" w:name="ftable3"/>
      <w:bookmarkEnd w:id="117"/>
    </w:p>
    <w:tbl>
      <w:tblPr>
        <w:tblW w:w="5000" w:type="pct"/>
        <w:jc w:val="left"/>
        <w:tblInd w:w="0" w:type="dxa"/>
        <w:tblCellMar>
          <w:top w:w="0" w:type="dxa"/>
          <w:left w:w="0" w:type="dxa"/>
          <w:bottom w:w="28" w:type="dxa"/>
          <w:right w:w="0" w:type="dxa"/>
        </w:tblCellMar>
      </w:tblPr>
      <w:tblGrid>
        <w:gridCol w:w="6750"/>
        <w:gridCol w:w="190"/>
        <w:gridCol w:w="113"/>
        <w:gridCol w:w="1360"/>
        <w:gridCol w:w="202"/>
        <w:gridCol w:w="192"/>
        <w:gridCol w:w="1258"/>
        <w:gridCol w:w="140"/>
      </w:tblGrid>
      <w:tr>
        <w:trPr/>
        <w:tc>
          <w:tcPr>
            <w:tcW w:w="6750" w:type="dxa"/>
            <w:tcBorders>
              <w:bottom w:val="single" w:sz="4" w:space="0" w:color="FFFFFF"/>
            </w:tcBorders>
            <w:shd w:fill="auto" w:val="clear"/>
            <w:vAlign w:val="bottom"/>
          </w:tcPr>
          <w:p>
            <w:pPr>
              <w:pStyle w:val="TableContents"/>
              <w:spacing w:lineRule="auto" w:line="300" w:before="0" w:after="0"/>
              <w:ind w:left="0" w:right="16" w:hanging="0"/>
              <w:jc w:val="left"/>
              <w:rPr/>
            </w:pPr>
            <w:r>
              <w:rPr/>
              <w:t> </w:t>
            </w:r>
          </w:p>
        </w:tc>
        <w:tc>
          <w:tcPr>
            <w:tcW w:w="190" w:type="dxa"/>
            <w:tcBorders>
              <w:bottom w:val="single" w:sz="4" w:space="0" w:color="FFFFFF"/>
            </w:tcBorders>
            <w:shd w:fill="auto" w:val="clear"/>
            <w:vAlign w:val="center"/>
          </w:tcPr>
          <w:p>
            <w:pPr>
              <w:pStyle w:val="TableContents"/>
              <w:spacing w:before="0" w:after="283"/>
              <w:rPr/>
            </w:pPr>
            <w:r>
              <w:rPr/>
              <w:t> </w:t>
            </w:r>
          </w:p>
        </w:tc>
        <w:tc>
          <w:tcPr>
            <w:tcW w:w="1473" w:type="dxa"/>
            <w:gridSpan w:val="2"/>
            <w:tcBorders>
              <w:bottom w:val="single" w:sz="2" w:space="0" w:color="000000"/>
            </w:tcBorders>
            <w:shd w:fill="auto" w:val="clear"/>
            <w:vAlign w:val="bottom"/>
          </w:tcPr>
          <w:p>
            <w:pPr>
              <w:pStyle w:val="TableContents"/>
              <w:spacing w:lineRule="auto" w:line="300" w:before="0" w:after="0"/>
              <w:ind w:left="0" w:right="36" w:hanging="0"/>
              <w:jc w:val="center"/>
              <w:rPr/>
            </w:pPr>
            <w:r>
              <w:rPr/>
              <w:t> </w:t>
            </w:r>
          </w:p>
          <w:p>
            <w:pPr>
              <w:pStyle w:val="TableContents"/>
              <w:spacing w:lineRule="auto" w:line="300" w:before="0" w:after="0"/>
              <w:ind w:left="0" w:right="36" w:hanging="0"/>
              <w:jc w:val="center"/>
              <w:rPr/>
            </w:pPr>
            <w:r>
              <w:rPr/>
              <w:t> </w:t>
            </w:r>
          </w:p>
          <w:p>
            <w:pPr>
              <w:pStyle w:val="TableContents"/>
              <w:spacing w:lineRule="auto" w:line="300" w:before="0" w:after="0"/>
              <w:ind w:left="0" w:right="36" w:hanging="0"/>
              <w:jc w:val="center"/>
              <w:rPr/>
            </w:pPr>
            <w:r>
              <w:rPr>
                <w:rStyle w:val="StrongEmphasis"/>
                <w:rFonts w:ascii="Times New Roman" w:hAnsi="Times New Roman"/>
                <w:sz w:val="20"/>
              </w:rPr>
              <w:t>Number</w:t>
            </w:r>
          </w:p>
          <w:p>
            <w:pPr>
              <w:pStyle w:val="TableContents"/>
              <w:spacing w:lineRule="auto" w:line="300" w:before="0" w:after="0"/>
              <w:ind w:left="0" w:right="36" w:hanging="0"/>
              <w:jc w:val="center"/>
              <w:rPr/>
            </w:pPr>
            <w:r>
              <w:rPr>
                <w:rStyle w:val="StrongEmphasis"/>
                <w:rFonts w:ascii="Times New Roman" w:hAnsi="Times New Roman"/>
                <w:sz w:val="20"/>
              </w:rPr>
              <w:t>of Shares</w:t>
            </w:r>
          </w:p>
        </w:tc>
        <w:tc>
          <w:tcPr>
            <w:tcW w:w="202" w:type="dxa"/>
            <w:tcBorders>
              <w:bottom w:val="single" w:sz="4" w:space="0" w:color="FFFFFF"/>
            </w:tcBorders>
            <w:shd w:fill="auto" w:val="clear"/>
            <w:vAlign w:val="bottom"/>
          </w:tcPr>
          <w:p>
            <w:pPr>
              <w:pStyle w:val="TableContents"/>
              <w:spacing w:before="0" w:after="283"/>
              <w:jc w:val="left"/>
              <w:rPr/>
            </w:pPr>
            <w:r>
              <w:rPr/>
              <w:t> </w:t>
            </w:r>
          </w:p>
        </w:tc>
        <w:tc>
          <w:tcPr>
            <w:tcW w:w="1450" w:type="dxa"/>
            <w:gridSpan w:val="2"/>
            <w:tcBorders>
              <w:bottom w:val="single" w:sz="2" w:space="0" w:color="000000"/>
            </w:tcBorders>
            <w:shd w:fill="auto" w:val="clear"/>
            <w:vAlign w:val="bottom"/>
          </w:tcPr>
          <w:p>
            <w:pPr>
              <w:pStyle w:val="TableContents"/>
              <w:spacing w:lineRule="auto" w:line="300" w:before="0" w:after="0"/>
              <w:ind w:left="0" w:right="36" w:hanging="0"/>
              <w:jc w:val="center"/>
              <w:rPr/>
            </w:pPr>
            <w:r>
              <w:rPr>
                <w:rStyle w:val="StrongEmphasis"/>
                <w:rFonts w:ascii="Times New Roman" w:hAnsi="Times New Roman"/>
                <w:sz w:val="20"/>
              </w:rPr>
              <w:t>Weighted</w:t>
            </w:r>
          </w:p>
          <w:p>
            <w:pPr>
              <w:pStyle w:val="TableContents"/>
              <w:spacing w:lineRule="auto" w:line="300" w:before="0" w:after="0"/>
              <w:ind w:left="0" w:right="36" w:hanging="0"/>
              <w:jc w:val="center"/>
              <w:rPr/>
            </w:pPr>
            <w:r>
              <w:rPr>
                <w:rStyle w:val="StrongEmphasis"/>
                <w:rFonts w:ascii="Times New Roman" w:hAnsi="Times New Roman"/>
                <w:sz w:val="20"/>
              </w:rPr>
              <w:t>Average</w:t>
            </w:r>
          </w:p>
          <w:p>
            <w:pPr>
              <w:pStyle w:val="TableContents"/>
              <w:spacing w:lineRule="auto" w:line="300" w:before="0" w:after="0"/>
              <w:ind w:left="0" w:right="36" w:hanging="0"/>
              <w:jc w:val="center"/>
              <w:rPr/>
            </w:pPr>
            <w:r>
              <w:rPr>
                <w:rStyle w:val="StrongEmphasis"/>
                <w:rFonts w:ascii="Times New Roman" w:hAnsi="Times New Roman"/>
                <w:sz w:val="20"/>
              </w:rPr>
              <w:t>Exercise</w:t>
            </w:r>
          </w:p>
          <w:p>
            <w:pPr>
              <w:pStyle w:val="TableContents"/>
              <w:spacing w:lineRule="auto" w:line="300" w:before="0" w:after="0"/>
              <w:ind w:left="0" w:right="36" w:hanging="0"/>
              <w:jc w:val="center"/>
              <w:rPr/>
            </w:pPr>
            <w:r>
              <w:rPr>
                <w:rStyle w:val="StrongEmphasis"/>
                <w:rFonts w:ascii="Times New Roman" w:hAnsi="Times New Roman"/>
                <w:sz w:val="20"/>
              </w:rPr>
              <w:t>Price</w:t>
            </w:r>
          </w:p>
        </w:tc>
        <w:tc>
          <w:tcPr>
            <w:tcW w:w="140" w:type="dxa"/>
            <w:tcBorders>
              <w:bottom w:val="single" w:sz="4" w:space="0" w:color="FFFFFF"/>
            </w:tcBorders>
            <w:shd w:fill="auto" w:val="clear"/>
            <w:vAlign w:val="bottom"/>
          </w:tcPr>
          <w:p>
            <w:pPr>
              <w:pStyle w:val="TableContents"/>
              <w:spacing w:before="0" w:after="283"/>
              <w:jc w:val="left"/>
              <w:rPr/>
            </w:pPr>
            <w:r>
              <w:rPr/>
              <w:t> </w:t>
            </w:r>
          </w:p>
        </w:tc>
      </w:tr>
      <w:tr>
        <w:trPr/>
        <w:tc>
          <w:tcPr>
            <w:tcW w:w="6750"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Options outstanding – Beginning of Period</w:t>
            </w:r>
          </w:p>
        </w:tc>
        <w:tc>
          <w:tcPr>
            <w:tcW w:w="190" w:type="dxa"/>
            <w:tcBorders/>
            <w:shd w:fill="CCFFCC" w:val="clear"/>
            <w:tcMar>
              <w:bottom w:w="0" w:type="dxa"/>
            </w:tcMar>
            <w:vAlign w:val="center"/>
          </w:tcPr>
          <w:p>
            <w:pPr>
              <w:pStyle w:val="TableContents"/>
              <w:spacing w:before="0" w:after="283"/>
              <w:rPr/>
            </w:pPr>
            <w:r>
              <w:rPr/>
              <w:t> </w:t>
            </w:r>
          </w:p>
        </w:tc>
        <w:tc>
          <w:tcPr>
            <w:tcW w:w="113" w:type="dxa"/>
            <w:tcBorders/>
            <w:shd w:fill="CCFFCC" w:val="clear"/>
            <w:tcMar>
              <w:bottom w:w="0" w:type="dxa"/>
            </w:tcMar>
            <w:vAlign w:val="bottom"/>
          </w:tcPr>
          <w:p>
            <w:pPr>
              <w:pStyle w:val="TableContents"/>
              <w:spacing w:before="0" w:after="283"/>
              <w:jc w:val="left"/>
              <w:rPr/>
            </w:pPr>
            <w:r>
              <w:rPr/>
              <w:t> </w:t>
            </w:r>
          </w:p>
        </w:tc>
        <w:tc>
          <w:tcPr>
            <w:tcW w:w="1360"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610,000</w:t>
            </w:r>
          </w:p>
        </w:tc>
        <w:tc>
          <w:tcPr>
            <w:tcW w:w="202" w:type="dxa"/>
            <w:tcBorders/>
            <w:shd w:fill="CCFFCC" w:val="clear"/>
            <w:tcMar>
              <w:bottom w:w="0" w:type="dxa"/>
            </w:tcMar>
            <w:vAlign w:val="bottom"/>
          </w:tcPr>
          <w:p>
            <w:pPr>
              <w:pStyle w:val="TableContents"/>
              <w:spacing w:before="0" w:after="283"/>
              <w:jc w:val="left"/>
              <w:rPr/>
            </w:pPr>
            <w:r>
              <w:rPr/>
              <w:t> </w:t>
            </w:r>
          </w:p>
        </w:tc>
        <w:tc>
          <w:tcPr>
            <w:tcW w:w="192"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8"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2.01</w:t>
            </w:r>
          </w:p>
        </w:tc>
        <w:tc>
          <w:tcPr>
            <w:tcW w:w="140" w:type="dxa"/>
            <w:tcBorders/>
            <w:shd w:fill="CCFFCC" w:val="clear"/>
            <w:tcMar>
              <w:bottom w:w="0" w:type="dxa"/>
            </w:tcMar>
            <w:vAlign w:val="bottom"/>
          </w:tcPr>
          <w:p>
            <w:pPr>
              <w:pStyle w:val="TableContents"/>
              <w:spacing w:before="0" w:after="283"/>
              <w:jc w:val="left"/>
              <w:rPr/>
            </w:pPr>
            <w:r>
              <w:rPr/>
              <w:t> </w:t>
            </w:r>
          </w:p>
        </w:tc>
      </w:tr>
      <w:tr>
        <w:trPr/>
        <w:tc>
          <w:tcPr>
            <w:tcW w:w="6750" w:type="dxa"/>
            <w:tcBorders/>
            <w:shd w:fill="FFFFFF"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Granted</w:t>
            </w:r>
          </w:p>
        </w:tc>
        <w:tc>
          <w:tcPr>
            <w:tcW w:w="190" w:type="dxa"/>
            <w:tcBorders/>
            <w:shd w:fill="FFFFFF" w:val="clear"/>
            <w:tcMar>
              <w:bottom w:w="0" w:type="dxa"/>
            </w:tcMar>
            <w:vAlign w:val="center"/>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1360"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600,000</w:t>
            </w:r>
          </w:p>
        </w:tc>
        <w:tc>
          <w:tcPr>
            <w:tcW w:w="202" w:type="dxa"/>
            <w:tcBorders/>
            <w:shd w:fill="FFFFFF" w:val="clear"/>
            <w:tcMar>
              <w:bottom w:w="0" w:type="dxa"/>
            </w:tcMar>
            <w:vAlign w:val="bottom"/>
          </w:tcPr>
          <w:p>
            <w:pPr>
              <w:pStyle w:val="TableContents"/>
              <w:spacing w:before="0" w:after="283"/>
              <w:jc w:val="left"/>
              <w:rPr/>
            </w:pPr>
            <w:r>
              <w:rPr/>
              <w:t> </w:t>
            </w:r>
          </w:p>
        </w:tc>
        <w:tc>
          <w:tcPr>
            <w:tcW w:w="192" w:type="dxa"/>
            <w:tcBorders/>
            <w:shd w:fill="FFFFFF" w:val="clear"/>
            <w:tcMar>
              <w:bottom w:w="0" w:type="dxa"/>
            </w:tcMar>
            <w:vAlign w:val="bottom"/>
          </w:tcPr>
          <w:p>
            <w:pPr>
              <w:pStyle w:val="TableContents"/>
              <w:spacing w:before="0" w:after="283"/>
              <w:jc w:val="left"/>
              <w:rPr/>
            </w:pPr>
            <w:r>
              <w:rPr/>
              <w:t> </w:t>
            </w:r>
          </w:p>
        </w:tc>
        <w:tc>
          <w:tcPr>
            <w:tcW w:w="1258"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2.00</w:t>
            </w:r>
          </w:p>
        </w:tc>
        <w:tc>
          <w:tcPr>
            <w:tcW w:w="140" w:type="dxa"/>
            <w:tcBorders/>
            <w:shd w:fill="FFFFFF" w:val="clear"/>
            <w:tcMar>
              <w:bottom w:w="0" w:type="dxa"/>
            </w:tcMar>
            <w:vAlign w:val="bottom"/>
          </w:tcPr>
          <w:p>
            <w:pPr>
              <w:pStyle w:val="TableContents"/>
              <w:spacing w:before="0" w:after="283"/>
              <w:jc w:val="left"/>
              <w:rPr/>
            </w:pPr>
            <w:r>
              <w:rPr/>
              <w:t> </w:t>
            </w:r>
          </w:p>
        </w:tc>
      </w:tr>
      <w:tr>
        <w:trPr/>
        <w:tc>
          <w:tcPr>
            <w:tcW w:w="6750"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Exercised</w:t>
            </w:r>
          </w:p>
        </w:tc>
        <w:tc>
          <w:tcPr>
            <w:tcW w:w="190" w:type="dxa"/>
            <w:tcBorders/>
            <w:shd w:fill="CCFFCC" w:val="clear"/>
            <w:tcMar>
              <w:bottom w:w="0" w:type="dxa"/>
            </w:tcMar>
            <w:vAlign w:val="center"/>
          </w:tcPr>
          <w:p>
            <w:pPr>
              <w:pStyle w:val="TableContents"/>
              <w:spacing w:before="0" w:after="283"/>
              <w:rPr/>
            </w:pPr>
            <w:r>
              <w:rPr/>
              <w:t> </w:t>
            </w:r>
          </w:p>
        </w:tc>
        <w:tc>
          <w:tcPr>
            <w:tcW w:w="113" w:type="dxa"/>
            <w:tcBorders/>
            <w:shd w:fill="CCFFCC" w:val="clear"/>
            <w:tcMar>
              <w:bottom w:w="0" w:type="dxa"/>
            </w:tcMar>
            <w:vAlign w:val="bottom"/>
          </w:tcPr>
          <w:p>
            <w:pPr>
              <w:pStyle w:val="TableContents"/>
              <w:spacing w:before="0" w:after="283"/>
              <w:jc w:val="left"/>
              <w:rPr/>
            </w:pPr>
            <w:r>
              <w:rPr/>
              <w:t> </w:t>
            </w:r>
          </w:p>
        </w:tc>
        <w:tc>
          <w:tcPr>
            <w:tcW w:w="1360"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202" w:type="dxa"/>
            <w:tcBorders/>
            <w:shd w:fill="CCFFCC" w:val="clear"/>
            <w:tcMar>
              <w:bottom w:w="0" w:type="dxa"/>
            </w:tcMar>
            <w:vAlign w:val="bottom"/>
          </w:tcPr>
          <w:p>
            <w:pPr>
              <w:pStyle w:val="TableContents"/>
              <w:spacing w:before="0" w:after="283"/>
              <w:jc w:val="left"/>
              <w:rPr/>
            </w:pPr>
            <w:r>
              <w:rPr/>
              <w:t> </w:t>
            </w:r>
          </w:p>
        </w:tc>
        <w:tc>
          <w:tcPr>
            <w:tcW w:w="192" w:type="dxa"/>
            <w:tcBorders/>
            <w:shd w:fill="CCFFCC" w:val="clear"/>
            <w:tcMar>
              <w:bottom w:w="0" w:type="dxa"/>
            </w:tcMar>
            <w:vAlign w:val="bottom"/>
          </w:tcPr>
          <w:p>
            <w:pPr>
              <w:pStyle w:val="TableContents"/>
              <w:spacing w:before="0" w:after="283"/>
              <w:jc w:val="left"/>
              <w:rPr/>
            </w:pPr>
            <w:r>
              <w:rPr/>
              <w:t> </w:t>
            </w:r>
          </w:p>
        </w:tc>
        <w:tc>
          <w:tcPr>
            <w:tcW w:w="1258"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40" w:type="dxa"/>
            <w:tcBorders/>
            <w:shd w:fill="CCFFCC" w:val="clear"/>
            <w:tcMar>
              <w:bottom w:w="0" w:type="dxa"/>
            </w:tcMar>
            <w:vAlign w:val="bottom"/>
          </w:tcPr>
          <w:p>
            <w:pPr>
              <w:pStyle w:val="TableContents"/>
              <w:spacing w:before="0" w:after="283"/>
              <w:jc w:val="left"/>
              <w:rPr/>
            </w:pPr>
            <w:r>
              <w:rPr/>
              <w:t> </w:t>
            </w:r>
          </w:p>
        </w:tc>
      </w:tr>
      <w:tr>
        <w:trPr/>
        <w:tc>
          <w:tcPr>
            <w:tcW w:w="6750" w:type="dxa"/>
            <w:tcBorders>
              <w:bottom w:val="single" w:sz="4" w:space="0" w:color="FFFFFF"/>
            </w:tcBorders>
            <w:shd w:fill="FFFFFF"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Cancelled</w:t>
            </w:r>
          </w:p>
        </w:tc>
        <w:tc>
          <w:tcPr>
            <w:tcW w:w="190" w:type="dxa"/>
            <w:tcBorders>
              <w:bottom w:val="single" w:sz="4" w:space="0" w:color="FFFFFF"/>
            </w:tcBorders>
            <w:shd w:fill="FFFFFF" w:val="clear"/>
            <w:vAlign w:val="center"/>
          </w:tcPr>
          <w:p>
            <w:pPr>
              <w:pStyle w:val="TableContents"/>
              <w:spacing w:before="0" w:after="283"/>
              <w:rPr/>
            </w:pPr>
            <w:r>
              <w:rPr/>
              <w:t> </w:t>
            </w:r>
          </w:p>
        </w:tc>
        <w:tc>
          <w:tcPr>
            <w:tcW w:w="113" w:type="dxa"/>
            <w:tcBorders>
              <w:bottom w:val="single" w:sz="2" w:space="0" w:color="000000"/>
            </w:tcBorders>
            <w:shd w:fill="FFFFFF" w:val="clear"/>
            <w:vAlign w:val="bottom"/>
          </w:tcPr>
          <w:p>
            <w:pPr>
              <w:pStyle w:val="TableContents"/>
              <w:spacing w:before="0" w:after="283"/>
              <w:jc w:val="left"/>
              <w:rPr/>
            </w:pPr>
            <w:r>
              <w:rPr/>
              <w:t> </w:t>
            </w:r>
          </w:p>
        </w:tc>
        <w:tc>
          <w:tcPr>
            <w:tcW w:w="1360"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(200,000</w:t>
            </w:r>
          </w:p>
        </w:tc>
        <w:tc>
          <w:tcPr>
            <w:tcW w:w="202"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92" w:type="dxa"/>
            <w:tcBorders>
              <w:bottom w:val="single" w:sz="2" w:space="0" w:color="000000"/>
            </w:tcBorders>
            <w:shd w:fill="FFFFFF" w:val="clear"/>
            <w:vAlign w:val="bottom"/>
          </w:tcPr>
          <w:p>
            <w:pPr>
              <w:pStyle w:val="TableContents"/>
              <w:spacing w:before="0" w:after="283"/>
              <w:jc w:val="left"/>
              <w:rPr/>
            </w:pPr>
            <w:r>
              <w:rPr/>
              <w:t> </w:t>
            </w:r>
          </w:p>
        </w:tc>
        <w:tc>
          <w:tcPr>
            <w:tcW w:w="1258" w:type="dxa"/>
            <w:tcBorders>
              <w:bottom w:val="sing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(2.00</w:t>
            </w:r>
          </w:p>
        </w:tc>
        <w:tc>
          <w:tcPr>
            <w:tcW w:w="140" w:type="dxa"/>
            <w:tcBorders>
              <w:bottom w:val="single" w:sz="4" w:space="0" w:color="FFFFFF"/>
            </w:tcBorders>
            <w:shd w:fill="FFFFFF"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r>
      <w:tr>
        <w:trPr/>
        <w:tc>
          <w:tcPr>
            <w:tcW w:w="6750" w:type="dxa"/>
            <w:tcBorders>
              <w:bottom w:val="double" w:sz="2" w:space="0" w:color="CCFFCC"/>
            </w:tcBorders>
            <w:shd w:fill="CCFFCC"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Options outstanding – End of Period</w:t>
            </w:r>
          </w:p>
        </w:tc>
        <w:tc>
          <w:tcPr>
            <w:tcW w:w="190" w:type="dxa"/>
            <w:tcBorders>
              <w:bottom w:val="single" w:sz="4" w:space="0" w:color="CCFFCC"/>
            </w:tcBorders>
            <w:shd w:fill="CCFFCC" w:val="clear"/>
            <w:vAlign w:val="center"/>
          </w:tcPr>
          <w:p>
            <w:pPr>
              <w:pStyle w:val="TableContents"/>
              <w:spacing w:before="0" w:after="283"/>
              <w:rPr/>
            </w:pPr>
            <w:r>
              <w:rPr/>
              <w:t> </w:t>
            </w:r>
          </w:p>
        </w:tc>
        <w:tc>
          <w:tcPr>
            <w:tcW w:w="113" w:type="dxa"/>
            <w:tcBorders>
              <w:bottom w:val="double" w:sz="2" w:space="0" w:color="000000"/>
            </w:tcBorders>
            <w:shd w:fill="CCFFCC" w:val="clear"/>
            <w:vAlign w:val="bottom"/>
          </w:tcPr>
          <w:p>
            <w:pPr>
              <w:pStyle w:val="TableContents"/>
              <w:spacing w:before="0" w:after="283"/>
              <w:jc w:val="left"/>
              <w:rPr/>
            </w:pPr>
            <w:r>
              <w:rPr/>
              <w:t> </w:t>
            </w:r>
          </w:p>
        </w:tc>
        <w:tc>
          <w:tcPr>
            <w:tcW w:w="1360"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1,010,000</w:t>
            </w:r>
          </w:p>
        </w:tc>
        <w:tc>
          <w:tcPr>
            <w:tcW w:w="202" w:type="dxa"/>
            <w:tcBorders>
              <w:bottom w:val="single" w:sz="4" w:space="0" w:color="CCFFCC"/>
            </w:tcBorders>
            <w:shd w:fill="CCFFCC" w:val="clear"/>
            <w:vAlign w:val="bottom"/>
          </w:tcPr>
          <w:p>
            <w:pPr>
              <w:pStyle w:val="TableContents"/>
              <w:spacing w:before="0" w:after="283"/>
              <w:jc w:val="left"/>
              <w:rPr/>
            </w:pPr>
            <w:r>
              <w:rPr/>
              <w:t> </w:t>
            </w:r>
          </w:p>
        </w:tc>
        <w:tc>
          <w:tcPr>
            <w:tcW w:w="192"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58"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2.01</w:t>
            </w:r>
          </w:p>
        </w:tc>
        <w:tc>
          <w:tcPr>
            <w:tcW w:w="140" w:type="dxa"/>
            <w:tcBorders>
              <w:bottom w:val="single" w:sz="4" w:space="0" w:color="CCFFCC"/>
            </w:tcBorders>
            <w:shd w:fill="CCFFCC" w:val="clear"/>
            <w:vAlign w:val="bottom"/>
          </w:tcPr>
          <w:p>
            <w:pPr>
              <w:pStyle w:val="TableContents"/>
              <w:spacing w:before="0" w:after="283"/>
              <w:jc w:val="left"/>
              <w:rPr/>
            </w:pPr>
            <w:r>
              <w:rPr/>
              <w:t> </w:t>
            </w:r>
          </w:p>
        </w:tc>
      </w:tr>
      <w:tr>
        <w:trPr/>
        <w:tc>
          <w:tcPr>
            <w:tcW w:w="6750" w:type="dxa"/>
            <w:tcBorders>
              <w:bottom w:val="double" w:sz="2" w:space="0" w:color="CCFFCC"/>
            </w:tcBorders>
            <w:shd w:fill="FFFFFF"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Options exercisable – End of Period</w:t>
            </w:r>
          </w:p>
        </w:tc>
        <w:tc>
          <w:tcPr>
            <w:tcW w:w="190" w:type="dxa"/>
            <w:tcBorders>
              <w:bottom w:val="single" w:sz="4" w:space="0" w:color="FFFFFF"/>
            </w:tcBorders>
            <w:shd w:fill="FFFFFF" w:val="clear"/>
            <w:vAlign w:val="center"/>
          </w:tcPr>
          <w:p>
            <w:pPr>
              <w:pStyle w:val="TableContents"/>
              <w:spacing w:before="0" w:after="283"/>
              <w:rPr/>
            </w:pPr>
            <w:r>
              <w:rPr/>
              <w:t> </w:t>
            </w:r>
          </w:p>
        </w:tc>
        <w:tc>
          <w:tcPr>
            <w:tcW w:w="113" w:type="dxa"/>
            <w:tcBorders>
              <w:bottom w:val="double" w:sz="2" w:space="0" w:color="000000"/>
            </w:tcBorders>
            <w:shd w:fill="FFFFFF" w:val="clear"/>
            <w:vAlign w:val="bottom"/>
          </w:tcPr>
          <w:p>
            <w:pPr>
              <w:pStyle w:val="TableContents"/>
              <w:spacing w:before="0" w:after="283"/>
              <w:jc w:val="left"/>
              <w:rPr/>
            </w:pPr>
            <w:r>
              <w:rPr/>
              <w:t> </w:t>
            </w:r>
          </w:p>
        </w:tc>
        <w:tc>
          <w:tcPr>
            <w:tcW w:w="1360"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125,091</w:t>
            </w:r>
          </w:p>
        </w:tc>
        <w:tc>
          <w:tcPr>
            <w:tcW w:w="202" w:type="dxa"/>
            <w:tcBorders>
              <w:bottom w:val="single" w:sz="4" w:space="0" w:color="FFFFFF"/>
            </w:tcBorders>
            <w:shd w:fill="FFFFFF" w:val="clear"/>
            <w:vAlign w:val="bottom"/>
          </w:tcPr>
          <w:p>
            <w:pPr>
              <w:pStyle w:val="TableContents"/>
              <w:spacing w:before="0" w:after="283"/>
              <w:jc w:val="left"/>
              <w:rPr/>
            </w:pPr>
            <w:r>
              <w:rPr/>
              <w:t> </w:t>
            </w:r>
          </w:p>
        </w:tc>
        <w:tc>
          <w:tcPr>
            <w:tcW w:w="192" w:type="dxa"/>
            <w:tcBorders>
              <w:bottom w:val="double" w:sz="2" w:space="0" w:color="CCFFCC"/>
            </w:tcBorders>
            <w:shd w:fill="FFFFFF" w:val="clear"/>
            <w:vAlign w:val="bottom"/>
          </w:tcPr>
          <w:p>
            <w:pPr>
              <w:pStyle w:val="TableContents"/>
              <w:spacing w:before="0" w:after="283"/>
              <w:jc w:val="left"/>
              <w:rPr/>
            </w:pPr>
            <w:r>
              <w:rPr/>
              <w:t> </w:t>
            </w:r>
          </w:p>
        </w:tc>
        <w:tc>
          <w:tcPr>
            <w:tcW w:w="1258" w:type="dxa"/>
            <w:tcBorders>
              <w:bottom w:val="double" w:sz="2" w:space="0" w:color="CCFFCC"/>
            </w:tcBorders>
            <w:shd w:fill="FFFFFF" w:val="clear"/>
            <w:vAlign w:val="bottom"/>
          </w:tcPr>
          <w:p>
            <w:pPr>
              <w:pStyle w:val="TableContents"/>
              <w:spacing w:before="0" w:after="283"/>
              <w:rPr>
                <w:sz w:val="4"/>
                <w:szCs w:val="4"/>
              </w:rPr>
            </w:pPr>
            <w:r>
              <w:rPr>
                <w:sz w:val="4"/>
                <w:szCs w:val="4"/>
              </w:rPr>
            </w:r>
          </w:p>
        </w:tc>
        <w:tc>
          <w:tcPr>
            <w:tcW w:w="140" w:type="dxa"/>
            <w:tcBorders>
              <w:bottom w:val="single" w:sz="4" w:space="0" w:color="FFFFFF"/>
            </w:tcBorders>
            <w:shd w:fill="FFFFFF" w:val="clear"/>
            <w:vAlign w:val="bottom"/>
          </w:tcPr>
          <w:p>
            <w:pPr>
              <w:pStyle w:val="TableContents"/>
              <w:spacing w:before="0" w:after="283"/>
              <w:jc w:val="left"/>
              <w:rPr/>
            </w:pPr>
            <w:r>
              <w:rPr/>
              <w:t> </w:t>
            </w:r>
          </w:p>
        </w:tc>
      </w:tr>
      <w:tr>
        <w:trPr/>
        <w:tc>
          <w:tcPr>
            <w:tcW w:w="6750" w:type="dxa"/>
            <w:tcBorders>
              <w:bottom w:val="double" w:sz="2" w:space="0" w:color="CCFFCC"/>
            </w:tcBorders>
            <w:shd w:fill="CCFFCC"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Weighted average remaining contractual life of the outstanding options – End of period</w:t>
            </w:r>
          </w:p>
        </w:tc>
        <w:tc>
          <w:tcPr>
            <w:tcW w:w="190" w:type="dxa"/>
            <w:tcBorders>
              <w:bottom w:val="single" w:sz="4" w:space="0" w:color="CCFFCC"/>
            </w:tcBorders>
            <w:shd w:fill="CCFFCC" w:val="clear"/>
            <w:vAlign w:val="center"/>
          </w:tcPr>
          <w:p>
            <w:pPr>
              <w:pStyle w:val="TableContents"/>
              <w:spacing w:before="0" w:after="283"/>
              <w:rPr/>
            </w:pPr>
            <w:r>
              <w:rPr/>
              <w:t> </w:t>
            </w:r>
          </w:p>
        </w:tc>
        <w:tc>
          <w:tcPr>
            <w:tcW w:w="113" w:type="dxa"/>
            <w:tcBorders>
              <w:bottom w:val="double" w:sz="2" w:space="0" w:color="000000"/>
            </w:tcBorders>
            <w:shd w:fill="CCFFCC" w:val="clear"/>
            <w:vAlign w:val="bottom"/>
          </w:tcPr>
          <w:p>
            <w:pPr>
              <w:pStyle w:val="TableContents"/>
              <w:spacing w:before="0" w:after="283"/>
              <w:jc w:val="left"/>
              <w:rPr/>
            </w:pPr>
            <w:r>
              <w:rPr/>
              <w:t> </w:t>
            </w:r>
          </w:p>
        </w:tc>
        <w:tc>
          <w:tcPr>
            <w:tcW w:w="1360"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9.4 years</w:t>
            </w:r>
          </w:p>
        </w:tc>
        <w:tc>
          <w:tcPr>
            <w:tcW w:w="202" w:type="dxa"/>
            <w:tcBorders>
              <w:bottom w:val="single" w:sz="4" w:space="0" w:color="CCFFCC"/>
            </w:tcBorders>
            <w:shd w:fill="CCFFCC" w:val="clear"/>
            <w:vAlign w:val="bottom"/>
          </w:tcPr>
          <w:p>
            <w:pPr>
              <w:pStyle w:val="TableContents"/>
              <w:spacing w:before="0" w:after="283"/>
              <w:jc w:val="left"/>
              <w:rPr/>
            </w:pPr>
            <w:r>
              <w:rPr/>
              <w:t> </w:t>
            </w:r>
          </w:p>
        </w:tc>
        <w:tc>
          <w:tcPr>
            <w:tcW w:w="192" w:type="dxa"/>
            <w:tcBorders>
              <w:bottom w:val="double" w:sz="2" w:space="0" w:color="CCFFCC"/>
            </w:tcBorders>
            <w:shd w:fill="CCFFCC" w:val="clear"/>
            <w:vAlign w:val="bottom"/>
          </w:tcPr>
          <w:p>
            <w:pPr>
              <w:pStyle w:val="TableContents"/>
              <w:spacing w:before="0" w:after="283"/>
              <w:jc w:val="left"/>
              <w:rPr/>
            </w:pPr>
            <w:r>
              <w:rPr/>
              <w:t> </w:t>
            </w:r>
          </w:p>
        </w:tc>
        <w:tc>
          <w:tcPr>
            <w:tcW w:w="1258" w:type="dxa"/>
            <w:tcBorders>
              <w:bottom w:val="double" w:sz="2" w:space="0" w:color="CCFFCC"/>
            </w:tcBorders>
            <w:shd w:fill="CCFFCC" w:val="clear"/>
            <w:vAlign w:val="bottom"/>
          </w:tcPr>
          <w:p>
            <w:pPr>
              <w:pStyle w:val="TableContents"/>
              <w:spacing w:before="0" w:after="283"/>
              <w:rPr>
                <w:sz w:val="4"/>
                <w:szCs w:val="4"/>
              </w:rPr>
            </w:pPr>
            <w:r>
              <w:rPr>
                <w:sz w:val="4"/>
                <w:szCs w:val="4"/>
              </w:rPr>
            </w:r>
          </w:p>
        </w:tc>
        <w:tc>
          <w:tcPr>
            <w:tcW w:w="140" w:type="dxa"/>
            <w:tcBorders>
              <w:bottom w:val="single" w:sz="4" w:space="0" w:color="CCFFCC"/>
            </w:tcBorders>
            <w:shd w:fill="CCFFCC" w:val="clear"/>
            <w:vAlign w:val="bottom"/>
          </w:tcPr>
          <w:p>
            <w:pPr>
              <w:pStyle w:val="TableContents"/>
              <w:spacing w:before="0" w:after="283"/>
              <w:jc w:val="left"/>
              <w:rPr/>
            </w:pPr>
            <w:r>
              <w:rPr/>
              <w:t> </w:t>
            </w:r>
          </w:p>
        </w:tc>
      </w:tr>
      <w:tr>
        <w:trPr/>
        <w:tc>
          <w:tcPr>
            <w:tcW w:w="6750" w:type="dxa"/>
            <w:tcBorders>
              <w:bottom w:val="double" w:sz="2" w:space="0" w:color="CCFFCC"/>
            </w:tcBorders>
            <w:shd w:fill="FFFFFF"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Aggregate intrinsic value – End of Period</w:t>
            </w:r>
          </w:p>
        </w:tc>
        <w:tc>
          <w:tcPr>
            <w:tcW w:w="190" w:type="dxa"/>
            <w:tcBorders>
              <w:bottom w:val="single" w:sz="4" w:space="0" w:color="FFFFFF"/>
            </w:tcBorders>
            <w:shd w:fill="FFFFFF" w:val="clear"/>
            <w:vAlign w:val="center"/>
          </w:tcPr>
          <w:p>
            <w:pPr>
              <w:pStyle w:val="TableContents"/>
              <w:spacing w:before="0" w:after="283"/>
              <w:rPr/>
            </w:pPr>
            <w:r>
              <w:rPr/>
              <w:t> </w:t>
            </w:r>
          </w:p>
        </w:tc>
        <w:tc>
          <w:tcPr>
            <w:tcW w:w="113" w:type="dxa"/>
            <w:tcBorders>
              <w:bottom w:val="double" w:sz="2" w:space="0" w:color="000000"/>
            </w:tcBorders>
            <w:shd w:fill="FFFFFF" w:val="clear"/>
            <w:vAlign w:val="bottom"/>
          </w:tcPr>
          <w:p>
            <w:pPr>
              <w:pStyle w:val="TableContents"/>
              <w:spacing w:before="0" w:after="283"/>
              <w:jc w:val="left"/>
              <w:rPr/>
            </w:pPr>
            <w:r>
              <w:rPr/>
              <w:t> </w:t>
            </w:r>
          </w:p>
        </w:tc>
        <w:tc>
          <w:tcPr>
            <w:tcW w:w="1360" w:type="dxa"/>
            <w:tcBorders>
              <w:bottom w:val="double" w:sz="2" w:space="0" w:color="000000"/>
            </w:tcBorders>
            <w:shd w:fill="FFFFFF" w:val="clear"/>
            <w:vAlign w:val="bottom"/>
          </w:tcPr>
          <w:p>
            <w:pPr>
              <w:pStyle w:val="TableContents"/>
              <w:spacing w:lineRule="auto" w:line="300" w:before="0" w:after="0"/>
              <w:ind w:left="0" w:right="0" w:hanging="0"/>
              <w:jc w:val="right"/>
              <w:rPr/>
            </w:pPr>
            <w:r>
              <w:rPr/>
              <w:t>—</w:t>
            </w:r>
          </w:p>
        </w:tc>
        <w:tc>
          <w:tcPr>
            <w:tcW w:w="202" w:type="dxa"/>
            <w:tcBorders>
              <w:bottom w:val="single" w:sz="4" w:space="0" w:color="FFFFFF"/>
            </w:tcBorders>
            <w:shd w:fill="FFFFFF" w:val="clear"/>
            <w:vAlign w:val="bottom"/>
          </w:tcPr>
          <w:p>
            <w:pPr>
              <w:pStyle w:val="TableContents"/>
              <w:spacing w:before="0" w:after="283"/>
              <w:jc w:val="left"/>
              <w:rPr/>
            </w:pPr>
            <w:r>
              <w:rPr/>
              <w:t> </w:t>
            </w:r>
          </w:p>
        </w:tc>
        <w:tc>
          <w:tcPr>
            <w:tcW w:w="192" w:type="dxa"/>
            <w:tcBorders>
              <w:bottom w:val="double" w:sz="2" w:space="0" w:color="CCFFCC"/>
            </w:tcBorders>
            <w:shd w:fill="FFFFFF" w:val="clear"/>
            <w:vAlign w:val="bottom"/>
          </w:tcPr>
          <w:p>
            <w:pPr>
              <w:pStyle w:val="TableContents"/>
              <w:spacing w:before="0" w:after="283"/>
              <w:jc w:val="left"/>
              <w:rPr/>
            </w:pPr>
            <w:r>
              <w:rPr/>
              <w:t> </w:t>
            </w:r>
          </w:p>
        </w:tc>
        <w:tc>
          <w:tcPr>
            <w:tcW w:w="1258" w:type="dxa"/>
            <w:tcBorders>
              <w:bottom w:val="double" w:sz="2" w:space="0" w:color="CCFFCC"/>
            </w:tcBorders>
            <w:shd w:fill="FFFFFF" w:val="clear"/>
            <w:vAlign w:val="bottom"/>
          </w:tcPr>
          <w:p>
            <w:pPr>
              <w:pStyle w:val="TableContents"/>
              <w:spacing w:before="0" w:after="283"/>
              <w:rPr>
                <w:sz w:val="4"/>
                <w:szCs w:val="4"/>
              </w:rPr>
            </w:pPr>
            <w:r>
              <w:rPr>
                <w:sz w:val="4"/>
                <w:szCs w:val="4"/>
              </w:rPr>
            </w:r>
          </w:p>
        </w:tc>
        <w:tc>
          <w:tcPr>
            <w:tcW w:w="140"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 xml:space="preserve">All options granted to date expire on the ten year anniversary of the issuance date and vest on a quarterly basis over one to three years.    The Company uses the Black-Scholes option pricing model to estimate the grant-date fair value of share-based awards under SFAS No. 123R.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defined by SAB No. 107, </w:t>
      </w:r>
      <w:r>
        <w:rPr>
          <w:rStyle w:val="Emphasis"/>
          <w:rFonts w:ascii="Times New Roman" w:hAnsi="Times New Roman"/>
          <w:sz w:val="20"/>
        </w:rPr>
        <w:t>Share-Based Payment</w:t>
      </w:r>
      <w:r>
        <w:rPr>
          <w:rFonts w:ascii="Times New Roman" w:hAnsi="Times New Roman"/>
          <w:sz w:val="20"/>
        </w:rPr>
        <w:t>,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In accordance with SFAS No. 123R, the financial statement effect of forfeitures is estimated at the time of grant and revised, if necessary, if the actual effect differs from those estimates. As of June 30, 2008, management’s future estimates are that the effect of forfeitures on the financial statements will be insignificant. As of June 30, 2008, there was approximately $885,000 of total unrecognized compensation expense related to unvested stock-based compensation under the Plan. That expense is expected to be recognized over the weighted-average period of 2.9 years.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Furthermore, in August 2007, the Company issued a restricted stock grant to an executive of the Company for 195,313 shares of the Company’s common stock upon closing of the Merger (See Note 3). The restricted stock grant was scheduled to vest 100% on March 17, 2009 and valued at approximately $391,000, which was being amortized over the 18 month period. However, on April 4, 2008, the Company’s Board of Directors waived any restrictions or forfeiture conditions on the shares of restricted common stock in conjunction with the executive’s resignation and a separation agreement entered into between the Company and the executive. Therefore, the remaining unrecognized expense of $236,000 was fully amortized as a result of the waiver of the restrictions and forfeiture conditions.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8" w:name="PGBRK9"/>
      <w:bookmarkStart w:id="119" w:name="PGBRK9"/>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 w:name="FTR9"/>
      <w:bookmarkStart w:id="121" w:name="FTR9"/>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 w:name="GLFTR9"/>
      <w:bookmarkStart w:id="123" w:name="GLFTR9"/>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24" w:name="PN9"/>
      <w:bookmarkEnd w:id="124"/>
      <w:r>
        <w:rPr>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 w:name="HDR9"/>
      <w:bookmarkStart w:id="126" w:name="HDR9"/>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 w:name="GLHDR9"/>
      <w:bookmarkStart w:id="128" w:name="GLHDR9"/>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r>
        <w:rPr>
          <w:rStyle w:val="StrongEmphasis"/>
          <w:rFonts w:ascii="Times New Roman" w:hAnsi="Times New Roman"/>
          <w:sz w:val="20"/>
        </w:rPr>
        <w:t>TRANSDEL PHARMACEUTICALS, INC.</w:t>
      </w:r>
    </w:p>
    <w:p>
      <w:pPr>
        <w:pStyle w:val="TextBody"/>
        <w:spacing w:lineRule="auto" w:line="300" w:before="0" w:after="0"/>
        <w:ind w:left="0" w:right="0" w:hanging="0"/>
        <w:jc w:val="center"/>
        <w:rPr/>
      </w:pPr>
      <w:r>
        <w:rPr>
          <w:rStyle w:val="StrongEmphasis"/>
          <w:rFonts w:ascii="Times New Roman" w:hAnsi="Times New Roman"/>
          <w:sz w:val="20"/>
        </w:rPr>
        <w:t>(A Development Stage Company)</w:t>
      </w:r>
    </w:p>
    <w:p>
      <w:pPr>
        <w:pStyle w:val="TextBody"/>
        <w:spacing w:lineRule="auto" w:line="300" w:before="0" w:after="0"/>
        <w:ind w:left="0" w:right="0" w:hanging="0"/>
        <w:jc w:val="center"/>
        <w:rPr/>
      </w:pPr>
      <w:r>
        <w:rPr>
          <w:rStyle w:val="StrongEmphasis"/>
          <w:rFonts w:ascii="Times New Roman" w:hAnsi="Times New Roman"/>
          <w:sz w:val="20"/>
        </w:rPr>
        <w:t>NOTES TO THE UNAUDITED CONDENSED CONSOLIDATED FINANCIAL STATEMENTS</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rStyle w:val="StrongEmphasis"/>
          <w:rFonts w:ascii="Times New Roman" w:hAnsi="Times New Roman"/>
          <w:sz w:val="20"/>
        </w:rPr>
        <w:t>Note 8.    Stock Warrants</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In addition to the warrants issued in conjunction with the Private Placement and the Follow-On Private Placement, the Company issued a warrant to purchase shares of its common stock to a firm in connection with a consulting agreement at an exercise price of $4.00 (or cashless exercise price of $5.00). The expiration of the outstanding warrants occurs through May 2013 at various periods (see Note 6).</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A summary of the status of the warrants for the period ended June 20, 2008, is as follows:</w:t>
      </w:r>
    </w:p>
    <w:p>
      <w:pPr>
        <w:pStyle w:val="Normal"/>
        <w:spacing w:before="0" w:after="0"/>
        <w:rPr>
          <w:sz w:val="4"/>
          <w:szCs w:val="4"/>
        </w:rPr>
      </w:pPr>
      <w:r>
        <w:rPr>
          <w:sz w:val="4"/>
          <w:szCs w:val="4"/>
        </w:rPr>
      </w:r>
      <w:bookmarkStart w:id="129" w:name="ftable4"/>
      <w:bookmarkStart w:id="130" w:name="ftable4"/>
      <w:bookmarkEnd w:id="130"/>
    </w:p>
    <w:tbl>
      <w:tblPr>
        <w:tblW w:w="5000" w:type="pct"/>
        <w:jc w:val="left"/>
        <w:tblInd w:w="0" w:type="dxa"/>
        <w:tblCellMar>
          <w:top w:w="0" w:type="dxa"/>
          <w:left w:w="0" w:type="dxa"/>
          <w:bottom w:w="28" w:type="dxa"/>
          <w:right w:w="0" w:type="dxa"/>
        </w:tblCellMar>
      </w:tblPr>
      <w:tblGrid>
        <w:gridCol w:w="6611"/>
        <w:gridCol w:w="186"/>
        <w:gridCol w:w="133"/>
        <w:gridCol w:w="1507"/>
        <w:gridCol w:w="186"/>
        <w:gridCol w:w="214"/>
        <w:gridCol w:w="1239"/>
        <w:gridCol w:w="129"/>
      </w:tblGrid>
      <w:tr>
        <w:trPr/>
        <w:tc>
          <w:tcPr>
            <w:tcW w:w="6611" w:type="dxa"/>
            <w:tcBorders>
              <w:bottom w:val="single" w:sz="4" w:space="0" w:color="FFFFFF"/>
            </w:tcBorders>
            <w:shd w:fill="auto" w:val="clear"/>
            <w:vAlign w:val="bottom"/>
          </w:tcPr>
          <w:p>
            <w:pPr>
              <w:pStyle w:val="TableContents"/>
              <w:spacing w:lineRule="auto" w:line="300" w:before="0" w:after="0"/>
              <w:ind w:left="0" w:right="16" w:hanging="0"/>
              <w:jc w:val="left"/>
              <w:rPr/>
            </w:pPr>
            <w:bookmarkStart w:id="131" w:name="FTABLE"/>
            <w:bookmarkEnd w:id="131"/>
            <w:r>
              <w:rPr/>
              <w:t> </w:t>
            </w:r>
          </w:p>
        </w:tc>
        <w:tc>
          <w:tcPr>
            <w:tcW w:w="186" w:type="dxa"/>
            <w:tcBorders>
              <w:bottom w:val="single" w:sz="4" w:space="0" w:color="FFFFFF"/>
            </w:tcBorders>
            <w:shd w:fill="auto" w:val="clear"/>
            <w:vAlign w:val="center"/>
          </w:tcPr>
          <w:p>
            <w:pPr>
              <w:pStyle w:val="TableContents"/>
              <w:spacing w:before="0" w:after="283"/>
              <w:rPr/>
            </w:pPr>
            <w:r>
              <w:rPr/>
              <w:t> </w:t>
            </w:r>
          </w:p>
        </w:tc>
        <w:tc>
          <w:tcPr>
            <w:tcW w:w="1640" w:type="dxa"/>
            <w:gridSpan w:val="2"/>
            <w:tcBorders>
              <w:bottom w:val="single" w:sz="2" w:space="0" w:color="000000"/>
            </w:tcBorders>
            <w:shd w:fill="auto" w:val="clear"/>
            <w:vAlign w:val="bottom"/>
          </w:tcPr>
          <w:p>
            <w:pPr>
              <w:pStyle w:val="TableContents"/>
              <w:spacing w:lineRule="auto" w:line="300" w:before="0" w:after="0"/>
              <w:ind w:left="0" w:right="36" w:hanging="0"/>
              <w:jc w:val="center"/>
              <w:rPr/>
            </w:pPr>
            <w:r>
              <w:rPr>
                <w:rStyle w:val="StrongEmphasis"/>
                <w:rFonts w:ascii="Times New Roman" w:hAnsi="Times New Roman"/>
                <w:sz w:val="20"/>
              </w:rPr>
              <w:t>Number of</w:t>
            </w:r>
          </w:p>
          <w:p>
            <w:pPr>
              <w:pStyle w:val="TableContents"/>
              <w:spacing w:lineRule="auto" w:line="300" w:before="0" w:after="0"/>
              <w:ind w:left="0" w:right="36" w:hanging="0"/>
              <w:jc w:val="center"/>
              <w:rPr/>
            </w:pPr>
            <w:r>
              <w:rPr>
                <w:rStyle w:val="StrongEmphasis"/>
                <w:rFonts w:ascii="Times New Roman" w:hAnsi="Times New Roman"/>
                <w:sz w:val="20"/>
              </w:rPr>
              <w:t>Shares</w:t>
            </w:r>
          </w:p>
          <w:p>
            <w:pPr>
              <w:pStyle w:val="TableContents"/>
              <w:spacing w:lineRule="auto" w:line="300" w:before="0" w:after="0"/>
              <w:ind w:left="0" w:right="36" w:hanging="0"/>
              <w:jc w:val="center"/>
              <w:rPr/>
            </w:pPr>
            <w:r>
              <w:rPr>
                <w:rStyle w:val="StrongEmphasis"/>
                <w:rFonts w:ascii="Times New Roman" w:hAnsi="Times New Roman"/>
                <w:sz w:val="20"/>
              </w:rPr>
              <w:t>Subject to</w:t>
            </w:r>
          </w:p>
          <w:p>
            <w:pPr>
              <w:pStyle w:val="TableContents"/>
              <w:spacing w:lineRule="auto" w:line="300" w:before="0" w:after="0"/>
              <w:ind w:left="0" w:right="36" w:hanging="0"/>
              <w:jc w:val="center"/>
              <w:rPr/>
            </w:pPr>
            <w:r>
              <w:rPr>
                <w:rStyle w:val="StrongEmphasis"/>
                <w:rFonts w:ascii="Times New Roman" w:hAnsi="Times New Roman"/>
                <w:sz w:val="20"/>
              </w:rPr>
              <w:t>Warrants</w:t>
            </w:r>
          </w:p>
          <w:p>
            <w:pPr>
              <w:pStyle w:val="TableContents"/>
              <w:spacing w:lineRule="auto" w:line="300" w:before="0" w:after="0"/>
              <w:ind w:left="0" w:right="36" w:hanging="0"/>
              <w:jc w:val="center"/>
              <w:rPr/>
            </w:pPr>
            <w:r>
              <w:rPr/>
              <w:t> </w:t>
            </w:r>
            <w:r>
              <w:rPr>
                <w:rStyle w:val="StrongEmphasis"/>
                <w:rFonts w:ascii="Times New Roman" w:hAnsi="Times New Roman"/>
                <w:sz w:val="20"/>
              </w:rPr>
              <w:t>Outstanding</w:t>
            </w:r>
          </w:p>
        </w:tc>
        <w:tc>
          <w:tcPr>
            <w:tcW w:w="186" w:type="dxa"/>
            <w:tcBorders>
              <w:bottom w:val="single" w:sz="4" w:space="0" w:color="FFFFFF"/>
            </w:tcBorders>
            <w:shd w:fill="auto" w:val="clear"/>
            <w:vAlign w:val="bottom"/>
          </w:tcPr>
          <w:p>
            <w:pPr>
              <w:pStyle w:val="TableContents"/>
              <w:spacing w:before="0" w:after="283"/>
              <w:jc w:val="left"/>
              <w:rPr/>
            </w:pPr>
            <w:r>
              <w:rPr/>
              <w:t> </w:t>
            </w:r>
          </w:p>
        </w:tc>
        <w:tc>
          <w:tcPr>
            <w:tcW w:w="1453" w:type="dxa"/>
            <w:gridSpan w:val="2"/>
            <w:tcBorders>
              <w:bottom w:val="single" w:sz="2" w:space="0" w:color="000000"/>
            </w:tcBorders>
            <w:shd w:fill="auto" w:val="clear"/>
            <w:vAlign w:val="bottom"/>
          </w:tcPr>
          <w:p>
            <w:pPr>
              <w:pStyle w:val="TableContents"/>
              <w:spacing w:lineRule="auto" w:line="300" w:before="0" w:after="0"/>
              <w:ind w:left="0" w:right="36" w:hanging="0"/>
              <w:jc w:val="center"/>
              <w:rPr/>
            </w:pPr>
            <w:r>
              <w:rPr/>
              <w:t> </w:t>
            </w:r>
          </w:p>
          <w:p>
            <w:pPr>
              <w:pStyle w:val="TableContents"/>
              <w:spacing w:lineRule="auto" w:line="300" w:before="0" w:after="0"/>
              <w:ind w:left="0" w:right="36" w:hanging="0"/>
              <w:jc w:val="center"/>
              <w:rPr/>
            </w:pPr>
            <w:r>
              <w:rPr>
                <w:rStyle w:val="StrongEmphasis"/>
                <w:rFonts w:ascii="Times New Roman" w:hAnsi="Times New Roman"/>
                <w:sz w:val="20"/>
              </w:rPr>
              <w:t>Weighted-</w:t>
            </w:r>
          </w:p>
          <w:p>
            <w:pPr>
              <w:pStyle w:val="TableContents"/>
              <w:spacing w:lineRule="auto" w:line="300" w:before="0" w:after="0"/>
              <w:ind w:left="0" w:right="36" w:hanging="0"/>
              <w:jc w:val="center"/>
              <w:rPr/>
            </w:pPr>
            <w:r>
              <w:rPr>
                <w:rStyle w:val="StrongEmphasis"/>
                <w:rFonts w:ascii="Times New Roman" w:hAnsi="Times New Roman"/>
                <w:sz w:val="20"/>
              </w:rPr>
              <w:t>Average</w:t>
            </w:r>
          </w:p>
          <w:p>
            <w:pPr>
              <w:pStyle w:val="TableContents"/>
              <w:spacing w:lineRule="auto" w:line="300" w:before="0" w:after="0"/>
              <w:ind w:left="0" w:right="36" w:hanging="0"/>
              <w:jc w:val="center"/>
              <w:rPr/>
            </w:pPr>
            <w:r>
              <w:rPr>
                <w:rStyle w:val="StrongEmphasis"/>
                <w:rFonts w:ascii="Times New Roman" w:hAnsi="Times New Roman"/>
                <w:sz w:val="20"/>
              </w:rPr>
              <w:t>Exercise</w:t>
            </w:r>
          </w:p>
          <w:p>
            <w:pPr>
              <w:pStyle w:val="TableContents"/>
              <w:spacing w:lineRule="auto" w:line="300" w:before="0" w:after="0"/>
              <w:ind w:left="0" w:right="36" w:hanging="0"/>
              <w:jc w:val="center"/>
              <w:rPr/>
            </w:pPr>
            <w:r>
              <w:rPr/>
              <w:t> </w:t>
            </w:r>
            <w:r>
              <w:rPr>
                <w:rStyle w:val="StrongEmphasis"/>
                <w:rFonts w:ascii="Times New Roman" w:hAnsi="Times New Roman"/>
                <w:sz w:val="20"/>
              </w:rPr>
              <w:t>Price</w:t>
            </w:r>
          </w:p>
        </w:tc>
        <w:tc>
          <w:tcPr>
            <w:tcW w:w="129" w:type="dxa"/>
            <w:tcBorders>
              <w:bottom w:val="single" w:sz="4" w:space="0" w:color="FFFFFF"/>
            </w:tcBorders>
            <w:shd w:fill="auto" w:val="clear"/>
            <w:vAlign w:val="bottom"/>
          </w:tcPr>
          <w:p>
            <w:pPr>
              <w:pStyle w:val="TableContents"/>
              <w:spacing w:before="0" w:after="283"/>
              <w:jc w:val="left"/>
              <w:rPr/>
            </w:pPr>
            <w:r>
              <w:rPr/>
              <w:t> </w:t>
            </w:r>
          </w:p>
        </w:tc>
      </w:tr>
      <w:tr>
        <w:trPr/>
        <w:tc>
          <w:tcPr>
            <w:tcW w:w="6611"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Warrants outstanding – Beginning of Period</w:t>
            </w:r>
          </w:p>
        </w:tc>
        <w:tc>
          <w:tcPr>
            <w:tcW w:w="186" w:type="dxa"/>
            <w:tcBorders/>
            <w:shd w:fill="CCFFCC" w:val="clear"/>
            <w:tcMar>
              <w:bottom w:w="0" w:type="dxa"/>
            </w:tcMar>
            <w:vAlign w:val="center"/>
          </w:tcPr>
          <w:p>
            <w:pPr>
              <w:pStyle w:val="TableContents"/>
              <w:spacing w:before="0" w:after="283"/>
              <w:rPr/>
            </w:pPr>
            <w:r>
              <w:rPr/>
              <w:t> </w:t>
            </w:r>
          </w:p>
        </w:tc>
        <w:tc>
          <w:tcPr>
            <w:tcW w:w="133" w:type="dxa"/>
            <w:tcBorders/>
            <w:shd w:fill="CCFFCC" w:val="clear"/>
            <w:tcMar>
              <w:bottom w:w="0" w:type="dxa"/>
            </w:tcMar>
            <w:vAlign w:val="bottom"/>
          </w:tcPr>
          <w:p>
            <w:pPr>
              <w:pStyle w:val="TableContents"/>
              <w:spacing w:before="0" w:after="283"/>
              <w:jc w:val="left"/>
              <w:rPr/>
            </w:pPr>
            <w:r>
              <w:rPr/>
              <w:t> </w:t>
            </w:r>
          </w:p>
        </w:tc>
        <w:tc>
          <w:tcPr>
            <w:tcW w:w="1507"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570,458</w:t>
            </w:r>
          </w:p>
        </w:tc>
        <w:tc>
          <w:tcPr>
            <w:tcW w:w="186" w:type="dxa"/>
            <w:tcBorders/>
            <w:shd w:fill="CCFFCC" w:val="clear"/>
            <w:tcMar>
              <w:bottom w:w="0" w:type="dxa"/>
            </w:tcMar>
            <w:vAlign w:val="bottom"/>
          </w:tcPr>
          <w:p>
            <w:pPr>
              <w:pStyle w:val="TableContents"/>
              <w:spacing w:before="0" w:after="283"/>
              <w:jc w:val="left"/>
              <w:rPr/>
            </w:pPr>
            <w:r>
              <w:rPr/>
              <w:t> </w:t>
            </w:r>
          </w:p>
        </w:tc>
        <w:tc>
          <w:tcPr>
            <w:tcW w:w="214" w:type="dxa"/>
            <w:tcBorders/>
            <w:shd w:fill="CCFFCC" w:val="clear"/>
            <w:tcMar>
              <w:bottom w:w="0" w:type="dxa"/>
            </w:tcM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9" w:type="dxa"/>
            <w:tcBorders/>
            <w:shd w:fill="CCFFCC"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4.00</w:t>
            </w:r>
          </w:p>
        </w:tc>
        <w:tc>
          <w:tcPr>
            <w:tcW w:w="129" w:type="dxa"/>
            <w:tcBorders/>
            <w:shd w:fill="CCFFCC" w:val="clear"/>
            <w:tcMar>
              <w:bottom w:w="0" w:type="dxa"/>
            </w:tcMar>
            <w:vAlign w:val="bottom"/>
          </w:tcPr>
          <w:p>
            <w:pPr>
              <w:pStyle w:val="TableContents"/>
              <w:spacing w:before="0" w:after="283"/>
              <w:jc w:val="left"/>
              <w:rPr/>
            </w:pPr>
            <w:r>
              <w:rPr/>
              <w:t> </w:t>
            </w:r>
          </w:p>
        </w:tc>
      </w:tr>
      <w:tr>
        <w:trPr/>
        <w:tc>
          <w:tcPr>
            <w:tcW w:w="6611" w:type="dxa"/>
            <w:tcBorders/>
            <w:shd w:fill="FFFFFF"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Granted</w:t>
            </w:r>
          </w:p>
        </w:tc>
        <w:tc>
          <w:tcPr>
            <w:tcW w:w="186" w:type="dxa"/>
            <w:tcBorders/>
            <w:shd w:fill="FFFFFF" w:val="clear"/>
            <w:tcMar>
              <w:bottom w:w="0" w:type="dxa"/>
            </w:tcMar>
            <w:vAlign w:val="center"/>
          </w:tcPr>
          <w:p>
            <w:pPr>
              <w:pStyle w:val="TableContents"/>
              <w:spacing w:before="0" w:after="283"/>
              <w:rPr/>
            </w:pPr>
            <w:r>
              <w:rPr/>
              <w:t> </w:t>
            </w:r>
          </w:p>
        </w:tc>
        <w:tc>
          <w:tcPr>
            <w:tcW w:w="133" w:type="dxa"/>
            <w:tcBorders/>
            <w:shd w:fill="FFFFFF" w:val="clear"/>
            <w:tcMar>
              <w:bottom w:w="0" w:type="dxa"/>
            </w:tcMar>
            <w:vAlign w:val="bottom"/>
          </w:tcPr>
          <w:p>
            <w:pPr>
              <w:pStyle w:val="TableContents"/>
              <w:spacing w:before="0" w:after="283"/>
              <w:jc w:val="left"/>
              <w:rPr/>
            </w:pPr>
            <w:r>
              <w:rPr/>
              <w:t> </w:t>
            </w:r>
          </w:p>
        </w:tc>
        <w:tc>
          <w:tcPr>
            <w:tcW w:w="1507"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232,272</w:t>
            </w:r>
          </w:p>
        </w:tc>
        <w:tc>
          <w:tcPr>
            <w:tcW w:w="186" w:type="dxa"/>
            <w:tcBorders/>
            <w:shd w:fill="FFFFFF" w:val="clear"/>
            <w:tcMar>
              <w:bottom w:w="0" w:type="dxa"/>
            </w:tcMar>
            <w:vAlign w:val="bottom"/>
          </w:tcPr>
          <w:p>
            <w:pPr>
              <w:pStyle w:val="TableContents"/>
              <w:spacing w:before="0" w:after="283"/>
              <w:jc w:val="left"/>
              <w:rPr/>
            </w:pPr>
            <w:r>
              <w:rPr/>
              <w:t> </w:t>
            </w:r>
          </w:p>
        </w:tc>
        <w:tc>
          <w:tcPr>
            <w:tcW w:w="214" w:type="dxa"/>
            <w:tcBorders/>
            <w:shd w:fill="FFFFFF" w:val="clear"/>
            <w:tcMar>
              <w:bottom w:w="0" w:type="dxa"/>
            </w:tcMar>
            <w:vAlign w:val="bottom"/>
          </w:tcPr>
          <w:p>
            <w:pPr>
              <w:pStyle w:val="TableContents"/>
              <w:spacing w:before="0" w:after="283"/>
              <w:jc w:val="left"/>
              <w:rPr/>
            </w:pPr>
            <w:r>
              <w:rPr/>
              <w:t> </w:t>
            </w:r>
          </w:p>
        </w:tc>
        <w:tc>
          <w:tcPr>
            <w:tcW w:w="1239" w:type="dxa"/>
            <w:tcBorders/>
            <w:shd w:fill="FFFFFF" w:val="clear"/>
            <w:tcMar>
              <w:bottom w:w="0" w:type="dxa"/>
            </w:tcM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4.35</w:t>
            </w:r>
          </w:p>
        </w:tc>
        <w:tc>
          <w:tcPr>
            <w:tcW w:w="129" w:type="dxa"/>
            <w:tcBorders/>
            <w:shd w:fill="FFFFFF" w:val="clear"/>
            <w:tcMar>
              <w:bottom w:w="0" w:type="dxa"/>
            </w:tcMar>
            <w:vAlign w:val="bottom"/>
          </w:tcPr>
          <w:p>
            <w:pPr>
              <w:pStyle w:val="TableContents"/>
              <w:spacing w:before="0" w:after="283"/>
              <w:jc w:val="left"/>
              <w:rPr/>
            </w:pPr>
            <w:r>
              <w:rPr/>
              <w:t> </w:t>
            </w:r>
          </w:p>
        </w:tc>
      </w:tr>
      <w:tr>
        <w:trPr/>
        <w:tc>
          <w:tcPr>
            <w:tcW w:w="6611" w:type="dxa"/>
            <w:tcBorders/>
            <w:shd w:fill="CCFFCC" w:val="clear"/>
            <w:tcMar>
              <w:bottom w:w="0" w:type="dxa"/>
            </w:tcM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Exercised</w:t>
            </w:r>
          </w:p>
        </w:tc>
        <w:tc>
          <w:tcPr>
            <w:tcW w:w="186" w:type="dxa"/>
            <w:tcBorders/>
            <w:shd w:fill="CCFFCC" w:val="clear"/>
            <w:tcMar>
              <w:bottom w:w="0" w:type="dxa"/>
            </w:tcMar>
            <w:vAlign w:val="center"/>
          </w:tcPr>
          <w:p>
            <w:pPr>
              <w:pStyle w:val="TableContents"/>
              <w:spacing w:before="0" w:after="283"/>
              <w:rPr/>
            </w:pPr>
            <w:r>
              <w:rPr/>
              <w:t> </w:t>
            </w:r>
          </w:p>
        </w:tc>
        <w:tc>
          <w:tcPr>
            <w:tcW w:w="133" w:type="dxa"/>
            <w:tcBorders/>
            <w:shd w:fill="CCFFCC" w:val="clear"/>
            <w:tcMar>
              <w:bottom w:w="0" w:type="dxa"/>
            </w:tcMar>
            <w:vAlign w:val="bottom"/>
          </w:tcPr>
          <w:p>
            <w:pPr>
              <w:pStyle w:val="TableContents"/>
              <w:spacing w:before="0" w:after="283"/>
              <w:jc w:val="left"/>
              <w:rPr/>
            </w:pPr>
            <w:r>
              <w:rPr/>
              <w:t> </w:t>
            </w:r>
          </w:p>
        </w:tc>
        <w:tc>
          <w:tcPr>
            <w:tcW w:w="1507"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86" w:type="dxa"/>
            <w:tcBorders/>
            <w:shd w:fill="CCFFCC" w:val="clear"/>
            <w:tcMar>
              <w:bottom w:w="0" w:type="dxa"/>
            </w:tcMar>
            <w:vAlign w:val="bottom"/>
          </w:tcPr>
          <w:p>
            <w:pPr>
              <w:pStyle w:val="TableContents"/>
              <w:spacing w:before="0" w:after="283"/>
              <w:jc w:val="left"/>
              <w:rPr/>
            </w:pPr>
            <w:r>
              <w:rPr/>
              <w:t> </w:t>
            </w:r>
          </w:p>
        </w:tc>
        <w:tc>
          <w:tcPr>
            <w:tcW w:w="214" w:type="dxa"/>
            <w:tcBorders/>
            <w:shd w:fill="CCFFCC" w:val="clear"/>
            <w:tcMar>
              <w:bottom w:w="0" w:type="dxa"/>
            </w:tcMar>
            <w:vAlign w:val="bottom"/>
          </w:tcPr>
          <w:p>
            <w:pPr>
              <w:pStyle w:val="TableContents"/>
              <w:spacing w:before="0" w:after="283"/>
              <w:jc w:val="left"/>
              <w:rPr/>
            </w:pPr>
            <w:r>
              <w:rPr/>
              <w:t> </w:t>
            </w:r>
          </w:p>
        </w:tc>
        <w:tc>
          <w:tcPr>
            <w:tcW w:w="1239" w:type="dxa"/>
            <w:tcBorders/>
            <w:shd w:fill="CCFFCC" w:val="clear"/>
            <w:tcMar>
              <w:bottom w:w="0" w:type="dxa"/>
            </w:tcMar>
            <w:vAlign w:val="bottom"/>
          </w:tcPr>
          <w:p>
            <w:pPr>
              <w:pStyle w:val="TableContents"/>
              <w:spacing w:lineRule="auto" w:line="300" w:before="0" w:after="0"/>
              <w:ind w:left="0" w:right="0" w:hanging="0"/>
              <w:jc w:val="right"/>
              <w:rPr/>
            </w:pPr>
            <w:r>
              <w:rPr/>
              <w:t>—</w:t>
            </w:r>
          </w:p>
        </w:tc>
        <w:tc>
          <w:tcPr>
            <w:tcW w:w="129" w:type="dxa"/>
            <w:tcBorders/>
            <w:shd w:fill="CCFFCC" w:val="clear"/>
            <w:tcMar>
              <w:bottom w:w="0" w:type="dxa"/>
            </w:tcMar>
            <w:vAlign w:val="bottom"/>
          </w:tcPr>
          <w:p>
            <w:pPr>
              <w:pStyle w:val="TableContents"/>
              <w:spacing w:before="0" w:after="283"/>
              <w:jc w:val="left"/>
              <w:rPr/>
            </w:pPr>
            <w:r>
              <w:rPr/>
              <w:t> </w:t>
            </w:r>
          </w:p>
        </w:tc>
      </w:tr>
      <w:tr>
        <w:trPr/>
        <w:tc>
          <w:tcPr>
            <w:tcW w:w="6611" w:type="dxa"/>
            <w:tcBorders>
              <w:bottom w:val="single" w:sz="4" w:space="0" w:color="FFFFFF"/>
            </w:tcBorders>
            <w:shd w:fill="FFFFFF"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Expired</w:t>
            </w:r>
          </w:p>
        </w:tc>
        <w:tc>
          <w:tcPr>
            <w:tcW w:w="186" w:type="dxa"/>
            <w:tcBorders>
              <w:bottom w:val="single" w:sz="4" w:space="0" w:color="FFFFFF"/>
            </w:tcBorders>
            <w:shd w:fill="FFFFFF" w:val="clear"/>
            <w:vAlign w:val="center"/>
          </w:tcPr>
          <w:p>
            <w:pPr>
              <w:pStyle w:val="TableContents"/>
              <w:spacing w:before="0" w:after="283"/>
              <w:rPr/>
            </w:pPr>
            <w:r>
              <w:rPr/>
              <w:t> </w:t>
            </w:r>
          </w:p>
        </w:tc>
        <w:tc>
          <w:tcPr>
            <w:tcW w:w="133" w:type="dxa"/>
            <w:tcBorders>
              <w:bottom w:val="single" w:sz="2" w:space="0" w:color="000000"/>
            </w:tcBorders>
            <w:shd w:fill="FFFFFF" w:val="clear"/>
            <w:vAlign w:val="bottom"/>
          </w:tcPr>
          <w:p>
            <w:pPr>
              <w:pStyle w:val="TableContents"/>
              <w:spacing w:before="0" w:after="283"/>
              <w:jc w:val="left"/>
              <w:rPr/>
            </w:pPr>
            <w:r>
              <w:rPr/>
              <w:t> </w:t>
            </w:r>
          </w:p>
        </w:tc>
        <w:tc>
          <w:tcPr>
            <w:tcW w:w="1507" w:type="dxa"/>
            <w:tcBorders>
              <w:bottom w:val="single" w:sz="2" w:space="0" w:color="000000"/>
            </w:tcBorders>
            <w:shd w:fill="FFFFFF" w:val="clear"/>
            <w:vAlign w:val="bottom"/>
          </w:tcPr>
          <w:p>
            <w:pPr>
              <w:pStyle w:val="TableContents"/>
              <w:spacing w:lineRule="auto" w:line="300" w:before="0" w:after="0"/>
              <w:ind w:left="0" w:right="0" w:hanging="0"/>
              <w:jc w:val="right"/>
              <w:rPr/>
            </w:pPr>
            <w:r>
              <w:rPr/>
              <w:t>—</w:t>
            </w:r>
          </w:p>
        </w:tc>
        <w:tc>
          <w:tcPr>
            <w:tcW w:w="186" w:type="dxa"/>
            <w:tcBorders>
              <w:bottom w:val="single" w:sz="4" w:space="0" w:color="FFFFFF"/>
            </w:tcBorders>
            <w:shd w:fill="FFFFFF" w:val="clear"/>
            <w:vAlign w:val="bottom"/>
          </w:tcPr>
          <w:p>
            <w:pPr>
              <w:pStyle w:val="TableContents"/>
              <w:spacing w:before="0" w:after="283"/>
              <w:jc w:val="left"/>
              <w:rPr/>
            </w:pPr>
            <w:r>
              <w:rPr/>
              <w:t> </w:t>
            </w:r>
          </w:p>
        </w:tc>
        <w:tc>
          <w:tcPr>
            <w:tcW w:w="214" w:type="dxa"/>
            <w:tcBorders>
              <w:bottom w:val="single" w:sz="2" w:space="0" w:color="000000"/>
            </w:tcBorders>
            <w:shd w:fill="FFFFFF" w:val="clear"/>
            <w:vAlign w:val="bottom"/>
          </w:tcPr>
          <w:p>
            <w:pPr>
              <w:pStyle w:val="TableContents"/>
              <w:spacing w:before="0" w:after="283"/>
              <w:jc w:val="left"/>
              <w:rPr/>
            </w:pPr>
            <w:r>
              <w:rPr/>
              <w:t> </w:t>
            </w:r>
          </w:p>
        </w:tc>
        <w:tc>
          <w:tcPr>
            <w:tcW w:w="1239" w:type="dxa"/>
            <w:tcBorders>
              <w:bottom w:val="single" w:sz="2" w:space="0" w:color="000000"/>
            </w:tcBorders>
            <w:shd w:fill="FFFFFF" w:val="clear"/>
            <w:vAlign w:val="bottom"/>
          </w:tcPr>
          <w:p>
            <w:pPr>
              <w:pStyle w:val="TableContents"/>
              <w:spacing w:lineRule="auto" w:line="300" w:before="0" w:after="0"/>
              <w:ind w:left="0" w:right="0" w:hanging="0"/>
              <w:jc w:val="right"/>
              <w:rPr/>
            </w:pPr>
            <w:r>
              <w:rPr/>
              <w:t>—</w:t>
            </w:r>
          </w:p>
        </w:tc>
        <w:tc>
          <w:tcPr>
            <w:tcW w:w="129" w:type="dxa"/>
            <w:tcBorders>
              <w:bottom w:val="single" w:sz="4" w:space="0" w:color="FFFFFF"/>
            </w:tcBorders>
            <w:shd w:fill="FFFFFF" w:val="clear"/>
            <w:vAlign w:val="bottom"/>
          </w:tcPr>
          <w:p>
            <w:pPr>
              <w:pStyle w:val="TableContents"/>
              <w:spacing w:before="0" w:after="283"/>
              <w:jc w:val="left"/>
              <w:rPr/>
            </w:pPr>
            <w:r>
              <w:rPr/>
              <w:t> </w:t>
            </w:r>
          </w:p>
        </w:tc>
      </w:tr>
      <w:tr>
        <w:trPr/>
        <w:tc>
          <w:tcPr>
            <w:tcW w:w="6611" w:type="dxa"/>
            <w:tcBorders>
              <w:bottom w:val="double" w:sz="2" w:space="0" w:color="CCFFCC"/>
            </w:tcBorders>
            <w:shd w:fill="CCFFCC"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Warrants outstanding – End of Period</w:t>
            </w:r>
          </w:p>
        </w:tc>
        <w:tc>
          <w:tcPr>
            <w:tcW w:w="186" w:type="dxa"/>
            <w:tcBorders>
              <w:bottom w:val="single" w:sz="4" w:space="0" w:color="CCFFCC"/>
            </w:tcBorders>
            <w:shd w:fill="CCFFCC" w:val="clear"/>
            <w:vAlign w:val="center"/>
          </w:tcPr>
          <w:p>
            <w:pPr>
              <w:pStyle w:val="TableContents"/>
              <w:spacing w:before="0" w:after="283"/>
              <w:rPr/>
            </w:pPr>
            <w:r>
              <w:rPr/>
              <w:t> </w:t>
            </w:r>
          </w:p>
        </w:tc>
        <w:tc>
          <w:tcPr>
            <w:tcW w:w="133" w:type="dxa"/>
            <w:tcBorders>
              <w:bottom w:val="double" w:sz="2" w:space="0" w:color="000000"/>
            </w:tcBorders>
            <w:shd w:fill="CCFFCC" w:val="clear"/>
            <w:vAlign w:val="bottom"/>
          </w:tcPr>
          <w:p>
            <w:pPr>
              <w:pStyle w:val="TableContents"/>
              <w:spacing w:before="0" w:after="283"/>
              <w:jc w:val="left"/>
              <w:rPr/>
            </w:pPr>
            <w:r>
              <w:rPr/>
              <w:t> </w:t>
            </w:r>
          </w:p>
        </w:tc>
        <w:tc>
          <w:tcPr>
            <w:tcW w:w="1507"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802,730</w:t>
            </w:r>
          </w:p>
        </w:tc>
        <w:tc>
          <w:tcPr>
            <w:tcW w:w="186" w:type="dxa"/>
            <w:tcBorders>
              <w:bottom w:val="single" w:sz="4" w:space="0" w:color="CCFFCC"/>
            </w:tcBorders>
            <w:shd w:fill="CCFFCC" w:val="clear"/>
            <w:vAlign w:val="bottom"/>
          </w:tcPr>
          <w:p>
            <w:pPr>
              <w:pStyle w:val="TableContents"/>
              <w:spacing w:before="0" w:after="283"/>
              <w:jc w:val="left"/>
              <w:rPr/>
            </w:pPr>
            <w:r>
              <w:rPr/>
              <w:t> </w:t>
            </w:r>
          </w:p>
        </w:tc>
        <w:tc>
          <w:tcPr>
            <w:tcW w:w="214" w:type="dxa"/>
            <w:tcBorders>
              <w:bottom w:val="double" w:sz="2" w:space="0" w:color="000000"/>
            </w:tcBorders>
            <w:shd w:fill="CCFFCC" w:val="clear"/>
            <w:vAlign w:val="bottom"/>
          </w:tcPr>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t>
            </w:r>
          </w:p>
        </w:tc>
        <w:tc>
          <w:tcPr>
            <w:tcW w:w="1239" w:type="dxa"/>
            <w:tcBorders>
              <w:bottom w:val="double" w:sz="2" w:space="0" w:color="000000"/>
            </w:tcBorders>
            <w:shd w:fill="CCFFCC"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4.10</w:t>
            </w:r>
          </w:p>
        </w:tc>
        <w:tc>
          <w:tcPr>
            <w:tcW w:w="129" w:type="dxa"/>
            <w:tcBorders>
              <w:bottom w:val="single" w:sz="4" w:space="0" w:color="CCFFCC"/>
            </w:tcBorders>
            <w:shd w:fill="CCFFCC" w:val="clear"/>
            <w:vAlign w:val="bottom"/>
          </w:tcPr>
          <w:p>
            <w:pPr>
              <w:pStyle w:val="TableContents"/>
              <w:spacing w:before="0" w:after="283"/>
              <w:jc w:val="left"/>
              <w:rPr/>
            </w:pPr>
            <w:r>
              <w:rPr/>
              <w:t> </w:t>
            </w:r>
          </w:p>
        </w:tc>
      </w:tr>
      <w:tr>
        <w:trPr/>
        <w:tc>
          <w:tcPr>
            <w:tcW w:w="6611" w:type="dxa"/>
            <w:tcBorders>
              <w:bottom w:val="double" w:sz="2" w:space="0" w:color="CCFFCC"/>
            </w:tcBorders>
            <w:shd w:fill="FFFFFF" w:val="clear"/>
            <w:vAlign w:val="bottom"/>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Weighted average remaining contractual life of the outstanding warrants – End of Period</w:t>
            </w:r>
          </w:p>
        </w:tc>
        <w:tc>
          <w:tcPr>
            <w:tcW w:w="186" w:type="dxa"/>
            <w:tcBorders>
              <w:bottom w:val="single" w:sz="4" w:space="0" w:color="FFFFFF"/>
            </w:tcBorders>
            <w:shd w:fill="FFFFFF" w:val="clear"/>
            <w:vAlign w:val="center"/>
          </w:tcPr>
          <w:p>
            <w:pPr>
              <w:pStyle w:val="TableContents"/>
              <w:spacing w:before="0" w:after="283"/>
              <w:rPr/>
            </w:pPr>
            <w:r>
              <w:rPr/>
              <w:t> </w:t>
            </w:r>
          </w:p>
        </w:tc>
        <w:tc>
          <w:tcPr>
            <w:tcW w:w="133" w:type="dxa"/>
            <w:tcBorders>
              <w:bottom w:val="double" w:sz="2" w:space="0" w:color="000000"/>
            </w:tcBorders>
            <w:shd w:fill="FFFFFF" w:val="clear"/>
            <w:vAlign w:val="bottom"/>
          </w:tcPr>
          <w:p>
            <w:pPr>
              <w:pStyle w:val="TableContents"/>
              <w:spacing w:before="0" w:after="283"/>
              <w:jc w:val="left"/>
              <w:rPr/>
            </w:pPr>
            <w:r>
              <w:rPr/>
              <w:t> </w:t>
            </w:r>
          </w:p>
        </w:tc>
        <w:tc>
          <w:tcPr>
            <w:tcW w:w="1507" w:type="dxa"/>
            <w:tcBorders>
              <w:bottom w:val="double" w:sz="2" w:space="0" w:color="000000"/>
            </w:tcBorders>
            <w:shd w:fill="FFFFFF" w:val="clear"/>
            <w:vAlign w:val="bottom"/>
          </w:tcPr>
          <w:p>
            <w:pPr>
              <w:pStyle w:val="TableContents"/>
              <w:spacing w:lineRule="auto" w:line="300" w:before="0" w:after="0"/>
              <w:ind w:left="0" w:right="0" w:hanging="0"/>
              <w:jc w:val="right"/>
              <w:rPr>
                <w:rFonts w:ascii="Times New Roman" w:hAnsi="Times New Roman"/>
                <w:sz w:val="20"/>
              </w:rPr>
            </w:pPr>
            <w:r>
              <w:rPr>
                <w:rFonts w:ascii="Times New Roman" w:hAnsi="Times New Roman"/>
                <w:sz w:val="20"/>
              </w:rPr>
              <w:t>4.32 years</w:t>
            </w:r>
          </w:p>
        </w:tc>
        <w:tc>
          <w:tcPr>
            <w:tcW w:w="186" w:type="dxa"/>
            <w:tcBorders>
              <w:bottom w:val="single" w:sz="4" w:space="0" w:color="FFFFFF"/>
            </w:tcBorders>
            <w:shd w:fill="FFFFFF" w:val="clear"/>
            <w:vAlign w:val="bottom"/>
          </w:tcPr>
          <w:p>
            <w:pPr>
              <w:pStyle w:val="TableContents"/>
              <w:spacing w:before="0" w:after="283"/>
              <w:jc w:val="left"/>
              <w:rPr/>
            </w:pPr>
            <w:r>
              <w:rPr/>
              <w:t> </w:t>
            </w:r>
          </w:p>
        </w:tc>
        <w:tc>
          <w:tcPr>
            <w:tcW w:w="214" w:type="dxa"/>
            <w:tcBorders>
              <w:bottom w:val="double" w:sz="2" w:space="0" w:color="CCFFCC"/>
            </w:tcBorders>
            <w:shd w:fill="FFFFFF" w:val="clear"/>
            <w:vAlign w:val="bottom"/>
          </w:tcPr>
          <w:p>
            <w:pPr>
              <w:pStyle w:val="TableContents"/>
              <w:spacing w:before="0" w:after="283"/>
              <w:jc w:val="left"/>
              <w:rPr/>
            </w:pPr>
            <w:r>
              <w:rPr/>
              <w:t> </w:t>
            </w:r>
          </w:p>
        </w:tc>
        <w:tc>
          <w:tcPr>
            <w:tcW w:w="1239" w:type="dxa"/>
            <w:tcBorders>
              <w:bottom w:val="double" w:sz="2" w:space="0" w:color="CCFFCC"/>
            </w:tcBorders>
            <w:shd w:fill="FFFFFF" w:val="clear"/>
            <w:vAlign w:val="bottom"/>
          </w:tcPr>
          <w:p>
            <w:pPr>
              <w:pStyle w:val="TableContents"/>
              <w:spacing w:before="0" w:after="283"/>
              <w:rPr>
                <w:sz w:val="4"/>
                <w:szCs w:val="4"/>
              </w:rPr>
            </w:pPr>
            <w:r>
              <w:rPr>
                <w:sz w:val="4"/>
                <w:szCs w:val="4"/>
              </w:rPr>
            </w:r>
          </w:p>
        </w:tc>
        <w:tc>
          <w:tcPr>
            <w:tcW w:w="129" w:type="dxa"/>
            <w:tcBorders>
              <w:bottom w:val="single" w:sz="4" w:space="0" w:color="FFFFFF"/>
            </w:tcBorders>
            <w:shd w:fill="FFFFFF" w:val="clear"/>
            <w:vAlign w:val="bottom"/>
          </w:tcPr>
          <w:p>
            <w:pPr>
              <w:pStyle w:val="TableContents"/>
              <w:spacing w:before="0" w:after="283"/>
              <w:jc w:val="left"/>
              <w:rPr/>
            </w:pPr>
            <w:r>
              <w:rPr/>
              <w:t> </w:t>
            </w:r>
          </w:p>
        </w:tc>
      </w:tr>
    </w:tbl>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rStyle w:val="StrongEmphasis"/>
          <w:rFonts w:ascii="Times New Roman" w:hAnsi="Times New Roman"/>
          <w:sz w:val="20"/>
        </w:rPr>
        <w:t>Note 9. Recent Accounting Pronouncements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following pronouncements have been issued by the Financial Accounting Standards Board (“FASB”):</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Fonts w:ascii="Times New Roman" w:hAnsi="Times New Roman"/>
          <w:sz w:val="20"/>
        </w:rPr>
        <w:t xml:space="preserve">In December 2007, the FASB issued SFAS No. 141R, </w:t>
      </w:r>
      <w:r>
        <w:rPr>
          <w:rStyle w:val="Emphasis"/>
          <w:rFonts w:ascii="Times New Roman" w:hAnsi="Times New Roman"/>
          <w:sz w:val="20"/>
        </w:rPr>
        <w:t>Business Combinations</w:t>
      </w:r>
      <w:r>
        <w:rPr>
          <w:rFonts w:ascii="Times New Roman" w:hAnsi="Times New Roman"/>
          <w:sz w:val="20"/>
        </w:rPr>
        <w:t>. SFAS No. 141R provides companies with principles and requirements on how an acquirer recognizes and measures in its financial statements the identifiable assets acquired, liabilities assumed, and any noncontrolling interest in the acquiree as well as the recognition and measurement of goodwill acquired in a business combination. SFAS No. 141R also requires certain disclosures to enable users of the financial statements to evaluate the nature and financial effects of the business combination. Acquisition costs associated with the business combination will generally be expensed as incurred. SFAS No. 141R is effective for business combinations occurring in fiscal years beginning after December 15, 2008. Early adoption of SFAS No. 141R is not permitted. The Company is currently evaluating the impact SFAS No. 141R will have on any future business combinations.</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rFonts w:ascii="Times New Roman" w:hAnsi="Times New Roman"/>
          <w:sz w:val="20"/>
        </w:rPr>
      </w:pPr>
      <w:r>
        <w:rPr>
          <w:rFonts w:ascii="Times New Roman" w:hAnsi="Times New Roman"/>
          <w:sz w:val="20"/>
        </w:rPr>
        <w:t>Other recent accounting pronouncements issued by the FASB (including the EITF) and the American Institute of Certified Public Accountants did not or are not believed by management to have a material impact on the Company’s present or future consolidated financial statements.</w:t>
      </w:r>
    </w:p>
    <w:p>
      <w:pPr>
        <w:pStyle w:val="TextBody"/>
        <w:spacing w:lineRule="auto" w:line="300" w:before="0" w:after="0"/>
        <w:ind w:left="0" w:right="0" w:hanging="0"/>
        <w:jc w:val="both"/>
        <w:rPr/>
      </w:pPr>
      <w:r>
        <w:rPr/>
      </w:r>
    </w:p>
    <w:p>
      <w:pPr>
        <w:pStyle w:val="TextBody"/>
        <w:spacing w:lineRule="auto" w:line="300" w:before="0" w:after="0"/>
        <w:ind w:left="0" w:right="0" w:hanging="0"/>
        <w:jc w:val="left"/>
        <w:rPr/>
      </w:pPr>
      <w:r>
        <w:rPr>
          <w:rStyle w:val="StrongEmphasis"/>
          <w:rFonts w:ascii="Times New Roman" w:hAnsi="Times New Roman"/>
          <w:sz w:val="20"/>
        </w:rPr>
        <w:t>Note 10. Commitments and Contingencies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pPr>
      <w:r>
        <w:rPr>
          <w:rFonts w:ascii="Times New Roman" w:hAnsi="Times New Roman"/>
          <w:sz w:val="20"/>
          <w:u w:val="single"/>
        </w:rPr>
        <w:t>Indemnities and Guarantees</w:t>
      </w:r>
      <w:r>
        <w:rPr/>
        <w:t>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Company has made certain indemnities and guarantees, under which it may be required to make payments to a guaranteed or indemnified party, in relation to certain actions or transactions. The Company indemnifies its directors, officers, employees and agents, as permitted under the laws of the State of Delaware. The duration of the guarantees and indemnities varies, and is generally tied to the life of the agreement.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unaudited condensed consolidated balance sheet as of June 30, 2008.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2" w:name="PGBRK10"/>
      <w:bookmarkStart w:id="133" w:name="PGBRK10"/>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 w:name="FTR10"/>
      <w:bookmarkStart w:id="135" w:name="FTR10"/>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 w:name="GLFTR10"/>
      <w:bookmarkStart w:id="137" w:name="GLFTR10"/>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38" w:name="PN10"/>
      <w:bookmarkEnd w:id="138"/>
      <w:r>
        <w:rPr>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 w:name="HDR10"/>
      <w:bookmarkStart w:id="140" w:name="HDR10"/>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 w:name="GLHDR10"/>
      <w:bookmarkStart w:id="142" w:name="GLHDR10"/>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r>
        <w:rPr>
          <w:rStyle w:val="StrongEmphasis"/>
          <w:rFonts w:ascii="Times New Roman" w:hAnsi="Times New Roman"/>
          <w:sz w:val="20"/>
        </w:rPr>
        <w:t>TRANSDEL PHARMACEUTICALS, INC.</w:t>
      </w:r>
    </w:p>
    <w:p>
      <w:pPr>
        <w:pStyle w:val="TextBody"/>
        <w:spacing w:lineRule="auto" w:line="300" w:before="0" w:after="0"/>
        <w:ind w:left="0" w:right="0" w:hanging="0"/>
        <w:jc w:val="center"/>
        <w:rPr/>
      </w:pPr>
      <w:r>
        <w:rPr>
          <w:rStyle w:val="StrongEmphasis"/>
          <w:rFonts w:ascii="Times New Roman" w:hAnsi="Times New Roman"/>
          <w:sz w:val="20"/>
        </w:rPr>
        <w:t>(A Development Stage Company)</w:t>
      </w:r>
    </w:p>
    <w:p>
      <w:pPr>
        <w:pStyle w:val="TextBody"/>
        <w:spacing w:lineRule="auto" w:line="300" w:before="0" w:after="0"/>
        <w:ind w:left="0" w:right="0" w:hanging="0"/>
        <w:jc w:val="center"/>
        <w:rPr/>
      </w:pPr>
      <w:r>
        <w:rPr>
          <w:rStyle w:val="StrongEmphasis"/>
          <w:rFonts w:ascii="Times New Roman" w:hAnsi="Times New Roman"/>
          <w:sz w:val="20"/>
        </w:rPr>
        <w:t>NOTES TO THE UNAUDITED CONDENSED CONSOLIDATED FINANCIAL STATEMENTS</w:t>
      </w:r>
    </w:p>
    <w:p>
      <w:pPr>
        <w:pStyle w:val="TextBody"/>
        <w:spacing w:lineRule="auto" w:line="300" w:before="0" w:after="0"/>
        <w:ind w:left="0" w:right="0" w:hanging="0"/>
        <w:jc w:val="center"/>
        <w:rPr/>
      </w:pPr>
      <w:r>
        <w:rPr/>
        <w:t> </w:t>
      </w:r>
    </w:p>
    <w:p>
      <w:pPr>
        <w:pStyle w:val="TextBody"/>
        <w:spacing w:lineRule="auto" w:line="300" w:before="0" w:after="0"/>
        <w:ind w:left="0" w:right="0" w:hanging="0"/>
        <w:jc w:val="left"/>
        <w:rPr/>
      </w:pPr>
      <w:r>
        <w:rPr>
          <w:rStyle w:val="StrongEmphasis"/>
          <w:rFonts w:ascii="Times New Roman" w:hAnsi="Times New Roman"/>
          <w:sz w:val="20"/>
        </w:rPr>
        <w:t>Note 10. Commitments and Contingencies (continued)</w:t>
      </w:r>
    </w:p>
    <w:p>
      <w:pPr>
        <w:pStyle w:val="TextBody"/>
        <w:spacing w:lineRule="auto" w:line="300" w:before="0" w:after="0"/>
        <w:ind w:left="0" w:right="0" w:hanging="0"/>
        <w:jc w:val="left"/>
        <w:rPr/>
      </w:pPr>
      <w:r>
        <w:rPr/>
        <w:t> </w:t>
      </w:r>
    </w:p>
    <w:p>
      <w:pPr>
        <w:pStyle w:val="TextBody"/>
        <w:spacing w:lineRule="auto" w:line="300" w:before="0" w:after="0"/>
        <w:ind w:left="0" w:right="0" w:hanging="0"/>
        <w:jc w:val="left"/>
        <w:rPr>
          <w:rFonts w:ascii="Times New Roman" w:hAnsi="Times New Roman"/>
          <w:sz w:val="20"/>
          <w:u w:val="single"/>
        </w:rPr>
      </w:pPr>
      <w:r>
        <w:rPr>
          <w:rFonts w:ascii="Times New Roman" w:hAnsi="Times New Roman"/>
          <w:sz w:val="20"/>
          <w:u w:val="single"/>
        </w:rPr>
        <w:t>Mediation Settlement</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On February 5, 2008, as a result of mediation, the Company and a previously retained law firm reached an agreement related to certain alleged claims the Company had against the law firm. Although the law firm did not admit to any liability or wrongdoing, they desired to resolve the dispute and therefore, agreed to pay the Company $750,000. In exchange for the settlement, the Company, the law firm and any other parties involved in the mediation, released and waived any future claims against each other, whether known or unknown at the time of the settlement. The net amount received by the Company was $375,000 after fees paid to the Company’s counsel and an executive and director of the Company. The fees paid to the executive and director, which were previously approved by the Board of Directors, are due to their monetary contributions and uncompensated time commitment over a period of approximately four years related to pursuing this matter and other amounts paid on the Company’s behalf prior to the Merger.</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u w:val="single"/>
        </w:rPr>
      </w:pPr>
      <w:r>
        <w:rPr>
          <w:rFonts w:ascii="Times New Roman" w:hAnsi="Times New Roman"/>
          <w:sz w:val="20"/>
          <w:u w:val="single"/>
        </w:rPr>
        <w:t>Cato Research Ltd. Agreement</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In accordance with the Master Services Agreement, dated April 10, 2007, between the Company and Cato Research Ltd., a contract research and development organization (“Cato”), the Company entered into a clinical trial services agreement with Cato on June 10, 2008 (“Agreement”). Under the Agreement, Cato will serve as the Company’s strategic partner and contract research organization in conducting the Company’s Phase 3 clinical program for Ketotransdel™, the Company’s novel topical cream based non-steroidal anti-inflammatory drug for pain. Pursuant to the Agreement, the Company will make payments to Cato upon its completion of certain specified milestones. If all milestones under the Agreement are completed and the estimated pass-through costs are incurred, the Company’s total costs under the Agreement are estimated at $3.3 million. In addition, any changes to budget parameters identified in the Agreement may result in additional costs to the Company. There can be no assurance that Cato will complete its performance under the Agreement, and to the extent that such performance is completed that the clinical trial results for Ketotransdel™ will be satisfactory.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3" w:name="PGBRK11"/>
      <w:bookmarkStart w:id="144" w:name="PGBRK11"/>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5" w:name="FTR11"/>
      <w:bookmarkStart w:id="146" w:name="FTR11"/>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GLFTR11"/>
      <w:bookmarkStart w:id="148" w:name="GLFTR11"/>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49" w:name="PN11"/>
      <w:bookmarkEnd w:id="149"/>
      <w:r>
        <w:rPr>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0" w:name="HDR11"/>
      <w:bookmarkStart w:id="151" w:name="HDR11"/>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GLHDR11"/>
      <w:bookmarkStart w:id="153" w:name="GLHDR11"/>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bookmarkStart w:id="154" w:name="FIS_MANAGEMENT_ANALYSIS"/>
      <w:bookmarkEnd w:id="154"/>
      <w:r>
        <w:rPr>
          <w:rStyle w:val="StrongEmphasis"/>
          <w:rFonts w:ascii="Times New Roman" w:hAnsi="Times New Roman"/>
          <w:sz w:val="20"/>
        </w:rPr>
        <w:t>Item 2. Management’s Discussion and Analysis of Financial Condition and Results of Operations</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rStyle w:val="StrongEmphasis"/>
          <w:rFonts w:ascii="Times New Roman" w:hAnsi="Times New Roman"/>
          <w:sz w:val="20"/>
        </w:rPr>
        <w:t>Overview</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are a specialty pharmaceutical company focused on the development and commercialization of non-invasive topically delivered medications. Our lead topical drug, Ketotransdel™, utilizes our proprietary Transdel™ cream formulation to facilitate the passage of ketoprofen, a non-steroidal anti-inflammatory drug (“NSAID”), through the skin barrier to reach targeted underlying tissues where the drug exerts its localized anti-inflammatory and analgesic effect. A Phase 1/2 clinical trial supported the safety and efficacy of Ketotransdel™ for acute pain and muscle soreness.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Plan of Operations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t> </w:t>
      </w:r>
      <w:r>
        <w:rPr>
          <w:rFonts w:ascii="Times New Roman" w:hAnsi="Times New Roman"/>
          <w:sz w:val="20"/>
        </w:rPr>
        <w:t>For the next twelve months, our current operating plan is focused on the development of our lead drug, Ketotransdel™ for the indication of acute musculoskeletal pain. On June 16, 2008, we announced that we initiated our Phase 3 clinical program for our novel analgesic and anti-inflammatory topical cream, Ketotransdel™, which contains ketoprofen. The first Phase 3 study will consist of a randomized, double-blind, placebo controlled trial to evaluate the efficacy and safety of Ketotransdel™ in acute soft tissue injuries of the upper and lower extremities over a one week treatment period with a one week post-treatment follow-up for safety. The multi-center trial will be conducted at approximately 25 to 35 sites, mainly in the United States and potentially in Canada, and will enroll approximately 350 patients, randomized 1:1 ratio Ketotransdel™ (active) versus placebo vehicle (identical to active without the drug ketoprofen). The primary efficacy endpoint is the difference in the change of baseline of pain during normal activity for the past 24 hours from measurement at the Day 3 clinical visit between active and placebo measured by using the Visual Analogue Scale (VAS), a well known and validated instrument for pain measurement. Secondary endpoints include safety assessments and other efficacy parameters measured by VAS. As of July 31, 2008, we have initiated two study sites for this Phase 3 study. We would anticipate reporting top-line results in the second half of 2009. In addition, as required by the FDA, we will be initiating a second Phase 3 clinical study in acute musculoskeletal pain, potentially for the treatment of acute flare in osteoarthritis patients. We are currently assessing the design and timing of this additional study that will support the registration of Ketotransdel™ in the United States.</w:t>
      </w:r>
    </w:p>
    <w:p>
      <w:pPr>
        <w:pStyle w:val="TextBody"/>
        <w:spacing w:lineRule="auto" w:line="300" w:before="0" w:after="0"/>
        <w:ind w:left="0" w:right="0" w:firstLine="72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If and when the FDA approves Ketotransdel™ for treatment of acute pain, we intend to pursue FDA approval of Ketotransdel™ for other indications. We believe that the clinical success of Ketotransdel™ will facilitate the use of the Transdel™ delivery technology in other products. We are also investigating other drug candidates and treatments for transdermal delivery using the Transdel™ platform technology for products in pain management and other therapeutic areas. Furthermore, we are exploring potential partnerships with U.S. and foreign based companies that have sales and marketing infrastructures to support Ketotransdel™ in the event that the product is approved and commercialized. We are also looking to out-license our Transdel™ drug delivery technology for the development and commercialization of additional innovative drug products. In addition, we are exploring opportunities in the cosmeceutical industry which may use our patented delivery technology. There can be no assurance that any of these activities will lead to definitive agreements.  </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believe that our current staff is sufficient to carry out our business plan in the coming twelve months, however, if our operations in the future require it, we will consider the employment of additional staff.</w:t>
      </w:r>
    </w:p>
    <w:p>
      <w:pPr>
        <w:pStyle w:val="TextBody"/>
        <w:spacing w:lineRule="auto" w:line="300" w:before="0" w:after="0"/>
        <w:ind w:left="0" w:right="0" w:firstLine="72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Liquidity and Capital Resources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t> </w:t>
      </w:r>
      <w:r>
        <w:rPr>
          <w:rFonts w:ascii="Times New Roman" w:hAnsi="Times New Roman"/>
          <w:sz w:val="20"/>
        </w:rPr>
        <w:t>Since July 24, 1998 (“Inception”) through June 30, 2008, we have incurred losses of approximately $8.6 million. These losses are primarily due to general and administrative and research and development expenses. Historically, our operations have been financed through capital contributions and debt and equity financings.</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As of June 30, 2008, we had $6.7 million in cash. On each of September 17, 2007, and October 10, 2007, we completed private placements to selected institutional and individual investors of our common stock and warrants. In connection with the private placements, we raised approximately $3.8 million (net of placement agent fees and other costs aggregating $342,105) from the issuance of 2,071,834 shares of common stock and detachable redeemable warrants to purchase 517,958 shares of our common stock at a cash exercise price of $4.00 per share and a cashless exercise price of $5.00 per share. In May 2008, we completed another private placement to accredited investors, where we raised gross proceeds of $4.0 million from the issuance of 1,818,180 shares of common stock and detachable warrants to purchase 227,272 shares of our common stock at a cash exercise price of $4.40 per share and a cashless exercise price of $5.50 per share.</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 xml:space="preserve">We are assessing our financing needs for the foreseeable future. In order to execute our operating plan over the next twelve months, which includes the conduct of the Phase 3 clinical program, we will be required to raise additional funds to support our operations. This funding requirement raises substantial doubt about our ability to continue as a going concern. The accompanying unaudited condensed consolidated financial statements have been prepared on a going-concern basis, which contemplates the realization of assets and the satisfaction of liabilities in the normal course of business.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5" w:name="PGBRK12"/>
      <w:bookmarkStart w:id="156" w:name="PGBRK12"/>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 w:name="FTR12"/>
      <w:bookmarkStart w:id="158" w:name="FTR12"/>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 w:name="GLFTR12"/>
      <w:bookmarkStart w:id="160" w:name="GLFTR12"/>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61" w:name="PN12"/>
      <w:bookmarkEnd w:id="161"/>
      <w:r>
        <w:rPr>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2" w:name="HDR12"/>
      <w:bookmarkStart w:id="163" w:name="HDR12"/>
      <w:bookmarkEnd w:id="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4" w:name="GLHDR12"/>
      <w:bookmarkStart w:id="165" w:name="GLHDR12"/>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Our continuation as a going concern is dependent on our ability to obtain additional financing to fund operations, implement our business model, and ultimately, to attain profitable operations. We intend to obtain additional financing to fund our operations through, and without limitation to, equity or debt financing, funding from a corporate partnership or licensing arrangement or any similar financing. There can be no assurance that such financing will be available on terms favorable to us or at all. If adequate financing is not available, we will have to delay, postpone or terminate the clinical program and curtail general and administrative operations, which would have a material adverse effect on us.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bookmarkStart w:id="166" w:name="eolPage16"/>
      <w:bookmarkEnd w:id="166"/>
      <w:r>
        <w:rPr>
          <w:rStyle w:val="StrongEmphasis"/>
          <w:rFonts w:ascii="Times New Roman" w:hAnsi="Times New Roman"/>
          <w:sz w:val="20"/>
        </w:rPr>
        <w:t>Critical Accounting Policies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We believe that the accounting policies described below are critical to understanding our business, results of operations and financial condition because they involve more significant judgments and estimates used in the preparation of our unaudited condensed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unaudited condensed consolidated financial statements.</w:t>
      </w:r>
    </w:p>
    <w:p>
      <w:pPr>
        <w:pStyle w:val="TextBody"/>
        <w:spacing w:lineRule="auto" w:line="300" w:before="0" w:after="0"/>
        <w:ind w:left="0" w:right="0" w:hanging="0"/>
        <w:jc w:val="left"/>
        <w:rPr/>
      </w:pPr>
      <w:r>
        <w:rPr/>
        <w:t> </w:t>
      </w:r>
    </w:p>
    <w:p>
      <w:pPr>
        <w:pStyle w:val="TextBody"/>
        <w:spacing w:lineRule="auto" w:line="300" w:before="0" w:after="0"/>
        <w:ind w:left="0" w:right="0" w:hanging="0"/>
        <w:jc w:val="both"/>
        <w:rPr/>
      </w:pPr>
      <w:r>
        <w:rPr>
          <w:rFonts w:ascii="Times New Roman" w:hAnsi="Times New Roman"/>
          <w:sz w:val="20"/>
        </w:rPr>
        <w:t xml:space="preserve">Our </w:t>
      </w:r>
      <w:bookmarkStart w:id="167" w:name="V113417_10Q_HTM_EOLPAGE25"/>
      <w:bookmarkEnd w:id="167"/>
      <w:r>
        <w:rPr>
          <w:rFonts w:ascii="Times New Roman" w:hAnsi="Times New Roman"/>
          <w:sz w:val="20"/>
        </w:rPr>
        <w:t>most critical accounting policies and estimates that may materially impact our results of operations include:</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Style w:val="Emphasis"/>
          <w:rFonts w:ascii="Times New Roman" w:hAnsi="Times New Roman"/>
          <w:sz w:val="20"/>
        </w:rPr>
        <w:t>Stock-Based Compensation.</w:t>
      </w:r>
      <w:r>
        <w:rPr/>
        <w:t xml:space="preserve"> </w:t>
      </w:r>
      <w:r>
        <w:rPr>
          <w:rFonts w:ascii="Times New Roman" w:hAnsi="Times New Roman"/>
          <w:sz w:val="20"/>
        </w:rPr>
        <w:t xml:space="preserve">Effective January 1, 2006, we adopted Statement of Financial Accounting Standards (“SFAS”) No. 123 (revised 2004), </w:t>
      </w:r>
      <w:r>
        <w:rPr>
          <w:rStyle w:val="Emphasis"/>
          <w:rFonts w:ascii="Times New Roman" w:hAnsi="Times New Roman"/>
          <w:sz w:val="20"/>
        </w:rPr>
        <w:t>Share-Based Payment</w:t>
      </w:r>
      <w:r>
        <w:rPr/>
        <w:t xml:space="preserve"> </w:t>
      </w:r>
      <w:r>
        <w:rPr>
          <w:rFonts w:ascii="Times New Roman" w:hAnsi="Times New Roman"/>
          <w:sz w:val="20"/>
        </w:rPr>
        <w:t xml:space="preserve">, (“SFAS No. 123R”), which is a revision of SFAS No. 123, </w:t>
      </w:r>
      <w:r>
        <w:rPr>
          <w:rStyle w:val="Emphasis"/>
          <w:rFonts w:ascii="Times New Roman" w:hAnsi="Times New Roman"/>
          <w:sz w:val="20"/>
        </w:rPr>
        <w:t>Accounting for Stock-Based Compensation</w:t>
      </w:r>
      <w:r>
        <w:rPr/>
        <w:t xml:space="preserve"> </w:t>
      </w:r>
      <w:r>
        <w:rPr>
          <w:rFonts w:ascii="Times New Roman" w:hAnsi="Times New Roman"/>
          <w:sz w:val="20"/>
        </w:rPr>
        <w:t xml:space="preserve">. SFAS No. 123R supersedes Accounting Principles Board No. 25, </w:t>
      </w:r>
      <w:r>
        <w:rPr>
          <w:rStyle w:val="Emphasis"/>
          <w:rFonts w:ascii="Times New Roman" w:hAnsi="Times New Roman"/>
          <w:sz w:val="20"/>
        </w:rPr>
        <w:t>Accounting for Stock Issued to Employees</w:t>
      </w:r>
      <w:r>
        <w:rPr>
          <w:rFonts w:ascii="Times New Roman" w:hAnsi="Times New Roman"/>
          <w:sz w:val="20"/>
        </w:rPr>
        <w:t xml:space="preserve">, and amends SFAS No. 95, </w:t>
      </w:r>
      <w:r>
        <w:rPr>
          <w:rStyle w:val="Emphasis"/>
          <w:rFonts w:ascii="Times New Roman" w:hAnsi="Times New Roman"/>
          <w:sz w:val="20"/>
        </w:rPr>
        <w:t>Statement of Cash Flows</w:t>
      </w:r>
      <w:r>
        <w:rPr>
          <w:rFonts w:ascii="Times New Roman" w:hAnsi="Times New Roman"/>
          <w:sz w:val="20"/>
        </w:rPr>
        <w:t>. SFAS No. 123R requires all share-based payments to employees, including grants of employee stock options and restricted stock grants, to be recognized in the financial statements based upon their fair values. We use the Black-Scholes option pricing model to estimate the grant-date fair value of share-based awards under SFAS No. 123R. Fair value is determined at the date of grant. In accordance with SFAS No. 123R, the financial statement effect of forfeitures is estimated at the time of grant and revised, if necessary, if the actual effect differs from those estimates. As of June 30, 2008, management estimates that the effect of forfeitures on the unaudited condensed financial statements will be insignificant.</w:t>
      </w:r>
    </w:p>
    <w:p>
      <w:pPr>
        <w:pStyle w:val="TextBody"/>
        <w:spacing w:lineRule="auto" w:line="300" w:before="0" w:after="0"/>
        <w:ind w:left="0" w:right="0" w:hanging="0"/>
        <w:jc w:val="both"/>
        <w:rPr/>
      </w:pPr>
      <w:r>
        <w:rPr/>
      </w:r>
    </w:p>
    <w:p>
      <w:pPr>
        <w:pStyle w:val="TextBody"/>
        <w:spacing w:lineRule="auto" w:line="300" w:before="0" w:after="0"/>
        <w:ind w:left="0" w:right="0" w:firstLine="720"/>
        <w:jc w:val="both"/>
        <w:rPr/>
      </w:pPr>
      <w:r>
        <w:rPr>
          <w:rFonts w:ascii="Times New Roman" w:hAnsi="Times New Roman"/>
          <w:sz w:val="20"/>
        </w:rPr>
        <w:t xml:space="preserve">Our accounting policy for equity instruments issued to consultants and vendors in exchange for goods and services follows the provisions of SFAS No. 123, Emerging Issues Task Force (“EITF”) No. 96-18, </w:t>
      </w:r>
      <w:r>
        <w:rPr>
          <w:rStyle w:val="Emphasis"/>
          <w:rFonts w:ascii="Times New Roman" w:hAnsi="Times New Roman"/>
          <w:sz w:val="20"/>
        </w:rPr>
        <w:t>Accounting for Equity Instruments That are Issued to Other Than Employees for Acquiring, or in Conjunction with Selling, Goods or Services</w:t>
      </w:r>
      <w:r>
        <w:rPr/>
        <w:t xml:space="preserve"> </w:t>
      </w:r>
      <w:r>
        <w:rPr>
          <w:rFonts w:ascii="Times New Roman" w:hAnsi="Times New Roman"/>
          <w:sz w:val="20"/>
        </w:rPr>
        <w:t xml:space="preserve">and EITF No. 00-18, </w:t>
      </w:r>
      <w:r>
        <w:rPr>
          <w:rStyle w:val="Emphasis"/>
          <w:rFonts w:ascii="Times New Roman" w:hAnsi="Times New Roman"/>
          <w:sz w:val="20"/>
        </w:rPr>
        <w:t>Accounting Recognition for Certain Transactions Involving Equity Instruments Granted to Other Than Employees.</w:t>
      </w:r>
      <w:r>
        <w:rPr/>
        <w:t xml:space="preserve"> </w:t>
      </w:r>
      <w:r>
        <w:rPr>
          <w:rFonts w:ascii="Times New Roman" w:hAnsi="Times New Roman"/>
          <w:sz w:val="20"/>
        </w:rPr>
        <w:t>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In accordance with EITF No. 00-18, an asset acquired in exchange for the issuance of fully vested, nonforfeitable equity instruments should not be presented or classified as an offset to equity on the grantor’s balance sheet once the equity instrument is granted for accounting purposes. Accordingly, we recorded the fair value of the common stock issued for future consulting services as prepaid consulting fees in our unaudited condensed consolidated balance sheet.</w:t>
      </w:r>
    </w:p>
    <w:p>
      <w:pPr>
        <w:pStyle w:val="TextBody"/>
        <w:spacing w:lineRule="auto" w:line="300" w:before="0" w:after="0"/>
        <w:ind w:left="0" w:right="0" w:firstLine="720"/>
        <w:jc w:val="both"/>
        <w:rPr/>
      </w:pPr>
      <w:r>
        <w:rPr/>
      </w:r>
    </w:p>
    <w:p>
      <w:pPr>
        <w:pStyle w:val="TextBody"/>
        <w:spacing w:lineRule="auto" w:line="300" w:before="0" w:after="0"/>
        <w:ind w:left="0" w:right="0" w:firstLine="720"/>
        <w:jc w:val="both"/>
        <w:rPr/>
      </w:pPr>
      <w:r>
        <w:rPr>
          <w:rStyle w:val="Emphasis"/>
          <w:rFonts w:ascii="Times New Roman" w:hAnsi="Times New Roman"/>
          <w:sz w:val="20"/>
        </w:rPr>
        <w:t>Beneficial Conversion Feature.</w:t>
      </w:r>
      <w:r>
        <w:rPr/>
        <w:t xml:space="preserve"> </w:t>
      </w:r>
      <w:r>
        <w:rPr>
          <w:rFonts w:ascii="Times New Roman" w:hAnsi="Times New Roman"/>
          <w:sz w:val="20"/>
        </w:rPr>
        <w:t xml:space="preserve">The convertible features of the convertible notes provided for a rate of conversion that was below market value (see Note 5). Such feature is normally characterized as a “beneficial conversion feature” (“BCF”). Pursuant to EITF No. 98-5 </w:t>
      </w:r>
      <w:r>
        <w:rPr>
          <w:rStyle w:val="Emphasis"/>
          <w:rFonts w:ascii="Times New Roman" w:hAnsi="Times New Roman"/>
          <w:sz w:val="20"/>
        </w:rPr>
        <w:t>Accounting For Convertible Securities with Beneficial Conversion Features or Contingently Adjustable Conversion Ratio</w:t>
      </w:r>
      <w:r>
        <w:rPr/>
        <w:t xml:space="preserve"> </w:t>
      </w:r>
      <w:r>
        <w:rPr>
          <w:rFonts w:ascii="Times New Roman" w:hAnsi="Times New Roman"/>
          <w:sz w:val="20"/>
        </w:rPr>
        <w:t xml:space="preserve">and EITF No. 00-27, </w:t>
      </w:r>
      <w:r>
        <w:rPr>
          <w:rStyle w:val="Emphasis"/>
          <w:rFonts w:ascii="Times New Roman" w:hAnsi="Times New Roman"/>
          <w:sz w:val="20"/>
        </w:rPr>
        <w:t>Application of EITF Issue No. 98-5 To Certain Convertible Instruments,</w:t>
      </w:r>
      <w:r>
        <w:rPr/>
        <w:t xml:space="preserve"> </w:t>
      </w:r>
      <w:r>
        <w:rPr>
          <w:rFonts w:ascii="Times New Roman" w:hAnsi="Times New Roman"/>
          <w:sz w:val="20"/>
        </w:rPr>
        <w:t>the relative fair values of the BCFs have been recorded as a discount from the face amount of the respective debt instrument. We recorded the corresponding debt discount related to the BCF as interest expense, in fiscal year 2007, when the related instrument was converted into its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8" w:name="PGBRK13"/>
      <w:bookmarkStart w:id="169" w:name="PGBRK13"/>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 w:name="FTR13"/>
      <w:bookmarkStart w:id="171" w:name="FTR13"/>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2" w:name="GLFTR13"/>
      <w:bookmarkStart w:id="173" w:name="GLFTR13"/>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74" w:name="PN13"/>
      <w:bookmarkEnd w:id="174"/>
      <w:r>
        <w:rPr>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 w:name="HDR13"/>
      <w:bookmarkStart w:id="176" w:name="HDR13"/>
      <w:bookmarkEnd w:id="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7" w:name="GLHDR13"/>
      <w:bookmarkStart w:id="178" w:name="GLHDR13"/>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left"/>
        <w:rPr/>
      </w:pPr>
      <w:r>
        <w:rPr>
          <w:rStyle w:val="StrongEmphasis"/>
          <w:rFonts w:ascii="Times New Roman" w:hAnsi="Times New Roman"/>
          <w:sz w:val="20"/>
        </w:rPr>
        <w:t>Off-Balance Sheet Arrangements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rFonts w:ascii="Times New Roman" w:hAnsi="Times New Roman"/>
          <w:sz w:val="20"/>
        </w:rPr>
      </w:pPr>
      <w:r>
        <w:rPr>
          <w:rFonts w:ascii="Times New Roman" w:hAnsi="Times New Roman"/>
          <w:sz w:val="20"/>
        </w:rPr>
        <w:t>Since our inception, except for standard operating leases, we have not engaged in any off-balance sheet arrangements, including the use of structured finance, special purpose entities or variable interest entities.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bookmarkStart w:id="179" w:name="eolPage17"/>
      <w:bookmarkEnd w:id="179"/>
      <w:r>
        <w:rPr>
          <w:rStyle w:val="StrongEmphasis"/>
          <w:rFonts w:ascii="Times New Roman" w:hAnsi="Times New Roman"/>
          <w:sz w:val="20"/>
        </w:rPr>
        <w:t>Recent Accounting Pronouncements</w:t>
      </w:r>
    </w:p>
    <w:p>
      <w:pPr>
        <w:pStyle w:val="TextBody"/>
        <w:spacing w:lineRule="auto" w:line="300" w:before="0" w:after="0"/>
        <w:ind w:left="0" w:right="0" w:hanging="0"/>
        <w:jc w:val="both"/>
        <w:rPr/>
      </w:pPr>
      <w:r>
        <w:rPr/>
        <w:t> </w:t>
      </w:r>
    </w:p>
    <w:p>
      <w:pPr>
        <w:pStyle w:val="TextBody"/>
        <w:spacing w:lineRule="auto" w:line="300" w:before="0" w:after="0"/>
        <w:ind w:left="0" w:right="0" w:firstLine="720"/>
        <w:jc w:val="both"/>
        <w:rPr/>
      </w:pPr>
      <w:r>
        <w:rPr>
          <w:rFonts w:ascii="Times New Roman" w:hAnsi="Times New Roman"/>
          <w:sz w:val="20"/>
        </w:rPr>
        <w:t xml:space="preserve">In December 2007, the FASB issued SFAS No. 141R, </w:t>
      </w:r>
      <w:r>
        <w:rPr>
          <w:rStyle w:val="Emphasis"/>
          <w:rFonts w:ascii="Times New Roman" w:hAnsi="Times New Roman"/>
          <w:sz w:val="20"/>
        </w:rPr>
        <w:t>Business Combinations</w:t>
      </w:r>
      <w:r>
        <w:rPr/>
        <w:t xml:space="preserve"> </w:t>
      </w:r>
      <w:r>
        <w:rPr>
          <w:rFonts w:ascii="Times New Roman" w:hAnsi="Times New Roman"/>
          <w:sz w:val="20"/>
        </w:rPr>
        <w:t>. SFAS No. 141R provides companies with principles and requirements on how an acquirer recognizes and measures in its financial statements the identifiable assets acquired, liabilities assumed, and any noncontrolling interest in the acquiree as well as the recognition and measurement of goodwill acquired in a business combination. SFAS No. 141R also requires certain disclosures to enable users of the financial statements to evaluate the nature and financial effects of the business combination. Acquisition costs associated with the business combination will generally be expensed as incurred. SFAS No. 141R is effective for business combinations occurring in fiscal years beginning after December 15, 2008. Early adoption of SFAS No. 141R is not permitted. We are currently evaluating the impact SFAS No. 141R will have on any future business combinations.</w:t>
      </w:r>
    </w:p>
    <w:p>
      <w:pPr>
        <w:pStyle w:val="TextBody"/>
        <w:spacing w:lineRule="auto" w:line="300" w:before="0" w:after="0"/>
        <w:ind w:left="0" w:right="0" w:hanging="0"/>
        <w:jc w:val="both"/>
        <w:rPr/>
      </w:pPr>
      <w:bookmarkStart w:id="180" w:name="FIS_CONTROL_AND_PROCEDURES"/>
      <w:bookmarkEnd w:id="180"/>
      <w:r>
        <w:rPr/>
        <w:t> </w:t>
      </w:r>
    </w:p>
    <w:p>
      <w:pPr>
        <w:pStyle w:val="TextBody"/>
        <w:spacing w:lineRule="auto" w:line="300" w:before="0" w:after="0"/>
        <w:ind w:left="0" w:right="0" w:hanging="0"/>
        <w:jc w:val="left"/>
        <w:rPr/>
      </w:pPr>
      <w:bookmarkStart w:id="181" w:name="V113417_10Q_HTM_D10Q_HTM_TX39267_7"/>
      <w:bookmarkEnd w:id="181"/>
      <w:r>
        <w:rPr>
          <w:rStyle w:val="StrongEmphasis"/>
          <w:rFonts w:ascii="Times New Roman" w:hAnsi="Times New Roman"/>
          <w:sz w:val="20"/>
        </w:rPr>
        <w:t>Item 4T. Controls and Procedures.</w:t>
      </w:r>
    </w:p>
    <w:p>
      <w:pPr>
        <w:pStyle w:val="TextBody"/>
        <w:spacing w:lineRule="auto" w:line="300" w:before="0" w:after="0"/>
        <w:ind w:left="0" w:right="0" w:hanging="0"/>
        <w:jc w:val="both"/>
        <w:rPr/>
      </w:pPr>
      <w:r>
        <w:rPr/>
        <w:t> </w:t>
      </w:r>
    </w:p>
    <w:p>
      <w:pPr>
        <w:pStyle w:val="TextBody"/>
        <w:spacing w:lineRule="auto" w:line="300" w:before="0" w:after="0"/>
        <w:ind w:left="0" w:right="0" w:firstLine="540"/>
        <w:jc w:val="both"/>
        <w:rPr>
          <w:rFonts w:ascii="Times New Roman" w:hAnsi="Times New Roman"/>
          <w:sz w:val="20"/>
        </w:rPr>
      </w:pPr>
      <w:r>
        <w:rPr>
          <w:rFonts w:ascii="Times New Roman" w:hAnsi="Times New Roman"/>
          <w:sz w:val="20"/>
        </w:rPr>
        <w:t>We maintain disclosure controls and procedures that are designed to ensure that information required to be disclosed in our reports under the Exchange Act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spacing w:lineRule="auto" w:line="300" w:before="0" w:after="0"/>
        <w:ind w:left="0" w:right="0" w:hanging="0"/>
        <w:jc w:val="both"/>
        <w:rPr/>
      </w:pPr>
      <w:r>
        <w:rPr/>
        <w:t> </w:t>
      </w:r>
    </w:p>
    <w:p>
      <w:pPr>
        <w:pStyle w:val="TextBody"/>
        <w:spacing w:lineRule="auto" w:line="300" w:before="0" w:after="0"/>
        <w:ind w:left="0" w:right="0" w:firstLine="540"/>
        <w:jc w:val="both"/>
        <w:rPr>
          <w:rFonts w:ascii="Times New Roman" w:hAnsi="Times New Roman"/>
          <w:sz w:val="20"/>
        </w:rPr>
      </w:pPr>
      <w:r>
        <w:rPr>
          <w:rFonts w:ascii="Times New Roman" w:hAnsi="Times New Roman"/>
          <w:sz w:val="20"/>
        </w:rPr>
        <w:t>As required by Commission Rule 13a-15(b), we carried out an evaluation, under the supervision and with the participation of our management, including our Chief Executive Officer and the Chief Financial Officer, of the effectiveness of the design and operation of our disclosure controls and procedures as of the end of the quarter covered by this quarterly report on Form 10-Q. Based on the foregoing, our Chief Executive Officer and Chief Financial Officer concluded that our disclosure controls and procedures were effective at the reasonable assurance level.</w:t>
      </w:r>
    </w:p>
    <w:p>
      <w:pPr>
        <w:pStyle w:val="TextBody"/>
        <w:spacing w:lineRule="auto" w:line="300" w:before="0" w:after="0"/>
        <w:ind w:left="0" w:right="0" w:firstLine="540"/>
        <w:jc w:val="both"/>
        <w:rPr/>
      </w:pPr>
      <w:r>
        <w:rPr/>
        <w:t> </w:t>
      </w:r>
    </w:p>
    <w:p>
      <w:pPr>
        <w:pStyle w:val="TextBody"/>
        <w:spacing w:lineRule="auto" w:line="300" w:before="0" w:after="0"/>
        <w:ind w:left="0" w:right="0" w:firstLine="540"/>
        <w:jc w:val="both"/>
        <w:rPr>
          <w:rFonts w:ascii="Times New Roman" w:hAnsi="Times New Roman"/>
          <w:sz w:val="20"/>
        </w:rPr>
      </w:pPr>
      <w:r>
        <w:rPr>
          <w:rFonts w:ascii="Times New Roman" w:hAnsi="Times New Roman"/>
          <w:sz w:val="20"/>
        </w:rPr>
        <w:t>There has been no change in our internal control over financial reporting during our most recent fiscal quarter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2" w:name="PGBRK14"/>
      <w:bookmarkStart w:id="183" w:name="PGBRK14"/>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4" w:name="FTR14"/>
      <w:bookmarkStart w:id="185" w:name="FTR14"/>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 w:name="GLFTR14"/>
      <w:bookmarkStart w:id="187" w:name="GLFTR14"/>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188" w:name="PN14"/>
      <w:bookmarkEnd w:id="188"/>
      <w:r>
        <w:rPr>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9" w:name="HDR14"/>
      <w:bookmarkStart w:id="190" w:name="HDR14"/>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GLHDR14"/>
      <w:bookmarkStart w:id="192" w:name="GLHDR14"/>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bookmarkStart w:id="193" w:name="FIS_PART_II"/>
      <w:bookmarkEnd w:id="193"/>
      <w:r>
        <w:rPr>
          <w:rStyle w:val="StrongEmphasis"/>
          <w:rFonts w:ascii="Times New Roman" w:hAnsi="Times New Roman"/>
          <w:sz w:val="20"/>
        </w:rPr>
        <w:t>PART II</w:t>
      </w:r>
    </w:p>
    <w:p>
      <w:pPr>
        <w:pStyle w:val="TextBody"/>
        <w:spacing w:lineRule="auto" w:line="300" w:before="0" w:after="0"/>
        <w:ind w:left="0" w:right="0" w:hanging="0"/>
        <w:jc w:val="center"/>
        <w:rPr/>
      </w:pPr>
      <w:r>
        <w:rPr>
          <w:rStyle w:val="StrongEmphasis"/>
          <w:rFonts w:ascii="Times New Roman" w:hAnsi="Times New Roman"/>
          <w:sz w:val="20"/>
        </w:rPr>
        <w:t>OTHER INFORMATION</w:t>
      </w:r>
    </w:p>
    <w:p>
      <w:pPr>
        <w:pStyle w:val="TextBody"/>
        <w:spacing w:lineRule="auto" w:line="300" w:before="0" w:after="0"/>
        <w:ind w:left="0" w:right="0" w:hanging="0"/>
        <w:jc w:val="both"/>
        <w:rPr/>
      </w:pPr>
      <w:r>
        <w:rPr/>
        <w:t> </w:t>
      </w:r>
    </w:p>
    <w:p>
      <w:pPr>
        <w:pStyle w:val="TextBody"/>
        <w:spacing w:lineRule="auto" w:line="300" w:before="0" w:after="0"/>
        <w:ind w:left="900" w:right="0" w:hanging="900"/>
        <w:jc w:val="left"/>
        <w:rPr/>
      </w:pPr>
      <w:r>
        <w:rPr>
          <w:rStyle w:val="StrongEmphasis"/>
          <w:rFonts w:ascii="Times New Roman" w:hAnsi="Times New Roman"/>
          <w:sz w:val="20"/>
        </w:rPr>
        <w:t>Item 2. Unregistered Sales of Equity Securities and Use of Proceeds</w:t>
      </w:r>
    </w:p>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rFonts w:ascii="Times New Roman" w:hAnsi="Times New Roman"/>
          <w:sz w:val="20"/>
        </w:rPr>
        <w:t>Except as previously included in our Current Reports on Form 8-K filed with the Securities and Exchange Commission on May 15, 2008, we have not sold any equity securities during the period covered by this quarterly report on Form 10-Q that were not registered under the Securities Act of 1933, as amended.</w:t>
      </w:r>
      <w:r>
        <w:rPr/>
        <w:t> </w:t>
      </w:r>
    </w:p>
    <w:p>
      <w:pPr>
        <w:pStyle w:val="TextBody"/>
        <w:spacing w:lineRule="auto" w:line="300" w:before="0" w:after="0"/>
        <w:ind w:left="0" w:right="0" w:hanging="0"/>
        <w:jc w:val="both"/>
        <w:rPr/>
      </w:pPr>
      <w:bookmarkStart w:id="194" w:name="FIS_EXHIBITS_REPORTS"/>
      <w:bookmarkEnd w:id="194"/>
      <w:r>
        <w:rPr/>
        <w:t> </w:t>
      </w:r>
    </w:p>
    <w:p>
      <w:pPr>
        <w:pStyle w:val="TextBody"/>
        <w:spacing w:lineRule="auto" w:line="300" w:before="0" w:after="0"/>
        <w:ind w:left="0" w:right="0" w:hanging="0"/>
        <w:jc w:val="left"/>
        <w:rPr/>
      </w:pPr>
      <w:r>
        <w:rPr>
          <w:rStyle w:val="StrongEmphasis"/>
          <w:rFonts w:ascii="Times New Roman" w:hAnsi="Times New Roman"/>
          <w:sz w:val="20"/>
        </w:rPr>
        <w:t>Item 6.</w:t>
      </w:r>
      <w:r>
        <w:rPr/>
        <w:t> </w:t>
      </w:r>
      <w:r>
        <w:rPr>
          <w:rStyle w:val="StrongEmphasis"/>
          <w:rFonts w:ascii="Times New Roman" w:hAnsi="Times New Roman"/>
          <w:sz w:val="20"/>
        </w:rPr>
        <w:t>Exhibits</w:t>
      </w:r>
    </w:p>
    <w:p>
      <w:pPr>
        <w:pStyle w:val="TextBody"/>
        <w:spacing w:lineRule="auto" w:line="300"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1062"/>
        <w:gridCol w:w="212"/>
        <w:gridCol w:w="8931"/>
      </w:tblGrid>
      <w:tr>
        <w:trPr/>
        <w:tc>
          <w:tcPr>
            <w:tcW w:w="1062" w:type="dxa"/>
            <w:tcBorders>
              <w:bottom w:val="single" w:sz="2" w:space="0" w:color="000000"/>
            </w:tcBorders>
            <w:shd w:fill="auto" w:val="clear"/>
            <w:vAlign w:val="bottom"/>
          </w:tcPr>
          <w:p>
            <w:pPr>
              <w:pStyle w:val="TableContents"/>
              <w:spacing w:lineRule="auto" w:line="300" w:before="0" w:after="0"/>
              <w:ind w:left="360" w:right="16" w:hanging="360"/>
              <w:jc w:val="center"/>
              <w:rPr/>
            </w:pPr>
            <w:r>
              <w:rPr>
                <w:rStyle w:val="StrongEmphasis"/>
                <w:rFonts w:ascii="Times New Roman" w:hAnsi="Times New Roman"/>
                <w:sz w:val="20"/>
              </w:rPr>
              <w:t>Exhibit</w:t>
            </w:r>
          </w:p>
          <w:p>
            <w:pPr>
              <w:pStyle w:val="TableContents"/>
              <w:spacing w:lineRule="auto" w:line="300" w:before="0" w:after="0"/>
              <w:ind w:left="360" w:right="16" w:hanging="360"/>
              <w:jc w:val="center"/>
              <w:rPr/>
            </w:pPr>
            <w:r>
              <w:rPr>
                <w:rStyle w:val="StrongEmphasis"/>
                <w:rFonts w:ascii="Times New Roman" w:hAnsi="Times New Roman"/>
                <w:sz w:val="20"/>
              </w:rPr>
              <w:t>Number</w:t>
            </w:r>
          </w:p>
        </w:tc>
        <w:tc>
          <w:tcPr>
            <w:tcW w:w="212" w:type="dxa"/>
            <w:tcBorders>
              <w:bottom w:val="single" w:sz="2" w:space="0" w:color="FFFFFF"/>
            </w:tcBorders>
            <w:shd w:fill="auto" w:val="clear"/>
            <w:vAlign w:val="center"/>
          </w:tcPr>
          <w:p>
            <w:pPr>
              <w:pStyle w:val="TableContents"/>
              <w:spacing w:lineRule="auto" w:line="300" w:before="0" w:after="0"/>
              <w:ind w:left="0" w:right="16" w:hanging="0"/>
              <w:jc w:val="left"/>
              <w:rPr/>
            </w:pPr>
            <w:r>
              <w:rPr/>
              <w:t> </w:t>
            </w:r>
          </w:p>
        </w:tc>
        <w:tc>
          <w:tcPr>
            <w:tcW w:w="8931" w:type="dxa"/>
            <w:tcBorders>
              <w:bottom w:val="single" w:sz="2" w:space="0" w:color="000000"/>
            </w:tcBorders>
            <w:shd w:fill="auto" w:val="clear"/>
          </w:tcPr>
          <w:p>
            <w:pPr>
              <w:pStyle w:val="TableContents"/>
              <w:spacing w:lineRule="auto" w:line="300" w:before="0" w:after="0"/>
              <w:ind w:left="0" w:right="16" w:hanging="0"/>
              <w:jc w:val="left"/>
              <w:rPr/>
            </w:pPr>
            <w:r>
              <w:rPr/>
              <w:t> </w:t>
            </w:r>
          </w:p>
          <w:p>
            <w:pPr>
              <w:pStyle w:val="TableContents"/>
              <w:spacing w:lineRule="auto" w:line="300" w:before="0" w:after="0"/>
              <w:ind w:left="0" w:right="16" w:hanging="0"/>
              <w:jc w:val="left"/>
              <w:rPr/>
            </w:pPr>
            <w:r>
              <w:rPr>
                <w:rStyle w:val="StrongEmphasis"/>
                <w:rFonts w:ascii="Times New Roman" w:hAnsi="Times New Roman"/>
                <w:sz w:val="20"/>
              </w:rPr>
              <w:t>Description</w:t>
            </w:r>
          </w:p>
        </w:tc>
      </w:tr>
      <w:tr>
        <w:trPr/>
        <w:tc>
          <w:tcPr>
            <w:tcW w:w="1062" w:type="dxa"/>
            <w:tcBorders/>
            <w:shd w:fill="auto" w:val="clear"/>
            <w:tcMar>
              <w:bottom w:w="0" w:type="dxa"/>
            </w:tcMar>
          </w:tcPr>
          <w:p>
            <w:pPr>
              <w:pStyle w:val="TableContents"/>
              <w:spacing w:lineRule="auto" w:line="300" w:before="0" w:after="0"/>
              <w:ind w:left="0" w:right="16" w:hanging="0"/>
              <w:jc w:val="left"/>
              <w:rPr/>
            </w:pPr>
            <w:r>
              <w:rPr/>
              <w:t> </w:t>
            </w:r>
          </w:p>
        </w:tc>
        <w:tc>
          <w:tcPr>
            <w:tcW w:w="212" w:type="dxa"/>
            <w:tcBorders/>
            <w:shd w:fill="auto" w:val="clear"/>
            <w:tcMar>
              <w:bottom w:w="0" w:type="dxa"/>
            </w:tcMar>
            <w:vAlign w:val="center"/>
          </w:tcPr>
          <w:p>
            <w:pPr>
              <w:pStyle w:val="TableContents"/>
              <w:spacing w:lineRule="auto" w:line="300" w:before="0" w:after="0"/>
              <w:ind w:left="0" w:right="16" w:hanging="0"/>
              <w:jc w:val="left"/>
              <w:rPr/>
            </w:pPr>
            <w:r>
              <w:rPr/>
              <w:t> </w:t>
            </w:r>
          </w:p>
        </w:tc>
        <w:tc>
          <w:tcPr>
            <w:tcW w:w="8931" w:type="dxa"/>
            <w:tcBorders/>
            <w:shd w:fill="auto" w:val="clear"/>
            <w:tcMar>
              <w:bottom w:w="0" w:type="dxa"/>
            </w:tcMar>
          </w:tcPr>
          <w:p>
            <w:pPr>
              <w:pStyle w:val="TableContents"/>
              <w:spacing w:lineRule="auto" w:line="300" w:before="0" w:after="0"/>
              <w:ind w:left="0" w:right="16" w:hanging="0"/>
              <w:jc w:val="left"/>
              <w:rPr/>
            </w:pPr>
            <w:r>
              <w:rPr/>
              <w:t> </w:t>
            </w:r>
          </w:p>
        </w:tc>
      </w:tr>
      <w:tr>
        <w:trPr/>
        <w:tc>
          <w:tcPr>
            <w:tcW w:w="1062" w:type="dxa"/>
            <w:tcBorders/>
            <w:shd w:fill="CCFFCC" w:val="clear"/>
            <w:tcMar>
              <w:bottom w:w="0" w:type="dxa"/>
            </w:tcMar>
          </w:tcPr>
          <w:p>
            <w:pPr>
              <w:pStyle w:val="TableContents"/>
              <w:spacing w:lineRule="auto" w:line="300" w:before="0" w:after="0"/>
              <w:ind w:left="360" w:right="16" w:hanging="360"/>
              <w:jc w:val="left"/>
              <w:rPr>
                <w:rFonts w:ascii="Times New Roman" w:hAnsi="Times New Roman"/>
                <w:sz w:val="20"/>
              </w:rPr>
            </w:pPr>
            <w:r>
              <w:rPr>
                <w:rFonts w:ascii="Times New Roman" w:hAnsi="Times New Roman"/>
                <w:sz w:val="20"/>
              </w:rPr>
              <w:t>10.1*</w:t>
            </w:r>
          </w:p>
        </w:tc>
        <w:tc>
          <w:tcPr>
            <w:tcW w:w="212" w:type="dxa"/>
            <w:tcBorders/>
            <w:shd w:fill="CCFFCC" w:val="clear"/>
            <w:tcMar>
              <w:bottom w:w="0" w:type="dxa"/>
            </w:tcMar>
            <w:vAlign w:val="center"/>
          </w:tcPr>
          <w:p>
            <w:pPr>
              <w:pStyle w:val="TableContents"/>
              <w:spacing w:before="0" w:after="283"/>
              <w:jc w:val="left"/>
              <w:rPr/>
            </w:pPr>
            <w:r>
              <w:rPr/>
              <w:t> </w:t>
            </w:r>
          </w:p>
        </w:tc>
        <w:tc>
          <w:tcPr>
            <w:tcW w:w="8931" w:type="dxa"/>
            <w:tcBorders/>
            <w:shd w:fill="CCFFCC" w:val="clear"/>
            <w:tcMar>
              <w:bottom w:w="0" w:type="dxa"/>
            </w:tcM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Clinical Trial Services Agreement by and between Transdel Pharmaceuticals, Inc. and Cato Research Ltd.</w:t>
            </w:r>
          </w:p>
        </w:tc>
      </w:tr>
      <w:tr>
        <w:trPr/>
        <w:tc>
          <w:tcPr>
            <w:tcW w:w="1062" w:type="dxa"/>
            <w:tcBorders/>
            <w:shd w:fill="FFFFFF" w:val="clear"/>
            <w:tcMar>
              <w:bottom w:w="0" w:type="dxa"/>
            </w:tcMar>
          </w:tcPr>
          <w:p>
            <w:pPr>
              <w:pStyle w:val="TableContents"/>
              <w:spacing w:lineRule="auto" w:line="300" w:before="0" w:after="0"/>
              <w:ind w:left="360" w:right="16" w:hanging="360"/>
              <w:jc w:val="left"/>
              <w:rPr>
                <w:rFonts w:ascii="Times New Roman" w:hAnsi="Times New Roman"/>
                <w:sz w:val="20"/>
              </w:rPr>
            </w:pPr>
            <w:r>
              <w:rPr>
                <w:rFonts w:ascii="Times New Roman" w:hAnsi="Times New Roman"/>
                <w:sz w:val="20"/>
              </w:rPr>
              <w:t>31.1*</w:t>
            </w:r>
          </w:p>
        </w:tc>
        <w:tc>
          <w:tcPr>
            <w:tcW w:w="212"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8931" w:type="dxa"/>
            <w:tcBorders/>
            <w:shd w:fill="FFFFFF" w:val="clear"/>
            <w:tcMar>
              <w:bottom w:w="0" w:type="dxa"/>
            </w:tcM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Section 302 Certification of Principal Executive Officer</w:t>
            </w:r>
          </w:p>
        </w:tc>
      </w:tr>
      <w:tr>
        <w:trPr/>
        <w:tc>
          <w:tcPr>
            <w:tcW w:w="1062" w:type="dxa"/>
            <w:tcBorders/>
            <w:shd w:fill="CCFFCC" w:val="clear"/>
            <w:tcMar>
              <w:bottom w:w="0" w:type="dxa"/>
            </w:tcMar>
          </w:tcPr>
          <w:p>
            <w:pPr>
              <w:pStyle w:val="TableContents"/>
              <w:spacing w:lineRule="auto" w:line="300" w:before="0" w:after="0"/>
              <w:ind w:left="360" w:right="16" w:hanging="360"/>
              <w:jc w:val="left"/>
              <w:rPr>
                <w:rFonts w:ascii="Times New Roman" w:hAnsi="Times New Roman"/>
                <w:sz w:val="20"/>
              </w:rPr>
            </w:pPr>
            <w:r>
              <w:rPr>
                <w:rFonts w:ascii="Times New Roman" w:hAnsi="Times New Roman"/>
                <w:sz w:val="20"/>
              </w:rPr>
              <w:t>31.2*</w:t>
            </w:r>
          </w:p>
        </w:tc>
        <w:tc>
          <w:tcPr>
            <w:tcW w:w="212"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8931" w:type="dxa"/>
            <w:tcBorders/>
            <w:shd w:fill="CCFFCC" w:val="clear"/>
            <w:tcMar>
              <w:bottom w:w="0" w:type="dxa"/>
            </w:tcM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Section 302 Certification of Principal Financial Officer</w:t>
            </w:r>
          </w:p>
        </w:tc>
      </w:tr>
      <w:tr>
        <w:trPr/>
        <w:tc>
          <w:tcPr>
            <w:tcW w:w="1062" w:type="dxa"/>
            <w:tcBorders/>
            <w:shd w:fill="FFFFFF" w:val="clear"/>
            <w:tcMar>
              <w:bottom w:w="0" w:type="dxa"/>
            </w:tcMar>
          </w:tcPr>
          <w:p>
            <w:pPr>
              <w:pStyle w:val="TableContents"/>
              <w:spacing w:lineRule="auto" w:line="300" w:before="0" w:after="0"/>
              <w:ind w:left="360" w:right="16" w:hanging="360"/>
              <w:jc w:val="left"/>
              <w:rPr>
                <w:rFonts w:ascii="Times New Roman" w:hAnsi="Times New Roman"/>
                <w:sz w:val="20"/>
              </w:rPr>
            </w:pPr>
            <w:r>
              <w:rPr>
                <w:rFonts w:ascii="Times New Roman" w:hAnsi="Times New Roman"/>
                <w:sz w:val="20"/>
              </w:rPr>
              <w:t>32.1*</w:t>
            </w:r>
          </w:p>
        </w:tc>
        <w:tc>
          <w:tcPr>
            <w:tcW w:w="212"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8931" w:type="dxa"/>
            <w:tcBorders/>
            <w:shd w:fill="FFFFFF" w:val="clear"/>
            <w:tcMar>
              <w:bottom w:w="0" w:type="dxa"/>
            </w:tcM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Section 906 Certification of Principal Executive Officer and Principal Financial Officer</w:t>
            </w:r>
          </w:p>
        </w:tc>
      </w:tr>
    </w:tbl>
    <w:p>
      <w:pPr>
        <w:pStyle w:val="TextBody"/>
        <w:spacing w:lineRule="auto" w:line="300" w:before="0" w:after="0"/>
        <w:ind w:left="0" w:right="0" w:hanging="0"/>
        <w:jc w:val="left"/>
        <w:rPr/>
      </w:pPr>
      <w:r>
        <w:rPr/>
        <w:t>______________________</w:t>
      </w:r>
    </w:p>
    <w:p>
      <w:pPr>
        <w:pStyle w:val="TextBody"/>
        <w:spacing w:lineRule="auto" w:line="300"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30"/>
        <w:gridCol w:w="9675"/>
      </w:tblGrid>
      <w:tr>
        <w:trPr/>
        <w:tc>
          <w:tcPr>
            <w:tcW w:w="530"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w:t>
            </w:r>
          </w:p>
        </w:tc>
        <w:tc>
          <w:tcPr>
            <w:tcW w:w="9675"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Filed herewith.</w:t>
            </w:r>
          </w:p>
        </w:tc>
      </w:tr>
    </w:tbl>
    <w:p>
      <w:pPr>
        <w:pStyle w:val="TextBody"/>
        <w:spacing w:lineRule="auto" w:line="300"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5" w:name="PGBRK15"/>
      <w:bookmarkStart w:id="196" w:name="PGBRK15"/>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 w:name="FTR15"/>
      <w:bookmarkStart w:id="198" w:name="FTR15"/>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 w:name="GLFTR15"/>
      <w:bookmarkStart w:id="200" w:name="GLFTR15"/>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201" w:name="PN15"/>
      <w:bookmarkEnd w:id="201"/>
      <w:r>
        <w:rPr>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 w:name="HDR15"/>
      <w:bookmarkStart w:id="203" w:name="HDR15"/>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 w:name="GLHDR15"/>
      <w:bookmarkStart w:id="205" w:name="GLHDR15"/>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center"/>
        <w:rPr/>
      </w:pPr>
      <w:r>
        <w:rPr>
          <w:rStyle w:val="StrongEmphasis"/>
          <w:rFonts w:ascii="Times New Roman" w:hAnsi="Times New Roman"/>
          <w:sz w:val="20"/>
        </w:rPr>
        <w:t>SIGNATURES</w:t>
      </w:r>
    </w:p>
    <w:p>
      <w:pPr>
        <w:pStyle w:val="TextBody"/>
        <w:spacing w:lineRule="auto" w:line="300" w:before="0" w:after="0"/>
        <w:ind w:left="0" w:right="0" w:hanging="0"/>
        <w:jc w:val="center"/>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lineRule="auto" w:line="300"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4751"/>
        <w:gridCol w:w="425"/>
        <w:gridCol w:w="5029"/>
      </w:tblGrid>
      <w:tr>
        <w:trPr/>
        <w:tc>
          <w:tcPr>
            <w:tcW w:w="4751" w:type="dxa"/>
            <w:tcBorders/>
            <w:shd w:fill="FFFFFF" w:val="clear"/>
          </w:tcPr>
          <w:p>
            <w:pPr>
              <w:pStyle w:val="TableContents"/>
              <w:spacing w:before="0" w:after="283"/>
              <w:rPr/>
            </w:pPr>
            <w:r>
              <w:rPr/>
              <w:t> </w:t>
            </w:r>
          </w:p>
        </w:tc>
        <w:tc>
          <w:tcPr>
            <w:tcW w:w="425" w:type="dxa"/>
            <w:tcBorders/>
            <w:shd w:fill="FFFFFF" w:val="clear"/>
          </w:tcPr>
          <w:p>
            <w:pPr>
              <w:pStyle w:val="TableContents"/>
              <w:spacing w:before="0" w:after="283"/>
              <w:rPr/>
            </w:pPr>
            <w:r>
              <w:rPr/>
              <w:t> </w:t>
            </w:r>
          </w:p>
        </w:tc>
        <w:tc>
          <w:tcPr>
            <w:tcW w:w="5029" w:type="dxa"/>
            <w:tcBorders/>
            <w:shd w:fill="FFFFFF" w:val="clear"/>
          </w:tcPr>
          <w:p>
            <w:pPr>
              <w:pStyle w:val="TableContents"/>
              <w:spacing w:before="0" w:after="283"/>
              <w:rPr/>
            </w:pPr>
            <w:r>
              <w:rPr/>
              <w:t> </w:t>
            </w:r>
          </w:p>
        </w:tc>
      </w:tr>
      <w:tr>
        <w:trPr/>
        <w:tc>
          <w:tcPr>
            <w:tcW w:w="4751" w:type="dxa"/>
            <w:tcBorders/>
            <w:shd w:fill="FFFFFF" w:val="clear"/>
          </w:tcPr>
          <w:p>
            <w:pPr>
              <w:pStyle w:val="TableContents"/>
              <w:spacing w:before="0" w:after="283"/>
              <w:rPr/>
            </w:pPr>
            <w:r>
              <w:rPr/>
              <w:t> </w:t>
            </w:r>
          </w:p>
        </w:tc>
        <w:tc>
          <w:tcPr>
            <w:tcW w:w="5454" w:type="dxa"/>
            <w:gridSpan w:val="2"/>
            <w:tcBorders/>
            <w:shd w:fill="FFFFFF" w:val="clear"/>
          </w:tcPr>
          <w:p>
            <w:pPr>
              <w:pStyle w:val="TableContents"/>
              <w:spacing w:lineRule="auto" w:line="300" w:before="0" w:after="0"/>
              <w:ind w:left="0" w:right="36" w:hanging="0"/>
              <w:jc w:val="left"/>
              <w:rPr>
                <w:rFonts w:ascii="Times New Roman" w:hAnsi="Times New Roman"/>
                <w:sz w:val="20"/>
              </w:rPr>
            </w:pPr>
            <w:r>
              <w:rPr>
                <w:rFonts w:ascii="Times New Roman" w:hAnsi="Times New Roman"/>
                <w:sz w:val="20"/>
              </w:rPr>
              <w:t>Transdel Pharmaceuticals, Inc.</w:t>
            </w:r>
          </w:p>
        </w:tc>
      </w:tr>
      <w:tr>
        <w:trPr/>
        <w:tc>
          <w:tcPr>
            <w:tcW w:w="4751" w:type="dxa"/>
            <w:tcBorders/>
            <w:shd w:fill="FFFFFF" w:val="clear"/>
          </w:tcPr>
          <w:p>
            <w:pPr>
              <w:pStyle w:val="TableContents"/>
              <w:spacing w:before="0" w:after="283"/>
              <w:rPr/>
            </w:pPr>
            <w:r>
              <w:rPr/>
              <w:t> </w:t>
            </w:r>
            <w:r>
              <w:rPr>
                <w:sz w:val="20"/>
              </w:rPr>
              <w:br/>
              <w:t> </w:t>
            </w:r>
          </w:p>
        </w:tc>
        <w:tc>
          <w:tcPr>
            <w:tcW w:w="425" w:type="dxa"/>
            <w:tcBorders/>
            <w:shd w:fill="FFFFFF" w:val="clear"/>
          </w:tcPr>
          <w:p>
            <w:pPr>
              <w:pStyle w:val="TableContents"/>
              <w:spacing w:before="0" w:after="283"/>
              <w:rPr/>
            </w:pPr>
            <w:r>
              <w:rPr/>
              <w:t> </w:t>
            </w:r>
            <w:r>
              <w:rPr>
                <w:sz w:val="20"/>
              </w:rPr>
              <w:br/>
              <w:t> </w:t>
            </w:r>
          </w:p>
        </w:tc>
        <w:tc>
          <w:tcPr>
            <w:tcW w:w="5029" w:type="dxa"/>
            <w:tcBorders/>
            <w:shd w:fill="FFFFFF" w:val="clear"/>
          </w:tcPr>
          <w:p>
            <w:pPr>
              <w:pStyle w:val="TableContents"/>
              <w:spacing w:before="0" w:after="283"/>
              <w:rPr/>
            </w:pPr>
            <w:r>
              <w:rPr/>
              <w:t> </w:t>
            </w:r>
            <w:r>
              <w:rPr>
                <w:sz w:val="20"/>
              </w:rPr>
              <w:br/>
              <w:t> </w:t>
            </w:r>
          </w:p>
        </w:tc>
      </w:tr>
      <w:tr>
        <w:trPr/>
        <w:tc>
          <w:tcPr>
            <w:tcW w:w="4751" w:type="dxa"/>
            <w:tcBorders/>
            <w:shd w:fill="FFFFFF"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Dated: August 11, 2008</w:t>
            </w:r>
          </w:p>
        </w:tc>
        <w:tc>
          <w:tcPr>
            <w:tcW w:w="425" w:type="dxa"/>
            <w:tcBorders/>
            <w:shd w:fill="FFFFFF" w:val="clear"/>
          </w:tcPr>
          <w:p>
            <w:pPr>
              <w:pStyle w:val="TableContents"/>
              <w:spacing w:before="0" w:after="283"/>
              <w:rPr>
                <w:sz w:val="20"/>
              </w:rPr>
            </w:pPr>
            <w:r>
              <w:rPr>
                <w:sz w:val="20"/>
              </w:rPr>
              <w:t>By:  </w:t>
            </w:r>
          </w:p>
        </w:tc>
        <w:tc>
          <w:tcPr>
            <w:tcW w:w="5029" w:type="dxa"/>
            <w:tcBorders/>
            <w:shd w:fill="FFFFFF" w:val="clear"/>
          </w:tcPr>
          <w:p>
            <w:pPr>
              <w:pStyle w:val="TableContents"/>
              <w:spacing w:before="0" w:after="283"/>
              <w:rPr>
                <w:sz w:val="20"/>
              </w:rPr>
            </w:pPr>
            <w:r>
              <w:rPr>
                <w:sz w:val="20"/>
              </w:rPr>
              <w:t>/s/ Juliet Singh</w:t>
            </w:r>
          </w:p>
        </w:tc>
      </w:tr>
      <w:tr>
        <w:trPr/>
        <w:tc>
          <w:tcPr>
            <w:tcW w:w="5176" w:type="dxa"/>
            <w:gridSpan w:val="2"/>
            <w:tcBorders/>
            <w:shd w:fill="FFFFFF" w:val="clear"/>
          </w:tcPr>
          <w:p>
            <w:pPr>
              <w:pStyle w:val="TableContents"/>
              <w:spacing w:before="0" w:after="283"/>
              <w:rPr/>
            </w:pPr>
            <w:r>
              <w:rPr/>
              <w:t> </w:t>
            </w:r>
          </w:p>
        </w:tc>
        <w:tc>
          <w:tcPr>
            <w:tcW w:w="5029" w:type="dxa"/>
            <w:tcBorders/>
            <w:shd w:fill="FFFFFF" w:val="clear"/>
          </w:tcPr>
          <w:p>
            <w:pPr>
              <w:pStyle w:val="HorizontalLine"/>
              <w:pBdr>
                <w:bottom w:val="single" w:sz="12" w:space="0" w:color="808080"/>
              </w:pBdr>
              <w:jc w:val="left"/>
              <w:rPr/>
            </w:pPr>
            <w:r>
              <w:rPr/>
            </w:r>
          </w:p>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Juliet Singh, Ph.D.</w:t>
            </w:r>
          </w:p>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Chief Executive Officer</w:t>
            </w:r>
          </w:p>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(Principal Executive Officer)</w:t>
            </w:r>
          </w:p>
        </w:tc>
      </w:tr>
      <w:tr>
        <w:trPr/>
        <w:tc>
          <w:tcPr>
            <w:tcW w:w="5176" w:type="dxa"/>
            <w:gridSpan w:val="2"/>
            <w:tcBorders/>
            <w:shd w:fill="FFFFFF" w:val="clear"/>
          </w:tcPr>
          <w:p>
            <w:pPr>
              <w:pStyle w:val="TableContents"/>
              <w:spacing w:before="0" w:after="283"/>
              <w:rPr/>
            </w:pPr>
            <w:r>
              <w:rPr/>
              <w:t> </w:t>
            </w:r>
          </w:p>
        </w:tc>
        <w:tc>
          <w:tcPr>
            <w:tcW w:w="5029" w:type="dxa"/>
            <w:tcBorders/>
            <w:shd w:fill="FFFFFF" w:val="clear"/>
          </w:tcPr>
          <w:p>
            <w:pPr>
              <w:pStyle w:val="TableContents"/>
              <w:spacing w:before="0" w:after="283"/>
              <w:rPr/>
            </w:pPr>
            <w:r>
              <w:rPr/>
              <w:t> </w:t>
            </w:r>
          </w:p>
        </w:tc>
      </w:tr>
    </w:tbl>
    <w:p>
      <w:pPr>
        <w:pStyle w:val="TextBody"/>
        <w:spacing w:lineRule="auto" w:line="300" w:before="0" w:after="0"/>
        <w:ind w:left="0" w:right="0" w:hanging="0"/>
        <w:jc w:val="both"/>
        <w:rPr/>
      </w:pPr>
      <w:r>
        <w:rPr/>
        <w:t> </w:t>
      </w:r>
    </w:p>
    <w:p>
      <w:pPr>
        <w:pStyle w:val="TextBody"/>
        <w:spacing w:before="0" w:after="0"/>
        <w:ind w:left="0" w:right="0" w:hanging="0"/>
        <w:jc w:val="center"/>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6" w:name="PGBRK16"/>
      <w:bookmarkStart w:id="207" w:name="PGBRK16"/>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8" w:name="FTR16"/>
      <w:bookmarkStart w:id="209" w:name="FTR16"/>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 w:name="GLFTR16"/>
      <w:bookmarkStart w:id="211" w:name="GLFTR16"/>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212" w:name="PN16"/>
      <w:bookmarkEnd w:id="212"/>
      <w:r>
        <w:rPr>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 w:name="HDR16"/>
      <w:bookmarkStart w:id="214" w:name="HDR16"/>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 w:name="GLHDR16"/>
      <w:bookmarkStart w:id="216" w:name="GLHDR16"/>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bookmarkStart w:id="217" w:name="FIS_EXHIBIT_INDEX"/>
      <w:bookmarkEnd w:id="217"/>
      <w:r>
        <w:rPr>
          <w:rStyle w:val="StrongEmphasis"/>
          <w:rFonts w:ascii="Times New Roman" w:hAnsi="Times New Roman"/>
          <w:sz w:val="20"/>
          <w:u w:val="single"/>
        </w:rPr>
        <w:t>EXHIBIT INDEX</w:t>
      </w:r>
    </w:p>
    <w:p>
      <w:pPr>
        <w:pStyle w:val="TextBody"/>
        <w:spacing w:before="0" w:after="0"/>
        <w:ind w:left="0" w:right="0" w:hanging="0"/>
        <w:jc w:val="center"/>
        <w:rPr/>
      </w:pPr>
      <w:r>
        <w:rPr/>
        <w:t> </w:t>
      </w:r>
    </w:p>
    <w:p>
      <w:pPr>
        <w:pStyle w:val="TextBody"/>
        <w:spacing w:lineRule="auto" w:line="300" w:before="0" w:after="0"/>
        <w:ind w:left="0" w:right="0" w:hanging="0"/>
        <w:jc w:val="left"/>
        <w:rPr/>
      </w:pPr>
      <w:bookmarkStart w:id="218" w:name="FIS_UNIDENTIFIED_TABLE_6"/>
      <w:bookmarkEnd w:id="218"/>
      <w:r>
        <w:rPr/>
        <w:t> </w:t>
      </w:r>
    </w:p>
    <w:tbl>
      <w:tblPr>
        <w:tblW w:w="5000" w:type="pct"/>
        <w:jc w:val="left"/>
        <w:tblInd w:w="0" w:type="dxa"/>
        <w:tblCellMar>
          <w:top w:w="0" w:type="dxa"/>
          <w:left w:w="0" w:type="dxa"/>
          <w:bottom w:w="28" w:type="dxa"/>
          <w:right w:w="0" w:type="dxa"/>
        </w:tblCellMar>
      </w:tblPr>
      <w:tblGrid>
        <w:gridCol w:w="1062"/>
        <w:gridCol w:w="212"/>
        <w:gridCol w:w="8931"/>
      </w:tblGrid>
      <w:tr>
        <w:trPr/>
        <w:tc>
          <w:tcPr>
            <w:tcW w:w="1062" w:type="dxa"/>
            <w:tcBorders>
              <w:bottom w:val="single" w:sz="2" w:space="0" w:color="000000"/>
            </w:tcBorders>
            <w:shd w:fill="auto" w:val="clear"/>
            <w:vAlign w:val="bottom"/>
          </w:tcPr>
          <w:p>
            <w:pPr>
              <w:pStyle w:val="TableContents"/>
              <w:spacing w:lineRule="auto" w:line="300" w:before="0" w:after="0"/>
              <w:ind w:left="360" w:right="16" w:hanging="360"/>
              <w:jc w:val="center"/>
              <w:rPr/>
            </w:pPr>
            <w:r>
              <w:rPr>
                <w:rStyle w:val="StrongEmphasis"/>
                <w:rFonts w:ascii="Times New Roman" w:hAnsi="Times New Roman"/>
                <w:sz w:val="20"/>
              </w:rPr>
              <w:t>Exhibit</w:t>
            </w:r>
          </w:p>
          <w:p>
            <w:pPr>
              <w:pStyle w:val="TableContents"/>
              <w:spacing w:lineRule="auto" w:line="300" w:before="0" w:after="0"/>
              <w:ind w:left="360" w:right="16" w:hanging="360"/>
              <w:jc w:val="center"/>
              <w:rPr/>
            </w:pPr>
            <w:r>
              <w:rPr>
                <w:rStyle w:val="StrongEmphasis"/>
                <w:rFonts w:ascii="Times New Roman" w:hAnsi="Times New Roman"/>
                <w:sz w:val="20"/>
              </w:rPr>
              <w:t>Number</w:t>
            </w:r>
          </w:p>
        </w:tc>
        <w:tc>
          <w:tcPr>
            <w:tcW w:w="212" w:type="dxa"/>
            <w:tcBorders>
              <w:bottom w:val="single" w:sz="2" w:space="0" w:color="FFFFFF"/>
            </w:tcBorders>
            <w:shd w:fill="auto" w:val="clear"/>
            <w:vAlign w:val="center"/>
          </w:tcPr>
          <w:p>
            <w:pPr>
              <w:pStyle w:val="TableContents"/>
              <w:spacing w:lineRule="auto" w:line="300" w:before="0" w:after="0"/>
              <w:ind w:left="0" w:right="16" w:hanging="0"/>
              <w:jc w:val="left"/>
              <w:rPr/>
            </w:pPr>
            <w:r>
              <w:rPr/>
              <w:t> </w:t>
            </w:r>
          </w:p>
        </w:tc>
        <w:tc>
          <w:tcPr>
            <w:tcW w:w="8931" w:type="dxa"/>
            <w:tcBorders>
              <w:bottom w:val="single" w:sz="2" w:space="0" w:color="000000"/>
            </w:tcBorders>
            <w:shd w:fill="auto" w:val="clear"/>
          </w:tcPr>
          <w:p>
            <w:pPr>
              <w:pStyle w:val="TableContents"/>
              <w:spacing w:lineRule="auto" w:line="300" w:before="0" w:after="0"/>
              <w:ind w:left="0" w:right="16" w:hanging="0"/>
              <w:jc w:val="left"/>
              <w:rPr/>
            </w:pPr>
            <w:r>
              <w:rPr/>
              <w:t> </w:t>
            </w:r>
          </w:p>
          <w:p>
            <w:pPr>
              <w:pStyle w:val="TableContents"/>
              <w:spacing w:lineRule="auto" w:line="300" w:before="0" w:after="0"/>
              <w:ind w:left="0" w:right="16" w:hanging="0"/>
              <w:jc w:val="left"/>
              <w:rPr/>
            </w:pPr>
            <w:r>
              <w:rPr>
                <w:rStyle w:val="StrongEmphasis"/>
                <w:rFonts w:ascii="Times New Roman" w:hAnsi="Times New Roman"/>
                <w:sz w:val="20"/>
              </w:rPr>
              <w:t>Description</w:t>
            </w:r>
          </w:p>
        </w:tc>
      </w:tr>
      <w:tr>
        <w:trPr/>
        <w:tc>
          <w:tcPr>
            <w:tcW w:w="1062" w:type="dxa"/>
            <w:tcBorders/>
            <w:shd w:fill="auto" w:val="clear"/>
            <w:tcMar>
              <w:bottom w:w="0" w:type="dxa"/>
            </w:tcMar>
          </w:tcPr>
          <w:p>
            <w:pPr>
              <w:pStyle w:val="TableContents"/>
              <w:spacing w:lineRule="auto" w:line="300" w:before="0" w:after="0"/>
              <w:ind w:left="0" w:right="16" w:hanging="0"/>
              <w:jc w:val="left"/>
              <w:rPr/>
            </w:pPr>
            <w:r>
              <w:rPr/>
              <w:t> </w:t>
            </w:r>
          </w:p>
        </w:tc>
        <w:tc>
          <w:tcPr>
            <w:tcW w:w="212" w:type="dxa"/>
            <w:tcBorders/>
            <w:shd w:fill="auto" w:val="clear"/>
            <w:tcMar>
              <w:bottom w:w="0" w:type="dxa"/>
            </w:tcMar>
            <w:vAlign w:val="center"/>
          </w:tcPr>
          <w:p>
            <w:pPr>
              <w:pStyle w:val="TableContents"/>
              <w:spacing w:lineRule="auto" w:line="300" w:before="0" w:after="0"/>
              <w:ind w:left="0" w:right="16" w:hanging="0"/>
              <w:jc w:val="left"/>
              <w:rPr/>
            </w:pPr>
            <w:r>
              <w:rPr/>
              <w:t> </w:t>
            </w:r>
          </w:p>
        </w:tc>
        <w:tc>
          <w:tcPr>
            <w:tcW w:w="8931" w:type="dxa"/>
            <w:tcBorders/>
            <w:shd w:fill="auto" w:val="clear"/>
            <w:tcMar>
              <w:bottom w:w="0" w:type="dxa"/>
            </w:tcMar>
          </w:tcPr>
          <w:p>
            <w:pPr>
              <w:pStyle w:val="TableContents"/>
              <w:spacing w:lineRule="auto" w:line="300" w:before="0" w:after="0"/>
              <w:ind w:left="0" w:right="16" w:hanging="0"/>
              <w:jc w:val="left"/>
              <w:rPr/>
            </w:pPr>
            <w:r>
              <w:rPr/>
              <w:t> </w:t>
            </w:r>
          </w:p>
        </w:tc>
      </w:tr>
      <w:tr>
        <w:trPr/>
        <w:tc>
          <w:tcPr>
            <w:tcW w:w="1062" w:type="dxa"/>
            <w:tcBorders/>
            <w:shd w:fill="CCFFCC" w:val="clear"/>
            <w:tcMar>
              <w:bottom w:w="0" w:type="dxa"/>
            </w:tcMar>
          </w:tcPr>
          <w:p>
            <w:pPr>
              <w:pStyle w:val="TableContents"/>
              <w:spacing w:lineRule="auto" w:line="300" w:before="0" w:after="0"/>
              <w:ind w:left="360" w:right="16" w:hanging="360"/>
              <w:jc w:val="left"/>
              <w:rPr>
                <w:rFonts w:ascii="Times New Roman" w:hAnsi="Times New Roman"/>
                <w:sz w:val="20"/>
              </w:rPr>
            </w:pPr>
            <w:r>
              <w:rPr>
                <w:rFonts w:ascii="Times New Roman" w:hAnsi="Times New Roman"/>
                <w:sz w:val="20"/>
              </w:rPr>
              <w:t>10.1*</w:t>
            </w:r>
          </w:p>
        </w:tc>
        <w:tc>
          <w:tcPr>
            <w:tcW w:w="212" w:type="dxa"/>
            <w:tcBorders/>
            <w:shd w:fill="CCFFCC" w:val="clear"/>
            <w:tcMar>
              <w:bottom w:w="0" w:type="dxa"/>
            </w:tcMar>
            <w:vAlign w:val="center"/>
          </w:tcPr>
          <w:p>
            <w:pPr>
              <w:pStyle w:val="TableContents"/>
              <w:spacing w:before="0" w:after="283"/>
              <w:jc w:val="left"/>
              <w:rPr/>
            </w:pPr>
            <w:r>
              <w:rPr/>
              <w:t> </w:t>
            </w:r>
          </w:p>
        </w:tc>
        <w:tc>
          <w:tcPr>
            <w:tcW w:w="8931" w:type="dxa"/>
            <w:tcBorders/>
            <w:shd w:fill="CCFFCC" w:val="clear"/>
            <w:tcMar>
              <w:bottom w:w="0" w:type="dxa"/>
            </w:tcM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Clinical Trial Services Agreement by and between Transdel Pharmaceuticals, Inc. and Cato Research Ltd.</w:t>
            </w:r>
          </w:p>
        </w:tc>
      </w:tr>
      <w:tr>
        <w:trPr/>
        <w:tc>
          <w:tcPr>
            <w:tcW w:w="1062" w:type="dxa"/>
            <w:tcBorders/>
            <w:shd w:fill="FFFFFF" w:val="clear"/>
            <w:tcMar>
              <w:bottom w:w="0" w:type="dxa"/>
            </w:tcMar>
          </w:tcPr>
          <w:p>
            <w:pPr>
              <w:pStyle w:val="TableContents"/>
              <w:spacing w:lineRule="auto" w:line="300" w:before="0" w:after="0"/>
              <w:ind w:left="360" w:right="16" w:hanging="360"/>
              <w:jc w:val="left"/>
              <w:rPr>
                <w:rFonts w:ascii="Times New Roman" w:hAnsi="Times New Roman"/>
                <w:sz w:val="20"/>
              </w:rPr>
            </w:pPr>
            <w:r>
              <w:rPr>
                <w:rFonts w:ascii="Times New Roman" w:hAnsi="Times New Roman"/>
                <w:sz w:val="20"/>
              </w:rPr>
              <w:t>31.1*</w:t>
            </w:r>
          </w:p>
        </w:tc>
        <w:tc>
          <w:tcPr>
            <w:tcW w:w="212"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8931" w:type="dxa"/>
            <w:tcBorders/>
            <w:shd w:fill="FFFFFF" w:val="clear"/>
            <w:tcMar>
              <w:bottom w:w="0" w:type="dxa"/>
            </w:tcM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Section 302 Certification of Principal Executive Officer</w:t>
            </w:r>
          </w:p>
        </w:tc>
      </w:tr>
      <w:tr>
        <w:trPr/>
        <w:tc>
          <w:tcPr>
            <w:tcW w:w="1062" w:type="dxa"/>
            <w:tcBorders/>
            <w:shd w:fill="CCFFCC" w:val="clear"/>
            <w:tcMar>
              <w:bottom w:w="0" w:type="dxa"/>
            </w:tcMar>
          </w:tcPr>
          <w:p>
            <w:pPr>
              <w:pStyle w:val="TableContents"/>
              <w:spacing w:lineRule="auto" w:line="300" w:before="0" w:after="0"/>
              <w:ind w:left="360" w:right="16" w:hanging="360"/>
              <w:jc w:val="left"/>
              <w:rPr>
                <w:rFonts w:ascii="Times New Roman" w:hAnsi="Times New Roman"/>
                <w:sz w:val="20"/>
              </w:rPr>
            </w:pPr>
            <w:r>
              <w:rPr>
                <w:rFonts w:ascii="Times New Roman" w:hAnsi="Times New Roman"/>
                <w:sz w:val="20"/>
              </w:rPr>
              <w:t>31.2*</w:t>
            </w:r>
          </w:p>
        </w:tc>
        <w:tc>
          <w:tcPr>
            <w:tcW w:w="212" w:type="dxa"/>
            <w:tcBorders/>
            <w:shd w:fill="CCFFCC" w:val="clear"/>
            <w:tcMar>
              <w:bottom w:w="0" w:type="dxa"/>
            </w:tcMar>
            <w:vAlign w:val="center"/>
          </w:tcPr>
          <w:p>
            <w:pPr>
              <w:pStyle w:val="TableContents"/>
              <w:spacing w:lineRule="auto" w:line="300" w:before="0" w:after="0"/>
              <w:ind w:left="0" w:right="16" w:hanging="0"/>
              <w:jc w:val="left"/>
              <w:rPr/>
            </w:pPr>
            <w:r>
              <w:rPr/>
              <w:t> </w:t>
            </w:r>
          </w:p>
        </w:tc>
        <w:tc>
          <w:tcPr>
            <w:tcW w:w="8931" w:type="dxa"/>
            <w:tcBorders/>
            <w:shd w:fill="CCFFCC" w:val="clear"/>
            <w:tcMar>
              <w:bottom w:w="0" w:type="dxa"/>
            </w:tcM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Section 302 Certification of Principal Financial Officer</w:t>
            </w:r>
          </w:p>
        </w:tc>
      </w:tr>
      <w:tr>
        <w:trPr/>
        <w:tc>
          <w:tcPr>
            <w:tcW w:w="1062" w:type="dxa"/>
            <w:tcBorders/>
            <w:shd w:fill="FFFFFF" w:val="clear"/>
            <w:tcMar>
              <w:bottom w:w="0" w:type="dxa"/>
            </w:tcMar>
          </w:tcPr>
          <w:p>
            <w:pPr>
              <w:pStyle w:val="TableContents"/>
              <w:spacing w:lineRule="auto" w:line="300" w:before="0" w:after="0"/>
              <w:ind w:left="360" w:right="16" w:hanging="360"/>
              <w:jc w:val="left"/>
              <w:rPr>
                <w:rFonts w:ascii="Times New Roman" w:hAnsi="Times New Roman"/>
                <w:sz w:val="20"/>
              </w:rPr>
            </w:pPr>
            <w:r>
              <w:rPr>
                <w:rFonts w:ascii="Times New Roman" w:hAnsi="Times New Roman"/>
                <w:sz w:val="20"/>
              </w:rPr>
              <w:t>32.1*</w:t>
            </w:r>
          </w:p>
        </w:tc>
        <w:tc>
          <w:tcPr>
            <w:tcW w:w="212" w:type="dxa"/>
            <w:tcBorders/>
            <w:shd w:fill="FFFFFF" w:val="clear"/>
            <w:tcMar>
              <w:bottom w:w="0" w:type="dxa"/>
            </w:tcMar>
            <w:vAlign w:val="center"/>
          </w:tcPr>
          <w:p>
            <w:pPr>
              <w:pStyle w:val="TableContents"/>
              <w:spacing w:lineRule="auto" w:line="300" w:before="0" w:after="0"/>
              <w:ind w:left="0" w:right="16" w:hanging="0"/>
              <w:jc w:val="left"/>
              <w:rPr/>
            </w:pPr>
            <w:r>
              <w:rPr/>
              <w:t> </w:t>
            </w:r>
          </w:p>
        </w:tc>
        <w:tc>
          <w:tcPr>
            <w:tcW w:w="8931" w:type="dxa"/>
            <w:tcBorders/>
            <w:shd w:fill="FFFFFF" w:val="clear"/>
            <w:tcMar>
              <w:bottom w:w="0" w:type="dxa"/>
            </w:tcM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Section 906 Certification of Principal Executive Officer and Principal Financial Officer</w:t>
            </w:r>
          </w:p>
        </w:tc>
      </w:tr>
    </w:tbl>
    <w:p>
      <w:pPr>
        <w:pStyle w:val="TextBody"/>
        <w:spacing w:lineRule="auto" w:line="300" w:before="0" w:after="0"/>
        <w:ind w:left="0" w:right="0" w:hanging="0"/>
        <w:jc w:val="left"/>
        <w:rPr/>
      </w:pPr>
      <w:r>
        <w:rPr/>
        <w:t>______________________</w:t>
      </w:r>
    </w:p>
    <w:p>
      <w:pPr>
        <w:pStyle w:val="TextBody"/>
        <w:spacing w:lineRule="auto" w:line="300"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30"/>
        <w:gridCol w:w="9675"/>
      </w:tblGrid>
      <w:tr>
        <w:trPr/>
        <w:tc>
          <w:tcPr>
            <w:tcW w:w="530"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w:t>
            </w:r>
          </w:p>
        </w:tc>
        <w:tc>
          <w:tcPr>
            <w:tcW w:w="9675"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Filed herewith.</w:t>
            </w:r>
          </w:p>
        </w:tc>
      </w:tr>
    </w:tbl>
    <w:p>
      <w:pPr>
        <w:pStyle w:val="TextBody"/>
        <w:spacing w:lineRule="auto" w:line="300" w:before="0" w:after="0"/>
        <w:ind w:left="0" w:right="0" w:hanging="0"/>
        <w:jc w:val="left"/>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9" w:name="PGBRK17"/>
      <w:bookmarkStart w:id="220" w:name="PGBRK17"/>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1" w:name="FTR17"/>
      <w:bookmarkStart w:id="222" w:name="FTR17"/>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3" w:name="GLFTR17"/>
      <w:bookmarkStart w:id="224" w:name="GLFTR17"/>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225" w:name="PN17"/>
      <w:bookmarkStart w:id="226" w:name="PN17"/>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 w:name="HDR17"/>
      <w:bookmarkStart w:id="228" w:name="HDR17"/>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9" w:name="GLHDR17"/>
      <w:bookmarkStart w:id="230" w:name="GLHDR17"/>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1" w:name="TAB12"/>
      <w:bookmarkStart w:id="232" w:name="TAB12"/>
      <w:bookmarkEnd w:id="232"/>
    </w:p>
    <w:p>
      <w:pPr>
        <w:pStyle w:val="TextBody"/>
        <w:spacing w:lineRule="auto" w:line="300"/>
        <w:ind w:left="0" w:right="0" w:hanging="0"/>
        <w:jc w:val="left"/>
        <w:rPr/>
      </w:pPr>
      <w:r>
        <w:rPr/>
        <w:t> </w:t>
      </w:r>
      <w:r>
        <w:br w:type="page"/>
      </w:r>
    </w:p>
    <w:p>
      <w:pPr>
        <w:pStyle w:val="TextBody"/>
        <w:spacing w:before="0" w:after="0"/>
        <w:rPr/>
      </w:pPr>
      <w:bookmarkStart w:id="233" w:name="v122485_ex10-1.htm"/>
      <w:bookmarkStart w:id="234" w:name="ksv122485_ex101"/>
      <w:bookmarkEnd w:id="233"/>
      <w:bookmarkEnd w:id="234"/>
      <w:r>
        <w:rPr/>
        <w:t> </w:t>
      </w:r>
    </w:p>
    <w:p>
      <w:pPr>
        <w:pStyle w:val="TextBody"/>
        <w:spacing w:before="0" w:after="0"/>
        <w:rPr/>
      </w:pPr>
      <w:r>
        <w:rPr/>
        <w:t> </w:t>
      </w:r>
    </w:p>
    <w:p>
      <w:pPr>
        <w:pStyle w:val="TextBody"/>
        <w:spacing w:lineRule="auto" w:line="300" w:before="0" w:after="0"/>
        <w:ind w:left="0" w:right="0" w:hanging="0"/>
        <w:jc w:val="center"/>
        <w:rPr/>
      </w:pPr>
      <w:r>
        <w:rPr/>
        <w:drawing>
          <wp:inline distT="0" distB="0" distL="0" distR="0">
            <wp:extent cx="18288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638175"/>
                    </a:xfrm>
                    <a:prstGeom prst="rect">
                      <a:avLst/>
                    </a:prstGeom>
                  </pic:spPr>
                </pic:pic>
              </a:graphicData>
            </a:graphic>
          </wp:inline>
        </w:drawing>
      </w: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pPr>
      <w:r>
        <w:rPr/>
        <w:t> </w:t>
      </w:r>
    </w:p>
    <w:p>
      <w:pPr>
        <w:pStyle w:val="TextBody"/>
        <w:spacing w:lineRule="auto" w:line="300" w:before="0" w:after="0"/>
        <w:ind w:left="0" w:right="0" w:hanging="0"/>
        <w:jc w:val="center"/>
        <w:rPr/>
      </w:pPr>
      <w:r>
        <w:rPr>
          <w:rStyle w:val="StrongEmphasis"/>
          <w:rFonts w:ascii="Times New Roman" w:hAnsi="Times New Roman"/>
          <w:sz w:val="20"/>
        </w:rPr>
        <w:t>Proposal for Clinical Trial Services to Support Transdel Pharmaceuticals Inc.’s Ketotransdel for the Treatment of Mild to Moderate Acute Soft Tissue Injury</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Style w:val="StrongEmphasis"/>
          <w:rFonts w:ascii="Times New Roman" w:hAnsi="Times New Roman"/>
          <w:sz w:val="20"/>
        </w:rPr>
        <w:t xml:space="preserve">Prepared for: </w:t>
      </w:r>
    </w:p>
    <w:p>
      <w:pPr>
        <w:pStyle w:val="TextBody"/>
        <w:spacing w:lineRule="auto" w:line="300" w:before="0" w:after="0"/>
        <w:ind w:left="0" w:right="0" w:hanging="0"/>
        <w:jc w:val="center"/>
        <w:rPr/>
      </w:pPr>
      <w:r>
        <w:rPr/>
        <w:drawing>
          <wp:inline distT="0" distB="0" distL="0" distR="0">
            <wp:extent cx="2286000" cy="942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86000" cy="942975"/>
                    </a:xfrm>
                    <a:prstGeom prst="rect">
                      <a:avLst/>
                    </a:prstGeom>
                  </pic:spPr>
                </pic:pic>
              </a:graphicData>
            </a:graphic>
          </wp:inline>
        </w:drawing>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4225 Executive Square Suite 460</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 xml:space="preserve">La Jolla, CA 92037 </w:t>
      </w:r>
    </w:p>
    <w:p>
      <w:pPr>
        <w:pStyle w:val="TextBody"/>
        <w:spacing w:lineRule="auto" w:line="300" w:before="0" w:after="0"/>
        <w:ind w:left="0" w:right="0" w:hanging="0"/>
        <w:jc w:val="left"/>
        <w:rPr/>
      </w:pPr>
      <w:r>
        <w:rPr/>
      </w:r>
    </w:p>
    <w:p>
      <w:pPr>
        <w:pStyle w:val="TextBody"/>
        <w:spacing w:lineRule="auto" w:line="300" w:before="0" w:after="0"/>
        <w:ind w:left="0" w:right="0" w:hanging="0"/>
        <w:jc w:val="left"/>
        <w:rPr/>
      </w:pPr>
      <w:r>
        <w:rPr/>
      </w:r>
    </w:p>
    <w:p>
      <w:pPr>
        <w:pStyle w:val="TextBody"/>
        <w:spacing w:lineRule="auto" w:line="300" w:before="0" w:after="0"/>
        <w:ind w:left="0" w:right="0" w:hanging="0"/>
        <w:jc w:val="center"/>
        <w:rPr/>
      </w:pPr>
      <w:r>
        <w:rPr>
          <w:rStyle w:val="StrongEmphasis"/>
          <w:rFonts w:ascii="Times New Roman" w:hAnsi="Times New Roman"/>
          <w:sz w:val="20"/>
        </w:rPr>
        <w:t>Revised: 10 June 2008</w:t>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pPr>
      <w:r>
        <w:rPr/>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Prepared by:</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Cato Research Ltd.</w:t>
      </w:r>
    </w:p>
    <w:p>
      <w:pPr>
        <w:pStyle w:val="TextBody"/>
        <w:spacing w:lineRule="auto" w:line="300"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3368"/>
        <w:gridCol w:w="3468"/>
        <w:gridCol w:w="3369"/>
      </w:tblGrid>
      <w:tr>
        <w:trPr/>
        <w:tc>
          <w:tcPr>
            <w:tcW w:w="3368" w:type="dxa"/>
            <w:tcBorders/>
            <w:shd w:fill="auto" w:val="clear"/>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Style w:val="StrongEmphasis"/>
                <w:rFonts w:ascii="Times New Roman" w:hAnsi="Times New Roman"/>
                <w:sz w:val="20"/>
              </w:rPr>
              <w:t>Research Triangle Park, North Carolina</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Westpark Corporate Center</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4364 South Alston Avenue</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Durham, NC 27713</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Phone: 919-361-2286</w:t>
            </w:r>
          </w:p>
        </w:tc>
        <w:tc>
          <w:tcPr>
            <w:tcW w:w="3468" w:type="dxa"/>
            <w:tcBorders/>
            <w:shd w:fill="auto" w:val="clear"/>
          </w:tcPr>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rStyle w:val="StrongEmphasis"/>
                <w:rFonts w:ascii="Times New Roman" w:hAnsi="Times New Roman"/>
                <w:sz w:val="20"/>
              </w:rPr>
              <w:t>Montreal, Canada</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9900 Cavendish Boulevard, Suite 400</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St.-Laurent, Québec</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Canada H4M 2V2</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Phone: 514-856-2286</w:t>
            </w:r>
          </w:p>
        </w:tc>
        <w:tc>
          <w:tcPr>
            <w:tcW w:w="3369" w:type="dxa"/>
            <w:tcBorders/>
            <w:shd w:fill="auto" w:val="clear"/>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Style w:val="StrongEmphasis"/>
                <w:rFonts w:ascii="Times New Roman" w:hAnsi="Times New Roman"/>
                <w:sz w:val="20"/>
              </w:rPr>
              <w:t>Boston, Massachusetts</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Bay Colony Corporate Center</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1100 Winter Street</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 xml:space="preserve">Waltham, MA 02451 </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Phone: 781-890-4477</w:t>
            </w:r>
          </w:p>
        </w:tc>
      </w:tr>
      <w:tr>
        <w:trPr/>
        <w:tc>
          <w:tcPr>
            <w:tcW w:w="3368" w:type="dxa"/>
            <w:tcBorders/>
            <w:shd w:fill="auto" w:val="clear"/>
          </w:tcPr>
          <w:p>
            <w:pPr>
              <w:pStyle w:val="TableContents"/>
              <w:spacing w:before="0" w:after="283"/>
              <w:jc w:val="left"/>
              <w:rPr/>
            </w:pPr>
            <w:r>
              <w:rPr/>
              <w:t> </w:t>
            </w:r>
          </w:p>
        </w:tc>
        <w:tc>
          <w:tcPr>
            <w:tcW w:w="3468" w:type="dxa"/>
            <w:tcBorders/>
            <w:shd w:fill="auto" w:val="clear"/>
          </w:tcPr>
          <w:p>
            <w:pPr>
              <w:pStyle w:val="TableContents"/>
              <w:spacing w:before="0" w:after="283"/>
              <w:jc w:val="both"/>
              <w:rPr/>
            </w:pPr>
            <w:r>
              <w:rPr/>
              <w:t> </w:t>
            </w:r>
          </w:p>
        </w:tc>
        <w:tc>
          <w:tcPr>
            <w:tcW w:w="3369" w:type="dxa"/>
            <w:tcBorders/>
            <w:shd w:fill="auto" w:val="clear"/>
          </w:tcPr>
          <w:p>
            <w:pPr>
              <w:pStyle w:val="TableContents"/>
              <w:spacing w:before="0" w:after="283"/>
              <w:jc w:val="left"/>
              <w:rPr/>
            </w:pPr>
            <w:r>
              <w:rPr/>
              <w:t> </w:t>
            </w:r>
          </w:p>
        </w:tc>
      </w:tr>
      <w:tr>
        <w:trPr/>
        <w:tc>
          <w:tcPr>
            <w:tcW w:w="3368" w:type="dxa"/>
            <w:tcBorders/>
            <w:shd w:fill="auto" w:val="clear"/>
          </w:tcPr>
          <w:p>
            <w:pPr>
              <w:pStyle w:val="TableContents"/>
              <w:spacing w:lineRule="auto" w:line="300" w:before="0" w:after="0"/>
              <w:ind w:left="0" w:right="0" w:hanging="0"/>
              <w:jc w:val="both"/>
              <w:rPr/>
            </w:pPr>
            <w:r>
              <w:rPr>
                <w:rStyle w:val="StrongEmphasis"/>
                <w:rFonts w:ascii="Times New Roman" w:hAnsi="Times New Roman"/>
                <w:sz w:val="20"/>
              </w:rPr>
              <w:t>Northern California</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601 Gateway Boulevard, Suite 1010</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 xml:space="preserve">South San Francisco, CA 94080 </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Phone: 650-588-8256</w:t>
            </w:r>
          </w:p>
        </w:tc>
        <w:tc>
          <w:tcPr>
            <w:tcW w:w="3468" w:type="dxa"/>
            <w:tcBorders/>
            <w:shd w:fill="auto" w:val="clear"/>
          </w:tcPr>
          <w:p>
            <w:pPr>
              <w:pStyle w:val="TableContents"/>
              <w:spacing w:lineRule="auto" w:line="300" w:before="0" w:after="0"/>
              <w:ind w:left="0" w:right="0" w:hanging="0"/>
              <w:jc w:val="both"/>
              <w:rPr/>
            </w:pPr>
            <w:r>
              <w:rPr>
                <w:rStyle w:val="StrongEmphasis"/>
                <w:rFonts w:ascii="Times New Roman" w:hAnsi="Times New Roman"/>
                <w:sz w:val="20"/>
              </w:rPr>
              <w:t>Southern California</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6480 Weathers Place, Suite 104</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San Diego, CA 92121</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Phone: 858-452-7271</w:t>
            </w:r>
          </w:p>
        </w:tc>
        <w:tc>
          <w:tcPr>
            <w:tcW w:w="3369" w:type="dxa"/>
            <w:tcBorders/>
            <w:shd w:fill="auto" w:val="clear"/>
          </w:tcPr>
          <w:p>
            <w:pPr>
              <w:pStyle w:val="TableContents"/>
              <w:spacing w:lineRule="auto" w:line="300" w:before="0" w:after="0"/>
              <w:ind w:left="0" w:right="0" w:hanging="0"/>
              <w:jc w:val="both"/>
              <w:rPr/>
            </w:pPr>
            <w:r>
              <w:rPr>
                <w:rStyle w:val="StrongEmphasis"/>
                <w:rFonts w:ascii="Times New Roman" w:hAnsi="Times New Roman"/>
                <w:sz w:val="20"/>
              </w:rPr>
              <w:t>Washington, D.C., metro</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9605 Medical Center Drive, Suite 390</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 xml:space="preserve">Rockville, MD 20850 </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Phone: 301-309-1260</w:t>
            </w:r>
          </w:p>
        </w:tc>
      </w:tr>
      <w:tr>
        <w:trPr/>
        <w:tc>
          <w:tcPr>
            <w:tcW w:w="3368" w:type="dxa"/>
            <w:tcBorders/>
            <w:shd w:fill="auto" w:val="clear"/>
          </w:tcPr>
          <w:p>
            <w:pPr>
              <w:pStyle w:val="TableContents"/>
              <w:spacing w:before="0" w:after="283"/>
              <w:jc w:val="both"/>
              <w:rPr/>
            </w:pPr>
            <w:r>
              <w:rPr/>
              <w:t> </w:t>
            </w:r>
          </w:p>
        </w:tc>
        <w:tc>
          <w:tcPr>
            <w:tcW w:w="3468" w:type="dxa"/>
            <w:tcBorders/>
            <w:shd w:fill="auto" w:val="clear"/>
          </w:tcPr>
          <w:p>
            <w:pPr>
              <w:pStyle w:val="TableContents"/>
              <w:spacing w:before="0" w:after="283"/>
              <w:jc w:val="both"/>
              <w:rPr/>
            </w:pPr>
            <w:r>
              <w:rPr/>
              <w:t> </w:t>
            </w:r>
          </w:p>
        </w:tc>
        <w:tc>
          <w:tcPr>
            <w:tcW w:w="3369" w:type="dxa"/>
            <w:tcBorders/>
            <w:shd w:fill="auto" w:val="clear"/>
          </w:tcPr>
          <w:p>
            <w:pPr>
              <w:pStyle w:val="TableContents"/>
              <w:spacing w:before="0" w:after="283"/>
              <w:jc w:val="both"/>
              <w:rPr/>
            </w:pPr>
            <w:r>
              <w:rPr/>
              <w:t> </w:t>
            </w:r>
          </w:p>
        </w:tc>
      </w:tr>
      <w:tr>
        <w:trPr/>
        <w:tc>
          <w:tcPr>
            <w:tcW w:w="3368" w:type="dxa"/>
            <w:tcBorders/>
            <w:shd w:fill="auto" w:val="clear"/>
          </w:tcPr>
          <w:p>
            <w:pPr>
              <w:pStyle w:val="TableContents"/>
              <w:spacing w:lineRule="auto" w:line="300" w:before="0" w:after="0"/>
              <w:ind w:left="0" w:right="0" w:hanging="0"/>
              <w:jc w:val="both"/>
              <w:rPr/>
            </w:pPr>
            <w:r>
              <w:rPr>
                <w:rStyle w:val="StrongEmphasis"/>
                <w:rFonts w:ascii="Times New Roman" w:hAnsi="Times New Roman"/>
                <w:sz w:val="20"/>
              </w:rPr>
              <w:t>Tel Aviv, Israel</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2, Habarzel Street, 4th floor</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Ramat Hahayal</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Tel Aviv, Israel 69710</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Phone: 9723-644-9522</w:t>
            </w:r>
          </w:p>
        </w:tc>
        <w:tc>
          <w:tcPr>
            <w:tcW w:w="3468" w:type="dxa"/>
            <w:tcBorders/>
            <w:shd w:fill="auto" w:val="clear"/>
          </w:tcPr>
          <w:p>
            <w:pPr>
              <w:pStyle w:val="TableContents"/>
              <w:spacing w:lineRule="auto" w:line="300" w:before="0" w:after="0"/>
              <w:ind w:left="0" w:right="0" w:hanging="0"/>
              <w:jc w:val="both"/>
              <w:rPr/>
            </w:pPr>
            <w:r>
              <w:rPr>
                <w:rStyle w:val="StrongEmphasis"/>
                <w:rFonts w:ascii="Times New Roman" w:hAnsi="Times New Roman"/>
                <w:sz w:val="20"/>
              </w:rPr>
              <w:t>Riga, Latvia</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Studika Monitoring + Audit GmbH</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Poruka iela 8</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LV 1014 Riga</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Phone: +37-19512220</w:t>
            </w:r>
          </w:p>
        </w:tc>
        <w:tc>
          <w:tcPr>
            <w:tcW w:w="3369" w:type="dxa"/>
            <w:tcBorders/>
            <w:shd w:fill="auto" w:val="clear"/>
          </w:tcPr>
          <w:p>
            <w:pPr>
              <w:pStyle w:val="TableContents"/>
              <w:spacing w:lineRule="auto" w:line="300" w:before="0" w:after="0"/>
              <w:ind w:left="0" w:right="0" w:hanging="0"/>
              <w:jc w:val="left"/>
              <w:rPr/>
            </w:pPr>
            <w:r>
              <w:rPr>
                <w:rStyle w:val="StrongEmphasis"/>
                <w:rFonts w:ascii="Times New Roman" w:hAnsi="Times New Roman"/>
                <w:sz w:val="20"/>
              </w:rPr>
              <w:t>Frankfurt am Main, Germany</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Staufenstrasse 4</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60323 Frankfurt am Main, Germany</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Phone: +49-69-972-64550</w:t>
            </w:r>
          </w:p>
        </w:tc>
      </w:tr>
      <w:tr>
        <w:trPr/>
        <w:tc>
          <w:tcPr>
            <w:tcW w:w="3368" w:type="dxa"/>
            <w:tcBorders/>
            <w:shd w:fill="auto" w:val="clear"/>
          </w:tcPr>
          <w:p>
            <w:pPr>
              <w:pStyle w:val="TableContents"/>
              <w:spacing w:before="0" w:after="283"/>
              <w:jc w:val="both"/>
              <w:rPr/>
            </w:pPr>
            <w:r>
              <w:rPr/>
              <w:t> </w:t>
            </w:r>
          </w:p>
        </w:tc>
        <w:tc>
          <w:tcPr>
            <w:tcW w:w="3468" w:type="dxa"/>
            <w:tcBorders/>
            <w:shd w:fill="auto" w:val="clear"/>
          </w:tcPr>
          <w:p>
            <w:pPr>
              <w:pStyle w:val="TableContents"/>
              <w:spacing w:before="0" w:after="283"/>
              <w:jc w:val="both"/>
              <w:rPr/>
            </w:pPr>
            <w:r>
              <w:rPr/>
              <w:t> </w:t>
            </w:r>
          </w:p>
        </w:tc>
        <w:tc>
          <w:tcPr>
            <w:tcW w:w="3369" w:type="dxa"/>
            <w:tcBorders/>
            <w:shd w:fill="auto" w:val="clear"/>
          </w:tcPr>
          <w:p>
            <w:pPr>
              <w:pStyle w:val="TableContents"/>
              <w:spacing w:before="0" w:after="283"/>
              <w:jc w:val="left"/>
              <w:rPr/>
            </w:pPr>
            <w:r>
              <w:rPr/>
              <w:t> </w:t>
            </w:r>
          </w:p>
        </w:tc>
      </w:tr>
      <w:tr>
        <w:trPr/>
        <w:tc>
          <w:tcPr>
            <w:tcW w:w="3368" w:type="dxa"/>
            <w:tcBorders/>
            <w:shd w:fill="auto" w:val="clear"/>
          </w:tcPr>
          <w:p>
            <w:pPr>
              <w:pStyle w:val="TableContents"/>
              <w:spacing w:lineRule="auto" w:line="300" w:before="0" w:after="0"/>
              <w:ind w:left="0" w:right="0" w:hanging="0"/>
              <w:jc w:val="both"/>
              <w:rPr/>
            </w:pPr>
            <w:r>
              <w:rPr>
                <w:rStyle w:val="StrongEmphasis"/>
                <w:rFonts w:ascii="Times New Roman" w:hAnsi="Times New Roman"/>
                <w:sz w:val="20"/>
              </w:rPr>
              <w:t>Johannesburg, South Africa</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1st Floor Building 27</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Waterford Office Park</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Waterford Drive, Fourways 2055</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Johannesburg, South Africa</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Phone: +27-11-658-8400</w:t>
            </w:r>
          </w:p>
        </w:tc>
        <w:tc>
          <w:tcPr>
            <w:tcW w:w="3468" w:type="dxa"/>
            <w:tcBorders/>
            <w:shd w:fill="auto" w:val="clear"/>
          </w:tcPr>
          <w:p>
            <w:pPr>
              <w:pStyle w:val="TableContents"/>
              <w:spacing w:lineRule="auto" w:line="300" w:before="0" w:after="0"/>
              <w:ind w:left="0" w:right="0" w:hanging="0"/>
              <w:jc w:val="left"/>
              <w:rPr/>
            </w:pPr>
            <w:r>
              <w:rPr>
                <w:rStyle w:val="StrongEmphasis"/>
                <w:rFonts w:ascii="Times New Roman" w:hAnsi="Times New Roman"/>
                <w:sz w:val="20"/>
              </w:rPr>
              <w:t>Cologne, Germany</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Studika Monitoring + Audit GmbH</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Hertzstrasse 7</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D-50859 Köln</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Cologne, Germany</w:t>
            </w:r>
          </w:p>
          <w:p>
            <w:pPr>
              <w:pStyle w:val="TableContents"/>
              <w:spacing w:lineRule="auto" w:line="300" w:before="0" w:after="0"/>
              <w:ind w:left="0" w:right="0" w:hanging="0"/>
              <w:jc w:val="left"/>
              <w:rPr>
                <w:rFonts w:ascii="Times New Roman" w:hAnsi="Times New Roman"/>
                <w:sz w:val="20"/>
              </w:rPr>
            </w:pPr>
            <w:r>
              <w:rPr>
                <w:rFonts w:ascii="Times New Roman" w:hAnsi="Times New Roman"/>
                <w:sz w:val="20"/>
              </w:rPr>
              <w:t>Phone: +49-2234-70672</w:t>
            </w:r>
          </w:p>
        </w:tc>
        <w:tc>
          <w:tcPr>
            <w:tcW w:w="3369" w:type="dxa"/>
            <w:tcBorders/>
            <w:shd w:fill="auto" w:val="clear"/>
          </w:tcPr>
          <w:p>
            <w:pPr>
              <w:pStyle w:val="TableContents"/>
              <w:spacing w:lineRule="auto" w:line="300" w:before="0" w:after="0"/>
              <w:ind w:left="0" w:right="0" w:hanging="0"/>
              <w:jc w:val="both"/>
              <w:rPr/>
            </w:pPr>
            <w:r>
              <w:rPr>
                <w:rStyle w:val="StrongEmphasis"/>
                <w:rFonts w:ascii="Times New Roman" w:hAnsi="Times New Roman"/>
                <w:sz w:val="20"/>
              </w:rPr>
              <w:t>Graz, Austria</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JSW-Research</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Forschungslabor GmbH</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Rankengasse 28</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8020 Graz, Austria</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Phone: +43-316/765114-11</w:t>
            </w:r>
          </w:p>
          <w:p>
            <w:pPr>
              <w:pStyle w:val="TableContents"/>
              <w:spacing w:lineRule="auto" w:line="300" w:before="0" w:after="0"/>
              <w:ind w:left="0" w:right="0" w:hanging="0"/>
              <w:jc w:val="both"/>
              <w:rPr/>
            </w:pPr>
            <w:r>
              <w:rPr/>
              <w:t> </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
    </w:p>
    <w:p>
      <w:pPr>
        <w:pStyle w:val="TextBody"/>
        <w:spacing w:lineRule="auto" w:line="300" w:before="0" w:after="0"/>
        <w:ind w:left="0" w:right="0" w:hanging="0"/>
        <w:jc w:val="center"/>
        <w:rPr/>
      </w:pPr>
      <w:r>
        <w:rPr>
          <w:rStyle w:val="Emphasis"/>
          <w:rFonts w:ascii="Times New Roman" w:hAnsi="Times New Roman"/>
          <w:sz w:val="20"/>
          <w:u w:val="single"/>
        </w:rPr>
        <w:t>www.cato.com</w:t>
      </w:r>
    </w:p>
    <w:p>
      <w:pPr>
        <w:pStyle w:val="TextBody"/>
        <w:spacing w:lineRule="auto" w:line="300"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Emphasis"/>
                <w:rFonts w:ascii="Times New Roman" w:hAnsi="Times New Roman"/>
                <w:sz w:val="16"/>
              </w:rPr>
              <w:t>Strategies. Solutions. Success. ™</w:t>
            </w:r>
          </w:p>
        </w:tc>
        <w:tc>
          <w:tcPr>
            <w:tcW w:w="5103" w:type="dxa"/>
            <w:tcBorders/>
            <w:shd w:fill="FFFFFF" w:val="clear"/>
            <w:vAlign w:val="center"/>
          </w:tcPr>
          <w:p>
            <w:pPr>
              <w:pStyle w:val="TableContents"/>
              <w:spacing w:before="0" w:after="0"/>
              <w:ind w:left="0" w:right="0" w:hanging="0"/>
              <w:jc w:val="righ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35" w:name="PGBRK18"/>
      <w:bookmarkStart w:id="236" w:name="PGBRK18"/>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37" w:name="FTR18"/>
      <w:bookmarkStart w:id="238" w:name="FTR18"/>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39" w:name="GLFTR18"/>
      <w:bookmarkStart w:id="240" w:name="GLFTR18"/>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241" w:name="PN18"/>
      <w:bookmarkStart w:id="242" w:name="PN18"/>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43" w:name="HDR18"/>
      <w:bookmarkStart w:id="244" w:name="HDR18"/>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45" w:name="GLHDR18"/>
      <w:bookmarkStart w:id="246" w:name="GLHDR18"/>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16"/>
              </w:rPr>
            </w:pPr>
            <w:r>
              <w:rPr>
                <w:rFonts w:ascii="Times New Roman" w:hAnsi="Times New Roman"/>
                <w:sz w:val="16"/>
              </w:rPr>
              <w:t>CONFIDENTIAL</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Cato Research Ltd.</w:t>
            </w:r>
          </w:p>
        </w:tc>
      </w:tr>
      <w:tr>
        <w:trPr/>
        <w:tc>
          <w:tcPr>
            <w:tcW w:w="5102" w:type="dxa"/>
            <w:tcBorders>
              <w:bottom w:val="single" w:sz="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2"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jc w:val="center"/>
        <w:rPr/>
      </w:pPr>
      <w:r>
        <w:rPr/>
        <w:t> </w:t>
      </w:r>
    </w:p>
    <w:p>
      <w:pPr>
        <w:pStyle w:val="TextBody"/>
        <w:spacing w:before="0" w:after="0"/>
        <w:jc w:val="center"/>
        <w:rPr/>
      </w:pPr>
      <w:r>
        <w:rPr/>
        <w:t> </w:t>
      </w:r>
    </w:p>
    <w:p>
      <w:pPr>
        <w:pStyle w:val="TextBody"/>
        <w:spacing w:lineRule="auto" w:line="300" w:before="0" w:after="0"/>
        <w:ind w:left="0" w:right="144" w:hanging="0"/>
        <w:jc w:val="center"/>
        <w:rPr/>
      </w:pPr>
      <w:r>
        <w:rPr>
          <w:rStyle w:val="StrongEmphasis"/>
          <w:rFonts w:ascii="Times New Roman" w:hAnsi="Times New Roman"/>
          <w:sz w:val="24"/>
        </w:rPr>
        <w:t>Overview of the Proposal</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t> </w:t>
      </w:r>
    </w:p>
    <w:tbl>
      <w:tblPr>
        <w:tblW w:w="5000" w:type="pct"/>
        <w:jc w:val="left"/>
        <w:tblInd w:w="0" w:type="dxa"/>
        <w:tblCellMar>
          <w:top w:w="30" w:type="dxa"/>
          <w:left w:w="30" w:type="dxa"/>
          <w:bottom w:w="30" w:type="dxa"/>
          <w:right w:w="30" w:type="dxa"/>
        </w:tblCellMar>
      </w:tblPr>
      <w:tblGrid>
        <w:gridCol w:w="3097"/>
        <w:gridCol w:w="7108"/>
      </w:tblGrid>
      <w:tr>
        <w:trPr/>
        <w:tc>
          <w:tcPr>
            <w:tcW w:w="3097" w:type="dxa"/>
            <w:tcBorders/>
            <w:shd w:fill="auto" w:val="clear"/>
          </w:tcPr>
          <w:p>
            <w:pPr>
              <w:pStyle w:val="TableContents"/>
              <w:spacing w:lineRule="auto" w:line="300" w:before="0" w:after="0"/>
              <w:ind w:left="0" w:right="0" w:hanging="0"/>
              <w:jc w:val="left"/>
              <w:rPr/>
            </w:pPr>
            <w:r>
              <w:rPr/>
              <w:drawing>
                <wp:inline distT="0" distB="0" distL="0" distR="0">
                  <wp:extent cx="1876425" cy="1895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76425" cy="1895475"/>
                          </a:xfrm>
                          <a:prstGeom prst="rect">
                            <a:avLst/>
                          </a:prstGeom>
                        </pic:spPr>
                      </pic:pic>
                    </a:graphicData>
                  </a:graphic>
                </wp:inline>
              </w:drawing>
            </w:r>
          </w:p>
          <w:p>
            <w:pPr>
              <w:pStyle w:val="TableContents"/>
              <w:spacing w:lineRule="auto" w:line="300" w:before="0" w:after="0"/>
              <w:ind w:left="0" w:right="0" w:hanging="0"/>
              <w:jc w:val="left"/>
              <w:rPr/>
            </w:pPr>
            <w:r>
              <w:rPr>
                <w:rStyle w:val="StrongEmphasis"/>
                <w:rFonts w:ascii="Times New Roman" w:hAnsi="Times New Roman"/>
                <w:sz w:val="20"/>
              </w:rPr>
              <w:t>When it comes to developing human therapeutics, Cato Research relies on sound principles of science and medicine.</w:t>
            </w:r>
          </w:p>
        </w:tc>
        <w:tc>
          <w:tcPr>
            <w:tcW w:w="7108" w:type="dxa"/>
            <w:tcBorders/>
            <w:shd w:fill="auto" w:val="clear"/>
          </w:tcPr>
          <w:p>
            <w:pPr>
              <w:pStyle w:val="TableContents"/>
              <w:spacing w:lineRule="auto" w:line="300" w:before="0" w:after="0"/>
              <w:ind w:left="0" w:right="0" w:hanging="0"/>
              <w:jc w:val="left"/>
              <w:rPr/>
            </w:pPr>
            <w:r>
              <w:rPr>
                <w:rStyle w:val="StrongEmphasis"/>
                <w:rFonts w:ascii="Times New Roman" w:hAnsi="Times New Roman"/>
                <w:sz w:val="28"/>
              </w:rPr>
              <w:t>This proposal is organized into the following parts:</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Style w:val="StrongEmphasis"/>
                <w:rFonts w:ascii="Times New Roman" w:hAnsi="Times New Roman"/>
                <w:sz w:val="28"/>
              </w:rPr>
              <w:t xml:space="preserve">Part A </w:t>
            </w:r>
          </w:p>
          <w:p>
            <w:pPr>
              <w:pStyle w:val="TableContents"/>
              <w:spacing w:lineRule="auto" w:line="300" w:before="0" w:after="0"/>
              <w:ind w:left="0" w:right="0" w:hanging="0"/>
              <w:jc w:val="left"/>
              <w:rPr/>
            </w:pPr>
            <w:r>
              <w:rPr/>
              <w:t> </w:t>
            </w:r>
          </w:p>
          <w:p>
            <w:pPr>
              <w:pStyle w:val="TableContents"/>
              <w:spacing w:lineRule="auto" w:line="300" w:before="0" w:after="0"/>
              <w:ind w:left="360" w:right="0" w:hanging="360"/>
              <w:jc w:val="left"/>
              <w:rPr/>
            </w:pPr>
            <w:r>
              <w:rPr>
                <w:rFonts w:ascii="Symbol;serif" w:hAnsi="Symbol;serif"/>
                <w:sz w:val="20"/>
              </w:rPr>
              <w:t>·</w:t>
            </w:r>
            <w:bookmarkStart w:id="247" w:name="TAB21"/>
            <w:bookmarkEnd w:id="247"/>
            <w:r>
              <w:rPr>
                <w:color w:val="000000"/>
                <w:spacing w:val="180"/>
              </w:rPr>
              <w:t>  </w:t>
            </w:r>
            <w:r>
              <w:rPr>
                <w:rFonts w:ascii="Times New Roman" w:hAnsi="Times New Roman"/>
                <w:sz w:val="20"/>
              </w:rPr>
              <w:t xml:space="preserve">Introduction to Cato Research and Summary of Activities </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Style w:val="StrongEmphasis"/>
                <w:rFonts w:ascii="Times New Roman" w:hAnsi="Times New Roman"/>
                <w:sz w:val="28"/>
              </w:rPr>
              <w:t>Part B</w:t>
            </w:r>
          </w:p>
          <w:p>
            <w:pPr>
              <w:pStyle w:val="TableContents"/>
              <w:spacing w:lineRule="auto" w:line="300" w:before="0" w:after="0"/>
              <w:ind w:left="0" w:right="0" w:hanging="0"/>
              <w:jc w:val="left"/>
              <w:rPr/>
            </w:pPr>
            <w:r>
              <w:rPr/>
              <w:t> </w:t>
            </w:r>
          </w:p>
          <w:p>
            <w:pPr>
              <w:pStyle w:val="TableContents"/>
              <w:spacing w:lineRule="auto" w:line="300" w:before="0" w:after="0"/>
              <w:ind w:left="360" w:right="0" w:hanging="360"/>
              <w:jc w:val="left"/>
              <w:rPr/>
            </w:pPr>
            <w:r>
              <w:rPr>
                <w:rFonts w:ascii="Symbol;serif" w:hAnsi="Symbol;serif"/>
                <w:sz w:val="20"/>
              </w:rPr>
              <w:t>·</w:t>
            </w:r>
            <w:bookmarkStart w:id="248" w:name="TAB22"/>
            <w:bookmarkEnd w:id="248"/>
            <w:r>
              <w:rPr>
                <w:color w:val="000000"/>
                <w:spacing w:val="180"/>
              </w:rPr>
              <w:t>  </w:t>
            </w:r>
            <w:r>
              <w:rPr>
                <w:rFonts w:ascii="Times New Roman" w:hAnsi="Times New Roman"/>
                <w:sz w:val="20"/>
              </w:rPr>
              <w:t>Experience in Neurology Clinical Trials</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Style w:val="StrongEmphasis"/>
                <w:rFonts w:ascii="Times New Roman" w:hAnsi="Times New Roman"/>
                <w:sz w:val="28"/>
              </w:rPr>
              <w:t>Part C</w:t>
            </w:r>
          </w:p>
          <w:p>
            <w:pPr>
              <w:pStyle w:val="TableContents"/>
              <w:spacing w:lineRule="auto" w:line="300" w:before="0" w:after="0"/>
              <w:ind w:left="0" w:right="0" w:hanging="0"/>
              <w:jc w:val="left"/>
              <w:rPr/>
            </w:pPr>
            <w:r>
              <w:rPr/>
              <w:t> </w:t>
            </w:r>
          </w:p>
          <w:p>
            <w:pPr>
              <w:pStyle w:val="TableContents"/>
              <w:spacing w:lineRule="auto" w:line="300" w:before="0" w:after="0"/>
              <w:ind w:left="360" w:right="0" w:hanging="360"/>
              <w:jc w:val="left"/>
              <w:rPr/>
            </w:pPr>
            <w:r>
              <w:rPr>
                <w:rFonts w:ascii="Symbol;serif" w:hAnsi="Symbol;serif"/>
                <w:sz w:val="20"/>
              </w:rPr>
              <w:t>·</w:t>
            </w:r>
            <w:bookmarkStart w:id="249" w:name="TAB23"/>
            <w:bookmarkEnd w:id="249"/>
            <w:r>
              <w:rPr>
                <w:color w:val="000000"/>
                <w:spacing w:val="180"/>
              </w:rPr>
              <w:t>  </w:t>
            </w:r>
            <w:r>
              <w:rPr>
                <w:rFonts w:ascii="Times New Roman" w:hAnsi="Times New Roman"/>
                <w:sz w:val="20"/>
              </w:rPr>
              <w:t>Terms of Work</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Style w:val="StrongEmphasis"/>
                <w:rFonts w:ascii="Times New Roman" w:hAnsi="Times New Roman"/>
                <w:sz w:val="28"/>
              </w:rPr>
              <w:t>Appendix 1</w:t>
            </w:r>
          </w:p>
          <w:p>
            <w:pPr>
              <w:pStyle w:val="TableContents"/>
              <w:spacing w:lineRule="auto" w:line="300" w:before="0" w:after="0"/>
              <w:ind w:left="0" w:right="0" w:hanging="0"/>
              <w:jc w:val="left"/>
              <w:rPr/>
            </w:pPr>
            <w:r>
              <w:rPr/>
              <w:t> </w:t>
            </w:r>
          </w:p>
          <w:p>
            <w:pPr>
              <w:pStyle w:val="TableContents"/>
              <w:spacing w:lineRule="auto" w:line="300" w:before="0" w:after="0"/>
              <w:ind w:left="360" w:right="0" w:hanging="360"/>
              <w:jc w:val="left"/>
              <w:rPr/>
            </w:pPr>
            <w:r>
              <w:rPr>
                <w:rFonts w:ascii="Symbol;serif" w:hAnsi="Symbol;serif"/>
                <w:sz w:val="20"/>
              </w:rPr>
              <w:t>·</w:t>
            </w:r>
            <w:bookmarkStart w:id="250" w:name="TAB24"/>
            <w:bookmarkEnd w:id="250"/>
            <w:r>
              <w:rPr>
                <w:color w:val="000000"/>
                <w:spacing w:val="180"/>
              </w:rPr>
              <w:t>  </w:t>
            </w:r>
            <w:r>
              <w:rPr>
                <w:rFonts w:ascii="Times New Roman" w:hAnsi="Times New Roman"/>
                <w:sz w:val="20"/>
              </w:rPr>
              <w:t>Project Timelines and Project Assumptions</w:t>
            </w:r>
          </w:p>
          <w:p>
            <w:pPr>
              <w:pStyle w:val="TableContents"/>
              <w:spacing w:lineRule="auto" w:line="300" w:before="0" w:after="0"/>
              <w:ind w:left="360" w:right="0" w:hanging="360"/>
              <w:jc w:val="left"/>
              <w:rPr/>
            </w:pPr>
            <w:r>
              <w:rPr>
                <w:rFonts w:ascii="Symbol;serif" w:hAnsi="Symbol;serif"/>
                <w:sz w:val="20"/>
              </w:rPr>
              <w:t>·</w:t>
            </w:r>
            <w:bookmarkStart w:id="251" w:name="TAB25"/>
            <w:bookmarkEnd w:id="251"/>
            <w:r>
              <w:rPr>
                <w:color w:val="000000"/>
                <w:spacing w:val="180"/>
              </w:rPr>
              <w:t>  </w:t>
            </w:r>
            <w:r>
              <w:rPr>
                <w:rFonts w:ascii="Times New Roman" w:hAnsi="Times New Roman"/>
                <w:sz w:val="20"/>
              </w:rPr>
              <w:t>Summarized and Details of Costs, Estimated Pass Through Expenses, Estimated Milestone Completion Dates, and Fees Associated with Milestones</w:t>
            </w:r>
          </w:p>
          <w:p>
            <w:pPr>
              <w:pStyle w:val="TableContents"/>
              <w:spacing w:lineRule="auto" w:line="300" w:before="0" w:after="0"/>
              <w:ind w:left="0" w:right="0" w:hanging="0"/>
              <w:jc w:val="left"/>
              <w:rPr/>
            </w:pPr>
            <w:r>
              <w:rPr/>
              <w:t> </w:t>
            </w:r>
          </w:p>
          <w:p>
            <w:pPr>
              <w:pStyle w:val="TableContents"/>
              <w:spacing w:lineRule="auto" w:line="300" w:before="0" w:after="0"/>
              <w:ind w:left="540" w:right="0" w:hanging="0"/>
              <w:jc w:val="left"/>
              <w:rPr/>
            </w:pPr>
            <w:r>
              <w:rPr/>
              <w:t> </w:t>
            </w:r>
          </w:p>
          <w:p>
            <w:pPr>
              <w:pStyle w:val="TableContents"/>
              <w:spacing w:lineRule="auto" w:line="300" w:before="0" w:after="0"/>
              <w:ind w:left="540" w:right="0" w:hanging="0"/>
              <w:jc w:val="left"/>
              <w:rPr/>
            </w:pPr>
            <w:r>
              <w:rPr/>
              <w:t> </w:t>
            </w:r>
          </w:p>
          <w:p>
            <w:pPr>
              <w:pStyle w:val="TableContents"/>
              <w:spacing w:lineRule="auto" w:line="300" w:before="0" w:after="0"/>
              <w:ind w:left="540" w:right="0" w:hanging="0"/>
              <w:jc w:val="left"/>
              <w:rPr/>
            </w:pPr>
            <w:r>
              <w:rPr/>
              <w:t> </w:t>
            </w:r>
          </w:p>
          <w:p>
            <w:pPr>
              <w:pStyle w:val="TableContents"/>
              <w:spacing w:lineRule="auto" w:line="300" w:before="0" w:after="0"/>
              <w:ind w:left="540" w:right="0" w:hanging="0"/>
              <w:jc w:val="left"/>
              <w:rPr/>
            </w:pPr>
            <w:r>
              <w:rPr/>
              <w:t> </w:t>
            </w:r>
          </w:p>
          <w:p>
            <w:pPr>
              <w:pStyle w:val="TableContents"/>
              <w:spacing w:lineRule="auto" w:line="300" w:before="0" w:after="0"/>
              <w:ind w:left="0" w:right="0" w:hanging="0"/>
              <w:jc w:val="left"/>
              <w:rPr/>
            </w:pPr>
            <w:r>
              <w:rPr/>
              <w:t> </w:t>
            </w:r>
          </w:p>
        </w:tc>
      </w:tr>
      <w:tr>
        <w:trPr/>
        <w:tc>
          <w:tcPr>
            <w:tcW w:w="10205" w:type="dxa"/>
            <w:gridSpan w:val="2"/>
            <w:tcBorders/>
            <w:shd w:fill="auto" w:val="clear"/>
            <w:vAlign w:val="center"/>
          </w:tcPr>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This proposal has been prepared based on information provided by Transdel Pharmaceuticals, Inc. and Cato Research’s experience with similar projects. It is available to Transdel Pharmaceuticals for 45 days from the date of issuance. The proposal constitutes Cato Research confidential information and should not be disclosed to any third party without Cato Research’s prior written consent.</w:t>
            </w:r>
          </w:p>
        </w:tc>
      </w:tr>
    </w:tbl>
    <w:p>
      <w:pPr>
        <w:pStyle w:val="TextBody"/>
        <w:spacing w:lineRule="auto" w:line="300"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Emphasis"/>
                <w:rFonts w:ascii="Times New Roman" w:hAnsi="Times New Roman"/>
                <w:sz w:val="16"/>
              </w:rPr>
              <w:t>Strategies. Solutions. Success. ™</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Page 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52" w:name="PGBRK19"/>
      <w:bookmarkStart w:id="253" w:name="PGBRK19"/>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54" w:name="FTR19"/>
      <w:bookmarkStart w:id="255" w:name="FTR19"/>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56" w:name="GLFTR19"/>
      <w:bookmarkStart w:id="257" w:name="GLFTR19"/>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258" w:name="PN19"/>
      <w:bookmarkStart w:id="259" w:name="PN19"/>
      <w:bookmarkEnd w:id="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60" w:name="HDR19"/>
      <w:bookmarkStart w:id="261" w:name="HDR19"/>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62" w:name="GLHDR19"/>
      <w:bookmarkStart w:id="263" w:name="GLHDR19"/>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16"/>
              </w:rPr>
            </w:pPr>
            <w:r>
              <w:rPr>
                <w:rFonts w:ascii="Times New Roman" w:hAnsi="Times New Roman"/>
                <w:sz w:val="16"/>
              </w:rPr>
              <w:t>CONFIDENTIAL</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Cato Research Ltd.</w:t>
            </w:r>
          </w:p>
        </w:tc>
      </w:tr>
      <w:tr>
        <w:trPr/>
        <w:tc>
          <w:tcPr>
            <w:tcW w:w="5102" w:type="dxa"/>
            <w:tcBorders>
              <w:bottom w:val="single" w:sz="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2"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jc w:val="center"/>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double" w:sz="2" w:space="0" w:color="000000"/>
            </w:tcBorders>
            <w:shd w:fill="auto" w:val="clear"/>
          </w:tcPr>
          <w:p>
            <w:pPr>
              <w:pStyle w:val="TableContents"/>
              <w:spacing w:lineRule="auto" w:line="300" w:before="0" w:after="0"/>
              <w:ind w:left="0" w:right="0" w:hanging="0"/>
              <w:jc w:val="center"/>
              <w:rPr/>
            </w:pPr>
            <w:r>
              <w:rPr/>
              <w:t> </w:t>
            </w:r>
          </w:p>
          <w:p>
            <w:pPr>
              <w:pStyle w:val="TableContents"/>
              <w:spacing w:lineRule="auto" w:line="300" w:before="0" w:after="0"/>
              <w:ind w:left="0" w:right="0" w:hanging="0"/>
              <w:jc w:val="center"/>
              <w:rPr/>
            </w:pPr>
            <w:r>
              <w:rPr>
                <w:rStyle w:val="StrongEmphasis"/>
                <w:rFonts w:ascii="Times New Roman" w:hAnsi="Times New Roman"/>
                <w:sz w:val="20"/>
              </w:rPr>
              <w:t>Part A</w:t>
            </w:r>
          </w:p>
          <w:p>
            <w:pPr>
              <w:pStyle w:val="TableContents"/>
              <w:spacing w:lineRule="auto" w:line="300" w:before="0" w:after="0"/>
              <w:ind w:left="0" w:right="0" w:hanging="0"/>
              <w:jc w:val="center"/>
              <w:rPr/>
            </w:pPr>
            <w:r>
              <w:rPr/>
              <w:t> </w:t>
            </w:r>
          </w:p>
          <w:p>
            <w:pPr>
              <w:pStyle w:val="TableContents"/>
              <w:spacing w:lineRule="auto" w:line="300" w:before="0" w:after="0"/>
              <w:ind w:left="0" w:right="0" w:hanging="0"/>
              <w:jc w:val="center"/>
              <w:rPr/>
            </w:pPr>
            <w:r>
              <w:rPr>
                <w:rStyle w:val="StrongEmphasis"/>
                <w:rFonts w:ascii="Times New Roman" w:hAnsi="Times New Roman"/>
                <w:sz w:val="20"/>
              </w:rPr>
              <w:t xml:space="preserve">Introduction to Cato Research </w:t>
            </w:r>
          </w:p>
          <w:p>
            <w:pPr>
              <w:pStyle w:val="TableContents"/>
              <w:spacing w:lineRule="auto" w:line="300" w:before="0" w:after="0"/>
              <w:ind w:left="0" w:right="0" w:hanging="0"/>
              <w:jc w:val="center"/>
              <w:rPr/>
            </w:pPr>
            <w:r>
              <w:rPr>
                <w:rStyle w:val="StrongEmphasis"/>
                <w:rFonts w:ascii="Times New Roman" w:hAnsi="Times New Roman"/>
                <w:sz w:val="20"/>
              </w:rPr>
              <w:t xml:space="preserve">and Summary of Activities </w:t>
            </w:r>
          </w:p>
          <w:p>
            <w:pPr>
              <w:pStyle w:val="TableContents"/>
              <w:spacing w:lineRule="auto" w:line="300" w:before="0" w:after="0"/>
              <w:ind w:left="0" w:right="0" w:hanging="0"/>
              <w:jc w:val="center"/>
              <w:rPr/>
            </w:pPr>
            <w:r>
              <w:rPr/>
              <w:t> </w:t>
            </w:r>
          </w:p>
        </w:tc>
      </w:tr>
    </w:tbl>
    <w:p>
      <w:pPr>
        <w:pStyle w:val="TextBody"/>
        <w:spacing w:lineRule="auto" w:line="300" w:before="0" w:after="0"/>
        <w:ind w:left="1080" w:right="144" w:hanging="1080"/>
        <w:jc w:val="center"/>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Emphasis"/>
                <w:rFonts w:ascii="Times New Roman" w:hAnsi="Times New Roman"/>
                <w:sz w:val="16"/>
              </w:rPr>
              <w:t>Strategies. Solutions. Success. ™</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Page 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64" w:name="PGBRK20"/>
      <w:bookmarkStart w:id="265" w:name="PGBRK20"/>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66" w:name="FTR20"/>
      <w:bookmarkStart w:id="267" w:name="FTR20"/>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68" w:name="GLFTR20"/>
      <w:bookmarkStart w:id="269" w:name="GLFTR20"/>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270" w:name="PN20"/>
      <w:bookmarkStart w:id="271" w:name="PN20"/>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72" w:name="HDR20"/>
      <w:bookmarkStart w:id="273" w:name="HDR20"/>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74" w:name="GLHDR20"/>
      <w:bookmarkStart w:id="275" w:name="GLHDR20"/>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16"/>
              </w:rPr>
            </w:pPr>
            <w:r>
              <w:rPr>
                <w:rFonts w:ascii="Times New Roman" w:hAnsi="Times New Roman"/>
                <w:sz w:val="16"/>
              </w:rPr>
              <w:t>CONFIDENTIAL</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Cato Research Ltd.</w:t>
            </w:r>
          </w:p>
        </w:tc>
      </w:tr>
      <w:tr>
        <w:trPr/>
        <w:tc>
          <w:tcPr>
            <w:tcW w:w="5102" w:type="dxa"/>
            <w:tcBorders>
              <w:bottom w:val="single" w:sz="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2"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jc w:val="center"/>
        <w:rPr/>
      </w:pPr>
      <w:r>
        <w:rPr/>
        <w:t> </w:t>
      </w:r>
    </w:p>
    <w:p>
      <w:pPr>
        <w:pStyle w:val="TextBody"/>
        <w:spacing w:lineRule="auto" w:line="300" w:before="0" w:after="0"/>
        <w:ind w:left="0" w:right="0" w:hanging="0"/>
        <w:jc w:val="center"/>
        <w:rPr/>
      </w:pPr>
      <w:r>
        <w:rPr>
          <w:rStyle w:val="StrongEmphasis"/>
          <w:rFonts w:ascii="Times New Roman" w:hAnsi="Times New Roman"/>
          <w:sz w:val="24"/>
        </w:rPr>
        <w:t>Overview of Cato Research</w:t>
      </w:r>
    </w:p>
    <w:p>
      <w:pPr>
        <w:pStyle w:val="TextBody"/>
        <w:spacing w:lineRule="auto" w:line="300" w:before="0" w:after="0"/>
        <w:ind w:left="0" w:right="0" w:hanging="0"/>
        <w:jc w:val="both"/>
        <w:rPr/>
      </w:pPr>
      <w:r>
        <w:rPr/>
        <w:t> </w:t>
      </w:r>
    </w:p>
    <w:tbl>
      <w:tblPr>
        <w:tblW w:w="5000" w:type="pct"/>
        <w:jc w:val="left"/>
        <w:tblInd w:w="0" w:type="dxa"/>
        <w:tblCellMar>
          <w:top w:w="30" w:type="dxa"/>
          <w:left w:w="30" w:type="dxa"/>
          <w:bottom w:w="30" w:type="dxa"/>
          <w:right w:w="30" w:type="dxa"/>
        </w:tblCellMar>
      </w:tblPr>
      <w:tblGrid>
        <w:gridCol w:w="3060"/>
        <w:gridCol w:w="7145"/>
      </w:tblGrid>
      <w:tr>
        <w:trPr/>
        <w:tc>
          <w:tcPr>
            <w:tcW w:w="3060" w:type="dxa"/>
            <w:tcBorders/>
            <w:shd w:fill="auto" w:val="clear"/>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Style w:val="Emphasis"/>
                <w:rFonts w:ascii="Times New Roman" w:hAnsi="Times New Roman"/>
                <w:sz w:val="20"/>
              </w:rPr>
              <w:t>Cato Research specializes in complex development programs requiring innovative regulatory and clinical strategies for pharmaceutical, biotechnology, and medical device companies.</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t> </w:t>
            </w:r>
          </w:p>
        </w:tc>
        <w:tc>
          <w:tcPr>
            <w:tcW w:w="7145" w:type="dxa"/>
            <w:vMerge w:val="restart"/>
            <w:tcBorders/>
            <w:shd w:fill="auto" w:val="clear"/>
          </w:tcPr>
          <w:p>
            <w:pPr>
              <w:pStyle w:val="TableContents"/>
              <w:spacing w:lineRule="auto" w:line="300" w:before="0" w:after="0"/>
              <w:ind w:left="0" w:right="0" w:hanging="0"/>
              <w:jc w:val="left"/>
              <w:rPr/>
            </w:pPr>
            <w:r>
              <w:rPr>
                <w:rStyle w:val="StrongEmphasis"/>
                <w:rFonts w:ascii="Times New Roman" w:hAnsi="Times New Roman"/>
                <w:sz w:val="20"/>
              </w:rPr>
              <w:t>Organization</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both"/>
              <w:rPr>
                <w:rFonts w:ascii="Times New Roman" w:hAnsi="Times New Roman"/>
                <w:sz w:val="20"/>
              </w:rPr>
            </w:pPr>
            <w:r>
              <w:rPr>
                <w:rFonts w:ascii="Times New Roman" w:hAnsi="Times New Roman"/>
                <w:sz w:val="20"/>
              </w:rPr>
              <w:t>Cato Research is a full-service CRO offering integrated drug development services, including clinical trial support and regulatory and product development strategy for drugs, biologics, diagnostics, and medical devices. Our staff has medical and scientific expertise necessary for the successful conduct of development programs across many different therapeutic areas and in multiple locations worldwide. We have offices in strategic locations around the world, as indicated on the cover page. Our staff members have relevant and diverse backgrounds, including previous experience in the pharmaceutical industry, biotechnology companies, academia, as well as basic and clinical research programs.</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both"/>
              <w:rPr/>
            </w:pPr>
            <w:r>
              <w:rPr>
                <w:rStyle w:val="StrongEmphasis"/>
                <w:rFonts w:ascii="Times New Roman" w:hAnsi="Times New Roman"/>
                <w:sz w:val="20"/>
              </w:rPr>
              <w:t>Regulatory Services</w:t>
            </w:r>
          </w:p>
          <w:p>
            <w:pPr>
              <w:pStyle w:val="TableContents"/>
              <w:spacing w:lineRule="auto" w:line="300" w:before="0" w:after="0"/>
              <w:ind w:left="0" w:right="0" w:hanging="0"/>
              <w:jc w:val="both"/>
              <w:rPr/>
            </w:pPr>
            <w:r>
              <w:rPr/>
              <w:t> </w:t>
            </w:r>
          </w:p>
          <w:p>
            <w:pPr>
              <w:pStyle w:val="TableContents"/>
              <w:spacing w:lineRule="auto" w:line="300" w:before="0" w:after="0"/>
              <w:ind w:left="360" w:right="0" w:hanging="360"/>
              <w:jc w:val="left"/>
              <w:rPr/>
            </w:pPr>
            <w:r>
              <w:rPr>
                <w:rFonts w:ascii="Symbol;serif" w:hAnsi="Symbol;serif"/>
                <w:sz w:val="20"/>
              </w:rPr>
              <w:t>·</w:t>
            </w:r>
            <w:bookmarkStart w:id="276" w:name="TAB26"/>
            <w:bookmarkEnd w:id="276"/>
            <w:r>
              <w:rPr>
                <w:color w:val="000000"/>
                <w:spacing w:val="180"/>
              </w:rPr>
              <w:t>  </w:t>
            </w:r>
            <w:r>
              <w:rPr>
                <w:rFonts w:ascii="Times New Roman" w:hAnsi="Times New Roman"/>
                <w:sz w:val="20"/>
              </w:rPr>
              <w:t>Strategic consulting</w:t>
            </w:r>
          </w:p>
          <w:p>
            <w:pPr>
              <w:pStyle w:val="TableContents"/>
              <w:spacing w:lineRule="auto" w:line="300" w:before="0" w:after="0"/>
              <w:ind w:left="360" w:right="0" w:hanging="360"/>
              <w:jc w:val="left"/>
              <w:rPr/>
            </w:pPr>
            <w:r>
              <w:rPr>
                <w:rFonts w:ascii="Symbol;serif" w:hAnsi="Symbol;serif"/>
                <w:sz w:val="20"/>
              </w:rPr>
              <w:t>·</w:t>
            </w:r>
            <w:bookmarkStart w:id="277" w:name="TAB27"/>
            <w:bookmarkEnd w:id="277"/>
            <w:r>
              <w:rPr>
                <w:color w:val="000000"/>
                <w:spacing w:val="180"/>
              </w:rPr>
              <w:t>  </w:t>
            </w:r>
            <w:r>
              <w:rPr>
                <w:rFonts w:ascii="Times New Roman" w:hAnsi="Times New Roman"/>
                <w:sz w:val="20"/>
              </w:rPr>
              <w:t>Integrated development plan preparation</w:t>
            </w:r>
          </w:p>
          <w:p>
            <w:pPr>
              <w:pStyle w:val="TableContents"/>
              <w:spacing w:lineRule="auto" w:line="300" w:before="0" w:after="0"/>
              <w:ind w:left="360" w:right="0" w:hanging="360"/>
              <w:jc w:val="left"/>
              <w:rPr/>
            </w:pPr>
            <w:r>
              <w:rPr>
                <w:rFonts w:ascii="Symbol;serif" w:hAnsi="Symbol;serif"/>
                <w:sz w:val="20"/>
              </w:rPr>
              <w:t>·</w:t>
            </w:r>
            <w:bookmarkStart w:id="278" w:name="TAB28"/>
            <w:bookmarkEnd w:id="278"/>
            <w:r>
              <w:rPr>
                <w:color w:val="000000"/>
                <w:spacing w:val="180"/>
              </w:rPr>
              <w:t>  </w:t>
            </w:r>
            <w:r>
              <w:rPr>
                <w:rFonts w:ascii="Times New Roman" w:hAnsi="Times New Roman"/>
                <w:sz w:val="20"/>
              </w:rPr>
              <w:t>Pre-Investigational New Drug application (IND) and pre-investigational device exemption meeting package preparation and meeting conduct</w:t>
            </w:r>
          </w:p>
          <w:p>
            <w:pPr>
              <w:pStyle w:val="TableContents"/>
              <w:spacing w:lineRule="auto" w:line="300" w:before="0" w:after="0"/>
              <w:ind w:left="360" w:right="0" w:hanging="360"/>
              <w:jc w:val="left"/>
              <w:rPr/>
            </w:pPr>
            <w:r>
              <w:rPr>
                <w:rFonts w:ascii="Symbol;serif" w:hAnsi="Symbol;serif"/>
                <w:sz w:val="20"/>
              </w:rPr>
              <w:t>·</w:t>
            </w:r>
            <w:bookmarkStart w:id="279" w:name="TAB29"/>
            <w:bookmarkEnd w:id="279"/>
            <w:r>
              <w:rPr>
                <w:color w:val="000000"/>
                <w:spacing w:val="180"/>
              </w:rPr>
              <w:t>  </w:t>
            </w:r>
            <w:r>
              <w:rPr>
                <w:rFonts w:ascii="Times New Roman" w:hAnsi="Times New Roman"/>
                <w:sz w:val="20"/>
              </w:rPr>
              <w:t>IND preparation and submission (common technical document and electronic common technical document format)</w:t>
            </w:r>
          </w:p>
          <w:p>
            <w:pPr>
              <w:pStyle w:val="TableContents"/>
              <w:spacing w:lineRule="auto" w:line="300" w:before="0" w:after="0"/>
              <w:ind w:left="360" w:right="0" w:hanging="360"/>
              <w:jc w:val="left"/>
              <w:rPr/>
            </w:pPr>
            <w:r>
              <w:rPr>
                <w:rFonts w:ascii="Symbol;serif" w:hAnsi="Symbol;serif"/>
                <w:sz w:val="20"/>
              </w:rPr>
              <w:t>·</w:t>
            </w:r>
            <w:bookmarkStart w:id="280" w:name="TAB210"/>
            <w:bookmarkEnd w:id="280"/>
            <w:r>
              <w:rPr>
                <w:color w:val="000000"/>
                <w:spacing w:val="180"/>
              </w:rPr>
              <w:t>  </w:t>
            </w:r>
            <w:r>
              <w:rPr>
                <w:rFonts w:ascii="Times New Roman" w:hAnsi="Times New Roman"/>
                <w:sz w:val="20"/>
              </w:rPr>
              <w:t>Marketing application writing and submission</w:t>
            </w:r>
          </w:p>
          <w:p>
            <w:pPr>
              <w:pStyle w:val="TableContents"/>
              <w:spacing w:lineRule="auto" w:line="300" w:before="0" w:after="0"/>
              <w:ind w:left="360" w:right="0" w:hanging="360"/>
              <w:jc w:val="left"/>
              <w:rPr/>
            </w:pPr>
            <w:r>
              <w:rPr>
                <w:rFonts w:ascii="Symbol;serif" w:hAnsi="Symbol;serif"/>
                <w:sz w:val="20"/>
              </w:rPr>
              <w:t>·</w:t>
            </w:r>
            <w:bookmarkStart w:id="281" w:name="TAB211"/>
            <w:bookmarkEnd w:id="281"/>
            <w:r>
              <w:rPr>
                <w:color w:val="000000"/>
                <w:spacing w:val="180"/>
              </w:rPr>
              <w:t>  </w:t>
            </w:r>
            <w:r>
              <w:rPr>
                <w:rFonts w:ascii="Times New Roman" w:hAnsi="Times New Roman"/>
                <w:sz w:val="20"/>
              </w:rPr>
              <w:t>Regulatory agency interactions</w:t>
            </w:r>
          </w:p>
          <w:p>
            <w:pPr>
              <w:pStyle w:val="TableContents"/>
              <w:spacing w:lineRule="auto" w:line="300" w:before="0" w:after="0"/>
              <w:ind w:left="360" w:right="0" w:hanging="360"/>
              <w:jc w:val="left"/>
              <w:rPr/>
            </w:pPr>
            <w:r>
              <w:rPr>
                <w:rFonts w:ascii="Symbol;serif" w:hAnsi="Symbol;serif"/>
                <w:sz w:val="20"/>
              </w:rPr>
              <w:t>·</w:t>
            </w:r>
            <w:bookmarkStart w:id="282" w:name="TAB212"/>
            <w:bookmarkEnd w:id="282"/>
            <w:r>
              <w:rPr>
                <w:color w:val="000000"/>
                <w:spacing w:val="180"/>
              </w:rPr>
              <w:t>  </w:t>
            </w:r>
            <w:r>
              <w:rPr>
                <w:rFonts w:ascii="Times New Roman" w:hAnsi="Times New Roman"/>
                <w:sz w:val="20"/>
              </w:rPr>
              <w:t>Chemistry, manufacturing, and controls program management</w:t>
            </w:r>
          </w:p>
          <w:p>
            <w:pPr>
              <w:pStyle w:val="TableContents"/>
              <w:spacing w:lineRule="auto" w:line="300" w:before="0" w:after="0"/>
              <w:ind w:left="360" w:right="0" w:hanging="360"/>
              <w:jc w:val="left"/>
              <w:rPr/>
            </w:pPr>
            <w:r>
              <w:rPr>
                <w:rFonts w:ascii="Symbol;serif" w:hAnsi="Symbol;serif"/>
                <w:sz w:val="20"/>
              </w:rPr>
              <w:t>·</w:t>
            </w:r>
            <w:bookmarkStart w:id="283" w:name="TAB213"/>
            <w:bookmarkEnd w:id="283"/>
            <w:r>
              <w:rPr>
                <w:color w:val="000000"/>
                <w:spacing w:val="180"/>
              </w:rPr>
              <w:t>  </w:t>
            </w:r>
            <w:r>
              <w:rPr>
                <w:rFonts w:ascii="Times New Roman" w:hAnsi="Times New Roman"/>
                <w:sz w:val="20"/>
              </w:rPr>
              <w:t>Nonclinical program design and management</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rStyle w:val="StrongEmphasis"/>
                <w:rFonts w:ascii="Times New Roman" w:hAnsi="Times New Roman"/>
                <w:sz w:val="20"/>
              </w:rPr>
              <w:t>Clinical Trial Services</w:t>
            </w:r>
          </w:p>
          <w:p>
            <w:pPr>
              <w:pStyle w:val="TableContents"/>
              <w:spacing w:lineRule="auto" w:line="300" w:before="0" w:after="0"/>
              <w:ind w:left="0" w:right="0" w:hanging="0"/>
              <w:jc w:val="both"/>
              <w:rPr/>
            </w:pPr>
            <w:r>
              <w:rPr/>
              <w:t> </w:t>
            </w:r>
          </w:p>
          <w:p>
            <w:pPr>
              <w:pStyle w:val="TableContents"/>
              <w:spacing w:lineRule="auto" w:line="300" w:before="0" w:after="0"/>
              <w:ind w:left="360" w:right="0" w:hanging="360"/>
              <w:jc w:val="left"/>
              <w:rPr/>
            </w:pPr>
            <w:r>
              <w:rPr>
                <w:rFonts w:ascii="Symbol;serif" w:hAnsi="Symbol;serif"/>
                <w:sz w:val="20"/>
              </w:rPr>
              <w:t>·</w:t>
            </w:r>
            <w:bookmarkStart w:id="284" w:name="TAB214"/>
            <w:bookmarkEnd w:id="284"/>
            <w:r>
              <w:rPr>
                <w:color w:val="000000"/>
                <w:spacing w:val="180"/>
              </w:rPr>
              <w:t>  </w:t>
            </w:r>
            <w:r>
              <w:rPr>
                <w:rFonts w:ascii="Times New Roman" w:hAnsi="Times New Roman"/>
                <w:sz w:val="20"/>
              </w:rPr>
              <w:t>Protocol and case report form (CRF) design</w:t>
            </w:r>
          </w:p>
          <w:p>
            <w:pPr>
              <w:pStyle w:val="TableContents"/>
              <w:spacing w:lineRule="auto" w:line="300" w:before="0" w:after="0"/>
              <w:ind w:left="360" w:right="0" w:hanging="360"/>
              <w:jc w:val="left"/>
              <w:rPr/>
            </w:pPr>
            <w:r>
              <w:rPr>
                <w:rFonts w:ascii="Symbol;serif" w:hAnsi="Symbol;serif"/>
                <w:sz w:val="20"/>
              </w:rPr>
              <w:t>·</w:t>
            </w:r>
            <w:bookmarkStart w:id="285" w:name="TAB215"/>
            <w:bookmarkEnd w:id="285"/>
            <w:r>
              <w:rPr>
                <w:color w:val="000000"/>
                <w:spacing w:val="180"/>
              </w:rPr>
              <w:t>  </w:t>
            </w:r>
            <w:r>
              <w:rPr>
                <w:rFonts w:ascii="Times New Roman" w:hAnsi="Times New Roman"/>
                <w:sz w:val="20"/>
              </w:rPr>
              <w:t>Regulatory application preparation and submission</w:t>
            </w:r>
          </w:p>
          <w:p>
            <w:pPr>
              <w:pStyle w:val="TableContents"/>
              <w:spacing w:lineRule="auto" w:line="300" w:before="0" w:after="0"/>
              <w:ind w:left="360" w:right="0" w:hanging="360"/>
              <w:jc w:val="left"/>
              <w:rPr/>
            </w:pPr>
            <w:r>
              <w:rPr>
                <w:rFonts w:ascii="Symbol;serif" w:hAnsi="Symbol;serif"/>
                <w:sz w:val="20"/>
              </w:rPr>
              <w:t>·</w:t>
            </w:r>
            <w:bookmarkStart w:id="286" w:name="TAB216"/>
            <w:bookmarkEnd w:id="286"/>
            <w:r>
              <w:rPr>
                <w:color w:val="000000"/>
                <w:spacing w:val="180"/>
              </w:rPr>
              <w:t>  </w:t>
            </w:r>
            <w:r>
              <w:rPr>
                <w:rFonts w:ascii="Times New Roman" w:hAnsi="Times New Roman"/>
                <w:sz w:val="20"/>
              </w:rPr>
              <w:t>Clinical monitoring and management</w:t>
            </w:r>
          </w:p>
          <w:p>
            <w:pPr>
              <w:pStyle w:val="TableContents"/>
              <w:spacing w:lineRule="auto" w:line="300" w:before="0" w:after="0"/>
              <w:ind w:left="360" w:right="0" w:hanging="360"/>
              <w:jc w:val="left"/>
              <w:rPr/>
            </w:pPr>
            <w:r>
              <w:rPr>
                <w:rFonts w:ascii="Symbol;serif" w:hAnsi="Symbol;serif"/>
                <w:sz w:val="20"/>
              </w:rPr>
              <w:t>·</w:t>
            </w:r>
            <w:bookmarkStart w:id="287" w:name="TAB217"/>
            <w:bookmarkEnd w:id="287"/>
            <w:r>
              <w:rPr>
                <w:color w:val="000000"/>
                <w:spacing w:val="180"/>
              </w:rPr>
              <w:t>  </w:t>
            </w:r>
            <w:r>
              <w:rPr>
                <w:rFonts w:ascii="Times New Roman" w:hAnsi="Times New Roman"/>
                <w:sz w:val="20"/>
              </w:rPr>
              <w:t>Medical monitoring and pharmacovigilance</w:t>
            </w:r>
          </w:p>
          <w:p>
            <w:pPr>
              <w:pStyle w:val="TableContents"/>
              <w:spacing w:lineRule="auto" w:line="300" w:before="0" w:after="0"/>
              <w:ind w:left="360" w:right="0" w:hanging="360"/>
              <w:jc w:val="left"/>
              <w:rPr/>
            </w:pPr>
            <w:r>
              <w:rPr>
                <w:rFonts w:ascii="Symbol;serif" w:hAnsi="Symbol;serif"/>
                <w:sz w:val="20"/>
              </w:rPr>
              <w:t>·</w:t>
            </w:r>
            <w:bookmarkStart w:id="288" w:name="TAB218"/>
            <w:bookmarkEnd w:id="288"/>
            <w:r>
              <w:rPr>
                <w:color w:val="000000"/>
                <w:spacing w:val="180"/>
              </w:rPr>
              <w:t>  </w:t>
            </w:r>
            <w:r>
              <w:rPr>
                <w:rFonts w:ascii="Times New Roman" w:hAnsi="Times New Roman"/>
                <w:sz w:val="20"/>
              </w:rPr>
              <w:t>Data management, including electronic data capture (EDC)</w:t>
            </w:r>
          </w:p>
          <w:p>
            <w:pPr>
              <w:pStyle w:val="TableContents"/>
              <w:spacing w:lineRule="auto" w:line="300" w:before="0" w:after="0"/>
              <w:ind w:left="360" w:right="0" w:hanging="360"/>
              <w:jc w:val="left"/>
              <w:rPr/>
            </w:pPr>
            <w:r>
              <w:rPr>
                <w:rFonts w:ascii="Symbol;serif" w:hAnsi="Symbol;serif"/>
                <w:sz w:val="20"/>
              </w:rPr>
              <w:t>·</w:t>
            </w:r>
            <w:bookmarkStart w:id="289" w:name="TAB219"/>
            <w:bookmarkEnd w:id="289"/>
            <w:r>
              <w:rPr>
                <w:color w:val="000000"/>
                <w:spacing w:val="180"/>
              </w:rPr>
              <w:t>  </w:t>
            </w:r>
            <w:r>
              <w:rPr>
                <w:rFonts w:ascii="Times New Roman" w:hAnsi="Times New Roman"/>
                <w:sz w:val="20"/>
              </w:rPr>
              <w:t>Statistical analysis and clinical study report writing</w:t>
            </w:r>
          </w:p>
          <w:p>
            <w:pPr>
              <w:pStyle w:val="TableContents"/>
              <w:spacing w:lineRule="auto" w:line="300" w:before="0" w:after="0"/>
              <w:ind w:left="360" w:right="0" w:hanging="360"/>
              <w:jc w:val="left"/>
              <w:rPr/>
            </w:pPr>
            <w:r>
              <w:rPr>
                <w:rFonts w:ascii="Symbol;serif" w:hAnsi="Symbol;serif"/>
                <w:sz w:val="20"/>
              </w:rPr>
              <w:t>·</w:t>
            </w:r>
            <w:bookmarkStart w:id="290" w:name="TAB220"/>
            <w:bookmarkEnd w:id="290"/>
            <w:r>
              <w:rPr>
                <w:color w:val="000000"/>
                <w:spacing w:val="180"/>
              </w:rPr>
              <w:t>  </w:t>
            </w:r>
            <w:r>
              <w:rPr>
                <w:rFonts w:ascii="Times New Roman" w:hAnsi="Times New Roman"/>
                <w:sz w:val="20"/>
              </w:rPr>
              <w:t>Project management</w:t>
            </w:r>
          </w:p>
          <w:p>
            <w:pPr>
              <w:pStyle w:val="TableContents"/>
              <w:spacing w:lineRule="auto" w:line="300" w:before="0" w:after="0"/>
              <w:ind w:left="0" w:right="0" w:hanging="0"/>
              <w:jc w:val="both"/>
              <w:rPr/>
            </w:pPr>
            <w:r>
              <w:rPr/>
              <w:t> </w:t>
            </w:r>
          </w:p>
          <w:p>
            <w:pPr>
              <w:pStyle w:val="TableContents"/>
              <w:spacing w:lineRule="auto" w:line="300" w:before="0" w:after="0"/>
              <w:ind w:left="0" w:right="0" w:hanging="0"/>
              <w:jc w:val="both"/>
              <w:rPr/>
            </w:pPr>
            <w:r>
              <w:rPr>
                <w:rStyle w:val="StrongEmphasis"/>
                <w:rFonts w:ascii="Times New Roman" w:hAnsi="Times New Roman"/>
                <w:sz w:val="20"/>
              </w:rPr>
              <w:t xml:space="preserve">Primary Therapeutic Areas </w:t>
            </w:r>
          </w:p>
          <w:p>
            <w:pPr>
              <w:pStyle w:val="TableContents"/>
              <w:spacing w:lineRule="auto" w:line="300" w:before="0" w:after="0"/>
              <w:ind w:left="0" w:right="0" w:hanging="0"/>
              <w:jc w:val="both"/>
              <w:rPr/>
            </w:pPr>
            <w:r>
              <w:rPr/>
              <w:t> </w:t>
            </w:r>
          </w:p>
          <w:p>
            <w:pPr>
              <w:pStyle w:val="TableContents"/>
              <w:spacing w:lineRule="auto" w:line="300" w:before="0" w:after="0"/>
              <w:ind w:left="360" w:right="0" w:hanging="360"/>
              <w:jc w:val="left"/>
              <w:rPr/>
            </w:pPr>
            <w:r>
              <w:rPr>
                <w:rFonts w:ascii="Symbol;serif" w:hAnsi="Symbol;serif"/>
                <w:sz w:val="20"/>
              </w:rPr>
              <w:t>·</w:t>
            </w:r>
            <w:bookmarkStart w:id="291" w:name="TAB221"/>
            <w:bookmarkEnd w:id="291"/>
            <w:r>
              <w:rPr>
                <w:color w:val="000000"/>
                <w:spacing w:val="180"/>
              </w:rPr>
              <w:t>  </w:t>
            </w:r>
            <w:r>
              <w:rPr>
                <w:rFonts w:ascii="Times New Roman" w:hAnsi="Times New Roman"/>
                <w:sz w:val="20"/>
              </w:rPr>
              <w:t>Neurology</w:t>
            </w:r>
          </w:p>
          <w:p>
            <w:pPr>
              <w:pStyle w:val="TableContents"/>
              <w:spacing w:lineRule="auto" w:line="300" w:before="0" w:after="0"/>
              <w:ind w:left="360" w:right="0" w:hanging="360"/>
              <w:jc w:val="left"/>
              <w:rPr/>
            </w:pPr>
            <w:r>
              <w:rPr>
                <w:rFonts w:ascii="Symbol;serif" w:hAnsi="Symbol;serif"/>
                <w:sz w:val="20"/>
              </w:rPr>
              <w:t>·</w:t>
            </w:r>
            <w:bookmarkStart w:id="292" w:name="TAB222"/>
            <w:bookmarkEnd w:id="292"/>
            <w:r>
              <w:rPr>
                <w:color w:val="000000"/>
                <w:spacing w:val="180"/>
              </w:rPr>
              <w:t>  </w:t>
            </w:r>
            <w:r>
              <w:rPr>
                <w:rFonts w:ascii="Times New Roman" w:hAnsi="Times New Roman"/>
                <w:sz w:val="20"/>
              </w:rPr>
              <w:t>Oncology</w:t>
            </w:r>
          </w:p>
          <w:p>
            <w:pPr>
              <w:pStyle w:val="TableContents"/>
              <w:spacing w:lineRule="auto" w:line="300" w:before="0" w:after="0"/>
              <w:ind w:left="360" w:right="0" w:hanging="360"/>
              <w:jc w:val="left"/>
              <w:rPr/>
            </w:pPr>
            <w:r>
              <w:rPr>
                <w:rFonts w:ascii="Symbol;serif" w:hAnsi="Symbol;serif"/>
                <w:sz w:val="20"/>
              </w:rPr>
              <w:t>·</w:t>
            </w:r>
            <w:bookmarkStart w:id="293" w:name="TAB223"/>
            <w:bookmarkEnd w:id="293"/>
            <w:r>
              <w:rPr>
                <w:color w:val="000000"/>
                <w:spacing w:val="180"/>
              </w:rPr>
              <w:t>  </w:t>
            </w:r>
            <w:r>
              <w:rPr>
                <w:rFonts w:ascii="Times New Roman" w:hAnsi="Times New Roman"/>
                <w:sz w:val="20"/>
              </w:rPr>
              <w:t>Cardiology</w:t>
            </w:r>
          </w:p>
        </w:tc>
      </w:tr>
      <w:tr>
        <w:trPr/>
        <w:tc>
          <w:tcPr>
            <w:tcW w:w="3060" w:type="dxa"/>
            <w:tcBorders/>
            <w:shd w:fill="auto" w:val="clear"/>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Style w:val="Emphasis"/>
                <w:rFonts w:ascii="Times New Roman" w:hAnsi="Times New Roman"/>
                <w:sz w:val="20"/>
              </w:rPr>
              <w:t>Founded in 1988, Cato Research has earned a reputation for speed and efficiency without sacrificing quality.</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t> </w:t>
            </w:r>
          </w:p>
        </w:tc>
        <w:tc>
          <w:tcPr>
            <w:tcW w:w="7145" w:type="dxa"/>
            <w:vMerge w:val="continue"/>
            <w:tcBorders/>
            <w:shd w:fill="auto" w:val="clear"/>
          </w:tcPr>
          <w:p>
            <w:pPr>
              <w:pStyle w:val="Normal"/>
              <w:rPr/>
            </w:pPr>
            <w:r>
              <w:rPr/>
            </w:r>
          </w:p>
        </w:tc>
      </w:tr>
      <w:tr>
        <w:trPr/>
        <w:tc>
          <w:tcPr>
            <w:tcW w:w="3060" w:type="dxa"/>
            <w:tcBorders/>
            <w:shd w:fill="auto" w:val="clear"/>
          </w:tcPr>
          <w:p>
            <w:pPr>
              <w:pStyle w:val="TableContents"/>
              <w:spacing w:lineRule="auto" w:line="300" w:before="0" w:after="0"/>
              <w:ind w:left="0" w:right="0" w:hanging="0"/>
              <w:jc w:val="left"/>
              <w:rPr/>
            </w:pPr>
            <w:r>
              <w:rPr/>
              <w:t> </w:t>
            </w:r>
          </w:p>
          <w:p>
            <w:pPr>
              <w:pStyle w:val="TableContents"/>
              <w:spacing w:lineRule="auto" w:line="300" w:before="0" w:after="0"/>
              <w:ind w:left="0" w:right="0" w:hanging="0"/>
              <w:jc w:val="left"/>
              <w:rPr/>
            </w:pPr>
            <w:r>
              <w:rPr>
                <w:rStyle w:val="Emphasis"/>
                <w:rFonts w:ascii="Times New Roman" w:hAnsi="Times New Roman"/>
                <w:sz w:val="20"/>
              </w:rPr>
              <w:t>Through strategic growth, Cato Research is positioned as a midsize CRO in key North American and international markets. Focusing on our core expertise in regulatory strategy, project management, and clinical trial management, we offer integrated development services and solutions from discovery to postmarketing.</w:t>
            </w:r>
          </w:p>
        </w:tc>
        <w:tc>
          <w:tcPr>
            <w:tcW w:w="7145" w:type="dxa"/>
            <w:vMerge w:val="continue"/>
            <w:tcBorders/>
            <w:shd w:fill="auto" w:val="clear"/>
          </w:tcPr>
          <w:p>
            <w:pPr>
              <w:pStyle w:val="Normal"/>
              <w:rPr/>
            </w:pPr>
            <w:r>
              <w:rPr/>
            </w:r>
          </w:p>
        </w:tc>
      </w:tr>
      <w:tr>
        <w:trPr/>
        <w:tc>
          <w:tcPr>
            <w:tcW w:w="3060" w:type="dxa"/>
            <w:tcBorders/>
            <w:shd w:fill="auto" w:val="clear"/>
            <w:vAlign w:val="center"/>
          </w:tcPr>
          <w:p>
            <w:pPr>
              <w:pStyle w:val="TableContents"/>
              <w:spacing w:lineRule="auto" w:line="300" w:before="0" w:after="0"/>
              <w:ind w:left="0" w:right="0" w:hanging="0"/>
              <w:jc w:val="left"/>
              <w:rPr/>
            </w:pPr>
            <w:r>
              <w:rPr>
                <w:rStyle w:val="Emphasis"/>
                <w:rFonts w:ascii="Times New Roman" w:hAnsi="Times New Roman"/>
                <w:sz w:val="20"/>
              </w:rPr>
              <w:t>Our experienced, multidisciplinary project teams take pride in their work and use established project management processes to provide flexible, responsive, and personalized services in collaboration with our sponsors.</w:t>
            </w:r>
          </w:p>
          <w:p>
            <w:pPr>
              <w:pStyle w:val="TableContents"/>
              <w:spacing w:lineRule="auto" w:line="300" w:before="0" w:after="0"/>
              <w:ind w:left="0" w:right="0" w:hanging="0"/>
              <w:jc w:val="left"/>
              <w:rPr/>
            </w:pPr>
            <w:r>
              <w:rPr/>
              <w:t> </w:t>
            </w:r>
          </w:p>
        </w:tc>
        <w:tc>
          <w:tcPr>
            <w:tcW w:w="7145" w:type="dxa"/>
            <w:vMerge w:val="continue"/>
            <w:tcBorders/>
            <w:shd w:fill="auto" w:val="clear"/>
          </w:tcPr>
          <w:p>
            <w:pPr>
              <w:pStyle w:val="Normal"/>
              <w:rPr/>
            </w:pPr>
            <w:r>
              <w:rPr/>
            </w:r>
          </w:p>
        </w:tc>
      </w:tr>
    </w:tbl>
    <w:p>
      <w:pPr>
        <w:pStyle w:val="TextBody"/>
        <w:spacing w:lineRule="auto" w:line="300"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Emphasis"/>
                <w:rFonts w:ascii="Times New Roman" w:hAnsi="Times New Roman"/>
                <w:sz w:val="16"/>
              </w:rPr>
              <w:t>Strategies. Solutions. Success. ™</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Page 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94" w:name="PGBRK21"/>
      <w:bookmarkStart w:id="295" w:name="PGBRK21"/>
      <w:bookmarkEnd w:id="2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96" w:name="FTR21"/>
      <w:bookmarkStart w:id="297" w:name="FTR21"/>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98" w:name="GLFTR21"/>
      <w:bookmarkStart w:id="299" w:name="GLFTR21"/>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300" w:name="PN21"/>
      <w:bookmarkStart w:id="301" w:name="PN21"/>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02" w:name="HDR21"/>
      <w:bookmarkStart w:id="303" w:name="HDR21"/>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04" w:name="GLHDR21"/>
      <w:bookmarkStart w:id="305" w:name="GLHDR21"/>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16"/>
              </w:rPr>
            </w:pPr>
            <w:r>
              <w:rPr>
                <w:rFonts w:ascii="Times New Roman" w:hAnsi="Times New Roman"/>
                <w:sz w:val="16"/>
              </w:rPr>
              <w:t>CONFIDENTIAL</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Cato Research Ltd.</w:t>
            </w:r>
          </w:p>
        </w:tc>
      </w:tr>
      <w:tr>
        <w:trPr/>
        <w:tc>
          <w:tcPr>
            <w:tcW w:w="5102" w:type="dxa"/>
            <w:tcBorders>
              <w:bottom w:val="single" w:sz="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2"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jc w:val="center"/>
        <w:rPr/>
      </w:pPr>
      <w:r>
        <w:rPr/>
        <w:t> </w:t>
      </w:r>
    </w:p>
    <w:p>
      <w:pPr>
        <w:pStyle w:val="TextBody"/>
        <w:spacing w:lineRule="auto" w:line="300" w:before="0" w:after="0"/>
        <w:ind w:left="0" w:right="144" w:hanging="0"/>
        <w:jc w:val="center"/>
        <w:rPr/>
      </w:pPr>
      <w:r>
        <w:rPr>
          <w:rStyle w:val="StrongEmphasis"/>
          <w:rFonts w:ascii="Times New Roman" w:hAnsi="Times New Roman"/>
          <w:sz w:val="24"/>
        </w:rPr>
        <w:t>Cato Research’s Clinical Strategies and Solutions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Cato Research appreciates the opportunity to provide a proposal for services to support Transdel’s protocol entitled, “A Randomized, Multicenter, Double-Blind, Placebo-Controlled, Parallel-Group, Phase 3 Study to Assess the Efficacy and Safety of Ketotransdel™ (Ketoprofen Topical Cream 10%) in the Treatment of Mild to Moderate Acute Soft Tissue Injury”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Cato Research understands that Transdel is interested in the following services: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Clinical Trial Preparation</w:t>
      </w:r>
      <w:r>
        <w:rPr>
          <w:rFonts w:ascii="Times New Roman" w:hAnsi="Times New Roman"/>
          <w:sz w:val="20"/>
        </w:rPr>
        <w:t>: including preparation of trial documents and monitoring plan, project-related meetings, and project-specific training</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Clinical Trial Conduct</w:t>
      </w:r>
      <w:r>
        <w:rPr>
          <w:rFonts w:ascii="Times New Roman" w:hAnsi="Times New Roman"/>
          <w:sz w:val="20"/>
        </w:rPr>
        <w:t>: including all site visits, medical monitoring, and medical coding</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Pharmacovigilance</w:t>
      </w:r>
      <w:r>
        <w:rPr>
          <w:rFonts w:ascii="Times New Roman" w:hAnsi="Times New Roman"/>
          <w:sz w:val="20"/>
        </w:rPr>
        <w:t>: including setup of an Argus Safety database and processing of all serious adverse events (SAEs) during the study</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Data Management (etrials</w:t>
      </w:r>
      <w:r>
        <w:rPr>
          <w:rStyle w:val="StrongEmphasis"/>
          <w:rFonts w:ascii="Times New Roman" w:hAnsi="Times New Roman"/>
          <w:position w:val="5"/>
          <w:sz w:val="13"/>
          <w:sz w:val="16"/>
        </w:rPr>
        <w:t>®</w:t>
      </w:r>
      <w:r>
        <w:rPr>
          <w:rStyle w:val="StrongEmphasis"/>
          <w:rFonts w:ascii="Times New Roman" w:hAnsi="Times New Roman"/>
          <w:sz w:val="20"/>
        </w:rPr>
        <w:t>)</w:t>
      </w:r>
      <w:r>
        <w:rPr>
          <w:rFonts w:ascii="Times New Roman" w:hAnsi="Times New Roman"/>
          <w:sz w:val="20"/>
        </w:rPr>
        <w:t xml:space="preserve">: including project initiation, development of an electronic CRF (eCRF), edit checks, and server implementation, investigator training, data project management, data archiving, and study closeout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Statistics</w:t>
      </w:r>
      <w:r>
        <w:rPr>
          <w:rFonts w:ascii="Times New Roman" w:hAnsi="Times New Roman"/>
          <w:sz w:val="20"/>
        </w:rPr>
        <w:t>: including production of final data displays, listings, summary tables, and figures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Clinical Study Reports</w:t>
      </w:r>
      <w:r>
        <w:rPr>
          <w:rFonts w:ascii="Times New Roman" w:hAnsi="Times New Roman"/>
          <w:sz w:val="20"/>
        </w:rPr>
        <w:t>: including preparation of the clinical study report and appendices in electronic format</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Regulatory</w:t>
      </w:r>
      <w:r>
        <w:rPr>
          <w:rFonts w:ascii="Times New Roman" w:hAnsi="Times New Roman"/>
          <w:sz w:val="20"/>
        </w:rPr>
        <w:t>: including ongoing tracking and management of study-related regulatory documentation</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Project Management</w:t>
      </w:r>
      <w:r>
        <w:rPr>
          <w:rFonts w:ascii="Times New Roman" w:hAnsi="Times New Roman"/>
          <w:sz w:val="20"/>
        </w:rPr>
        <w:t>: including preparation of project work plans, timelines, budgets and study reports; internal team meetings to monitor project progression; creation of tracking reports; and document management of files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Sponsor Interactions</w:t>
      </w:r>
      <w:r>
        <w:rPr>
          <w:rFonts w:ascii="Times New Roman" w:hAnsi="Times New Roman"/>
          <w:sz w:val="20"/>
        </w:rPr>
        <w:t>: including routine monthly conference calls to discuss project status and development issues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A comprehensive, itemized list of all proposed activities and their costs is provided in Part C of this proposal. </w:t>
      </w:r>
    </w:p>
    <w:p>
      <w:pPr>
        <w:pStyle w:val="TextBody"/>
        <w:spacing w:lineRule="auto" w:line="300"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Emphasis"/>
                <w:rFonts w:ascii="Times New Roman" w:hAnsi="Times New Roman"/>
                <w:sz w:val="16"/>
              </w:rPr>
              <w:t>Strategies. Solutions. Success. ™</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Page 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306" w:name="PGBRK22"/>
      <w:bookmarkStart w:id="307" w:name="PGBRK22"/>
      <w:bookmarkEnd w:id="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08" w:name="FTR22"/>
      <w:bookmarkStart w:id="309" w:name="FTR22"/>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10" w:name="GLFTR22"/>
      <w:bookmarkStart w:id="311" w:name="GLFTR22"/>
      <w:bookmarkEnd w:id="31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312" w:name="PN22"/>
      <w:bookmarkStart w:id="313" w:name="PN22"/>
      <w:bookmarkEnd w:id="3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14" w:name="HDR22"/>
      <w:bookmarkStart w:id="315" w:name="HDR22"/>
      <w:bookmarkEnd w:id="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16" w:name="GLHDR22"/>
      <w:bookmarkStart w:id="317" w:name="GLHDR22"/>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16"/>
              </w:rPr>
            </w:pPr>
            <w:r>
              <w:rPr>
                <w:rFonts w:ascii="Times New Roman" w:hAnsi="Times New Roman"/>
                <w:sz w:val="16"/>
              </w:rPr>
              <w:t>CONFIDENTIAL</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Cato Research Ltd.</w:t>
            </w:r>
          </w:p>
        </w:tc>
      </w:tr>
      <w:tr>
        <w:trPr/>
        <w:tc>
          <w:tcPr>
            <w:tcW w:w="5102" w:type="dxa"/>
            <w:tcBorders>
              <w:bottom w:val="single" w:sz="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2"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Cato Research is an experienced provider of high-quality clinical trial services: from protocol development and site selection to clinical monitoring, pharmacovigilance services and biostatistical analysis. Cato Research can support the timely and cost-effective development of Ketotransdel. As a midsize CRO, we are able to offer our sponsors personal attention as well as access to the expertise of our senior management.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have highlighted a few areas here that embody our unique perspective on management of clinical studies.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Project Management</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We are a matrix organization that draws members from various operational groups to staff a project team with specific emphasis on matching project needs with expertise. We believe it is important for our project managers to have a comprehensive understanding of the clinical trial environment. As such, many of our project managers are Ph.D.-level scientists, have obtained certified clinical research professionals (C.C.R.P.) certifications, are regulatory affairs certified (R.A.C.), or are certified project management professionals (P.M.P.). In addition to having project management responsibilities, our project managers can also author and review protocols, development plans, and regulatory documentation. It is our experience that this advanced training and comprehensive knowledge of the dynamic development environment give Cato Research project teams the ability to maximize creative strategies and solutions while at the same time, remaining time- and cost-efficient.</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Our project teams are led by experienced project managers, overseen by a program director, a senior staff member who provides expertise and guidance as necessary, and supported by a project coordinator, who handles the day-to-day tracking and logistical activities.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Cato Research believes that effective project management begins at project initiation. We recommend development of a detailed project plan, including a communications plan, in conjunction with our sponsors to set expectations, establish communication flow, and outline project tracking methods. We also recommend holding a face-to-face kick-off meeting to define the project scope, priorities, and timelines.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Clinical Management</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Cato Research offers experienced monitoring teams with strong health care backgrounds. Many of our clinical research associates (CRAs) and clinical study managers (CSMs) are nurses, have earned C.C.R.A. accreditation, or have earned EDC certification. We have strong internal continuing education programs for our clinical staff, including a yearly clinical conference, monthly trainings on selected key topics, and ongoing study groups.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For our teams to function in the most efficient and cost-effective manner, we have divided some tasks traditionally seen as a CRA role into an in-house CSM role with the following responsibilities:</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18" w:name="hangingindent"/>
      <w:bookmarkStart w:id="319" w:name="hangingindent"/>
      <w:bookmarkEnd w:id="319"/>
    </w:p>
    <w:tbl>
      <w:tblPr>
        <w:tblW w:w="5000" w:type="pct"/>
        <w:jc w:val="center"/>
        <w:tblInd w:w="0" w:type="dxa"/>
        <w:tblCellMar>
          <w:top w:w="0" w:type="dxa"/>
          <w:left w:w="0" w:type="dxa"/>
          <w:bottom w:w="0" w:type="dxa"/>
          <w:right w:w="0" w:type="dxa"/>
        </w:tblCellMar>
      </w:tblPr>
      <w:tblGrid>
        <w:gridCol w:w="24"/>
        <w:gridCol w:w="104"/>
        <w:gridCol w:w="10077"/>
      </w:tblGrid>
      <w:tr>
        <w:trPr/>
        <w:tc>
          <w:tcPr>
            <w:tcW w:w="24" w:type="dxa"/>
            <w:tcBorders/>
            <w:shd w:fill="auto" w:val="clear"/>
          </w:tcPr>
          <w:p>
            <w:pPr>
              <w:pStyle w:val="TableContents"/>
              <w:spacing w:before="0" w:after="283"/>
              <w:rPr>
                <w:sz w:val="4"/>
                <w:szCs w:val="4"/>
              </w:rPr>
            </w:pPr>
            <w:r>
              <w:rPr>
                <w:sz w:val="4"/>
                <w:szCs w:val="4"/>
              </w:rPr>
            </w:r>
          </w:p>
        </w:tc>
        <w:tc>
          <w:tcPr>
            <w:tcW w:w="104" w:type="dxa"/>
            <w:tcBorders/>
            <w:shd w:fill="auto" w:val="clear"/>
          </w:tcPr>
          <w:p>
            <w:pPr>
              <w:pStyle w:val="TableContents"/>
              <w:spacing w:before="0" w:after="283"/>
              <w:jc w:val="left"/>
              <w:rPr>
                <w:rFonts w:ascii="Symbol;serif" w:hAnsi="Symbol;serif"/>
                <w:sz w:val="20"/>
              </w:rPr>
            </w:pPr>
            <w:r>
              <w:rPr>
                <w:rFonts w:ascii="Symbol;serif" w:hAnsi="Symbol;serif"/>
                <w:sz w:val="20"/>
              </w:rPr>
              <w:t>·</w:t>
            </w:r>
          </w:p>
        </w:tc>
        <w:tc>
          <w:tcPr>
            <w:tcW w:w="100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Conceptualizing and evaluating study strategies with input from appropriate Cato Research project team members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20" w:name="hangingindent1"/>
      <w:bookmarkStart w:id="321" w:name="hangingindent1"/>
      <w:bookmarkEnd w:id="321"/>
    </w:p>
    <w:tbl>
      <w:tblPr>
        <w:tblW w:w="5000" w:type="pct"/>
        <w:jc w:val="center"/>
        <w:tblInd w:w="0" w:type="dxa"/>
        <w:tblCellMar>
          <w:top w:w="0" w:type="dxa"/>
          <w:left w:w="0" w:type="dxa"/>
          <w:bottom w:w="0" w:type="dxa"/>
          <w:right w:w="0" w:type="dxa"/>
        </w:tblCellMar>
      </w:tblPr>
      <w:tblGrid>
        <w:gridCol w:w="26"/>
        <w:gridCol w:w="111"/>
        <w:gridCol w:w="10068"/>
      </w:tblGrid>
      <w:tr>
        <w:trPr/>
        <w:tc>
          <w:tcPr>
            <w:tcW w:w="26" w:type="dxa"/>
            <w:tcBorders/>
            <w:shd w:fill="auto" w:val="clear"/>
          </w:tcPr>
          <w:p>
            <w:pPr>
              <w:pStyle w:val="TableContents"/>
              <w:spacing w:before="0" w:after="283"/>
              <w:rPr>
                <w:sz w:val="4"/>
                <w:szCs w:val="4"/>
              </w:rPr>
            </w:pPr>
            <w:r>
              <w:rPr>
                <w:sz w:val="4"/>
                <w:szCs w:val="4"/>
              </w:rPr>
            </w:r>
          </w:p>
        </w:tc>
        <w:tc>
          <w:tcPr>
            <w:tcW w:w="111" w:type="dxa"/>
            <w:tcBorders/>
            <w:shd w:fill="auto" w:val="clear"/>
          </w:tcPr>
          <w:p>
            <w:pPr>
              <w:pStyle w:val="TableContents"/>
              <w:spacing w:before="0" w:after="283"/>
              <w:jc w:val="left"/>
              <w:rPr>
                <w:rFonts w:ascii="Symbol;serif" w:hAnsi="Symbol;serif"/>
                <w:sz w:val="20"/>
              </w:rPr>
            </w:pPr>
            <w:r>
              <w:rPr>
                <w:rFonts w:ascii="Symbol;serif" w:hAnsi="Symbol;serif"/>
                <w:sz w:val="20"/>
              </w:rPr>
              <w:t>·</w:t>
            </w:r>
          </w:p>
        </w:tc>
        <w:tc>
          <w:tcPr>
            <w:tcW w:w="1006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Reviewing the progress of the Cato Research project team and resolving technical and interpersonal issues</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22" w:name="hangingindent2"/>
      <w:bookmarkStart w:id="323" w:name="hangingindent2"/>
      <w:bookmarkEnd w:id="323"/>
    </w:p>
    <w:tbl>
      <w:tblPr>
        <w:tblW w:w="5000" w:type="pct"/>
        <w:jc w:val="center"/>
        <w:tblInd w:w="0" w:type="dxa"/>
        <w:tblCellMar>
          <w:top w:w="0" w:type="dxa"/>
          <w:left w:w="0" w:type="dxa"/>
          <w:bottom w:w="0" w:type="dxa"/>
          <w:right w:w="0" w:type="dxa"/>
        </w:tblCellMar>
      </w:tblPr>
      <w:tblGrid>
        <w:gridCol w:w="55"/>
        <w:gridCol w:w="232"/>
        <w:gridCol w:w="9918"/>
      </w:tblGrid>
      <w:tr>
        <w:trPr/>
        <w:tc>
          <w:tcPr>
            <w:tcW w:w="55" w:type="dxa"/>
            <w:tcBorders/>
            <w:shd w:fill="auto" w:val="clear"/>
          </w:tcPr>
          <w:p>
            <w:pPr>
              <w:pStyle w:val="TableContents"/>
              <w:spacing w:before="0" w:after="283"/>
              <w:rPr>
                <w:sz w:val="4"/>
                <w:szCs w:val="4"/>
              </w:rPr>
            </w:pPr>
            <w:r>
              <w:rPr>
                <w:sz w:val="4"/>
                <w:szCs w:val="4"/>
              </w:rPr>
            </w:r>
          </w:p>
        </w:tc>
        <w:tc>
          <w:tcPr>
            <w:tcW w:w="232" w:type="dxa"/>
            <w:tcBorders/>
            <w:shd w:fill="auto" w:val="clear"/>
          </w:tcPr>
          <w:p>
            <w:pPr>
              <w:pStyle w:val="TableContents"/>
              <w:spacing w:before="0" w:after="283"/>
              <w:jc w:val="left"/>
              <w:rPr>
                <w:rFonts w:ascii="Symbol;serif" w:hAnsi="Symbol;serif"/>
                <w:sz w:val="20"/>
              </w:rPr>
            </w:pPr>
            <w:r>
              <w:rPr>
                <w:rFonts w:ascii="Symbol;serif" w:hAnsi="Symbol;serif"/>
                <w:sz w:val="20"/>
              </w:rPr>
              <w:t>·</w:t>
            </w:r>
          </w:p>
        </w:tc>
        <w:tc>
          <w:tcPr>
            <w:tcW w:w="991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Providing technical and administrative leadership</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24" w:name="hangingindent3"/>
      <w:bookmarkStart w:id="325" w:name="hangingindent3"/>
      <w:bookmarkEnd w:id="325"/>
    </w:p>
    <w:tbl>
      <w:tblPr>
        <w:tblW w:w="5000" w:type="pct"/>
        <w:jc w:val="center"/>
        <w:tblInd w:w="0" w:type="dxa"/>
        <w:tblCellMar>
          <w:top w:w="0" w:type="dxa"/>
          <w:left w:w="0" w:type="dxa"/>
          <w:bottom w:w="0" w:type="dxa"/>
          <w:right w:w="0" w:type="dxa"/>
        </w:tblCellMar>
      </w:tblPr>
      <w:tblGrid>
        <w:gridCol w:w="58"/>
        <w:gridCol w:w="242"/>
        <w:gridCol w:w="9905"/>
      </w:tblGrid>
      <w:tr>
        <w:trPr/>
        <w:tc>
          <w:tcPr>
            <w:tcW w:w="58" w:type="dxa"/>
            <w:tcBorders/>
            <w:shd w:fill="auto" w:val="clear"/>
          </w:tcPr>
          <w:p>
            <w:pPr>
              <w:pStyle w:val="TableContents"/>
              <w:spacing w:before="0" w:after="283"/>
              <w:rPr>
                <w:sz w:val="4"/>
                <w:szCs w:val="4"/>
              </w:rPr>
            </w:pPr>
            <w:r>
              <w:rPr>
                <w:sz w:val="4"/>
                <w:szCs w:val="4"/>
              </w:rPr>
            </w:r>
          </w:p>
        </w:tc>
        <w:tc>
          <w:tcPr>
            <w:tcW w:w="242" w:type="dxa"/>
            <w:tcBorders/>
            <w:shd w:fill="auto" w:val="clear"/>
          </w:tcPr>
          <w:p>
            <w:pPr>
              <w:pStyle w:val="TableContents"/>
              <w:spacing w:before="0" w:after="283"/>
              <w:jc w:val="left"/>
              <w:rPr>
                <w:rFonts w:ascii="Symbol;serif" w:hAnsi="Symbol;serif"/>
                <w:sz w:val="20"/>
              </w:rPr>
            </w:pPr>
            <w:r>
              <w:rPr>
                <w:rFonts w:ascii="Symbol;serif" w:hAnsi="Symbol;serif"/>
                <w:sz w:val="20"/>
              </w:rPr>
              <w:t>·</w:t>
            </w:r>
          </w:p>
        </w:tc>
        <w:tc>
          <w:tcPr>
            <w:tcW w:w="990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Coordinating and planning project deliverables</w:t>
            </w:r>
          </w:p>
        </w:tc>
      </w:tr>
    </w:tbl>
    <w:p>
      <w:pPr>
        <w:pStyle w:val="TextBody"/>
        <w:spacing w:lineRule="auto" w:line="300"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Emphasis"/>
                <w:rFonts w:ascii="Times New Roman" w:hAnsi="Times New Roman"/>
                <w:sz w:val="16"/>
              </w:rPr>
              <w:t>Strategies. Solutions. Success. ™</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Page 6</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326" w:name="PGBRK23"/>
      <w:bookmarkStart w:id="327" w:name="PGBRK23"/>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28" w:name="FTR23"/>
      <w:bookmarkStart w:id="329" w:name="FTR23"/>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30" w:name="GLFTR23"/>
      <w:bookmarkStart w:id="331" w:name="GLFTR23"/>
      <w:bookmarkEnd w:id="33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332" w:name="PN23"/>
      <w:bookmarkStart w:id="333" w:name="PN23"/>
      <w:bookmarkEnd w:id="3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34" w:name="HDR23"/>
      <w:bookmarkStart w:id="335" w:name="HDR23"/>
      <w:bookmarkEnd w:id="3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36" w:name="GLHDR23"/>
      <w:bookmarkStart w:id="337" w:name="GLHDR23"/>
      <w:bookmarkEnd w:id="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16"/>
              </w:rPr>
            </w:pPr>
            <w:r>
              <w:rPr>
                <w:rFonts w:ascii="Times New Roman" w:hAnsi="Times New Roman"/>
                <w:sz w:val="16"/>
              </w:rPr>
              <w:t>CONFIDENTIAL</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Cato Research Ltd.</w:t>
            </w:r>
          </w:p>
        </w:tc>
      </w:tr>
      <w:tr>
        <w:trPr/>
        <w:tc>
          <w:tcPr>
            <w:tcW w:w="5102" w:type="dxa"/>
            <w:tcBorders>
              <w:bottom w:val="single" w:sz="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2"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jc w:val="center"/>
        <w:rPr/>
      </w:pPr>
      <w:r>
        <w:rPr/>
        <w:t> </w:t>
      </w:r>
    </w:p>
    <w:p>
      <w:pPr>
        <w:pStyle w:val="Normal"/>
        <w:spacing w:before="0" w:after="0"/>
        <w:rPr>
          <w:sz w:val="4"/>
          <w:szCs w:val="4"/>
        </w:rPr>
      </w:pPr>
      <w:r>
        <w:rPr>
          <w:sz w:val="4"/>
          <w:szCs w:val="4"/>
        </w:rPr>
      </w:r>
      <w:bookmarkStart w:id="338" w:name="hangingindent4"/>
      <w:bookmarkStart w:id="339" w:name="hangingindent4"/>
      <w:bookmarkEnd w:id="339"/>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283"/>
              <w:jc w:val="left"/>
              <w:rPr>
                <w:rFonts w:ascii="Symbol;serif" w:hAnsi="Symbol;serif"/>
                <w:sz w:val="20"/>
              </w:rPr>
            </w:pPr>
            <w:r>
              <w:rPr>
                <w:rFonts w:ascii="Symbol;serif" w:hAnsi="Symbol;serif"/>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Communicating with program director and Cato Research senior management on study-related issues that require additional input</w:t>
            </w:r>
          </w:p>
        </w:tc>
      </w:tr>
    </w:tbl>
    <w:p>
      <w:pPr>
        <w:pStyle w:val="TextBody"/>
        <w:spacing w:lineRule="auto" w:line="300" w:before="0" w:after="0"/>
        <w:ind w:left="180" w:right="0" w:hanging="0"/>
        <w:jc w:val="both"/>
        <w:rPr/>
      </w:pPr>
      <w:r>
        <w:rPr/>
        <w:t> </w:t>
      </w:r>
    </w:p>
    <w:p>
      <w:pPr>
        <w:pStyle w:val="Normal"/>
        <w:spacing w:before="0" w:after="0"/>
        <w:rPr>
          <w:sz w:val="4"/>
          <w:szCs w:val="4"/>
        </w:rPr>
      </w:pPr>
      <w:r>
        <w:rPr>
          <w:sz w:val="4"/>
          <w:szCs w:val="4"/>
        </w:rPr>
      </w:r>
      <w:bookmarkStart w:id="340" w:name="hangingindent5"/>
      <w:bookmarkStart w:id="341" w:name="hangingindent5"/>
      <w:bookmarkEnd w:id="341"/>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283"/>
              <w:jc w:val="left"/>
              <w:rPr>
                <w:rFonts w:ascii="Symbol;serif" w:hAnsi="Symbol;serif"/>
                <w:sz w:val="20"/>
              </w:rPr>
            </w:pPr>
            <w:r>
              <w:rPr>
                <w:rFonts w:ascii="Symbol;serif" w:hAnsi="Symbol;serif"/>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Initiating and maintaining effective and efficient communication with the Cato Research project team and with Transdel in order to ensure activities meet predefined timelines </w:t>
            </w:r>
          </w:p>
        </w:tc>
      </w:tr>
    </w:tbl>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42" w:name="hangingindent6"/>
      <w:bookmarkStart w:id="343" w:name="hangingindent6"/>
      <w:bookmarkEnd w:id="343"/>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283"/>
              <w:jc w:val="left"/>
              <w:rPr>
                <w:rFonts w:ascii="Symbol;serif" w:hAnsi="Symbol;serif"/>
                <w:sz w:val="20"/>
              </w:rPr>
            </w:pPr>
            <w:r>
              <w:rPr>
                <w:rFonts w:ascii="Symbol;serif" w:hAnsi="Symbol;serif"/>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Verifying that effective and efficient communication and follow-up is occurring between CRAs, investigative sites, Transdel, and any other contracted organizations (e.g., core lab)</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Having the CRA function as the primary site contact and the CSM function as the in-house contact allows more consistency with study activities, providing the sites with another contact and overall consistency for the study.</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Clinical Monitoring</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At each pre-study site selection visit, the Cato Research CRA will spend 4 hours on-site to confirm that facilities are appropriate and that the site staff is qualified to conduct this clinical study.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Each site initiation visit will include 8 hours on-site. We recommend conducting the site initiation visit after investigational product is received at the site to confirm that the site is ready to begin subject enrollment. Cato Research welcomes participation by a Transdel representative at this visit.</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During the 8-hour periodic site visits, the Cato Research CRA will conduct 100% source document verification of CRFs, perform drug-accountability activities, and review the regulatory site files to verify compliance (e.g., confirming that each subject has an informed consent form on file). Cato Research recommends that the first monitoring visit occur immediately after the first subject is treated at each site. This schedule enables identification of any data issues early in the study. The Cato Research CRA will collect completed CRFs from the site for data verification, the CRA or the site will enter the CRFs into the EDC database, and will work with data management and the site to resolve any data queries. For site visits performed remotely, the Cato Research monitors will review data by using the EDC system. Following patient visits, sites will forward the source documents to Cato Research for verification.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At the conclusion of the study, Cato Research will conduct an 8-hour closeout visit at each study site. We recommend conducting this visit when almost all queries are resolved so that all site activities can be closed out at this time. The CRA will perform final study activities such as drug reconciliation/accountability and final regulatory document review at this visit.</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Each visit will be performed according to Cato Research SOPs. After each visit, the CRA will prepare a monitoring trip report that uses Cato Research’s standard format. The report will be reviewed by the CSM before being delivered to Transdel.</w:t>
      </w:r>
    </w:p>
    <w:p>
      <w:pPr>
        <w:pStyle w:val="TextBody"/>
        <w:spacing w:lineRule="auto" w:line="300"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Emphasis"/>
                <w:rFonts w:ascii="Times New Roman" w:hAnsi="Times New Roman"/>
                <w:sz w:val="16"/>
              </w:rPr>
              <w:t>Strategies. Solutions. Success. ™</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Page 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344" w:name="PGBRK24"/>
      <w:bookmarkStart w:id="345" w:name="PGBRK24"/>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46" w:name="FTR24"/>
      <w:bookmarkStart w:id="347" w:name="FTR24"/>
      <w:bookmarkEnd w:id="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48" w:name="GLFTR24"/>
      <w:bookmarkStart w:id="349" w:name="GLFTR24"/>
      <w:bookmarkEnd w:id="34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350" w:name="PN24"/>
      <w:bookmarkStart w:id="351" w:name="PN24"/>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52" w:name="HDR24"/>
      <w:bookmarkStart w:id="353" w:name="HDR24"/>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54" w:name="GLHDR24"/>
      <w:bookmarkStart w:id="355" w:name="GLHDR24"/>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16"/>
              </w:rPr>
            </w:pPr>
            <w:r>
              <w:rPr>
                <w:rFonts w:ascii="Times New Roman" w:hAnsi="Times New Roman"/>
                <w:sz w:val="16"/>
              </w:rPr>
              <w:t>CONFIDENTIAL</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Cato Research Ltd.</w:t>
            </w:r>
          </w:p>
        </w:tc>
      </w:tr>
      <w:tr>
        <w:trPr/>
        <w:tc>
          <w:tcPr>
            <w:tcW w:w="5102" w:type="dxa"/>
            <w:tcBorders>
              <w:bottom w:val="single" w:sz="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2" w:space="0" w:color="000000"/>
            </w:tcBorders>
            <w:shd w:fill="FFFFFF" w:val="clear"/>
            <w:tcMar>
              <w:bottom w:w="28" w:type="dxa"/>
            </w:tcMar>
            <w:vAlign w:val="center"/>
          </w:tcPr>
          <w:p>
            <w:pPr>
              <w:pStyle w:val="TableContents"/>
              <w:spacing w:before="0" w:after="283"/>
              <w:rPr/>
            </w:pPr>
            <w:r>
              <w:rPr/>
              <w:t> </w:t>
            </w:r>
          </w:p>
        </w:tc>
      </w:tr>
    </w:tbl>
    <w:p>
      <w:pPr>
        <w:pStyle w:val="TextBody"/>
        <w:spacing w:lineRule="auto" w:line="300" w:before="0" w:after="0"/>
        <w:jc w:val="center"/>
        <w:rPr/>
      </w:pPr>
      <w:r>
        <w:rPr/>
        <w:t> </w:t>
      </w:r>
    </w:p>
    <w:p>
      <w:pPr>
        <w:pStyle w:val="TextBody"/>
        <w:spacing w:lineRule="auto" w:line="300" w:before="0" w:after="0"/>
        <w:ind w:left="0" w:right="0" w:hanging="0"/>
        <w:jc w:val="both"/>
        <w:rPr/>
      </w:pPr>
      <w:r>
        <w:rPr>
          <w:rStyle w:val="StrongEmphasis"/>
          <w:rFonts w:ascii="Times New Roman" w:hAnsi="Times New Roman"/>
          <w:sz w:val="20"/>
        </w:rPr>
        <w:t>Medical Management and Pharmacovigilance</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Our medical team is supported by a dedicated pharmacovigilance group established to handle the processing of SAE reports to regulatory authorities and investigators. In addition to premarketed safety reporting, this group provides postmarketing spontaneous adverse event reporting. Our personnel have the training, education, and experience to provide a comprehensive range of safety reporting services to meet the demands of SAE reporting requirements of global drug/biologic/device investigational clinical programs and postmarketing surveillance programs.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Cato Research has the flexibility to design unique processes for safety management; alternatively, sponsors may choose to follow Cato Research's SOPs that include use of Argus Safety and the medical coding dictionaries MedDRA and WHO Drug. Once the sponsor and Cato Research have agreed upon processes and templates, the pharmacovigilance group will create and document sponsor-specific work practices and forms.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Typically, pharmacovigilance will process an SAE report and produce an initial MedWatch/CIOMS form within 24 hours of notification of the SAE; narratives are routinely generated for each SAE report. The MedWatch form is then reviewed by the medical monitor, the clinical project team, and a medical coder before submission to the appropriate regulatory agencies.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Electronic Data Capture</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Fonts w:ascii="Times New Roman" w:hAnsi="Times New Roman"/>
          <w:sz w:val="20"/>
        </w:rPr>
        <w:t>For this study, Cato Research is assuming the use of a full-scale, electronic data capture (EDC) system and has provided a budget by using etrials</w:t>
      </w:r>
      <w:r>
        <w:rPr>
          <w:rFonts w:ascii="Times New Roman" w:hAnsi="Times New Roman"/>
          <w:position w:val="5"/>
          <w:sz w:val="13"/>
          <w:sz w:val="16"/>
        </w:rPr>
        <w:t>®</w:t>
      </w:r>
      <w:r>
        <w:rPr>
          <w:rStyle w:val="StrongEmphasis"/>
          <w:position w:val="8"/>
          <w:sz w:val="19"/>
        </w:rPr>
        <w:t> </w:t>
      </w:r>
      <w:r>
        <w:rPr>
          <w:rFonts w:ascii="Times New Roman" w:hAnsi="Times New Roman"/>
          <w:sz w:val="20"/>
        </w:rPr>
        <w:t xml:space="preserve">EDC software. Using EDC will allow Transdel to have live, up-to-date information on enrollment and study progress, including data entry and data queries. We have found that using EDC in studies reduces queries (through real time edit checks), speeds up data collection, helps identify data issues or trends early, and importantly, shortens time to database closure. However, if a site runs into accessibility issues, we can quickly convert to a hybrid system, where we can provide paper copies of the entry screens to the site, thereby allowing the site to fax the information back to Cato Research. Our qualified data-entry personnel will then enter these data directly into the electronic system. This approach still takes advantage of the online validations and real time data benefit.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etrials has successfully conducted data management for over 900 studies encompassing all therapeutic areas across the globe. Cato Research and etrials have collaborated on many studies. For example, Cato Research recently initiated and managed a concentrated monitoring effort during the concluding months of a Phase 3 neurology study involving 600 patients and 50 sites; we were able to close the database within a 1 day of the last patients’ final visit. In the 2 weeks before database closure, 20 patients completed the study, and 500 queries were resolved.</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In addition, etrials’ EDC system contains an ad hoc reporting tool that uses easy drag-and-drop features allowing users to design custom reports. Reports can contain any field in the database, can be saved for future use, and can be sent to or accessed by other users. Users can quickly obtain study information related to date of entry, query status, data modifications, and new entries in an easily accessible study reporting tool. Monitors can review subject data entered in the eCRF before they physically visit sites and can generate notes offsite that can be resolved by site staff before their site visits. Full tracking of all queries, including returned comments and final resolution, is contained within the EDC system. </w:t>
      </w:r>
    </w:p>
    <w:p>
      <w:pPr>
        <w:pStyle w:val="TextBody"/>
        <w:spacing w:lineRule="auto" w:line="300"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Emphasis"/>
                <w:rFonts w:ascii="Times New Roman" w:hAnsi="Times New Roman"/>
                <w:sz w:val="16"/>
              </w:rPr>
              <w:t>Strategies. Solutions. Success. ™</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Page 8</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356" w:name="PGBRK25"/>
      <w:bookmarkStart w:id="357" w:name="PGBRK25"/>
      <w:bookmarkEnd w:id="3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58" w:name="FTR25"/>
      <w:bookmarkStart w:id="359" w:name="FTR25"/>
      <w:bookmarkEnd w:id="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60" w:name="GLFTR25"/>
      <w:bookmarkStart w:id="361" w:name="GLFTR25"/>
      <w:bookmarkEnd w:id="36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362" w:name="PN25"/>
      <w:bookmarkStart w:id="363" w:name="PN25"/>
      <w:bookmarkEnd w:id="3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64" w:name="HDR25"/>
      <w:bookmarkStart w:id="365" w:name="HDR25"/>
      <w:bookmarkEnd w:id="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66" w:name="GLHDR25"/>
      <w:bookmarkStart w:id="367" w:name="GLHDR25"/>
      <w:bookmarkEnd w:id="3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16"/>
              </w:rPr>
            </w:pPr>
            <w:r>
              <w:rPr>
                <w:rFonts w:ascii="Times New Roman" w:hAnsi="Times New Roman"/>
                <w:sz w:val="16"/>
              </w:rPr>
              <w:t>CONFIDENTIAL</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Cato Research Ltd.</w:t>
            </w:r>
          </w:p>
        </w:tc>
      </w:tr>
      <w:tr>
        <w:trPr/>
        <w:tc>
          <w:tcPr>
            <w:tcW w:w="5102" w:type="dxa"/>
            <w:tcBorders>
              <w:bottom w:val="single" w:sz="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2"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jc w:val="center"/>
        <w:rPr/>
      </w:pPr>
      <w:r>
        <w:rPr/>
        <w:t> </w:t>
      </w:r>
    </w:p>
    <w:p>
      <w:pPr>
        <w:pStyle w:val="TextBody"/>
        <w:spacing w:lineRule="auto" w:line="300" w:before="0" w:after="0"/>
        <w:ind w:left="0" w:right="0" w:hanging="0"/>
        <w:jc w:val="both"/>
        <w:rPr/>
      </w:pPr>
      <w:r>
        <w:rPr>
          <w:rStyle w:val="StrongEmphasis"/>
          <w:rFonts w:ascii="Times New Roman" w:hAnsi="Times New Roman"/>
          <w:sz w:val="20"/>
        </w:rPr>
        <w:t>Patient Diary</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A paper subject diary has been proposed to support the daily completion of visual analog pain scales by study subjects. Due to the cost-prohibitive nature of using electronic hand-held devices for subject diaries, we recommend using a paper diary for either paper-based data management or EDC. Cato Research understands that subjects will complete the patient diary three times each day for the seven days. Patients are to perform study drug self administration and record pain intensity in the subject diary. Once complete, these diaries will be returned to the study site and data will be entered by the site or Cato Research into the data management system.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Statistics and Medical Writing</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Cato Research has highly qualified and experienced statisticians and programmers who can create statistical analysis plans, conduct analyses, and assist in the preparation of reports for Phase 1 through Phase 4 studies. The statistical summary and data displays include data analyses, summaries, listings, and CRF tabulations that conform to the FDA or other regulatory agency guidelines for submissions.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Our statisticians, scientists, and physicians collaborate to provide high quality integrated clinical and statistical reports to provide a comprehensive overview of the trial and an integrated analysis of the clinical trial data. Our ICH E3-compliant report format was developed to facilitate review by regulatory agency personnel and includes in-text tables, figures, and convenient summaries that may be used by the FDA in the preparation of FDA reviewer documents. Numerous sponsors and FDA representatives have complimented Cato Research on the high quality and clarity of presentation of the Integrated Clinical and Statistical Reports produced by our project teams.</w:t>
      </w:r>
    </w:p>
    <w:p>
      <w:pPr>
        <w:pStyle w:val="TextBody"/>
        <w:spacing w:lineRule="auto" w:line="300"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Emphasis"/>
                <w:rFonts w:ascii="Times New Roman" w:hAnsi="Times New Roman"/>
                <w:sz w:val="16"/>
              </w:rPr>
              <w:t>Strategies. Solutions. Success. ™</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Page 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368" w:name="PGBRK26"/>
      <w:bookmarkStart w:id="369" w:name="PGBRK26"/>
      <w:bookmarkEnd w:id="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70" w:name="FTR26"/>
      <w:bookmarkStart w:id="371" w:name="FTR26"/>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72" w:name="GLFTR26"/>
      <w:bookmarkStart w:id="373" w:name="GLFTR26"/>
      <w:bookmarkEnd w:id="37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374" w:name="PN26"/>
      <w:bookmarkStart w:id="375" w:name="PN26"/>
      <w:bookmarkEnd w:id="3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76" w:name="HDR26"/>
      <w:bookmarkStart w:id="377" w:name="HDR26"/>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78" w:name="GLHDR26"/>
      <w:bookmarkStart w:id="379" w:name="GLHDR26"/>
      <w:bookmarkEnd w:id="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16"/>
              </w:rPr>
            </w:pPr>
            <w:r>
              <w:rPr>
                <w:rFonts w:ascii="Times New Roman" w:hAnsi="Times New Roman"/>
                <w:sz w:val="16"/>
              </w:rPr>
              <w:t>CONFIDENTIAL</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Cato Research Ltd.</w:t>
            </w:r>
          </w:p>
        </w:tc>
      </w:tr>
      <w:tr>
        <w:trPr/>
        <w:tc>
          <w:tcPr>
            <w:tcW w:w="5102" w:type="dxa"/>
            <w:tcBorders>
              <w:bottom w:val="single" w:sz="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2" w:space="0" w:color="000000"/>
            </w:tcBorders>
            <w:shd w:fill="FFFFFF" w:val="clear"/>
            <w:tcMar>
              <w:bottom w:w="28" w:type="dxa"/>
            </w:tcMar>
            <w:vAlign w:val="center"/>
          </w:tcPr>
          <w:p>
            <w:pPr>
              <w:pStyle w:val="TableContents"/>
              <w:spacing w:before="0" w:after="283"/>
              <w:rPr/>
            </w:pPr>
            <w:r>
              <w:rPr/>
              <w:t> </w:t>
            </w:r>
          </w:p>
        </w:tc>
      </w:tr>
    </w:tbl>
    <w:p>
      <w:pPr>
        <w:pStyle w:val="TextBody"/>
        <w:spacing w:lineRule="auto" w:line="300" w:before="0" w:after="0"/>
        <w:jc w:val="center"/>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double" w:sz="2" w:space="0" w:color="000000"/>
            </w:tcBorders>
            <w:shd w:fill="auto" w:val="clear"/>
            <w:vAlign w:val="center"/>
          </w:tcPr>
          <w:p>
            <w:pPr>
              <w:pStyle w:val="TableContents"/>
              <w:spacing w:lineRule="auto" w:line="300" w:before="0" w:after="0"/>
              <w:ind w:left="0" w:right="0" w:hanging="0"/>
              <w:jc w:val="center"/>
              <w:rPr/>
            </w:pPr>
            <w:r>
              <w:rPr/>
              <w:t> </w:t>
            </w:r>
          </w:p>
          <w:p>
            <w:pPr>
              <w:pStyle w:val="TableContents"/>
              <w:spacing w:lineRule="auto" w:line="300" w:before="0" w:after="0"/>
              <w:ind w:left="0" w:right="0" w:hanging="0"/>
              <w:jc w:val="center"/>
              <w:rPr/>
            </w:pPr>
            <w:r>
              <w:rPr>
                <w:rStyle w:val="StrongEmphasis"/>
                <w:rFonts w:ascii="Times New Roman" w:hAnsi="Times New Roman"/>
                <w:sz w:val="20"/>
              </w:rPr>
              <w:t>Part B</w:t>
            </w:r>
          </w:p>
          <w:p>
            <w:pPr>
              <w:pStyle w:val="TableContents"/>
              <w:spacing w:lineRule="auto" w:line="300" w:before="0" w:after="0"/>
              <w:ind w:left="0" w:right="0" w:hanging="0"/>
              <w:jc w:val="center"/>
              <w:rPr/>
            </w:pPr>
            <w:r>
              <w:rPr/>
              <w:t> </w:t>
            </w:r>
          </w:p>
          <w:p>
            <w:pPr>
              <w:pStyle w:val="TableContents"/>
              <w:spacing w:lineRule="auto" w:line="300" w:before="0" w:after="0"/>
              <w:ind w:left="0" w:right="0" w:hanging="0"/>
              <w:jc w:val="center"/>
              <w:rPr/>
            </w:pPr>
            <w:r>
              <w:rPr>
                <w:rStyle w:val="StrongEmphasis"/>
                <w:rFonts w:ascii="Times New Roman" w:hAnsi="Times New Roman"/>
                <w:sz w:val="20"/>
              </w:rPr>
              <w:t>Experience in Neurology Clinical Trials</w:t>
            </w:r>
          </w:p>
          <w:p>
            <w:pPr>
              <w:pStyle w:val="TableContents"/>
              <w:spacing w:lineRule="auto" w:line="300" w:before="0" w:after="0"/>
              <w:ind w:left="0" w:right="0" w:hanging="0"/>
              <w:jc w:val="center"/>
              <w:rPr/>
            </w:pPr>
            <w:r>
              <w:rPr/>
              <w:t> </w:t>
            </w:r>
          </w:p>
        </w:tc>
      </w:tr>
    </w:tbl>
    <w:p>
      <w:pPr>
        <w:pStyle w:val="TextBody"/>
        <w:spacing w:lineRule="auto" w:line="300"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Emphasis"/>
                <w:rFonts w:ascii="Times New Roman" w:hAnsi="Times New Roman"/>
                <w:sz w:val="16"/>
              </w:rPr>
              <w:t>Strategies. Solutions. Success. ™</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Page 10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380" w:name="PGBRK27"/>
      <w:bookmarkStart w:id="381" w:name="PGBRK27"/>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82" w:name="FTR27"/>
      <w:bookmarkStart w:id="383" w:name="FTR27"/>
      <w:bookmarkEnd w:id="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84" w:name="GLFTR27"/>
      <w:bookmarkStart w:id="385" w:name="GLFTR27"/>
      <w:bookmarkEnd w:id="38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386" w:name="PN27"/>
      <w:bookmarkStart w:id="387" w:name="PN27"/>
      <w:bookmarkEnd w:id="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88" w:name="HDR27"/>
      <w:bookmarkStart w:id="389" w:name="HDR27"/>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90" w:name="GLHDR27"/>
      <w:bookmarkStart w:id="391" w:name="GLHDR27"/>
      <w:bookmarkEnd w:id="3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144" w:hanging="0"/>
        <w:jc w:val="center"/>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16"/>
              </w:rPr>
            </w:pPr>
            <w:r>
              <w:rPr>
                <w:rFonts w:ascii="Times New Roman" w:hAnsi="Times New Roman"/>
                <w:sz w:val="16"/>
              </w:rPr>
              <w:t>CONFIDENTIAL</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Cato Research Ltd.</w:t>
            </w:r>
          </w:p>
        </w:tc>
      </w:tr>
      <w:tr>
        <w:trPr/>
        <w:tc>
          <w:tcPr>
            <w:tcW w:w="5102" w:type="dxa"/>
            <w:tcBorders>
              <w:bottom w:val="single" w:sz="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2" w:space="0" w:color="000000"/>
            </w:tcBorders>
            <w:shd w:fill="FFFFFF" w:val="clear"/>
            <w:tcMar>
              <w:bottom w:w="28" w:type="dxa"/>
            </w:tcMar>
            <w:vAlign w:val="center"/>
          </w:tcPr>
          <w:p>
            <w:pPr>
              <w:pStyle w:val="TableContents"/>
              <w:spacing w:before="0" w:after="283"/>
              <w:rPr/>
            </w:pPr>
            <w:r>
              <w:rPr/>
              <w:t> </w:t>
            </w:r>
          </w:p>
        </w:tc>
      </w:tr>
    </w:tbl>
    <w:p>
      <w:pPr>
        <w:pStyle w:val="TextBody"/>
        <w:spacing w:lineRule="auto" w:line="300" w:before="0" w:after="0"/>
        <w:ind w:left="0" w:right="144" w:hanging="0"/>
        <w:jc w:val="center"/>
        <w:rPr/>
      </w:pPr>
      <w:r>
        <w:rPr/>
        <w:t> </w:t>
      </w:r>
    </w:p>
    <w:p>
      <w:pPr>
        <w:pStyle w:val="TextBody"/>
        <w:spacing w:lineRule="auto" w:line="300" w:before="0" w:after="0"/>
        <w:ind w:left="0" w:right="0" w:hanging="0"/>
        <w:jc w:val="center"/>
        <w:rPr/>
      </w:pPr>
      <w:r>
        <w:rPr>
          <w:rStyle w:val="StrongEmphasis"/>
          <w:rFonts w:ascii="Times New Roman" w:hAnsi="Times New Roman"/>
          <w:sz w:val="24"/>
        </w:rPr>
        <w:t>Experience in Neurology Clinical Trials</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Cato Research has significant experience in all areas of analgesics development; our specific experience is outlined below:</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Experience in conducting pain management trials (acute and chronic)</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Cato Research has conducted multiple successful clinical studies for neurology indications, including pain management, in North America, Europe, and South Africa. Recent examples of Cato Research’s clinical experience in pain management studies include the following:</w:t>
      </w:r>
    </w:p>
    <w:p>
      <w:pPr>
        <w:pStyle w:val="TextBody"/>
        <w:spacing w:lineRule="auto" w:line="300" w:before="0" w:after="0"/>
        <w:ind w:left="0" w:right="0" w:hanging="0"/>
        <w:jc w:val="both"/>
        <w:rPr/>
      </w:pPr>
      <w:r>
        <w:rPr/>
        <w:t> </w:t>
      </w:r>
    </w:p>
    <w:p>
      <w:pPr>
        <w:pStyle w:val="Normal"/>
        <w:spacing w:before="0" w:after="0"/>
        <w:rPr>
          <w:sz w:val="4"/>
          <w:szCs w:val="4"/>
        </w:rPr>
      </w:pPr>
      <w:r>
        <w:rPr>
          <w:sz w:val="4"/>
          <w:szCs w:val="4"/>
        </w:rPr>
      </w:r>
      <w:bookmarkStart w:id="392" w:name="hangingindent7"/>
      <w:bookmarkStart w:id="393" w:name="hangingindent7"/>
      <w:bookmarkEnd w:id="393"/>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283"/>
              <w:jc w:val="left"/>
              <w:rPr>
                <w:rFonts w:ascii="Symbol;serif" w:hAnsi="Symbol;serif"/>
                <w:sz w:val="20"/>
              </w:rPr>
            </w:pPr>
            <w:r>
              <w:rPr>
                <w:rFonts w:ascii="Symbol;serif" w:hAnsi="Symbol;serif"/>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Clinical monitoring and management of three Phase 3 studies of chronic pain conducted at over 275 sites in North America and Europe</w:t>
            </w:r>
          </w:p>
        </w:tc>
      </w:tr>
    </w:tbl>
    <w:p>
      <w:pPr>
        <w:pStyle w:val="Normal"/>
        <w:spacing w:before="0" w:after="0"/>
        <w:rPr>
          <w:sz w:val="4"/>
          <w:szCs w:val="4"/>
        </w:rPr>
      </w:pPr>
      <w:r>
        <w:rPr>
          <w:sz w:val="4"/>
          <w:szCs w:val="4"/>
        </w:rPr>
      </w:r>
      <w:bookmarkStart w:id="394" w:name="hangingindent8"/>
      <w:bookmarkStart w:id="395" w:name="hangingindent8"/>
      <w:bookmarkEnd w:id="395"/>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0"/>
              <w:jc w:val="left"/>
              <w:rPr>
                <w:rFonts w:ascii="Symbol" w:hAnsi="Symbol"/>
                <w:sz w:val="20"/>
              </w:rPr>
            </w:pPr>
            <w:r>
              <w:rPr>
                <w:rFonts w:ascii="Symbol" w:hAnsi="Symbol"/>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Clinical monitoring and management of a Phase 2b acute pain study in postoperative subjects with approximate enrollment of 200 subjects across 40 sites in the United States</w:t>
            </w:r>
          </w:p>
        </w:tc>
      </w:tr>
    </w:tbl>
    <w:p>
      <w:pPr>
        <w:pStyle w:val="Normal"/>
        <w:spacing w:before="0" w:after="0"/>
        <w:rPr>
          <w:sz w:val="4"/>
          <w:szCs w:val="4"/>
        </w:rPr>
      </w:pPr>
      <w:r>
        <w:rPr>
          <w:sz w:val="4"/>
          <w:szCs w:val="4"/>
        </w:rPr>
      </w:r>
      <w:bookmarkStart w:id="396" w:name="hangingindent9"/>
      <w:bookmarkStart w:id="397" w:name="hangingindent9"/>
      <w:bookmarkEnd w:id="397"/>
    </w:p>
    <w:tbl>
      <w:tblPr>
        <w:tblW w:w="5000" w:type="pct"/>
        <w:jc w:val="center"/>
        <w:tblInd w:w="0" w:type="dxa"/>
        <w:tblCellMar>
          <w:top w:w="0" w:type="dxa"/>
          <w:left w:w="0" w:type="dxa"/>
          <w:bottom w:w="0" w:type="dxa"/>
          <w:right w:w="0" w:type="dxa"/>
        </w:tblCellMar>
      </w:tblPr>
      <w:tblGrid>
        <w:gridCol w:w="26"/>
        <w:gridCol w:w="107"/>
        <w:gridCol w:w="10072"/>
      </w:tblGrid>
      <w:tr>
        <w:trPr/>
        <w:tc>
          <w:tcPr>
            <w:tcW w:w="26" w:type="dxa"/>
            <w:tcBorders/>
            <w:shd w:fill="auto" w:val="clear"/>
          </w:tcPr>
          <w:p>
            <w:pPr>
              <w:pStyle w:val="TableContents"/>
              <w:spacing w:before="0" w:after="283"/>
              <w:rPr>
                <w:sz w:val="4"/>
                <w:szCs w:val="4"/>
              </w:rPr>
            </w:pPr>
            <w:r>
              <w:rPr>
                <w:sz w:val="4"/>
                <w:szCs w:val="4"/>
              </w:rPr>
            </w:r>
          </w:p>
        </w:tc>
        <w:tc>
          <w:tcPr>
            <w:tcW w:w="107" w:type="dxa"/>
            <w:tcBorders/>
            <w:shd w:fill="auto" w:val="clear"/>
          </w:tcPr>
          <w:p>
            <w:pPr>
              <w:pStyle w:val="TableContents"/>
              <w:spacing w:before="0" w:after="0"/>
              <w:jc w:val="left"/>
              <w:rPr>
                <w:rFonts w:ascii="Symbol" w:hAnsi="Symbol"/>
                <w:sz w:val="20"/>
              </w:rPr>
            </w:pPr>
            <w:r>
              <w:rPr>
                <w:rFonts w:ascii="Symbol" w:hAnsi="Symbol"/>
                <w:sz w:val="20"/>
              </w:rPr>
              <w:t>·</w:t>
            </w:r>
          </w:p>
        </w:tc>
        <w:tc>
          <w:tcPr>
            <w:tcW w:w="100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Clinical monitoring and management of a 30-site Phase 2b study in Canada for the treatment of migraine pain</w:t>
            </w:r>
          </w:p>
        </w:tc>
      </w:tr>
    </w:tbl>
    <w:p>
      <w:pPr>
        <w:pStyle w:val="Normal"/>
        <w:spacing w:before="0" w:after="0"/>
        <w:rPr>
          <w:sz w:val="4"/>
          <w:szCs w:val="4"/>
        </w:rPr>
      </w:pPr>
      <w:r>
        <w:rPr>
          <w:sz w:val="4"/>
          <w:szCs w:val="4"/>
        </w:rPr>
      </w:r>
      <w:bookmarkStart w:id="398" w:name="hangingindent10"/>
      <w:bookmarkStart w:id="399" w:name="hangingindent10"/>
      <w:bookmarkEnd w:id="399"/>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0"/>
              <w:jc w:val="left"/>
              <w:rPr>
                <w:rFonts w:ascii="Symbol" w:hAnsi="Symbol"/>
                <w:sz w:val="20"/>
              </w:rPr>
            </w:pPr>
            <w:r>
              <w:rPr>
                <w:rFonts w:ascii="Symbol" w:hAnsi="Symbol"/>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Full service activities including clinical and data management of a Phase 2 neuropathic pain study involving 100 subjects and 10 sites</w:t>
            </w:r>
          </w:p>
        </w:tc>
      </w:tr>
    </w:tbl>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Not only does Cato Research have highly relevant clinical experience and therapeutic expertise, but we are also focused on having a flexible, proactive, and creative approach to managing clinical trials. At the start of any project, we work with the sponsor to determine project roles and responsibilities and how our staff can complement a sponsor’s existing resources. This approach can be especially valuable to smaller companies, particularly those that function primarily as virtual entities. </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rStyle w:val="StrongEmphasis"/>
          <w:rFonts w:ascii="Times New Roman" w:hAnsi="Times New Roman"/>
          <w:sz w:val="20"/>
        </w:rPr>
        <w:t>Related clinical trial experience in the past 3 years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rPr>
        <w:t>Phase 2 and Phase 3 clinical trials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Cato Research has conducted multiple successful Phase 2 and Phase 3 clinical trials in a variety of indications, including: acute and chronic pain (described above), depression, stroke, oncology, and infectious disease. Related experience includes: </w:t>
      </w:r>
    </w:p>
    <w:p>
      <w:pPr>
        <w:pStyle w:val="Normal"/>
        <w:spacing w:before="0" w:after="0"/>
        <w:rPr>
          <w:sz w:val="4"/>
          <w:szCs w:val="4"/>
        </w:rPr>
      </w:pPr>
      <w:r>
        <w:rPr>
          <w:sz w:val="4"/>
          <w:szCs w:val="4"/>
        </w:rPr>
      </w:r>
      <w:bookmarkStart w:id="400" w:name="hangingindent11"/>
      <w:bookmarkStart w:id="401" w:name="hangingindent11"/>
      <w:bookmarkEnd w:id="401"/>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283"/>
              <w:jc w:val="left"/>
              <w:rPr>
                <w:rFonts w:ascii="Symbol;serif" w:hAnsi="Symbol;serif"/>
                <w:sz w:val="20"/>
              </w:rPr>
            </w:pPr>
            <w:r>
              <w:rPr>
                <w:rFonts w:ascii="Symbol;serif" w:hAnsi="Symbol;serif"/>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Clinical conduct of an 800-subject study in the United States of a selective serotonin inhibitor targeted to treat major depressive disorder</w:t>
            </w:r>
          </w:p>
        </w:tc>
      </w:tr>
    </w:tbl>
    <w:p>
      <w:pPr>
        <w:pStyle w:val="Normal"/>
        <w:spacing w:before="0" w:after="0"/>
        <w:rPr>
          <w:sz w:val="4"/>
          <w:szCs w:val="4"/>
        </w:rPr>
      </w:pPr>
      <w:r>
        <w:rPr>
          <w:sz w:val="4"/>
          <w:szCs w:val="4"/>
        </w:rPr>
      </w:r>
      <w:bookmarkStart w:id="402" w:name="hangingindent12"/>
      <w:bookmarkStart w:id="403" w:name="hangingindent12"/>
      <w:bookmarkEnd w:id="403"/>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0"/>
              <w:jc w:val="left"/>
              <w:rPr>
                <w:rFonts w:ascii="Symbol" w:hAnsi="Symbol"/>
                <w:sz w:val="20"/>
              </w:rPr>
            </w:pPr>
            <w:r>
              <w:rPr>
                <w:rFonts w:ascii="Symbol" w:hAnsi="Symbol"/>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Clinical monitoring and management, data management, and statistical services for a Phase 2b study of ischemic stroke conducted at over 100 sites in the United States, Canada, South Africa, and Europe</w:t>
            </w:r>
          </w:p>
        </w:tc>
      </w:tr>
    </w:tbl>
    <w:p>
      <w:pPr>
        <w:pStyle w:val="Normal"/>
        <w:spacing w:before="0" w:after="0"/>
        <w:rPr>
          <w:sz w:val="4"/>
          <w:szCs w:val="4"/>
        </w:rPr>
      </w:pPr>
      <w:r>
        <w:rPr>
          <w:sz w:val="4"/>
          <w:szCs w:val="4"/>
        </w:rPr>
      </w:r>
      <w:bookmarkStart w:id="404" w:name="hangingindent13"/>
      <w:bookmarkStart w:id="405" w:name="hangingindent13"/>
      <w:bookmarkEnd w:id="405"/>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0"/>
              <w:jc w:val="left"/>
              <w:rPr>
                <w:rFonts w:ascii="Symbol" w:hAnsi="Symbol"/>
                <w:sz w:val="20"/>
              </w:rPr>
            </w:pPr>
            <w:r>
              <w:rPr>
                <w:rFonts w:ascii="Symbol" w:hAnsi="Symbol"/>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Clinical monitoring and management of a 35-subject Phase 2 safety and tolerability study in Canada involving subjects with chronic hepatitis C </w:t>
            </w:r>
          </w:p>
        </w:tc>
      </w:tr>
    </w:tbl>
    <w:p>
      <w:pPr>
        <w:pStyle w:val="Normal"/>
        <w:spacing w:before="0" w:after="0"/>
        <w:rPr>
          <w:sz w:val="4"/>
          <w:szCs w:val="4"/>
        </w:rPr>
      </w:pPr>
      <w:r>
        <w:rPr>
          <w:sz w:val="4"/>
          <w:szCs w:val="4"/>
        </w:rPr>
      </w:r>
      <w:bookmarkStart w:id="406" w:name="hangingindent14"/>
      <w:bookmarkStart w:id="407" w:name="hangingindent14"/>
      <w:bookmarkEnd w:id="407"/>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0"/>
              <w:jc w:val="left"/>
              <w:rPr>
                <w:rFonts w:ascii="Symbol" w:hAnsi="Symbol"/>
                <w:sz w:val="20"/>
              </w:rPr>
            </w:pPr>
            <w:r>
              <w:rPr>
                <w:rFonts w:ascii="Symbol" w:hAnsi="Symbol"/>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Clinical monitoring, management, data management, and statistical services for a multicenter 60-subject Phase 2 study of HIV infection conducted in the United States </w:t>
            </w:r>
          </w:p>
        </w:tc>
      </w:tr>
    </w:tbl>
    <w:p>
      <w:pPr>
        <w:pStyle w:val="Normal"/>
        <w:spacing w:before="0" w:after="0"/>
        <w:rPr>
          <w:sz w:val="4"/>
          <w:szCs w:val="4"/>
        </w:rPr>
      </w:pPr>
      <w:r>
        <w:rPr>
          <w:sz w:val="4"/>
          <w:szCs w:val="4"/>
        </w:rPr>
      </w:r>
      <w:bookmarkStart w:id="408" w:name="hangingindent15"/>
      <w:bookmarkStart w:id="409" w:name="hangingindent15"/>
      <w:bookmarkEnd w:id="409"/>
    </w:p>
    <w:tbl>
      <w:tblPr>
        <w:tblW w:w="5000" w:type="pct"/>
        <w:jc w:val="center"/>
        <w:tblInd w:w="0" w:type="dxa"/>
        <w:tblCellMar>
          <w:top w:w="0" w:type="dxa"/>
          <w:left w:w="0" w:type="dxa"/>
          <w:bottom w:w="0" w:type="dxa"/>
          <w:right w:w="0" w:type="dxa"/>
        </w:tblCellMar>
      </w:tblPr>
      <w:tblGrid>
        <w:gridCol w:w="23"/>
        <w:gridCol w:w="99"/>
        <w:gridCol w:w="10083"/>
      </w:tblGrid>
      <w:tr>
        <w:trPr/>
        <w:tc>
          <w:tcPr>
            <w:tcW w:w="23" w:type="dxa"/>
            <w:tcBorders/>
            <w:shd w:fill="auto" w:val="clear"/>
          </w:tcPr>
          <w:p>
            <w:pPr>
              <w:pStyle w:val="TableContents"/>
              <w:spacing w:before="0" w:after="283"/>
              <w:rPr>
                <w:sz w:val="4"/>
                <w:szCs w:val="4"/>
              </w:rPr>
            </w:pPr>
            <w:r>
              <w:rPr>
                <w:sz w:val="4"/>
                <w:szCs w:val="4"/>
              </w:rPr>
            </w:r>
          </w:p>
        </w:tc>
        <w:tc>
          <w:tcPr>
            <w:tcW w:w="99" w:type="dxa"/>
            <w:tcBorders/>
            <w:shd w:fill="auto" w:val="clear"/>
          </w:tcPr>
          <w:p>
            <w:pPr>
              <w:pStyle w:val="TableContents"/>
              <w:spacing w:before="0" w:after="0"/>
              <w:jc w:val="left"/>
              <w:rPr>
                <w:rFonts w:ascii="Symbol" w:hAnsi="Symbol"/>
                <w:sz w:val="20"/>
              </w:rPr>
            </w:pPr>
            <w:r>
              <w:rPr>
                <w:rFonts w:ascii="Symbol" w:hAnsi="Symbol"/>
                <w:sz w:val="20"/>
              </w:rPr>
              <w:t>·</w:t>
            </w:r>
          </w:p>
        </w:tc>
        <w:tc>
          <w:tcPr>
            <w:tcW w:w="10083" w:type="dxa"/>
            <w:tcBorders/>
            <w:shd w:fill="auto" w:val="clear"/>
          </w:tcPr>
          <w:p>
            <w:pPr>
              <w:pStyle w:val="TableContents"/>
              <w:spacing w:before="0" w:after="0"/>
              <w:jc w:val="left"/>
              <w:rPr/>
            </w:pPr>
            <w:r>
              <w:rPr>
                <w:rFonts w:ascii="Times New Roman" w:hAnsi="Times New Roman"/>
                <w:sz w:val="20"/>
              </w:rPr>
              <w:t>Clinical monitoring, management, data management, and statistical services for a Phase 3 study of hepatitis C infection</w:t>
            </w:r>
            <w:r>
              <w:rPr>
                <w:highlight w:val="yellow"/>
              </w:rPr>
              <w:t> </w:t>
            </w:r>
          </w:p>
        </w:tc>
      </w:tr>
    </w:tbl>
    <w:p>
      <w:pPr>
        <w:pStyle w:val="Normal"/>
        <w:spacing w:before="0" w:after="0"/>
        <w:rPr>
          <w:sz w:val="4"/>
          <w:szCs w:val="4"/>
        </w:rPr>
      </w:pPr>
      <w:r>
        <w:rPr>
          <w:sz w:val="4"/>
          <w:szCs w:val="4"/>
        </w:rPr>
      </w:r>
      <w:bookmarkStart w:id="410" w:name="hangingindent16"/>
      <w:bookmarkStart w:id="411" w:name="hangingindent16"/>
      <w:bookmarkEnd w:id="411"/>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0"/>
              <w:jc w:val="left"/>
              <w:rPr>
                <w:rFonts w:ascii="Symbol" w:hAnsi="Symbol"/>
                <w:sz w:val="20"/>
              </w:rPr>
            </w:pPr>
            <w:r>
              <w:rPr>
                <w:rFonts w:ascii="Symbol" w:hAnsi="Symbol"/>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Clinical monitoring and management of a pivotal trial in 99 subjects with familial cold syndrome across 21 study centers in the United States</w:t>
            </w:r>
          </w:p>
        </w:tc>
      </w:tr>
    </w:tbl>
    <w:p>
      <w:pPr>
        <w:pStyle w:val="Normal"/>
        <w:spacing w:before="0" w:after="0"/>
        <w:rPr>
          <w:sz w:val="4"/>
          <w:szCs w:val="4"/>
        </w:rPr>
      </w:pPr>
      <w:r>
        <w:rPr>
          <w:sz w:val="4"/>
          <w:szCs w:val="4"/>
        </w:rPr>
      </w:r>
      <w:bookmarkStart w:id="412" w:name="hangingindent17"/>
      <w:bookmarkStart w:id="413" w:name="hangingindent17"/>
      <w:bookmarkEnd w:id="413"/>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0"/>
              <w:jc w:val="left"/>
              <w:rPr>
                <w:rFonts w:ascii="Symbol" w:hAnsi="Symbol"/>
                <w:sz w:val="20"/>
              </w:rPr>
            </w:pPr>
            <w:r>
              <w:rPr>
                <w:rFonts w:ascii="Symbol" w:hAnsi="Symbol"/>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Clinical monitoring and management of Phase 2, 3, and 3b trials involving a therapeutic for Alzheimer’s disease across 76 study centers and involving a total of 554 subjects</w:t>
            </w:r>
          </w:p>
        </w:tc>
      </w:tr>
    </w:tbl>
    <w:p>
      <w:pPr>
        <w:pStyle w:val="Normal"/>
        <w:spacing w:before="0" w:after="0"/>
        <w:rPr>
          <w:sz w:val="4"/>
          <w:szCs w:val="4"/>
        </w:rPr>
      </w:pPr>
      <w:r>
        <w:rPr>
          <w:sz w:val="4"/>
          <w:szCs w:val="4"/>
        </w:rPr>
      </w:r>
      <w:bookmarkStart w:id="414" w:name="hangingindent18"/>
      <w:bookmarkStart w:id="415" w:name="hangingindent18"/>
      <w:bookmarkEnd w:id="415"/>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0"/>
              <w:jc w:val="left"/>
              <w:rPr>
                <w:rFonts w:ascii="Symbol" w:hAnsi="Symbol"/>
                <w:sz w:val="20"/>
              </w:rPr>
            </w:pPr>
            <w:r>
              <w:rPr>
                <w:rFonts w:ascii="Symbol" w:hAnsi="Symbol"/>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Clinical monitoring and management of a Phase 2 trial for an antidepressant compound involving 240 subjects and 22 study sites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Emphasis"/>
                <w:rFonts w:ascii="Times New Roman" w:hAnsi="Times New Roman"/>
                <w:sz w:val="16"/>
              </w:rPr>
              <w:t>Strategies. Solutions. Success. ™</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Page 11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416" w:name="PGBRK28"/>
      <w:bookmarkStart w:id="417" w:name="PGBRK28"/>
      <w:bookmarkEnd w:id="4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18" w:name="FTR28"/>
      <w:bookmarkStart w:id="419" w:name="FTR28"/>
      <w:bookmarkEnd w:id="4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20" w:name="GLFTR28"/>
      <w:bookmarkStart w:id="421" w:name="GLFTR28"/>
      <w:bookmarkEnd w:id="42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422" w:name="PN28"/>
      <w:bookmarkStart w:id="423" w:name="PN28"/>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24" w:name="HDR28"/>
      <w:bookmarkStart w:id="425" w:name="HDR28"/>
      <w:bookmarkEnd w:id="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26" w:name="GLHDR28"/>
      <w:bookmarkStart w:id="427" w:name="GLHDR28"/>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16"/>
              </w:rPr>
            </w:pPr>
            <w:r>
              <w:rPr>
                <w:rFonts w:ascii="Times New Roman" w:hAnsi="Times New Roman"/>
                <w:sz w:val="16"/>
              </w:rPr>
              <w:t>CONFIDENTIAL</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Cato Research Ltd.</w:t>
            </w:r>
          </w:p>
        </w:tc>
      </w:tr>
      <w:tr>
        <w:trPr/>
        <w:tc>
          <w:tcPr>
            <w:tcW w:w="5102" w:type="dxa"/>
            <w:tcBorders>
              <w:bottom w:val="single" w:sz="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2" w:space="0" w:color="000000"/>
            </w:tcBorders>
            <w:shd w:fill="FFFFFF" w:val="clear"/>
            <w:tcMar>
              <w:bottom w:w="28" w:type="dxa"/>
            </w:tcMar>
            <w:vAlign w:val="center"/>
          </w:tcPr>
          <w:p>
            <w:pPr>
              <w:pStyle w:val="TableContents"/>
              <w:spacing w:before="0" w:after="283"/>
              <w:rPr/>
            </w:pPr>
            <w:r>
              <w:rPr/>
              <w:t> </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In addition to experience conducting Phase 2 and Phase 3 clinical trials, Cato Research has extensive experience with the preparation of documents associated with clinical trials, such as clinical protocols, clinical study reports, investigator’s brochures, study procedures manuals, monitoring plan, associated regulatory submissions, and CRFs (paper and electronic). We can also assist with organizing data and safety monitoring committees, as well as with investigator selection, investigator evaluation, and investigators’ meeting planning.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pPr>
      <w:r>
        <w:rPr>
          <w:rStyle w:val="Emphasis"/>
          <w:rFonts w:ascii="Times New Roman" w:hAnsi="Times New Roman"/>
          <w:sz w:val="20"/>
          <w:u w:val="single"/>
        </w:rPr>
        <w:t>Long-term safety studies</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Cato Research has conducted several long-term safety clinical trials for a number of indications, including chronic pain. Our experience with long-term safety studies includes the following:</w:t>
      </w:r>
    </w:p>
    <w:p>
      <w:pPr>
        <w:pStyle w:val="Normal"/>
        <w:spacing w:before="0" w:after="0"/>
        <w:rPr>
          <w:sz w:val="4"/>
          <w:szCs w:val="4"/>
        </w:rPr>
      </w:pPr>
      <w:r>
        <w:rPr>
          <w:sz w:val="4"/>
          <w:szCs w:val="4"/>
        </w:rPr>
      </w:r>
      <w:bookmarkStart w:id="428" w:name="hangingindent19"/>
      <w:bookmarkStart w:id="429" w:name="hangingindent19"/>
      <w:bookmarkEnd w:id="429"/>
    </w:p>
    <w:tbl>
      <w:tblPr>
        <w:tblW w:w="5000" w:type="pct"/>
        <w:jc w:val="center"/>
        <w:tblInd w:w="0" w:type="dxa"/>
        <w:tblCellMar>
          <w:top w:w="0" w:type="dxa"/>
          <w:left w:w="0" w:type="dxa"/>
          <w:bottom w:w="0" w:type="dxa"/>
          <w:right w:w="0" w:type="dxa"/>
        </w:tblCellMar>
      </w:tblPr>
      <w:tblGrid>
        <w:gridCol w:w="34"/>
        <w:gridCol w:w="141"/>
        <w:gridCol w:w="10030"/>
      </w:tblGrid>
      <w:tr>
        <w:trPr/>
        <w:tc>
          <w:tcPr>
            <w:tcW w:w="34" w:type="dxa"/>
            <w:tcBorders/>
            <w:shd w:fill="auto" w:val="clear"/>
          </w:tcPr>
          <w:p>
            <w:pPr>
              <w:pStyle w:val="TableContents"/>
              <w:spacing w:before="0" w:after="283"/>
              <w:rPr>
                <w:sz w:val="4"/>
                <w:szCs w:val="4"/>
              </w:rPr>
            </w:pPr>
            <w:r>
              <w:rPr>
                <w:sz w:val="4"/>
                <w:szCs w:val="4"/>
              </w:rPr>
            </w:r>
          </w:p>
        </w:tc>
        <w:tc>
          <w:tcPr>
            <w:tcW w:w="141" w:type="dxa"/>
            <w:tcBorders/>
            <w:shd w:fill="auto" w:val="clear"/>
          </w:tcPr>
          <w:p>
            <w:pPr>
              <w:pStyle w:val="TableContents"/>
              <w:spacing w:before="0" w:after="283"/>
              <w:jc w:val="left"/>
              <w:rPr>
                <w:rFonts w:ascii="Symbol;serif" w:hAnsi="Symbol;serif"/>
                <w:sz w:val="20"/>
              </w:rPr>
            </w:pPr>
            <w:r>
              <w:rPr>
                <w:rFonts w:ascii="Symbol;serif" w:hAnsi="Symbol;serif"/>
                <w:sz w:val="20"/>
              </w:rPr>
              <w:t>·</w:t>
            </w:r>
          </w:p>
        </w:tc>
        <w:tc>
          <w:tcPr>
            <w:tcW w:w="1003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Management of a 12-month, 1,200-subject, long-term safety study for chronic pain </w:t>
            </w:r>
          </w:p>
        </w:tc>
      </w:tr>
    </w:tbl>
    <w:p>
      <w:pPr>
        <w:pStyle w:val="Normal"/>
        <w:spacing w:before="0" w:after="0"/>
        <w:rPr>
          <w:sz w:val="4"/>
          <w:szCs w:val="4"/>
        </w:rPr>
      </w:pPr>
      <w:r>
        <w:rPr>
          <w:sz w:val="4"/>
          <w:szCs w:val="4"/>
        </w:rPr>
      </w:r>
      <w:bookmarkStart w:id="430" w:name="hangingindent20"/>
      <w:bookmarkStart w:id="431" w:name="hangingindent20"/>
      <w:bookmarkEnd w:id="431"/>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0"/>
              <w:jc w:val="left"/>
              <w:rPr>
                <w:rFonts w:ascii="Symbol" w:hAnsi="Symbol"/>
                <w:sz w:val="20"/>
              </w:rPr>
            </w:pPr>
            <w:r>
              <w:rPr>
                <w:rFonts w:ascii="Symbol" w:hAnsi="Symbol"/>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Pharmacovigilance, data management, and clinical trial management for a global Phase 3 study with a very active safety focus for a novel therapeutic immunogen (More than 1,100 safety reports are currently stored in the Cato Research database for this compound.) </w:t>
            </w:r>
          </w:p>
        </w:tc>
      </w:tr>
    </w:tbl>
    <w:p>
      <w:pPr>
        <w:pStyle w:val="Normal"/>
        <w:spacing w:before="0" w:after="0"/>
        <w:rPr>
          <w:sz w:val="4"/>
          <w:szCs w:val="4"/>
        </w:rPr>
      </w:pPr>
      <w:r>
        <w:rPr>
          <w:sz w:val="4"/>
          <w:szCs w:val="4"/>
        </w:rPr>
      </w:r>
      <w:bookmarkStart w:id="432" w:name="hangingindent21"/>
      <w:bookmarkStart w:id="433" w:name="hangingindent21"/>
      <w:bookmarkEnd w:id="433"/>
    </w:p>
    <w:tbl>
      <w:tblPr>
        <w:tblW w:w="5000" w:type="pct"/>
        <w:jc w:val="center"/>
        <w:tblInd w:w="0" w:type="dxa"/>
        <w:tblCellMar>
          <w:top w:w="0" w:type="dxa"/>
          <w:left w:w="0" w:type="dxa"/>
          <w:bottom w:w="0" w:type="dxa"/>
          <w:right w:w="0" w:type="dxa"/>
        </w:tblCellMar>
      </w:tblPr>
      <w:tblGrid>
        <w:gridCol w:w="22"/>
        <w:gridCol w:w="95"/>
        <w:gridCol w:w="10088"/>
      </w:tblGrid>
      <w:tr>
        <w:trPr/>
        <w:tc>
          <w:tcPr>
            <w:tcW w:w="22" w:type="dxa"/>
            <w:tcBorders/>
            <w:shd w:fill="auto" w:val="clear"/>
          </w:tcPr>
          <w:p>
            <w:pPr>
              <w:pStyle w:val="TableContents"/>
              <w:spacing w:before="0" w:after="283"/>
              <w:rPr>
                <w:sz w:val="4"/>
                <w:szCs w:val="4"/>
              </w:rPr>
            </w:pPr>
            <w:r>
              <w:rPr>
                <w:sz w:val="4"/>
                <w:szCs w:val="4"/>
              </w:rPr>
            </w:r>
          </w:p>
        </w:tc>
        <w:tc>
          <w:tcPr>
            <w:tcW w:w="95" w:type="dxa"/>
            <w:tcBorders/>
            <w:shd w:fill="auto" w:val="clear"/>
          </w:tcPr>
          <w:p>
            <w:pPr>
              <w:pStyle w:val="TableContents"/>
              <w:spacing w:before="0" w:after="0"/>
              <w:jc w:val="left"/>
              <w:rPr>
                <w:rFonts w:ascii="Symbol" w:hAnsi="Symbol"/>
                <w:sz w:val="20"/>
              </w:rPr>
            </w:pPr>
            <w:r>
              <w:rPr>
                <w:rFonts w:ascii="Symbol" w:hAnsi="Symbol"/>
                <w:sz w:val="20"/>
              </w:rPr>
              <w:t>·</w:t>
            </w:r>
          </w:p>
        </w:tc>
        <w:tc>
          <w:tcPr>
            <w:tcW w:w="100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Management of a Phase 3b schizophrenia study including monitoring, all regulatory correspondence, clinical and nonclinical reports, and pharmacovigilance</w:t>
            </w:r>
          </w:p>
        </w:tc>
      </w:tr>
    </w:tbl>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Emphasis"/>
                <w:rFonts w:ascii="Times New Roman" w:hAnsi="Times New Roman"/>
                <w:sz w:val="16"/>
              </w:rPr>
              <w:t>Strategies. Solutions. Success. ™</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Page 12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434" w:name="PGBRK29"/>
      <w:bookmarkStart w:id="435" w:name="PGBRK29"/>
      <w:bookmarkEnd w:id="4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36" w:name="FTR29"/>
      <w:bookmarkStart w:id="437" w:name="FTR29"/>
      <w:bookmarkEnd w:id="4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38" w:name="GLFTR29"/>
      <w:bookmarkStart w:id="439" w:name="GLFTR29"/>
      <w:bookmarkEnd w:id="43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440" w:name="PN29"/>
      <w:bookmarkStart w:id="441" w:name="PN29"/>
      <w:bookmarkEnd w:id="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42" w:name="HDR29"/>
      <w:bookmarkStart w:id="443" w:name="HDR29"/>
      <w:bookmarkEnd w:id="4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44" w:name="GLHDR29"/>
      <w:bookmarkStart w:id="445" w:name="GLHDR29"/>
      <w:bookmarkEnd w:id="4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16"/>
              </w:rPr>
            </w:pPr>
            <w:r>
              <w:rPr>
                <w:rFonts w:ascii="Times New Roman" w:hAnsi="Times New Roman"/>
                <w:sz w:val="16"/>
              </w:rPr>
              <w:t>CONFIDENTIAL</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Cato Research Ltd.</w:t>
            </w:r>
          </w:p>
        </w:tc>
      </w:tr>
      <w:tr>
        <w:trPr/>
        <w:tc>
          <w:tcPr>
            <w:tcW w:w="5102" w:type="dxa"/>
            <w:tcBorders>
              <w:bottom w:val="single" w:sz="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2"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jc w:val="center"/>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double" w:sz="2" w:space="0" w:color="000000"/>
            </w:tcBorders>
            <w:shd w:fill="auto" w:val="clear"/>
          </w:tcPr>
          <w:p>
            <w:pPr>
              <w:pStyle w:val="TableContents"/>
              <w:spacing w:lineRule="auto" w:line="300" w:before="0" w:after="0"/>
              <w:ind w:left="0" w:right="0" w:hanging="0"/>
              <w:jc w:val="center"/>
              <w:rPr/>
            </w:pPr>
            <w:r>
              <w:rPr/>
              <w:t> </w:t>
            </w:r>
          </w:p>
          <w:p>
            <w:pPr>
              <w:pStyle w:val="TableContents"/>
              <w:spacing w:lineRule="auto" w:line="300" w:before="0" w:after="0"/>
              <w:ind w:left="0" w:right="0" w:hanging="0"/>
              <w:jc w:val="center"/>
              <w:rPr/>
            </w:pPr>
            <w:r>
              <w:rPr>
                <w:rStyle w:val="StrongEmphasis"/>
                <w:rFonts w:ascii="Times New Roman" w:hAnsi="Times New Roman"/>
                <w:sz w:val="20"/>
              </w:rPr>
              <w:t>Part C</w:t>
            </w:r>
          </w:p>
          <w:p>
            <w:pPr>
              <w:pStyle w:val="TableContents"/>
              <w:spacing w:lineRule="auto" w:line="300" w:before="0" w:after="0"/>
              <w:ind w:left="0" w:right="0" w:hanging="0"/>
              <w:jc w:val="center"/>
              <w:rPr/>
            </w:pPr>
            <w:r>
              <w:rPr/>
              <w:t> </w:t>
            </w:r>
          </w:p>
          <w:p>
            <w:pPr>
              <w:pStyle w:val="TableContents"/>
              <w:spacing w:lineRule="auto" w:line="300" w:before="0" w:after="0"/>
              <w:ind w:left="0" w:right="0" w:hanging="0"/>
              <w:jc w:val="center"/>
              <w:rPr/>
            </w:pPr>
            <w:r>
              <w:rPr>
                <w:rStyle w:val="StrongEmphasis"/>
                <w:rFonts w:ascii="Times New Roman" w:hAnsi="Times New Roman"/>
                <w:sz w:val="20"/>
              </w:rPr>
              <w:t>Terms of Work</w:t>
            </w:r>
          </w:p>
          <w:p>
            <w:pPr>
              <w:pStyle w:val="TableContents"/>
              <w:spacing w:lineRule="auto" w:line="300" w:before="0" w:after="0"/>
              <w:ind w:left="0" w:right="0" w:hanging="0"/>
              <w:jc w:val="center"/>
              <w:rPr/>
            </w:pPr>
            <w:r>
              <w:rPr/>
              <w:t> </w:t>
            </w:r>
          </w:p>
        </w:tc>
      </w:tr>
    </w:tbl>
    <w:p>
      <w:pPr>
        <w:pStyle w:val="TextBody"/>
        <w:spacing w:lineRule="auto" w:line="300" w:before="0" w:after="0"/>
        <w:ind w:left="0" w:right="144" w:hanging="0"/>
        <w:jc w:val="center"/>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Emphasis"/>
                <w:rFonts w:ascii="Times New Roman" w:hAnsi="Times New Roman"/>
                <w:sz w:val="16"/>
              </w:rPr>
              <w:t>Strategies. Solutions. Success. ™</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Page 13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446" w:name="PGBRK30"/>
      <w:bookmarkStart w:id="447" w:name="PGBRK30"/>
      <w:bookmarkEnd w:id="4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48" w:name="FTR30"/>
      <w:bookmarkStart w:id="449" w:name="FTR30"/>
      <w:bookmarkEnd w:id="4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50" w:name="GLFTR30"/>
      <w:bookmarkStart w:id="451" w:name="GLFTR30"/>
      <w:bookmarkEnd w:id="45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452" w:name="PN30"/>
      <w:bookmarkStart w:id="453" w:name="PN30"/>
      <w:bookmarkEnd w:id="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54" w:name="HDR30"/>
      <w:bookmarkStart w:id="455" w:name="HDR30"/>
      <w:bookmarkEnd w:id="4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56" w:name="GLHDR30"/>
      <w:bookmarkStart w:id="457" w:name="GLHDR30"/>
      <w:bookmarkEnd w:id="4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rFonts w:ascii="Times New Roman" w:hAnsi="Times New Roman"/>
                <w:sz w:val="16"/>
              </w:rPr>
            </w:pPr>
            <w:r>
              <w:rPr>
                <w:rFonts w:ascii="Times New Roman" w:hAnsi="Times New Roman"/>
                <w:sz w:val="16"/>
              </w:rPr>
              <w:t>CONFIDENTIAL</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Cato Research Ltd.</w:t>
            </w:r>
          </w:p>
        </w:tc>
      </w:tr>
      <w:tr>
        <w:trPr/>
        <w:tc>
          <w:tcPr>
            <w:tcW w:w="5102" w:type="dxa"/>
            <w:tcBorders>
              <w:bottom w:val="single" w:sz="2" w:space="0" w:color="000000"/>
            </w:tcBorders>
            <w:shd w:fill="FFFFFF" w:val="clear"/>
            <w:tcMar>
              <w:bottom w:w="28" w:type="dxa"/>
            </w:tcMar>
            <w:vAlign w:val="center"/>
          </w:tcPr>
          <w:p>
            <w:pPr>
              <w:pStyle w:val="TableContents"/>
              <w:spacing w:before="0" w:after="283"/>
              <w:rPr/>
            </w:pPr>
            <w:r>
              <w:rPr/>
              <w:t> </w:t>
            </w:r>
          </w:p>
        </w:tc>
        <w:tc>
          <w:tcPr>
            <w:tcW w:w="5103" w:type="dxa"/>
            <w:tcBorders>
              <w:bottom w:val="single" w:sz="2" w:space="0" w:color="000000"/>
            </w:tcBorders>
            <w:shd w:fill="FFFFFF" w:val="clear"/>
            <w:tcMar>
              <w:bottom w:w="28" w:type="dxa"/>
            </w:tcMar>
            <w:vAlign w:val="center"/>
          </w:tcPr>
          <w:p>
            <w:pPr>
              <w:pStyle w:val="TableContents"/>
              <w:spacing w:before="0" w:after="283"/>
              <w:rPr/>
            </w:pPr>
            <w:r>
              <w:rPr/>
              <w:t> </w:t>
            </w:r>
          </w:p>
        </w:tc>
      </w:tr>
    </w:tbl>
    <w:p>
      <w:pPr>
        <w:pStyle w:val="TextBody"/>
        <w:spacing w:before="0" w:after="0"/>
        <w:jc w:val="center"/>
        <w:rPr/>
      </w:pPr>
      <w:r>
        <w:rPr/>
        <w:t> </w:t>
      </w:r>
    </w:p>
    <w:p>
      <w:pPr>
        <w:pStyle w:val="TextBody"/>
        <w:spacing w:lineRule="auto" w:line="300" w:before="0" w:after="0"/>
        <w:ind w:left="0" w:right="0" w:hanging="0"/>
        <w:jc w:val="left"/>
        <w:rPr/>
      </w:pPr>
      <w:r>
        <w:rPr>
          <w:rStyle w:val="StrongEmphasis"/>
          <w:rFonts w:ascii="Times New Roman" w:hAnsi="Times New Roman"/>
          <w:sz w:val="20"/>
        </w:rPr>
        <w:t>TERMS OF WORK</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In accordance with the Master Services Agreement between Transdel Pharmaceuticals Inc. (“Client”) and Cato Research Ltd. (“Cato Research”) dated as of 10 April 2007 (the “Agreement”), Cato Research shall provide CRO Services to Client as outlined in the foregoing proposal.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service fees and expenses set forth in this proposal are based on anticipated cooperation from Client’s personnel and third parties and on the assumption that unexpected circumstances will not be encountered while providing CRO Services. If the details of the required CRO Services change significantly from those outlined in Appendix 1, we will notify you and obtain approval before incurring additional service fees.</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The billing schedule will follow the format outlined in this proposal and all bills shall be issued and paid in accordance with the Agreement, except for payment terms of 90 days for the milestone payments of this proposal (unless otherwise noted) as outlined in Appendix 1 (all milestones will be invoiced upon completion). If the number of units performed exceeds the number of units in the budget, such additional units will be invoiced at the unit cost specified in the budget. In addition to the service fee, out of pocket expenses, pass-through costs and applicable taxes, if any, will be invoiced according to the Agreement and a 1.5% handling fee will be charged for all expenses and pass-through costs. If CRO Services are provided hereunder pursuant to a fixed service fee arrangement then, one year after the latest signature date below, and every year thereafter, the fee for all CRO Services for which Client is invoiced during the subsequent one year period shall increase by the greater of five percent (5%) or the rate of inflation as set forth in the Consumer Price Index - All Urban Consumers, All Items (1982-84=100) as of the last day of the previous month.</w:t>
      </w:r>
    </w:p>
    <w:p>
      <w:pPr>
        <w:pStyle w:val="TextBody"/>
        <w:spacing w:lineRule="auto" w:line="300" w:before="0" w:after="0"/>
        <w:ind w:left="0" w:right="0" w:hanging="0"/>
        <w:jc w:val="left"/>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 xml:space="preserve">The terms and conditions outlined in this proposal are governed by the Agreement and, once signed by both parties, may not be changed except in accordance with the Agreement. </w:t>
      </w:r>
    </w:p>
    <w:p>
      <w:pPr>
        <w:pStyle w:val="TextBody"/>
        <w:spacing w:lineRule="auto" w:line="300" w:before="0" w:after="0"/>
        <w:ind w:left="0" w:right="0" w:hanging="0"/>
        <w:jc w:val="both"/>
        <w:rPr/>
      </w:pPr>
      <w:r>
        <w:rPr/>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By signing below, each party agrees that it has reviewed the specifications and CRO Service fee set forth in the proposal and agrees that Cato Research shall provide, and Client shall pay Cato Research for, the CRO Services described in the proposal.</w:t>
      </w:r>
    </w:p>
    <w:p>
      <w:pPr>
        <w:pStyle w:val="TextBody"/>
        <w:spacing w:lineRule="auto" w:line="300" w:before="0" w:after="0"/>
        <w:ind w:left="0" w:right="0" w:hanging="0"/>
        <w:jc w:val="left"/>
        <w:rPr/>
      </w:pPr>
      <w:r>
        <w:rPr/>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StrongEmphasis"/>
                <w:sz w:val="20"/>
              </w:rPr>
              <w:t>Cato Research Ltd.</w:t>
            </w:r>
          </w:p>
        </w:tc>
        <w:tc>
          <w:tcPr>
            <w:tcW w:w="5103" w:type="dxa"/>
            <w:tcBorders/>
            <w:shd w:fill="FFFFFF" w:val="clear"/>
            <w:vAlign w:val="center"/>
          </w:tcPr>
          <w:p>
            <w:pPr>
              <w:pStyle w:val="TableContents"/>
              <w:spacing w:before="0" w:after="283"/>
              <w:rPr/>
            </w:pPr>
            <w:r>
              <w:rPr>
                <w:rStyle w:val="StrongEmphasis"/>
                <w:sz w:val="20"/>
              </w:rPr>
              <w:t>Transdel Pharmaceuticals Inc.</w:t>
            </w:r>
          </w:p>
        </w:tc>
      </w:tr>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pPr>
            <w:r>
              <w:rPr/>
              <w:t> </w:t>
            </w:r>
          </w:p>
        </w:tc>
      </w:tr>
      <w:tr>
        <w:trPr/>
        <w:tc>
          <w:tcPr>
            <w:tcW w:w="5102" w:type="dxa"/>
            <w:tcBorders/>
            <w:shd w:fill="FFFFFF" w:val="clear"/>
            <w:vAlign w:val="center"/>
          </w:tcPr>
          <w:p>
            <w:pPr>
              <w:pStyle w:val="TableContents"/>
              <w:spacing w:before="0" w:after="283"/>
              <w:rPr>
                <w:sz w:val="20"/>
              </w:rPr>
            </w:pPr>
            <w:r>
              <w:rPr>
                <w:sz w:val="20"/>
              </w:rPr>
              <w:t xml:space="preserve">By: </w:t>
            </w:r>
            <w:r>
              <w:rPr>
                <w:rFonts w:ascii="Times New Roman" w:hAnsi="Times New Roman"/>
                <w:sz w:val="20"/>
                <w:u w:val="single"/>
              </w:rPr>
              <w:t>____/s/ Jo Cato</w:t>
            </w:r>
            <w:r>
              <w:rPr>
                <w:rFonts w:ascii="Times New Roman" w:hAnsi="Times New Roman"/>
                <w:sz w:val="20"/>
              </w:rPr>
              <w:t>____</w:t>
            </w:r>
          </w:p>
        </w:tc>
        <w:tc>
          <w:tcPr>
            <w:tcW w:w="5103" w:type="dxa"/>
            <w:tcBorders/>
            <w:shd w:fill="FFFFFF" w:val="clear"/>
            <w:vAlign w:val="center"/>
          </w:tcPr>
          <w:p>
            <w:pPr>
              <w:pStyle w:val="TableContents"/>
              <w:spacing w:before="0" w:after="283"/>
              <w:rPr>
                <w:sz w:val="20"/>
              </w:rPr>
            </w:pPr>
            <w:r>
              <w:rPr>
                <w:sz w:val="20"/>
              </w:rPr>
              <w:t xml:space="preserve">By: </w:t>
            </w:r>
            <w:r>
              <w:rPr>
                <w:rFonts w:ascii="Times New Roman" w:hAnsi="Times New Roman"/>
                <w:sz w:val="20"/>
                <w:u w:val="single"/>
              </w:rPr>
              <w:t>__/s/ Juliet Singh</w:t>
            </w:r>
            <w:r>
              <w:rPr>
                <w:rFonts w:ascii="Times New Roman" w:hAnsi="Times New Roman"/>
                <w:sz w:val="20"/>
              </w:rPr>
              <w:t>___________</w:t>
            </w:r>
          </w:p>
        </w:tc>
      </w:tr>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pPr>
            <w:r>
              <w:rPr/>
              <w:t> </w:t>
            </w:r>
          </w:p>
        </w:tc>
      </w:tr>
      <w:tr>
        <w:trPr/>
        <w:tc>
          <w:tcPr>
            <w:tcW w:w="5102" w:type="dxa"/>
            <w:tcBorders/>
            <w:shd w:fill="FFFFFF" w:val="clear"/>
            <w:vAlign w:val="center"/>
          </w:tcPr>
          <w:p>
            <w:pPr>
              <w:pStyle w:val="TableContents"/>
              <w:spacing w:before="0" w:after="283"/>
              <w:rPr>
                <w:sz w:val="20"/>
              </w:rPr>
            </w:pPr>
            <w:r>
              <w:rPr>
                <w:sz w:val="20"/>
              </w:rPr>
              <w:t>Name: ___</w:t>
            </w:r>
            <w:r>
              <w:rPr>
                <w:rFonts w:ascii="Times New Roman" w:hAnsi="Times New Roman"/>
                <w:sz w:val="20"/>
                <w:u w:val="single"/>
              </w:rPr>
              <w:t>Jo Cato</w:t>
            </w:r>
            <w:r>
              <w:rPr>
                <w:rFonts w:ascii="Times New Roman" w:hAnsi="Times New Roman"/>
                <w:sz w:val="20"/>
              </w:rPr>
              <w:t>__________</w:t>
            </w:r>
          </w:p>
        </w:tc>
        <w:tc>
          <w:tcPr>
            <w:tcW w:w="5103" w:type="dxa"/>
            <w:tcBorders/>
            <w:shd w:fill="FFFFFF" w:val="clear"/>
            <w:vAlign w:val="center"/>
          </w:tcPr>
          <w:p>
            <w:pPr>
              <w:pStyle w:val="TableContents"/>
              <w:spacing w:before="0" w:after="283"/>
              <w:rPr>
                <w:sz w:val="20"/>
              </w:rPr>
            </w:pPr>
            <w:r>
              <w:rPr>
                <w:sz w:val="20"/>
              </w:rPr>
              <w:t>Name: ___</w:t>
            </w:r>
            <w:r>
              <w:rPr>
                <w:rFonts w:ascii="Times New Roman" w:hAnsi="Times New Roman"/>
                <w:sz w:val="20"/>
                <w:u w:val="single"/>
              </w:rPr>
              <w:t>Juliet Singh</w:t>
            </w:r>
            <w:r>
              <w:rPr>
                <w:rFonts w:ascii="Times New Roman" w:hAnsi="Times New Roman"/>
                <w:sz w:val="20"/>
              </w:rPr>
              <w:t>_______</w:t>
            </w:r>
          </w:p>
        </w:tc>
      </w:tr>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pPr>
            <w:r>
              <w:rPr/>
              <w:t> </w:t>
            </w:r>
          </w:p>
        </w:tc>
      </w:tr>
      <w:tr>
        <w:trPr/>
        <w:tc>
          <w:tcPr>
            <w:tcW w:w="5102" w:type="dxa"/>
            <w:tcBorders/>
            <w:shd w:fill="FFFFFF" w:val="clear"/>
            <w:vAlign w:val="center"/>
          </w:tcPr>
          <w:p>
            <w:pPr>
              <w:pStyle w:val="TableContents"/>
              <w:spacing w:before="0" w:after="283"/>
              <w:rPr>
                <w:sz w:val="20"/>
              </w:rPr>
            </w:pPr>
            <w:r>
              <w:rPr>
                <w:sz w:val="20"/>
              </w:rPr>
              <w:t>Title: __</w:t>
            </w:r>
            <w:r>
              <w:rPr>
                <w:rFonts w:ascii="Times New Roman" w:hAnsi="Times New Roman"/>
                <w:sz w:val="20"/>
                <w:u w:val="single"/>
              </w:rPr>
              <w:t>Managing Director</w:t>
            </w:r>
            <w:r>
              <w:rPr>
                <w:rFonts w:ascii="Times New Roman" w:hAnsi="Times New Roman"/>
                <w:sz w:val="20"/>
              </w:rPr>
              <w:t>___</w:t>
            </w:r>
          </w:p>
        </w:tc>
        <w:tc>
          <w:tcPr>
            <w:tcW w:w="5103" w:type="dxa"/>
            <w:tcBorders/>
            <w:shd w:fill="FFFFFF" w:val="clear"/>
            <w:vAlign w:val="center"/>
          </w:tcPr>
          <w:p>
            <w:pPr>
              <w:pStyle w:val="TableContents"/>
              <w:spacing w:before="0" w:after="283"/>
              <w:rPr>
                <w:sz w:val="20"/>
              </w:rPr>
            </w:pPr>
            <w:r>
              <w:rPr>
                <w:sz w:val="20"/>
              </w:rPr>
              <w:t>Title: ___</w:t>
            </w:r>
            <w:r>
              <w:rPr>
                <w:rFonts w:ascii="Times New Roman" w:hAnsi="Times New Roman"/>
                <w:sz w:val="20"/>
                <w:u w:val="single"/>
              </w:rPr>
              <w:t>Chief Executive Officer</w:t>
            </w:r>
            <w:r>
              <w:rPr>
                <w:rFonts w:ascii="Times New Roman" w:hAnsi="Times New Roman"/>
                <w:sz w:val="20"/>
              </w:rPr>
              <w:t>___</w:t>
            </w:r>
          </w:p>
        </w:tc>
      </w:tr>
      <w:tr>
        <w:trPr/>
        <w:tc>
          <w:tcPr>
            <w:tcW w:w="5102"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pPr>
            <w:r>
              <w:rPr/>
              <w:t> </w:t>
            </w:r>
          </w:p>
        </w:tc>
      </w:tr>
      <w:tr>
        <w:trPr/>
        <w:tc>
          <w:tcPr>
            <w:tcW w:w="5102" w:type="dxa"/>
            <w:tcBorders/>
            <w:shd w:fill="FFFFFF" w:val="clear"/>
            <w:vAlign w:val="center"/>
          </w:tcPr>
          <w:p>
            <w:pPr>
              <w:pStyle w:val="TableContents"/>
              <w:spacing w:before="0" w:after="283"/>
              <w:rPr>
                <w:sz w:val="20"/>
              </w:rPr>
            </w:pPr>
            <w:r>
              <w:rPr>
                <w:sz w:val="20"/>
              </w:rPr>
              <w:t>Date: ____</w:t>
            </w:r>
            <w:r>
              <w:rPr>
                <w:rFonts w:ascii="Times New Roman" w:hAnsi="Times New Roman"/>
                <w:sz w:val="20"/>
                <w:u w:val="single"/>
              </w:rPr>
              <w:t>June 10, 2008_____</w:t>
            </w:r>
          </w:p>
        </w:tc>
        <w:tc>
          <w:tcPr>
            <w:tcW w:w="5103" w:type="dxa"/>
            <w:tcBorders/>
            <w:shd w:fill="FFFFFF" w:val="clear"/>
            <w:vAlign w:val="center"/>
          </w:tcPr>
          <w:p>
            <w:pPr>
              <w:pStyle w:val="TableContents"/>
              <w:spacing w:before="0" w:after="283"/>
              <w:rPr>
                <w:sz w:val="20"/>
              </w:rPr>
            </w:pPr>
            <w:r>
              <w:rPr>
                <w:sz w:val="20"/>
              </w:rPr>
              <w:t>Date: ____</w:t>
            </w:r>
            <w:r>
              <w:rPr>
                <w:rFonts w:ascii="Times New Roman" w:hAnsi="Times New Roman"/>
                <w:sz w:val="20"/>
                <w:u w:val="single"/>
              </w:rPr>
              <w:t>June 10, 2008</w:t>
            </w:r>
            <w:r>
              <w:rPr>
                <w:rFonts w:ascii="Times New Roman" w:hAnsi="Times New Roman"/>
                <w:sz w:val="20"/>
              </w:rPr>
              <w:t>___</w:t>
            </w:r>
          </w:p>
        </w:tc>
      </w:tr>
    </w:tbl>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rPr/>
            </w:pPr>
            <w:r>
              <w:rPr>
                <w:rStyle w:val="Emphasis"/>
                <w:rFonts w:ascii="Times New Roman" w:hAnsi="Times New Roman"/>
                <w:sz w:val="16"/>
              </w:rPr>
              <w:t>Strategies. Solutions. Success. ™</w:t>
            </w:r>
          </w:p>
        </w:tc>
        <w:tc>
          <w:tcPr>
            <w:tcW w:w="5103" w:type="dxa"/>
            <w:tcBorders/>
            <w:shd w:fill="FFFFFF" w:val="clear"/>
            <w:vAlign w:val="center"/>
          </w:tcPr>
          <w:p>
            <w:pPr>
              <w:pStyle w:val="TableContents"/>
              <w:spacing w:before="0" w:after="0"/>
              <w:ind w:left="0" w:right="0" w:hanging="0"/>
              <w:jc w:val="right"/>
              <w:rPr>
                <w:rFonts w:ascii="Times New Roman" w:hAnsi="Times New Roman"/>
                <w:sz w:val="16"/>
              </w:rPr>
            </w:pPr>
            <w:r>
              <w:rPr>
                <w:rFonts w:ascii="Times New Roman" w:hAnsi="Times New Roman"/>
                <w:sz w:val="16"/>
              </w:rPr>
              <w:t>Page 14</w:t>
            </w:r>
          </w:p>
        </w:tc>
      </w:tr>
    </w:tbl>
    <w:p>
      <w:pPr>
        <w:pStyle w:val="TextBody"/>
        <w:spacing w:lineRule="auto" w:line="300" w:before="0" w:after="0"/>
        <w:jc w:val="center"/>
        <w:rPr/>
      </w:pPr>
      <w:r>
        <w:rPr/>
        <w:t> </w:t>
      </w:r>
    </w:p>
    <w:p>
      <w:pPr>
        <w:pStyle w:val="TextBody"/>
        <w:spacing w:lineRule="auto" w:line="300"/>
        <w:jc w:val="center"/>
        <w:rPr/>
      </w:pPr>
      <w:r>
        <w:rPr/>
        <w:t> </w:t>
      </w:r>
      <w:r>
        <w:br w:type="page"/>
      </w:r>
    </w:p>
    <w:p>
      <w:pPr>
        <w:pStyle w:val="TextBody"/>
        <w:spacing w:lineRule="auto" w:line="300" w:before="0" w:after="0"/>
        <w:ind w:left="0" w:right="0" w:hanging="0"/>
        <w:jc w:val="right"/>
        <w:rPr>
          <w:rFonts w:ascii="Times New Roman" w:hAnsi="Times New Roman"/>
          <w:sz w:val="20"/>
        </w:rPr>
      </w:pPr>
      <w:bookmarkStart w:id="458" w:name="v122485_ex31-1.htm"/>
      <w:bookmarkStart w:id="459" w:name="ksv122485_ex311"/>
      <w:bookmarkEnd w:id="458"/>
      <w:bookmarkEnd w:id="459"/>
      <w:r>
        <w:rPr>
          <w:rFonts w:ascii="Times New Roman" w:hAnsi="Times New Roman"/>
          <w:sz w:val="20"/>
        </w:rPr>
        <w:t>EXHIBIT 31.1</w:t>
      </w:r>
    </w:p>
    <w:p>
      <w:pPr>
        <w:pStyle w:val="TextBody"/>
        <w:spacing w:lineRule="auto" w:line="300" w:before="0" w:after="0"/>
        <w:ind w:left="0" w:right="0" w:hanging="0"/>
        <w:jc w:val="both"/>
        <w:rPr/>
      </w:pPr>
      <w:bookmarkStart w:id="460" w:name="FIS_CERTIFICATION"/>
      <w:bookmarkEnd w:id="460"/>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CERTIFICATION OF THE PRINCIPAL EXECUTIVE OFFICER UNDER</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SECTION 302 OF THE SARBANES-OXLEY ACT</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 Juliet Singh, Ph.D., certify that:</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22"/>
        <w:gridCol w:w="322"/>
        <w:gridCol w:w="9561"/>
      </w:tblGrid>
      <w:tr>
        <w:trPr/>
        <w:tc>
          <w:tcPr>
            <w:tcW w:w="322" w:type="dxa"/>
            <w:tcBorders/>
            <w:shd w:fill="auto" w:val="clear"/>
          </w:tcPr>
          <w:p>
            <w:pPr>
              <w:pStyle w:val="TableContents"/>
              <w:spacing w:before="0" w:after="283"/>
              <w:jc w:val="left"/>
              <w:rPr/>
            </w:pPr>
            <w:r>
              <w:rPr/>
              <w:t> </w:t>
            </w:r>
          </w:p>
        </w:tc>
        <w:tc>
          <w:tcPr>
            <w:tcW w:w="322"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(1)</w:t>
            </w:r>
          </w:p>
        </w:tc>
        <w:tc>
          <w:tcPr>
            <w:tcW w:w="9561"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I have reviewed this quarterly report on Form 10-Q of Transdel Pharmaceuticals, Inc.;</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21"/>
        <w:gridCol w:w="321"/>
        <w:gridCol w:w="9563"/>
      </w:tblGrid>
      <w:tr>
        <w:trPr/>
        <w:tc>
          <w:tcPr>
            <w:tcW w:w="321" w:type="dxa"/>
            <w:tcBorders/>
            <w:shd w:fill="auto" w:val="clear"/>
          </w:tcPr>
          <w:p>
            <w:pPr>
              <w:pStyle w:val="TableContents"/>
              <w:spacing w:before="0" w:after="283"/>
              <w:jc w:val="left"/>
              <w:rPr/>
            </w:pPr>
            <w:r>
              <w:rPr/>
              <w:t> </w:t>
            </w:r>
          </w:p>
        </w:tc>
        <w:tc>
          <w:tcPr>
            <w:tcW w:w="321"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(2)</w:t>
            </w:r>
          </w:p>
        </w:tc>
        <w:tc>
          <w:tcPr>
            <w:tcW w:w="9563"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21"/>
        <w:gridCol w:w="322"/>
        <w:gridCol w:w="9562"/>
      </w:tblGrid>
      <w:tr>
        <w:trPr/>
        <w:tc>
          <w:tcPr>
            <w:tcW w:w="321" w:type="dxa"/>
            <w:tcBorders/>
            <w:shd w:fill="auto" w:val="clear"/>
          </w:tcPr>
          <w:p>
            <w:pPr>
              <w:pStyle w:val="TableContents"/>
              <w:spacing w:before="0" w:after="283"/>
              <w:jc w:val="left"/>
              <w:rPr/>
            </w:pPr>
            <w:r>
              <w:rPr/>
              <w:t> </w:t>
            </w:r>
          </w:p>
        </w:tc>
        <w:tc>
          <w:tcPr>
            <w:tcW w:w="322"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(3)</w:t>
            </w:r>
          </w:p>
        </w:tc>
        <w:tc>
          <w:tcPr>
            <w:tcW w:w="9562"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21"/>
        <w:gridCol w:w="321"/>
        <w:gridCol w:w="9563"/>
      </w:tblGrid>
      <w:tr>
        <w:trPr/>
        <w:tc>
          <w:tcPr>
            <w:tcW w:w="321" w:type="dxa"/>
            <w:tcBorders/>
            <w:shd w:fill="auto" w:val="clear"/>
          </w:tcPr>
          <w:p>
            <w:pPr>
              <w:pStyle w:val="TableContents"/>
              <w:spacing w:before="0" w:after="283"/>
              <w:jc w:val="left"/>
              <w:rPr/>
            </w:pPr>
            <w:r>
              <w:rPr/>
              <w:t> </w:t>
            </w:r>
          </w:p>
        </w:tc>
        <w:tc>
          <w:tcPr>
            <w:tcW w:w="321"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(4)</w:t>
            </w:r>
          </w:p>
        </w:tc>
        <w:tc>
          <w:tcPr>
            <w:tcW w:w="9563"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322"/>
        <w:gridCol w:w="9239"/>
      </w:tblGrid>
      <w:tr>
        <w:trPr/>
        <w:tc>
          <w:tcPr>
            <w:tcW w:w="644" w:type="dxa"/>
            <w:tcBorders/>
            <w:shd w:fill="auto" w:val="clear"/>
          </w:tcPr>
          <w:p>
            <w:pPr>
              <w:pStyle w:val="TableContents"/>
              <w:spacing w:before="0" w:after="283"/>
              <w:jc w:val="left"/>
              <w:rPr/>
            </w:pPr>
            <w:r>
              <w:rPr/>
              <w:t> </w:t>
            </w:r>
          </w:p>
        </w:tc>
        <w:tc>
          <w:tcPr>
            <w:tcW w:w="322"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a)</w:t>
            </w:r>
          </w:p>
        </w:tc>
        <w:tc>
          <w:tcPr>
            <w:tcW w:w="9239"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322"/>
        <w:gridCol w:w="9239"/>
      </w:tblGrid>
      <w:tr>
        <w:trPr/>
        <w:tc>
          <w:tcPr>
            <w:tcW w:w="644" w:type="dxa"/>
            <w:tcBorders/>
            <w:shd w:fill="auto" w:val="clear"/>
          </w:tcPr>
          <w:p>
            <w:pPr>
              <w:pStyle w:val="TableContents"/>
              <w:spacing w:before="0" w:after="283"/>
              <w:jc w:val="left"/>
              <w:rPr/>
            </w:pPr>
            <w:r>
              <w:rPr/>
              <w:t> </w:t>
            </w:r>
          </w:p>
        </w:tc>
        <w:tc>
          <w:tcPr>
            <w:tcW w:w="322"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b)</w:t>
            </w:r>
          </w:p>
        </w:tc>
        <w:tc>
          <w:tcPr>
            <w:tcW w:w="9239"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322"/>
        <w:gridCol w:w="9239"/>
      </w:tblGrid>
      <w:tr>
        <w:trPr/>
        <w:tc>
          <w:tcPr>
            <w:tcW w:w="644" w:type="dxa"/>
            <w:tcBorders/>
            <w:shd w:fill="auto" w:val="clear"/>
          </w:tcPr>
          <w:p>
            <w:pPr>
              <w:pStyle w:val="TableContents"/>
              <w:spacing w:before="0" w:after="283"/>
              <w:jc w:val="left"/>
              <w:rPr/>
            </w:pPr>
            <w:r>
              <w:rPr/>
              <w:t> </w:t>
            </w:r>
          </w:p>
        </w:tc>
        <w:tc>
          <w:tcPr>
            <w:tcW w:w="322"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c)</w:t>
            </w:r>
          </w:p>
        </w:tc>
        <w:tc>
          <w:tcPr>
            <w:tcW w:w="9239"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21"/>
        <w:gridCol w:w="322"/>
        <w:gridCol w:w="9562"/>
      </w:tblGrid>
      <w:tr>
        <w:trPr/>
        <w:tc>
          <w:tcPr>
            <w:tcW w:w="321" w:type="dxa"/>
            <w:tcBorders/>
            <w:shd w:fill="auto" w:val="clear"/>
          </w:tcPr>
          <w:p>
            <w:pPr>
              <w:pStyle w:val="TableContents"/>
              <w:spacing w:before="0" w:after="283"/>
              <w:jc w:val="left"/>
              <w:rPr/>
            </w:pPr>
            <w:r>
              <w:rPr/>
              <w:t> </w:t>
            </w:r>
          </w:p>
        </w:tc>
        <w:tc>
          <w:tcPr>
            <w:tcW w:w="322"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(5)</w:t>
            </w:r>
          </w:p>
        </w:tc>
        <w:tc>
          <w:tcPr>
            <w:tcW w:w="9562"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registrant’s board of directors (or persons performing the equivalent functions):</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3"/>
        <w:gridCol w:w="322"/>
        <w:gridCol w:w="9240"/>
      </w:tblGrid>
      <w:tr>
        <w:trPr/>
        <w:tc>
          <w:tcPr>
            <w:tcW w:w="643" w:type="dxa"/>
            <w:tcBorders/>
            <w:shd w:fill="auto" w:val="clear"/>
          </w:tcPr>
          <w:p>
            <w:pPr>
              <w:pStyle w:val="TableContents"/>
              <w:spacing w:before="0" w:after="283"/>
              <w:jc w:val="left"/>
              <w:rPr/>
            </w:pPr>
            <w:r>
              <w:rPr/>
              <w:t> </w:t>
            </w:r>
          </w:p>
        </w:tc>
        <w:tc>
          <w:tcPr>
            <w:tcW w:w="322"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a)</w:t>
            </w:r>
          </w:p>
        </w:tc>
        <w:tc>
          <w:tcPr>
            <w:tcW w:w="9240"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All significant deficiencies or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3"/>
        <w:gridCol w:w="321"/>
        <w:gridCol w:w="9241"/>
      </w:tblGrid>
      <w:tr>
        <w:trPr/>
        <w:tc>
          <w:tcPr>
            <w:tcW w:w="643" w:type="dxa"/>
            <w:tcBorders/>
            <w:shd w:fill="auto" w:val="clear"/>
          </w:tcPr>
          <w:p>
            <w:pPr>
              <w:pStyle w:val="TableContents"/>
              <w:spacing w:before="0" w:after="283"/>
              <w:jc w:val="left"/>
              <w:rPr/>
            </w:pPr>
            <w:r>
              <w:rPr/>
              <w:t> </w:t>
            </w:r>
          </w:p>
        </w:tc>
        <w:tc>
          <w:tcPr>
            <w:tcW w:w="321"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b)</w:t>
            </w:r>
          </w:p>
        </w:tc>
        <w:tc>
          <w:tcPr>
            <w:tcW w:w="9241"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lineRule="auto" w:line="300" w:before="0" w:after="0"/>
        <w:ind w:left="0" w:right="0" w:hanging="0"/>
        <w:jc w:val="left"/>
        <w:rPr/>
      </w:pPr>
      <w:r>
        <w:rPr/>
        <w:t> </w:t>
      </w:r>
    </w:p>
    <w:p>
      <w:pPr>
        <w:pStyle w:val="TextBody"/>
        <w:spacing w:lineRule="auto" w:line="300"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5369"/>
        <w:gridCol w:w="4836"/>
      </w:tblGrid>
      <w:tr>
        <w:trPr/>
        <w:tc>
          <w:tcPr>
            <w:tcW w:w="5369" w:type="dxa"/>
            <w:tcBorders>
              <w:bottom w:val="single" w:sz="2" w:space="0" w:color="FFFFFF"/>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Date: August 11, 2008</w:t>
            </w:r>
          </w:p>
        </w:tc>
        <w:tc>
          <w:tcPr>
            <w:tcW w:w="4836" w:type="dxa"/>
            <w:tcBorders>
              <w:bottom w:val="single" w:sz="2" w:space="0" w:color="000000"/>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/s/ Juliet Singh</w:t>
            </w:r>
          </w:p>
        </w:tc>
      </w:tr>
      <w:tr>
        <w:trPr/>
        <w:tc>
          <w:tcPr>
            <w:tcW w:w="5369" w:type="dxa"/>
            <w:tcBorders/>
            <w:shd w:fill="auto" w:val="clear"/>
            <w:tcMar>
              <w:bottom w:w="0" w:type="dxa"/>
            </w:tcMar>
          </w:tcPr>
          <w:p>
            <w:pPr>
              <w:pStyle w:val="TableContents"/>
              <w:spacing w:lineRule="auto" w:line="300" w:before="0" w:after="0"/>
              <w:ind w:left="0" w:right="16" w:hanging="0"/>
              <w:jc w:val="left"/>
              <w:rPr/>
            </w:pPr>
            <w:r>
              <w:rPr/>
              <w:t> </w:t>
            </w:r>
          </w:p>
        </w:tc>
        <w:tc>
          <w:tcPr>
            <w:tcW w:w="4836" w:type="dxa"/>
            <w:tcBorders/>
            <w:shd w:fill="auto" w:val="clear"/>
            <w:tcMar>
              <w:bottom w:w="0" w:type="dxa"/>
            </w:tcM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Juliet Singh, Ph.D., Chief Executive Officer</w:t>
            </w:r>
          </w:p>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(Principal Executive Officer)</w:t>
            </w:r>
          </w:p>
        </w:tc>
      </w:tr>
    </w:tbl>
    <w:p>
      <w:pPr>
        <w:pStyle w:val="TextBody"/>
        <w:spacing w:lineRule="auto" w:line="30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ind w:left="0" w:right="0" w:hanging="0"/>
        <w:jc w:val="both"/>
        <w:rPr/>
      </w:pPr>
      <w:r>
        <w:rPr/>
      </w:r>
      <w:bookmarkStart w:id="461" w:name="PGBRK31"/>
      <w:bookmarkStart w:id="462" w:name="PGBRK31"/>
      <w:bookmarkEnd w:id="4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both"/>
        <w:rPr/>
      </w:pPr>
      <w:r>
        <w:rPr/>
      </w:r>
      <w:bookmarkStart w:id="463" w:name="FTR31"/>
      <w:bookmarkStart w:id="464" w:name="FTR31"/>
      <w:bookmarkEnd w:id="4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left"/>
        <w:rPr/>
      </w:pPr>
      <w:bookmarkStart w:id="465" w:name="GLFTR31"/>
      <w:bookmarkEnd w:id="46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bookmarkStart w:id="466" w:name="PN31"/>
      <w:bookmarkEnd w:id="466"/>
      <w:r>
        <w:rPr/>
        <w:t> </w:t>
      </w:r>
    </w:p>
    <w:p>
      <w:pPr>
        <w:pStyle w:val="HorizontalLine"/>
        <w:pBdr>
          <w:bottom w:val="single" w:sz="12" w:space="0" w:color="808080"/>
        </w:pBdr>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both"/>
        <w:rPr/>
      </w:pPr>
      <w:r>
        <w:rPr/>
      </w:r>
      <w:bookmarkStart w:id="467" w:name="HDR31"/>
      <w:bookmarkStart w:id="468" w:name="HDR31"/>
      <w:bookmarkEnd w:id="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right"/>
        <w:rPr/>
      </w:pPr>
      <w:bookmarkStart w:id="469" w:name="GLHDR31"/>
      <w:bookmarkEnd w:id="46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both"/>
        <w:rPr/>
      </w:pPr>
      <w:r>
        <w:rPr/>
      </w:r>
      <w:bookmarkStart w:id="470" w:name="TAB13"/>
      <w:bookmarkStart w:id="471" w:name="TAB13"/>
      <w:bookmarkEnd w:id="471"/>
      <w:r>
        <w:br w:type="page"/>
      </w:r>
    </w:p>
    <w:p>
      <w:pPr>
        <w:pStyle w:val="TextBody"/>
        <w:spacing w:lineRule="auto" w:line="300" w:before="0" w:after="0"/>
        <w:ind w:left="0" w:right="0" w:hanging="0"/>
        <w:jc w:val="right"/>
        <w:rPr>
          <w:rFonts w:ascii="Times New Roman" w:hAnsi="Times New Roman"/>
          <w:sz w:val="20"/>
        </w:rPr>
      </w:pPr>
      <w:bookmarkStart w:id="472" w:name="v122485_ex31-2.htm"/>
      <w:bookmarkStart w:id="473" w:name="ksv122485_ex312"/>
      <w:bookmarkEnd w:id="472"/>
      <w:bookmarkEnd w:id="473"/>
      <w:r>
        <w:rPr>
          <w:rFonts w:ascii="Times New Roman" w:hAnsi="Times New Roman"/>
          <w:sz w:val="20"/>
        </w:rPr>
        <w:t>EXHIBIT 31.2</w:t>
      </w:r>
    </w:p>
    <w:p>
      <w:pPr>
        <w:pStyle w:val="TextBody"/>
        <w:spacing w:lineRule="auto" w:line="300" w:before="0" w:after="0"/>
        <w:ind w:left="0" w:right="0" w:hanging="0"/>
        <w:jc w:val="both"/>
        <w:rPr/>
      </w:pPr>
      <w:bookmarkStart w:id="474" w:name="FIS_CERTIFICATION_2"/>
      <w:bookmarkEnd w:id="474"/>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CERTIFICATION OF THE PRINCIPAL FINANCIAL OFFICER UNDER</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SECTION 302 OF THE SARBANES-OXLEY ACT</w:t>
      </w:r>
    </w:p>
    <w:p>
      <w:pPr>
        <w:pStyle w:val="TextBody"/>
        <w:spacing w:lineRule="auto" w:line="300" w:before="0" w:after="0"/>
        <w:ind w:left="0" w:right="0" w:hanging="0"/>
        <w:jc w:val="both"/>
        <w:rPr/>
      </w:pPr>
      <w:r>
        <w:rPr/>
        <w:t> </w:t>
      </w:r>
    </w:p>
    <w:p>
      <w:pPr>
        <w:pStyle w:val="TextBody"/>
        <w:spacing w:lineRule="auto" w:line="300" w:before="0" w:after="0"/>
        <w:ind w:left="0" w:right="0" w:hanging="0"/>
        <w:jc w:val="both"/>
        <w:rPr>
          <w:rFonts w:ascii="Times New Roman" w:hAnsi="Times New Roman"/>
          <w:sz w:val="20"/>
        </w:rPr>
      </w:pPr>
      <w:r>
        <w:rPr>
          <w:rFonts w:ascii="Times New Roman" w:hAnsi="Times New Roman"/>
          <w:sz w:val="20"/>
        </w:rPr>
        <w:t>I, John T. Lomoro, certify that:</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22"/>
        <w:gridCol w:w="322"/>
        <w:gridCol w:w="9561"/>
      </w:tblGrid>
      <w:tr>
        <w:trPr/>
        <w:tc>
          <w:tcPr>
            <w:tcW w:w="322" w:type="dxa"/>
            <w:tcBorders/>
            <w:shd w:fill="auto" w:val="clear"/>
          </w:tcPr>
          <w:p>
            <w:pPr>
              <w:pStyle w:val="TableContents"/>
              <w:spacing w:before="0" w:after="283"/>
              <w:jc w:val="left"/>
              <w:rPr/>
            </w:pPr>
            <w:r>
              <w:rPr/>
              <w:t> </w:t>
            </w:r>
          </w:p>
        </w:tc>
        <w:tc>
          <w:tcPr>
            <w:tcW w:w="322"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(1)</w:t>
            </w:r>
          </w:p>
        </w:tc>
        <w:tc>
          <w:tcPr>
            <w:tcW w:w="9561"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I have reviewed this quarterly report on Form 10-Q of Transdel Pharmaceuticals, Inc.;</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21"/>
        <w:gridCol w:w="321"/>
        <w:gridCol w:w="9563"/>
      </w:tblGrid>
      <w:tr>
        <w:trPr/>
        <w:tc>
          <w:tcPr>
            <w:tcW w:w="321" w:type="dxa"/>
            <w:tcBorders/>
            <w:shd w:fill="auto" w:val="clear"/>
          </w:tcPr>
          <w:p>
            <w:pPr>
              <w:pStyle w:val="TableContents"/>
              <w:spacing w:before="0" w:after="283"/>
              <w:jc w:val="left"/>
              <w:rPr/>
            </w:pPr>
            <w:r>
              <w:rPr/>
              <w:t> </w:t>
            </w:r>
          </w:p>
        </w:tc>
        <w:tc>
          <w:tcPr>
            <w:tcW w:w="321"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(2)</w:t>
            </w:r>
          </w:p>
        </w:tc>
        <w:tc>
          <w:tcPr>
            <w:tcW w:w="9563"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21"/>
        <w:gridCol w:w="321"/>
        <w:gridCol w:w="9563"/>
      </w:tblGrid>
      <w:tr>
        <w:trPr/>
        <w:tc>
          <w:tcPr>
            <w:tcW w:w="321" w:type="dxa"/>
            <w:tcBorders/>
            <w:shd w:fill="auto" w:val="clear"/>
          </w:tcPr>
          <w:p>
            <w:pPr>
              <w:pStyle w:val="TableContents"/>
              <w:spacing w:before="0" w:after="283"/>
              <w:jc w:val="left"/>
              <w:rPr/>
            </w:pPr>
            <w:r>
              <w:rPr/>
              <w:t> </w:t>
            </w:r>
          </w:p>
        </w:tc>
        <w:tc>
          <w:tcPr>
            <w:tcW w:w="321"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(3)</w:t>
            </w:r>
          </w:p>
        </w:tc>
        <w:tc>
          <w:tcPr>
            <w:tcW w:w="9563"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20"/>
        <w:gridCol w:w="321"/>
        <w:gridCol w:w="9564"/>
      </w:tblGrid>
      <w:tr>
        <w:trPr/>
        <w:tc>
          <w:tcPr>
            <w:tcW w:w="320" w:type="dxa"/>
            <w:tcBorders/>
            <w:shd w:fill="auto" w:val="clear"/>
          </w:tcPr>
          <w:p>
            <w:pPr>
              <w:pStyle w:val="TableContents"/>
              <w:spacing w:before="0" w:after="283"/>
              <w:jc w:val="left"/>
              <w:rPr/>
            </w:pPr>
            <w:r>
              <w:rPr/>
              <w:t> </w:t>
            </w:r>
          </w:p>
        </w:tc>
        <w:tc>
          <w:tcPr>
            <w:tcW w:w="321"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(4)</w:t>
            </w:r>
          </w:p>
        </w:tc>
        <w:tc>
          <w:tcPr>
            <w:tcW w:w="9564"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322"/>
        <w:gridCol w:w="9239"/>
      </w:tblGrid>
      <w:tr>
        <w:trPr/>
        <w:tc>
          <w:tcPr>
            <w:tcW w:w="644" w:type="dxa"/>
            <w:tcBorders/>
            <w:shd w:fill="auto" w:val="clear"/>
          </w:tcPr>
          <w:p>
            <w:pPr>
              <w:pStyle w:val="TableContents"/>
              <w:spacing w:before="0" w:after="283"/>
              <w:jc w:val="left"/>
              <w:rPr/>
            </w:pPr>
            <w:r>
              <w:rPr/>
              <w:t> </w:t>
            </w:r>
          </w:p>
        </w:tc>
        <w:tc>
          <w:tcPr>
            <w:tcW w:w="322"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a)</w:t>
            </w:r>
          </w:p>
        </w:tc>
        <w:tc>
          <w:tcPr>
            <w:tcW w:w="9239"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322"/>
        <w:gridCol w:w="9239"/>
      </w:tblGrid>
      <w:tr>
        <w:trPr/>
        <w:tc>
          <w:tcPr>
            <w:tcW w:w="644" w:type="dxa"/>
            <w:tcBorders/>
            <w:shd w:fill="auto" w:val="clear"/>
          </w:tcPr>
          <w:p>
            <w:pPr>
              <w:pStyle w:val="TableContents"/>
              <w:spacing w:before="0" w:after="283"/>
              <w:jc w:val="left"/>
              <w:rPr/>
            </w:pPr>
            <w:r>
              <w:rPr/>
              <w:t> </w:t>
            </w:r>
          </w:p>
        </w:tc>
        <w:tc>
          <w:tcPr>
            <w:tcW w:w="322"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b)</w:t>
            </w:r>
          </w:p>
        </w:tc>
        <w:tc>
          <w:tcPr>
            <w:tcW w:w="9239"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4"/>
        <w:gridCol w:w="322"/>
        <w:gridCol w:w="9239"/>
      </w:tblGrid>
      <w:tr>
        <w:trPr/>
        <w:tc>
          <w:tcPr>
            <w:tcW w:w="644" w:type="dxa"/>
            <w:tcBorders/>
            <w:shd w:fill="auto" w:val="clear"/>
          </w:tcPr>
          <w:p>
            <w:pPr>
              <w:pStyle w:val="TableContents"/>
              <w:spacing w:before="0" w:after="283"/>
              <w:jc w:val="left"/>
              <w:rPr/>
            </w:pPr>
            <w:r>
              <w:rPr/>
              <w:t> </w:t>
            </w:r>
          </w:p>
        </w:tc>
        <w:tc>
          <w:tcPr>
            <w:tcW w:w="322"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c)</w:t>
            </w:r>
          </w:p>
        </w:tc>
        <w:tc>
          <w:tcPr>
            <w:tcW w:w="9239"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21"/>
        <w:gridCol w:w="322"/>
        <w:gridCol w:w="9562"/>
      </w:tblGrid>
      <w:tr>
        <w:trPr/>
        <w:tc>
          <w:tcPr>
            <w:tcW w:w="321" w:type="dxa"/>
            <w:tcBorders/>
            <w:shd w:fill="auto" w:val="clear"/>
          </w:tcPr>
          <w:p>
            <w:pPr>
              <w:pStyle w:val="TableContents"/>
              <w:spacing w:before="0" w:after="283"/>
              <w:jc w:val="left"/>
              <w:rPr/>
            </w:pPr>
            <w:r>
              <w:rPr/>
              <w:t> </w:t>
            </w:r>
          </w:p>
        </w:tc>
        <w:tc>
          <w:tcPr>
            <w:tcW w:w="322"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(5)</w:t>
            </w:r>
          </w:p>
        </w:tc>
        <w:tc>
          <w:tcPr>
            <w:tcW w:w="9562"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registrant’s board of directors (or persons performing the equivalent functions):</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3"/>
        <w:gridCol w:w="322"/>
        <w:gridCol w:w="9240"/>
      </w:tblGrid>
      <w:tr>
        <w:trPr/>
        <w:tc>
          <w:tcPr>
            <w:tcW w:w="643" w:type="dxa"/>
            <w:tcBorders/>
            <w:shd w:fill="auto" w:val="clear"/>
          </w:tcPr>
          <w:p>
            <w:pPr>
              <w:pStyle w:val="TableContents"/>
              <w:spacing w:before="0" w:after="283"/>
              <w:jc w:val="left"/>
              <w:rPr/>
            </w:pPr>
            <w:r>
              <w:rPr/>
              <w:t> </w:t>
            </w:r>
          </w:p>
        </w:tc>
        <w:tc>
          <w:tcPr>
            <w:tcW w:w="322"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a)</w:t>
            </w:r>
          </w:p>
        </w:tc>
        <w:tc>
          <w:tcPr>
            <w:tcW w:w="9240"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All significant deficiencies or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43"/>
        <w:gridCol w:w="321"/>
        <w:gridCol w:w="9241"/>
      </w:tblGrid>
      <w:tr>
        <w:trPr/>
        <w:tc>
          <w:tcPr>
            <w:tcW w:w="643" w:type="dxa"/>
            <w:tcBorders/>
            <w:shd w:fill="auto" w:val="clear"/>
          </w:tcPr>
          <w:p>
            <w:pPr>
              <w:pStyle w:val="TableContents"/>
              <w:spacing w:before="0" w:after="283"/>
              <w:jc w:val="left"/>
              <w:rPr/>
            </w:pPr>
            <w:r>
              <w:rPr/>
              <w:t> </w:t>
            </w:r>
          </w:p>
        </w:tc>
        <w:tc>
          <w:tcPr>
            <w:tcW w:w="321"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b)</w:t>
            </w:r>
          </w:p>
        </w:tc>
        <w:tc>
          <w:tcPr>
            <w:tcW w:w="9241"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4" w:space="0" w:color="FFFFFF"/>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Date: August 11, 2008</w:t>
            </w:r>
          </w:p>
        </w:tc>
        <w:tc>
          <w:tcPr>
            <w:tcW w:w="5103" w:type="dxa"/>
            <w:tcBorders>
              <w:bottom w:val="single" w:sz="2" w:space="0" w:color="000000"/>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/s/ John T. Lomoro</w:t>
            </w:r>
          </w:p>
        </w:tc>
      </w:tr>
      <w:tr>
        <w:trPr/>
        <w:tc>
          <w:tcPr>
            <w:tcW w:w="5102" w:type="dxa"/>
            <w:tcBorders/>
            <w:shd w:fill="auto" w:val="clear"/>
            <w:tcMar>
              <w:bottom w:w="0" w:type="dxa"/>
            </w:tcMar>
          </w:tcPr>
          <w:p>
            <w:pPr>
              <w:pStyle w:val="TableContents"/>
              <w:spacing w:lineRule="auto" w:line="300" w:before="0" w:after="0"/>
              <w:ind w:left="0" w:right="16" w:hanging="0"/>
              <w:jc w:val="left"/>
              <w:rPr/>
            </w:pPr>
            <w:r>
              <w:rPr/>
              <w:t> </w:t>
            </w:r>
          </w:p>
        </w:tc>
        <w:tc>
          <w:tcPr>
            <w:tcW w:w="5103" w:type="dxa"/>
            <w:tcBorders/>
            <w:shd w:fill="auto" w:val="clear"/>
            <w:tcMar>
              <w:bottom w:w="0" w:type="dxa"/>
            </w:tcM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John T. Lomoro, Chief Financial Officer</w:t>
            </w:r>
          </w:p>
        </w:tc>
      </w:tr>
      <w:tr>
        <w:trPr/>
        <w:tc>
          <w:tcPr>
            <w:tcW w:w="5102" w:type="dxa"/>
            <w:tcBorders/>
            <w:shd w:fill="auto" w:val="clear"/>
            <w:tcMar>
              <w:bottom w:w="0" w:type="dxa"/>
            </w:tcMar>
          </w:tcPr>
          <w:p>
            <w:pPr>
              <w:pStyle w:val="TableContents"/>
              <w:spacing w:lineRule="auto" w:line="300" w:before="0" w:after="0"/>
              <w:ind w:left="0" w:right="16" w:hanging="0"/>
              <w:jc w:val="left"/>
              <w:rPr/>
            </w:pPr>
            <w:r>
              <w:rPr/>
              <w:t> </w:t>
            </w:r>
          </w:p>
        </w:tc>
        <w:tc>
          <w:tcPr>
            <w:tcW w:w="5103" w:type="dxa"/>
            <w:tcBorders/>
            <w:shd w:fill="auto" w:val="clear"/>
            <w:tcMar>
              <w:bottom w:w="0" w:type="dxa"/>
            </w:tcM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(Principal Financial Officer)</w:t>
            </w:r>
          </w:p>
        </w:tc>
      </w:tr>
    </w:tbl>
    <w:p>
      <w:pPr>
        <w:pStyle w:val="TextBody"/>
        <w:spacing w:lineRule="auto" w:line="30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ind w:left="0" w:right="0" w:hanging="0"/>
        <w:jc w:val="both"/>
        <w:rPr/>
      </w:pPr>
      <w:r>
        <w:rPr/>
      </w:r>
      <w:bookmarkStart w:id="475" w:name="PGBRK32"/>
      <w:bookmarkStart w:id="476" w:name="PGBRK32"/>
      <w:bookmarkEnd w:id="4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both"/>
        <w:rPr/>
      </w:pPr>
      <w:r>
        <w:rPr/>
      </w:r>
      <w:bookmarkStart w:id="477" w:name="FTR32"/>
      <w:bookmarkStart w:id="478" w:name="FTR32"/>
      <w:bookmarkEnd w:id="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left"/>
        <w:rPr/>
      </w:pPr>
      <w:bookmarkStart w:id="479" w:name="GLFTR32"/>
      <w:bookmarkEnd w:id="47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center"/>
        <w:rPr/>
      </w:pPr>
      <w:bookmarkStart w:id="480" w:name="PN32"/>
      <w:bookmarkEnd w:id="480"/>
      <w:r>
        <w:rPr/>
        <w:t> </w:t>
      </w:r>
    </w:p>
    <w:p>
      <w:pPr>
        <w:pStyle w:val="HorizontalLine"/>
        <w:pBdr>
          <w:bottom w:val="single" w:sz="12" w:space="0" w:color="808080"/>
        </w:pBdr>
        <w:spacing w:lineRule="auto" w:line="30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both"/>
        <w:rPr/>
      </w:pPr>
      <w:r>
        <w:rPr/>
      </w:r>
      <w:bookmarkStart w:id="481" w:name="HDR32"/>
      <w:bookmarkStart w:id="482" w:name="HDR32"/>
      <w:bookmarkEnd w:id="4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jc w:val="right"/>
        <w:rPr/>
      </w:pPr>
      <w:bookmarkStart w:id="483" w:name="GLHDR32"/>
      <w:bookmarkEnd w:id="48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jc w:val="both"/>
        <w:rPr/>
      </w:pPr>
      <w:r>
        <w:rPr/>
      </w:r>
    </w:p>
    <w:p>
      <w:pPr>
        <w:pStyle w:val="TextBody"/>
        <w:spacing w:lineRule="auto" w:line="300" w:before="0" w:after="0"/>
        <w:ind w:left="0" w:right="0" w:hanging="0"/>
        <w:jc w:val="both"/>
        <w:rPr/>
      </w:pPr>
      <w:bookmarkStart w:id="484" w:name="TAB14"/>
      <w:bookmarkEnd w:id="484"/>
      <w:r>
        <w:rPr/>
        <w:t> </w:t>
      </w:r>
    </w:p>
    <w:p>
      <w:pPr>
        <w:pStyle w:val="TextBody"/>
        <w:spacing w:lineRule="auto" w:line="300"/>
        <w:ind w:left="0" w:right="0" w:hanging="0"/>
        <w:jc w:val="left"/>
        <w:rPr/>
      </w:pPr>
      <w:r>
        <w:rPr/>
        <w:t> </w:t>
      </w:r>
      <w:r>
        <w:br w:type="page"/>
      </w:r>
    </w:p>
    <w:p>
      <w:pPr>
        <w:pStyle w:val="TextBody"/>
        <w:spacing w:lineRule="auto" w:line="300" w:before="0" w:after="0"/>
        <w:ind w:left="0" w:right="0" w:hanging="0"/>
        <w:jc w:val="right"/>
        <w:rPr>
          <w:rFonts w:ascii="Times New Roman" w:hAnsi="Times New Roman"/>
          <w:sz w:val="20"/>
        </w:rPr>
      </w:pPr>
      <w:bookmarkStart w:id="485" w:name="v122485_ex32-1.htm"/>
      <w:bookmarkStart w:id="486" w:name="ksv122485_ex321"/>
      <w:bookmarkEnd w:id="485"/>
      <w:bookmarkEnd w:id="486"/>
      <w:r>
        <w:rPr>
          <w:rFonts w:ascii="Times New Roman" w:hAnsi="Times New Roman"/>
          <w:sz w:val="20"/>
        </w:rPr>
        <w:t>EXHIBIT 32.1</w:t>
      </w:r>
    </w:p>
    <w:p>
      <w:pPr>
        <w:pStyle w:val="TextBody"/>
        <w:spacing w:lineRule="auto" w:line="300" w:before="0" w:after="0"/>
        <w:ind w:left="0" w:right="0" w:hanging="0"/>
        <w:jc w:val="both"/>
        <w:rPr/>
      </w:pPr>
      <w:bookmarkStart w:id="487" w:name="FIS_CERTIFICATION_3"/>
      <w:bookmarkEnd w:id="487"/>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CERTIFICATION PURSUANT TO SECTION 906 OF THE SARBANES-OXLEY ACT OF 2002</w:t>
      </w:r>
    </w:p>
    <w:p>
      <w:pPr>
        <w:pStyle w:val="TextBody"/>
        <w:spacing w:lineRule="auto" w:line="300" w:before="0" w:after="0"/>
        <w:ind w:left="0" w:right="0" w:hanging="0"/>
        <w:jc w:val="center"/>
        <w:rPr/>
      </w:pPr>
      <w:r>
        <w:rPr/>
        <w:t> </w:t>
      </w:r>
    </w:p>
    <w:p>
      <w:pPr>
        <w:pStyle w:val="TextBody"/>
        <w:spacing w:lineRule="auto" w:line="300" w:before="0" w:after="0"/>
        <w:ind w:left="0" w:right="0" w:hanging="0"/>
        <w:jc w:val="both"/>
        <w:rPr>
          <w:rFonts w:ascii="Times New Roman" w:hAnsi="Times New Roman"/>
          <w:sz w:val="20"/>
        </w:rPr>
      </w:pPr>
      <w:bookmarkStart w:id="488" w:name="TAB15"/>
      <w:bookmarkEnd w:id="488"/>
      <w:r>
        <w:rPr>
          <w:rFonts w:ascii="Times New Roman" w:hAnsi="Times New Roman"/>
          <w:sz w:val="20"/>
        </w:rPr>
        <w:t>In connection with the Quarterly Report of Transdel Pharmaceuticals, Inc. (the “Company”) on Form 10-Q for the period ended June 30, 2008 as filed with the Securities and Exchange Commission on the date hereof (the “Report”) pursuant to 18 U.S.C. Section 1350, as adopted pursuant to Section 906 of the Sarbanes-Oxley Act of 2002, Juliet Singh, Ph.D., the Chief Executive Officer of Transdel Pharmaceuticals, Inc., and John T. Lomoro, the Chief Financial Officer of Transdel Pharmaceuticals, Inc., each certifies that:</w:t>
      </w:r>
    </w:p>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30"/>
        <w:gridCol w:w="9675"/>
      </w:tblGrid>
      <w:tr>
        <w:trPr/>
        <w:tc>
          <w:tcPr>
            <w:tcW w:w="530"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(1)</w:t>
            </w:r>
          </w:p>
        </w:tc>
        <w:tc>
          <w:tcPr>
            <w:tcW w:w="9675"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the Report fully complies with the requirements of Section 13(a) of 15(d) of the Securities Exchange Act of 1934; and</w:t>
            </w:r>
          </w:p>
        </w:tc>
      </w:tr>
    </w:tbl>
    <w:p>
      <w:pPr>
        <w:pStyle w:val="TextBody"/>
        <w:spacing w:lineRule="auto" w:line="300"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31"/>
        <w:gridCol w:w="9674"/>
      </w:tblGrid>
      <w:tr>
        <w:trPr/>
        <w:tc>
          <w:tcPr>
            <w:tcW w:w="531" w:type="dxa"/>
            <w:tcBorders/>
            <w:shd w:fill="auto" w:val="clear"/>
          </w:tcPr>
          <w:p>
            <w:pPr>
              <w:pStyle w:val="TableContents"/>
              <w:spacing w:lineRule="auto" w:line="300" w:before="0" w:after="0"/>
              <w:ind w:left="0" w:right="16" w:hanging="0"/>
              <w:jc w:val="both"/>
              <w:rPr>
                <w:rFonts w:ascii="Times New Roman" w:hAnsi="Times New Roman"/>
                <w:sz w:val="20"/>
              </w:rPr>
            </w:pPr>
            <w:bookmarkStart w:id="489" w:name="HANGINGINDENT"/>
            <w:bookmarkEnd w:id="489"/>
            <w:r>
              <w:rPr>
                <w:rFonts w:ascii="Times New Roman" w:hAnsi="Times New Roman"/>
                <w:sz w:val="20"/>
              </w:rPr>
              <w:t>(2)</w:t>
            </w:r>
          </w:p>
        </w:tc>
        <w:tc>
          <w:tcPr>
            <w:tcW w:w="9674"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spacing w:lineRule="auto" w:line="300"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lineRule="auto" w:line="300" w:before="0" w:after="0"/>
              <w:ind w:left="0" w:right="16" w:hanging="0"/>
              <w:jc w:val="both"/>
              <w:rPr>
                <w:rFonts w:ascii="Times New Roman" w:hAnsi="Times New Roman"/>
                <w:sz w:val="20"/>
              </w:rPr>
            </w:pPr>
            <w:r>
              <w:rPr>
                <w:rFonts w:ascii="Times New Roman" w:hAnsi="Times New Roman"/>
                <w:sz w:val="20"/>
              </w:rPr>
              <w:t>Dated: August 11, 2008</w:t>
            </w:r>
          </w:p>
        </w:tc>
        <w:tc>
          <w:tcPr>
            <w:tcW w:w="5103" w:type="dxa"/>
            <w:tcBorders/>
            <w:shd w:fill="auto" w:val="clear"/>
          </w:tcPr>
          <w:p>
            <w:pPr>
              <w:pStyle w:val="TableContents"/>
              <w:spacing w:lineRule="auto" w:line="300" w:before="0" w:after="0"/>
              <w:ind w:left="0" w:right="16" w:hanging="0"/>
              <w:jc w:val="left"/>
              <w:rPr/>
            </w:pPr>
            <w:r>
              <w:rPr/>
              <w:t> </w:t>
            </w:r>
          </w:p>
        </w:tc>
      </w:tr>
      <w:tr>
        <w:trPr/>
        <w:tc>
          <w:tcPr>
            <w:tcW w:w="5102" w:type="dxa"/>
            <w:tcBorders/>
            <w:shd w:fill="auto" w:val="clear"/>
          </w:tcPr>
          <w:p>
            <w:pPr>
              <w:pStyle w:val="TableContents"/>
              <w:spacing w:lineRule="auto" w:line="300" w:before="0" w:after="0"/>
              <w:ind w:left="0" w:right="16" w:hanging="0"/>
              <w:jc w:val="left"/>
              <w:rPr/>
            </w:pPr>
            <w:r>
              <w:rPr/>
              <w:t> </w:t>
            </w:r>
          </w:p>
        </w:tc>
        <w:tc>
          <w:tcPr>
            <w:tcW w:w="5103" w:type="dxa"/>
            <w:tcBorders/>
            <w:shd w:fill="auto" w:val="clear"/>
          </w:tcPr>
          <w:p>
            <w:pPr>
              <w:pStyle w:val="TableContents"/>
              <w:spacing w:lineRule="auto" w:line="300" w:before="0" w:after="0"/>
              <w:ind w:left="0" w:right="16" w:hanging="0"/>
              <w:jc w:val="left"/>
              <w:rPr/>
            </w:pPr>
            <w:r>
              <w:rPr/>
              <w:t> </w:t>
            </w:r>
          </w:p>
        </w:tc>
      </w:tr>
      <w:tr>
        <w:trPr/>
        <w:tc>
          <w:tcPr>
            <w:tcW w:w="5102" w:type="dxa"/>
            <w:tcBorders>
              <w:bottom w:val="single" w:sz="4" w:space="0" w:color="FFFFFF"/>
            </w:tcBorders>
            <w:shd w:fill="auto" w:val="clear"/>
            <w:tcMar>
              <w:bottom w:w="28" w:type="dxa"/>
            </w:tcMar>
          </w:tcPr>
          <w:p>
            <w:pPr>
              <w:pStyle w:val="TableContents"/>
              <w:spacing w:lineRule="auto" w:line="300" w:before="0" w:after="0"/>
              <w:ind w:left="0" w:right="16" w:hanging="0"/>
              <w:jc w:val="left"/>
              <w:rPr/>
            </w:pPr>
            <w:r>
              <w:rPr/>
              <w:t> </w:t>
            </w:r>
          </w:p>
        </w:tc>
        <w:tc>
          <w:tcPr>
            <w:tcW w:w="5103" w:type="dxa"/>
            <w:tcBorders>
              <w:bottom w:val="single" w:sz="2" w:space="0" w:color="000000"/>
            </w:tcBorders>
            <w:shd w:fill="auto" w:val="clear"/>
            <w:tcMar>
              <w:bottom w:w="28" w:type="dxa"/>
            </w:tcM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/s/ Juliet Singh</w:t>
            </w:r>
          </w:p>
        </w:tc>
      </w:tr>
      <w:tr>
        <w:trPr/>
        <w:tc>
          <w:tcPr>
            <w:tcW w:w="5102" w:type="dxa"/>
            <w:tcBorders/>
            <w:shd w:fill="auto" w:val="clear"/>
          </w:tcPr>
          <w:p>
            <w:pPr>
              <w:pStyle w:val="TableContents"/>
              <w:spacing w:lineRule="auto" w:line="300" w:before="0" w:after="0"/>
              <w:ind w:left="0" w:right="16" w:hanging="0"/>
              <w:jc w:val="left"/>
              <w:rPr/>
            </w:pPr>
            <w:r>
              <w:rPr/>
              <w:t> </w:t>
            </w:r>
          </w:p>
        </w:tc>
        <w:tc>
          <w:tcPr>
            <w:tcW w:w="5103"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Juliet Singh, Ph.D.,</w:t>
            </w:r>
          </w:p>
        </w:tc>
      </w:tr>
      <w:tr>
        <w:trPr/>
        <w:tc>
          <w:tcPr>
            <w:tcW w:w="5102" w:type="dxa"/>
            <w:tcBorders/>
            <w:shd w:fill="auto" w:val="clear"/>
          </w:tcPr>
          <w:p>
            <w:pPr>
              <w:pStyle w:val="TableContents"/>
              <w:spacing w:lineRule="auto" w:line="300" w:before="0" w:after="0"/>
              <w:ind w:left="0" w:right="16" w:hanging="0"/>
              <w:jc w:val="left"/>
              <w:rPr/>
            </w:pPr>
            <w:r>
              <w:rPr/>
              <w:t> </w:t>
            </w:r>
          </w:p>
        </w:tc>
        <w:tc>
          <w:tcPr>
            <w:tcW w:w="5103"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Chief Executive Officer</w:t>
            </w:r>
          </w:p>
        </w:tc>
      </w:tr>
      <w:tr>
        <w:trPr/>
        <w:tc>
          <w:tcPr>
            <w:tcW w:w="5102" w:type="dxa"/>
            <w:tcBorders/>
            <w:shd w:fill="auto" w:val="clear"/>
          </w:tcPr>
          <w:p>
            <w:pPr>
              <w:pStyle w:val="TableContents"/>
              <w:spacing w:lineRule="auto" w:line="300" w:before="0" w:after="0"/>
              <w:ind w:left="0" w:right="16" w:hanging="0"/>
              <w:jc w:val="left"/>
              <w:rPr/>
            </w:pPr>
            <w:r>
              <w:rPr/>
              <w:t> </w:t>
            </w:r>
          </w:p>
        </w:tc>
        <w:tc>
          <w:tcPr>
            <w:tcW w:w="5103"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(Principal Executive Officer)</w:t>
            </w:r>
          </w:p>
        </w:tc>
      </w:tr>
      <w:tr>
        <w:trPr/>
        <w:tc>
          <w:tcPr>
            <w:tcW w:w="5102" w:type="dxa"/>
            <w:tcBorders/>
            <w:shd w:fill="auto" w:val="clear"/>
          </w:tcPr>
          <w:p>
            <w:pPr>
              <w:pStyle w:val="TableContents"/>
              <w:spacing w:lineRule="auto" w:line="300" w:before="0" w:after="0"/>
              <w:ind w:left="0" w:right="16" w:hanging="0"/>
              <w:jc w:val="left"/>
              <w:rPr/>
            </w:pPr>
            <w:r>
              <w:rPr/>
              <w:t> </w:t>
            </w:r>
          </w:p>
        </w:tc>
        <w:tc>
          <w:tcPr>
            <w:tcW w:w="5103" w:type="dxa"/>
            <w:tcBorders/>
            <w:shd w:fill="auto" w:val="clear"/>
          </w:tcPr>
          <w:p>
            <w:pPr>
              <w:pStyle w:val="TableContents"/>
              <w:spacing w:lineRule="auto" w:line="300" w:before="0" w:after="0"/>
              <w:ind w:left="0" w:right="16" w:hanging="0"/>
              <w:jc w:val="left"/>
              <w:rPr/>
            </w:pPr>
            <w:r>
              <w:rPr/>
              <w:t> </w:t>
            </w:r>
          </w:p>
        </w:tc>
      </w:tr>
      <w:tr>
        <w:trPr/>
        <w:tc>
          <w:tcPr>
            <w:tcW w:w="5102" w:type="dxa"/>
            <w:tcBorders>
              <w:bottom w:val="single" w:sz="4" w:space="0" w:color="FFFFFF"/>
            </w:tcBorders>
            <w:shd w:fill="auto" w:val="clear"/>
            <w:tcMar>
              <w:bottom w:w="28" w:type="dxa"/>
            </w:tcMar>
          </w:tcPr>
          <w:p>
            <w:pPr>
              <w:pStyle w:val="TableContents"/>
              <w:spacing w:lineRule="auto" w:line="300" w:before="0" w:after="0"/>
              <w:ind w:left="0" w:right="16" w:hanging="0"/>
              <w:jc w:val="left"/>
              <w:rPr/>
            </w:pPr>
            <w:r>
              <w:rPr/>
              <w:t> </w:t>
            </w:r>
          </w:p>
        </w:tc>
        <w:tc>
          <w:tcPr>
            <w:tcW w:w="5103" w:type="dxa"/>
            <w:tcBorders>
              <w:bottom w:val="single" w:sz="2" w:space="0" w:color="000000"/>
            </w:tcBorders>
            <w:shd w:fill="auto" w:val="clear"/>
            <w:tcMar>
              <w:bottom w:w="28" w:type="dxa"/>
            </w:tcM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/s/ John T. Lomoro</w:t>
            </w:r>
          </w:p>
        </w:tc>
      </w:tr>
      <w:tr>
        <w:trPr/>
        <w:tc>
          <w:tcPr>
            <w:tcW w:w="5102" w:type="dxa"/>
            <w:tcBorders/>
            <w:shd w:fill="auto" w:val="clear"/>
          </w:tcPr>
          <w:p>
            <w:pPr>
              <w:pStyle w:val="TableContents"/>
              <w:spacing w:lineRule="auto" w:line="300" w:before="0" w:after="0"/>
              <w:ind w:left="0" w:right="16" w:hanging="0"/>
              <w:jc w:val="left"/>
              <w:rPr/>
            </w:pPr>
            <w:r>
              <w:rPr/>
              <w:t> </w:t>
            </w:r>
          </w:p>
        </w:tc>
        <w:tc>
          <w:tcPr>
            <w:tcW w:w="5103"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John T. Lomoro,</w:t>
            </w:r>
          </w:p>
        </w:tc>
      </w:tr>
      <w:tr>
        <w:trPr/>
        <w:tc>
          <w:tcPr>
            <w:tcW w:w="5102" w:type="dxa"/>
            <w:tcBorders/>
            <w:shd w:fill="auto" w:val="clear"/>
          </w:tcPr>
          <w:p>
            <w:pPr>
              <w:pStyle w:val="TableContents"/>
              <w:spacing w:lineRule="auto" w:line="300" w:before="0" w:after="0"/>
              <w:ind w:left="0" w:right="16" w:hanging="0"/>
              <w:jc w:val="left"/>
              <w:rPr/>
            </w:pPr>
            <w:r>
              <w:rPr/>
              <w:t> </w:t>
            </w:r>
          </w:p>
        </w:tc>
        <w:tc>
          <w:tcPr>
            <w:tcW w:w="5103"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Chief Financial Officer</w:t>
            </w:r>
          </w:p>
        </w:tc>
      </w:tr>
      <w:tr>
        <w:trPr/>
        <w:tc>
          <w:tcPr>
            <w:tcW w:w="5102" w:type="dxa"/>
            <w:tcBorders/>
            <w:shd w:fill="auto" w:val="clear"/>
          </w:tcPr>
          <w:p>
            <w:pPr>
              <w:pStyle w:val="TableContents"/>
              <w:spacing w:lineRule="auto" w:line="300" w:before="0" w:after="0"/>
              <w:ind w:left="0" w:right="16" w:hanging="0"/>
              <w:jc w:val="left"/>
              <w:rPr/>
            </w:pPr>
            <w:r>
              <w:rPr/>
              <w:t> </w:t>
            </w:r>
          </w:p>
        </w:tc>
        <w:tc>
          <w:tcPr>
            <w:tcW w:w="5103" w:type="dxa"/>
            <w:tcBorders/>
            <w:shd w:fill="auto" w:val="clear"/>
          </w:tcPr>
          <w:p>
            <w:pPr>
              <w:pStyle w:val="TableContents"/>
              <w:spacing w:lineRule="auto" w:line="300" w:before="0" w:after="0"/>
              <w:ind w:left="0" w:right="16" w:hanging="0"/>
              <w:jc w:val="left"/>
              <w:rPr>
                <w:rFonts w:ascii="Times New Roman" w:hAnsi="Times New Roman"/>
                <w:sz w:val="20"/>
              </w:rPr>
            </w:pPr>
            <w:r>
              <w:rPr>
                <w:rFonts w:ascii="Times New Roman" w:hAnsi="Times New Roman"/>
                <w:sz w:val="20"/>
              </w:rPr>
              <w:t>(Principal Financial Officer)</w:t>
            </w:r>
          </w:p>
        </w:tc>
      </w:tr>
    </w:tbl>
    <w:p>
      <w:pPr>
        <w:pStyle w:val="TextBody"/>
        <w:spacing w:lineRule="auto" w:line="300" w:before="0" w:after="0"/>
        <w:ind w:left="0" w:right="0" w:hanging="0"/>
        <w:jc w:val="both"/>
        <w:rPr/>
      </w:pPr>
      <w:r>
        <w:rPr/>
        <w:t> </w:t>
      </w:r>
    </w:p>
    <w:p>
      <w:pPr>
        <w:pStyle w:val="TextBody"/>
        <w:spacing w:lineRule="auto" w:line="300"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0" w:name="PGBRK33"/>
      <w:bookmarkStart w:id="491" w:name="PGBRK33"/>
      <w:bookmarkEnd w:id="4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2" w:name="FTR33"/>
      <w:bookmarkStart w:id="493" w:name="FTR33"/>
      <w:bookmarkEnd w:id="4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4" w:name="GLFTR33"/>
      <w:bookmarkEnd w:id="49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95" w:name="PN33"/>
      <w:bookmarkEnd w:id="495"/>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6" w:name="HDR33"/>
      <w:bookmarkStart w:id="497" w:name="HDR33"/>
      <w:bookmarkEnd w:id="4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8" w:name="GLHDR33"/>
      <w:bookmarkEnd w:id="49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0"/>
        <w:ind w:left="0" w:right="0" w:hanging="0"/>
        <w:jc w:val="both"/>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altName w:val="serif"/>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13064</Words>
  <CharactersWithSpaces>87974</CharactersWithSpaces>
  <Paragraphs>2114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