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00" w:right="1960" w:hanging="3892"/>
        <w:spacing w:after="0" w:line="501" w:lineRule="auto"/>
        <w:tabs>
          <w:tab w:leader="none" w:pos="30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100" w:type="dxa"/>
            <w:vAlign w:val="bottom"/>
          </w:tcPr>
          <w:p>
            <w:pPr>
              <w:ind w:left="60"/>
              <w:spacing w:after="0"/>
              <w:rPr>
                <w:sz w:val="20"/>
                <w:szCs w:val="20"/>
                <w:color w:val="auto"/>
              </w:rPr>
            </w:pPr>
            <w:r>
              <w:rPr>
                <w:rFonts w:ascii="Arial" w:cs="Arial" w:eastAsia="Arial" w:hAnsi="Arial"/>
                <w:sz w:val="18"/>
                <w:szCs w:val="18"/>
                <w:color w:val="auto"/>
              </w:rPr>
              <w:t>]</w:t>
            </w:r>
          </w:p>
        </w:tc>
        <w:tc>
          <w:tcPr>
            <w:tcW w:w="31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100" w:type="dxa"/>
            <w:vAlign w:val="bottom"/>
          </w:tcPr>
          <w:p>
            <w:pPr>
              <w:ind w:left="60"/>
              <w:spacing w:after="0"/>
              <w:rPr>
                <w:sz w:val="20"/>
                <w:szCs w:val="20"/>
                <w:color w:val="auto"/>
              </w:rPr>
            </w:pPr>
            <w:r>
              <w:rPr>
                <w:rFonts w:ascii="Arial" w:cs="Arial" w:eastAsia="Arial" w:hAnsi="Arial"/>
                <w:sz w:val="18"/>
                <w:szCs w:val="18"/>
                <w:color w:val="auto"/>
              </w:rPr>
              <w:t>] (Do not check if a smaller reporting company)</w:t>
            </w:r>
          </w:p>
        </w:tc>
        <w:tc>
          <w:tcPr>
            <w:tcW w:w="31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[X]</w:t>
            </w:r>
          </w:p>
        </w:tc>
      </w:tr>
      <w:tr>
        <w:trPr>
          <w:trHeight w:val="432"/>
        </w:trPr>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18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May 14, 2018, 20,879,736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80" w:type="dxa"/>
            <w:vAlign w:val="bottom"/>
            <w:gridSpan w:val="6"/>
          </w:tcPr>
          <w:p>
            <w:pPr>
              <w:jc w:val="center"/>
              <w:ind w:right="2860"/>
              <w:spacing w:after="0"/>
              <w:rPr>
                <w:sz w:val="20"/>
                <w:szCs w:val="20"/>
                <w:color w:val="auto"/>
              </w:rPr>
            </w:pPr>
            <w:r>
              <w:rPr>
                <w:rFonts w:ascii="Arial" w:cs="Arial" w:eastAsia="Arial" w:hAnsi="Arial"/>
                <w:sz w:val="18"/>
                <w:szCs w:val="18"/>
                <w:b w:val="1"/>
                <w:bCs w:val="1"/>
                <w:color w:val="auto"/>
              </w:rPr>
              <w:t>IMPRIMIS PHARMACEUTICALS,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80" w:type="dxa"/>
            <w:vAlign w:val="bottom"/>
            <w:gridSpan w:val="6"/>
          </w:tcPr>
          <w:p>
            <w:pPr>
              <w:jc w:val="center"/>
              <w:ind w:right="284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32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Part I</w:t>
            </w:r>
          </w:p>
        </w:tc>
        <w:tc>
          <w:tcPr>
            <w:tcW w:w="9740" w:type="dxa"/>
            <w:vAlign w:val="bottom"/>
            <w:gridSpan w:val="17"/>
            <w:shd w:val="clear" w:color="auto" w:fill="CCEEFF"/>
          </w:tcPr>
          <w:p>
            <w:pPr>
              <w:ind w:left="80"/>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1A.</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2.</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3.</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4.</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5.</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Item 6.</w:t>
            </w: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74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480" w:type="dxa"/>
            <w:vAlign w:val="bottom"/>
            <w:tcBorders>
              <w:top w:val="single" w:sz="8" w:color="CCEEFF"/>
              <w:bottom w:val="single" w:sz="8" w:color="auto"/>
            </w:tcBorders>
            <w:gridSpan w:val="12"/>
          </w:tcPr>
          <w:p>
            <w:pPr>
              <w:jc w:val="center"/>
              <w:ind w:left="3090"/>
              <w:spacing w:after="0"/>
              <w:rPr>
                <w:sz w:val="20"/>
                <w:szCs w:val="20"/>
                <w:color w:val="auto"/>
              </w:rPr>
            </w:pPr>
            <w:r>
              <w:rPr>
                <w:rFonts w:ascii="Arial" w:cs="Arial" w:eastAsia="Arial" w:hAnsi="Arial"/>
                <w:sz w:val="18"/>
                <w:szCs w:val="18"/>
                <w:color w:val="auto"/>
                <w:w w:val="99"/>
              </w:rPr>
              <w:t>2</w:t>
            </w:r>
          </w:p>
        </w:tc>
        <w:tc>
          <w:tcPr>
            <w:tcW w:w="1220" w:type="dxa"/>
            <w:vAlign w:val="bottom"/>
            <w:tcBorders>
              <w:top w:val="single" w:sz="8" w:color="CCEEFF"/>
              <w:bottom w:val="single" w:sz="8" w:color="auto"/>
            </w:tcBorders>
          </w:tcPr>
          <w:p>
            <w:pPr>
              <w:spacing w:after="0"/>
              <w:rPr>
                <w:sz w:val="24"/>
                <w:szCs w:val="24"/>
                <w:color w:val="auto"/>
              </w:rPr>
            </w:pPr>
          </w:p>
        </w:tc>
        <w:tc>
          <w:tcPr>
            <w:tcW w:w="32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580"/>
              <w:spacing w:after="0"/>
              <w:rPr>
                <w:sz w:val="20"/>
                <w:szCs w:val="20"/>
                <w:color w:val="auto"/>
              </w:rPr>
            </w:pPr>
            <w:r>
              <w:rPr>
                <w:rFonts w:ascii="Arial" w:cs="Arial" w:eastAsia="Arial" w:hAnsi="Arial"/>
                <w:sz w:val="18"/>
                <w:szCs w:val="18"/>
                <w:color w:val="auto"/>
              </w:rPr>
              <w:t>March 31, 2018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 2017</w:t>
            </w:r>
          </w:p>
        </w:tc>
      </w:tr>
      <w:tr>
        <w:trPr>
          <w:trHeight w:val="216"/>
        </w:trPr>
        <w:tc>
          <w:tcPr>
            <w:tcW w:w="6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including restricted cash of $200</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1,474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1,529</w:t>
            </w: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851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r>
      <w:tr>
        <w:trPr>
          <w:trHeight w:val="250"/>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receivable, current portion</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03"/>
        </w:trPr>
        <w:tc>
          <w:tcPr>
            <w:tcW w:w="682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7,394</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8,806</w:t>
            </w:r>
          </w:p>
        </w:tc>
        <w:tc>
          <w:tcPr>
            <w:tcW w:w="100" w:type="dxa"/>
            <w:vAlign w:val="bottom"/>
            <w:tcBorders>
              <w:top w:val="single" w:sz="8" w:color="CCEEFF"/>
            </w:tcBorders>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2,876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2,860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Eton Pharmaceuticals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Note receivable, less current portion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r>
      <w:tr>
        <w:trPr>
          <w:trHeight w:val="25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w:t>
            </w:r>
          </w:p>
        </w:tc>
      </w:tr>
      <w:tr>
        <w:trPr>
          <w:trHeight w:val="257"/>
        </w:trPr>
        <w:tc>
          <w:tcPr>
            <w:tcW w:w="682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21,199</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23,917</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820" w:type="dxa"/>
            <w:vAlign w:val="bottom"/>
            <w:shd w:val="clear" w:color="auto" w:fill="CCEEFF"/>
          </w:tcPr>
          <w:p>
            <w:pPr>
              <w:ind w:left="1580"/>
              <w:spacing w:after="0" w:line="196" w:lineRule="exact"/>
              <w:rPr>
                <w:sz w:val="20"/>
                <w:szCs w:val="20"/>
                <w:color w:val="auto"/>
              </w:rPr>
            </w:pPr>
            <w:r>
              <w:rPr>
                <w:rFonts w:ascii="Arial" w:cs="Arial" w:eastAsia="Arial" w:hAnsi="Arial"/>
                <w:sz w:val="18"/>
                <w:szCs w:val="18"/>
                <w:color w:val="auto"/>
              </w:rPr>
              <w:t>LIABILITIES AND STOCKHOLDERS’ EQUITY</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1,042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note payable, net of unamortized debt discount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82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obligations, net of unamortized discount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r>
      <w:tr>
        <w:trPr>
          <w:trHeight w:val="216"/>
        </w:trPr>
        <w:tc>
          <w:tcPr>
            <w:tcW w:w="68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Capital lease obligations, net of current portion and unamortized discount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37"/>
        </w:trPr>
        <w:tc>
          <w:tcPr>
            <w:tcW w:w="6820" w:type="dxa"/>
            <w:vAlign w:val="bottom"/>
          </w:tcPr>
          <w:p>
            <w:pPr>
              <w:spacing w:after="0"/>
              <w:rPr>
                <w:sz w:val="20"/>
                <w:szCs w:val="20"/>
                <w:color w:val="auto"/>
              </w:rPr>
            </w:pPr>
            <w:r>
              <w:rPr>
                <w:rFonts w:ascii="Arial" w:cs="Arial" w:eastAsia="Arial" w:hAnsi="Arial"/>
                <w:sz w:val="18"/>
                <w:szCs w:val="18"/>
                <w:color w:val="auto"/>
              </w:rPr>
              <w:t>Note payable, net of unamortized debt discount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13,866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14,008</w:t>
            </w:r>
          </w:p>
        </w:tc>
      </w:tr>
      <w:tr>
        <w:trPr>
          <w:trHeight w:val="236"/>
        </w:trPr>
        <w:tc>
          <w:tcPr>
            <w:tcW w:w="6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820" w:type="dxa"/>
            <w:vAlign w:val="bottom"/>
          </w:tcPr>
          <w:p>
            <w:pPr>
              <w:spacing w:after="0" w:line="203" w:lineRule="exact"/>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8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Common stock, $0.001 par value, 90,000,000 shares authorized, 20,813,205 and</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20,623,129 shares issued and outstanding at March 31, 2018 and December 31, 2017,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92,411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91,430</w:t>
            </w:r>
          </w:p>
        </w:tc>
      </w:tr>
      <w:tr>
        <w:trPr>
          <w:trHeight w:val="250"/>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(92,349)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(88,836)</w:t>
            </w:r>
          </w:p>
        </w:tc>
      </w:tr>
      <w:tr>
        <w:trPr>
          <w:trHeight w:val="210"/>
        </w:trPr>
        <w:tc>
          <w:tcPr>
            <w:tcW w:w="682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2,615</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6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March 31, 2018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March 31, 2017</w:t>
            </w:r>
          </w:p>
        </w:tc>
        <w:tc>
          <w:tcPr>
            <w:tcW w:w="0" w:type="dxa"/>
            <w:vAlign w:val="bottom"/>
          </w:tcPr>
          <w:p>
            <w:pPr>
              <w:spacing w:after="0"/>
              <w:rPr>
                <w:sz w:val="1"/>
                <w:szCs w:val="1"/>
                <w:color w:val="auto"/>
              </w:rPr>
            </w:pPr>
          </w:p>
        </w:tc>
      </w:tr>
      <w:tr>
        <w:trPr>
          <w:trHeight w:val="216"/>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Product sales, net</w:t>
            </w:r>
          </w:p>
        </w:tc>
        <w:tc>
          <w:tcPr>
            <w:tcW w:w="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8,855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6,089</w:t>
            </w: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5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8,865</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6,097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5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4,794</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6,488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5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6,575</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6,971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580" w:type="dxa"/>
            <w:vAlign w:val="bottom"/>
          </w:tcPr>
          <w:p>
            <w:pPr>
              <w:spacing w:after="0" w:line="203" w:lineRule="exact"/>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Investment loss from Eton Pharmaceuticals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sale of assets</w:t>
            </w: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expense, net</w:t>
            </w:r>
          </w:p>
        </w:tc>
        <w:tc>
          <w:tcPr>
            <w:tcW w:w="5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(1,732</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180"/>
              <w:spacing w:after="0"/>
              <w:rPr>
                <w:sz w:val="20"/>
                <w:szCs w:val="20"/>
                <w:color w:val="auto"/>
              </w:rPr>
            </w:pPr>
            <w:r>
              <w:rPr>
                <w:rFonts w:ascii="Arial" w:cs="Arial" w:eastAsia="Arial" w:hAnsi="Arial"/>
                <w:sz w:val="18"/>
                <w:szCs w:val="18"/>
                <w:color w:val="auto"/>
              </w:rPr>
              <w:t>Income tax benefit, net</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of common stock</w:t>
            </w:r>
          </w:p>
        </w:tc>
        <w:tc>
          <w:tcPr>
            <w:tcW w:w="5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58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7"/>
              </w:rPr>
              <w:t>Weighted average number of shares of common stock outstanding, basic and diluted</w:t>
            </w:r>
          </w:p>
        </w:tc>
        <w:tc>
          <w:tcPr>
            <w:tcW w:w="5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20,949,199</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18,927,194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March 31, 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March 31,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(3,513)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plant and equipment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Non-cash gain on contingent acquisition obligation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 and discount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Investment loss from Eton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sale and disposal of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and customer deposits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(965</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(3,980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Repayment on note receivable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patent and trademark 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capital lease obligations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Net proceeds from public equity offering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2,941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Park deferred acquisition obligation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Net proceeds from ATM sales of common stock</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3" w:lineRule="exact"/>
              <w:rPr>
                <w:sz w:val="20"/>
                <w:szCs w:val="20"/>
                <w:color w:val="auto"/>
              </w:rPr>
            </w:pPr>
            <w:r>
              <w:rPr>
                <w:rFonts w:ascii="Arial" w:cs="Arial" w:eastAsia="Arial" w:hAnsi="Arial"/>
                <w:sz w:val="18"/>
                <w:szCs w:val="18"/>
                <w:color w:val="auto"/>
              </w:rPr>
              <w:t>NET CHANGE IN CASH, CASH EQUIVALENTS AND RESTRICTED CASH</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(1,327)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(1,457)</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CASH EQUIVALENTS AND RESTRICTED CASH, beginning of period</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8"/>
                <w:szCs w:val="18"/>
                <w:color w:val="auto"/>
              </w:rPr>
              <w:t>CASH, CASH EQUIVALENTS AND RESTRICTED CASH, end of period</w:t>
            </w: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7,396</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94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7"/>
              </w:rPr>
              <w:t>RECONCILIATION OF CASH, CASH EQUIVALENTS AND RESTRICED CASH AT END</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OF PERIOD:</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2,692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tcBorders>
              <w:top w:val="single" w:sz="8" w:color="CCEEFF"/>
              <w:bottom w:val="single" w:sz="8" w:color="CCEEFF"/>
            </w:tcBorders>
          </w:tcPr>
          <w:p>
            <w:pPr>
              <w:ind w:left="16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Cash paid for interest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ind w:left="160"/>
              <w:spacing w:after="0" w:line="195" w:lineRule="exact"/>
              <w:rPr>
                <w:sz w:val="20"/>
                <w:szCs w:val="20"/>
                <w:color w:val="auto"/>
              </w:rPr>
            </w:pPr>
            <w:r>
              <w:rPr>
                <w:rFonts w:ascii="Arial" w:cs="Arial" w:eastAsia="Arial" w:hAnsi="Arial"/>
                <w:sz w:val="18"/>
                <w:szCs w:val="18"/>
                <w:color w:val="auto"/>
              </w:rPr>
              <w:t>SUPPLEMENTAL DISCLOSURES OF NON-CASH INVESTING AND FINANCING</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Issuance of common stock for consulting services included in accounts payable and accrued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w w:val="99"/>
              </w:rPr>
              <w:t>Purchase of property, plant and equipment included in accounts payable and accrued</w:t>
            </w: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expenses</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Pharmaceuticals, Inc. (together with its subsidiaries, unless the context indicates or otherwise requires, the “Company” or “Imprimis”) is a pharmaceutical company specializing in the development, production and sale of innovative medications that offer unique competitive advantages and serve unmet needs in the marketplace. The Company is committed to its mission of delivering high-quality novel medications to physicians and patients at affordable prices. Imprimis operates its business through several divisions and subsidiaries: ImprimisRx, a leading ophthalmology focused compounding business; Park Compounding, a custom compounding business focused on patient specific orders; and holds equity interests in 505(b)(2) focused specialty pharmaceutical companies, Surface Pharmaceuticals, Inc. (“Surface”) and Eton Pharmaceuticals, Inc. (“Eton”), along with royalty interests in certain of their drug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months ended March 31, 2018 are not necessarily indicative of the results that may be expected for the year ending December 31, 2018 or for any other period. For further information, refer to the Company’s audited consolidated financial statements and footnotes thereto included in the Company’s Annual Report on Form 10-K for the year ended December 31, 2017.</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represents an update for the three months ended March 31, 2018 to the significant accounting policies described in the Company’s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net losses of $3,513 and $5,006 for the three months ended March 31, 2018 and 2017, respectively, and had an accumulated deficit of $92,349 and $88,836 as of March 31, 2018 and December 31, 2017, respectively. In addition, the Company used cash in operating activities of $965 and $3,980 for the three months ended March 31, 2018 and 2017,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there is no assurance, the Company believes its existing cash resources and restricted cash of approximately $2,892 at March 31, 2018, along with proceeds from the Sales Agreement (as defined in Note 14)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t>The Company may seek to increase liquidity and capital resources by one or more of the following which may include, but are not limited to: the sale of assets and/or businesses, obtaining financing through the issuance of equity, debt, or convertible securities; and working to increase revenue growth through sales. There is no guarantee that the Company will be able to obtain capital when needed on terms it deems as acceptable, or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and diluted net loss per share is computed using the weighted average number of shares of common stock outstanding during the period. Common stock equivalents (using the treasury stock or “if converted” method) from convertible note payable, stock options, unvested restricted stock units (“RSUs”) and warrants were 10,106,391 and 9,372,707 at March 31, 2018 and 2017, respectively, and are excluded from the calculation of diluted loss per share for the periods presented, because the effect is anti-dilutive. Included in the basic and diluted net loss per share calculation were RSUs awarded to directors that had vested, but the issuance and delivery of the shares are deferred until the director resigns. The number of shares underlying vested RSUs at March 31, 2018 and 2017 was 152,790 and 92,933,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computation of basic and diluted net loss per share of common stock for the three months ended March 31, 2018 and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March 31, 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March 31,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3"/>
              </w:rPr>
              <w:t>Denominator – weighted average number of shares outstanding,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20,949,199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18,927,194</w:t>
            </w:r>
          </w:p>
        </w:tc>
        <w:tc>
          <w:tcPr>
            <w:tcW w:w="0" w:type="dxa"/>
            <w:vAlign w:val="bottom"/>
          </w:tcPr>
          <w:p>
            <w:pPr>
              <w:spacing w:after="0"/>
              <w:rPr>
                <w:sz w:val="1"/>
                <w:szCs w:val="1"/>
                <w:color w:val="auto"/>
              </w:rPr>
            </w:pPr>
          </w:p>
        </w:tc>
      </w:tr>
      <w:tr>
        <w:trPr>
          <w:trHeight w:val="224"/>
        </w:trPr>
        <w:tc>
          <w:tcPr>
            <w:tcW w:w="5260" w:type="dxa"/>
            <w:vAlign w:val="bottom"/>
            <w:gridSpan w:val="2"/>
          </w:tcPr>
          <w:p>
            <w:pPr>
              <w:spacing w:after="0"/>
              <w:rPr>
                <w:sz w:val="20"/>
                <w:szCs w:val="20"/>
                <w:color w:val="auto"/>
              </w:rPr>
            </w:pPr>
            <w:r>
              <w:rPr>
                <w:rFonts w:ascii="Arial" w:cs="Arial" w:eastAsia="Arial" w:hAnsi="Arial"/>
                <w:sz w:val="18"/>
                <w:szCs w:val="18"/>
                <w:color w:val="auto"/>
              </w:rPr>
              <w:t>and diluted</w:t>
            </w:r>
          </w:p>
        </w:tc>
        <w:tc>
          <w:tcPr>
            <w:tcW w:w="180" w:type="dxa"/>
            <w:vAlign w:val="bottom"/>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jc w:val="right"/>
              <w:ind w:right="40"/>
              <w:spacing w:after="0" w:line="148" w:lineRule="exact"/>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vMerge w:val="restart"/>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jc w:val="right"/>
              <w:spacing w:after="0" w:line="148"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240" w:type="dxa"/>
            <w:vAlign w:val="bottom"/>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2040" w:type="dxa"/>
            <w:vAlign w:val="bottom"/>
            <w:gridSpan w:val="2"/>
            <w:shd w:val="clear" w:color="auto" w:fill="CCEEFF"/>
          </w:tcPr>
          <w:p>
            <w:pPr>
              <w:jc w:val="right"/>
              <w:ind w:right="100"/>
              <w:spacing w:after="0" w:line="68" w:lineRule="exact"/>
              <w:rPr>
                <w:sz w:val="20"/>
                <w:szCs w:val="20"/>
                <w:color w:val="auto"/>
              </w:rPr>
            </w:pPr>
            <w:r>
              <w:rPr>
                <w:rFonts w:ascii="Arial" w:cs="Arial" w:eastAsia="Arial" w:hAnsi="Arial"/>
                <w:sz w:val="7"/>
                <w:szCs w:val="7"/>
                <w:color w:val="auto"/>
              </w:rPr>
              <w:t>(0.17</w:t>
            </w:r>
          </w:p>
        </w:tc>
        <w:tc>
          <w:tcPr>
            <w:tcW w:w="100" w:type="dxa"/>
            <w:vAlign w:val="bottom"/>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940" w:type="dxa"/>
            <w:vAlign w:val="bottom"/>
            <w:gridSpan w:val="2"/>
            <w:shd w:val="clear" w:color="auto" w:fill="CCEEFF"/>
          </w:tcPr>
          <w:p>
            <w:pPr>
              <w:jc w:val="right"/>
              <w:spacing w:after="0" w:line="68" w:lineRule="exact"/>
              <w:rPr>
                <w:sz w:val="20"/>
                <w:szCs w:val="20"/>
                <w:color w:val="auto"/>
              </w:rPr>
            </w:pPr>
            <w:r>
              <w:rPr>
                <w:rFonts w:ascii="Arial" w:cs="Arial" w:eastAsia="Arial" w:hAnsi="Arial"/>
                <w:sz w:val="7"/>
                <w:szCs w:val="7"/>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Reclassification</w:t>
            </w: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amounts in the 2017 condensed consolidated financial statements have been reclassified to conform to the classifications used to prepare the 2018 condensed consolidated financial statements. These reclassifications had no material impact on the Company’s financial position, results of operations, or cash flow as previously reported.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has subsequently issued several amendments to ASU 2014-09</w:t>
      </w:r>
      <w:r>
        <w:rPr>
          <w:rFonts w:ascii="Arial" w:cs="Arial" w:eastAsia="Arial" w:hAnsi="Arial"/>
          <w:sz w:val="16"/>
          <w:szCs w:val="16"/>
          <w:i w:val="1"/>
          <w:iCs w:val="1"/>
          <w:color w:val="auto"/>
        </w:rPr>
        <w:t>.</w:t>
      </w:r>
      <w:r>
        <w:rPr>
          <w:rFonts w:ascii="Arial" w:cs="Arial" w:eastAsia="Arial" w:hAnsi="Arial"/>
          <w:sz w:val="16"/>
          <w:szCs w:val="16"/>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standard’s stated core principle is that an entity should recognize revenue to depict the transfer of promised goods or services to customers in an amount that reflects the consideration to which the entity expects to be entitled in exchange for those goods or services. To achieve this core principle, ASU 2014-09 includes provisions within its five-step model that includes identifying the contract with a customer, identifying the performance obligations in the contract, determining the transaction price, allocating the transaction price to the performance obligations, and recognizing revenue when, or as, an entity satisfies a performance obligation. In addition, the standard requires disclosure of the nature, amount, timing, and uncertainty of revenue and cash flows arising from contracts with customers.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jc w:val="both"/>
        <w:spacing w:after="0" w:line="297" w:lineRule="auto"/>
        <w:rPr>
          <w:sz w:val="20"/>
          <w:szCs w:val="20"/>
          <w:color w:val="auto"/>
        </w:rPr>
      </w:pPr>
      <w:r>
        <w:rPr>
          <w:rFonts w:ascii="Arial" w:cs="Arial" w:eastAsia="Arial" w:hAnsi="Arial"/>
          <w:sz w:val="16"/>
          <w:szCs w:val="16"/>
          <w:color w:val="auto"/>
        </w:rPr>
        <w:t>The new standard became effective for the Company beginning January 1, 2018 and permits two methods of adoption: the full retrospective method, which requires the standard to be applied to each prior period presented, or the modified retrospective method, which requires the cumulative effect of adoption to be recognized as an adjustment to opening retained earnings in the period of adoption. The Company adopted the standard using the modified retrospective method. There was no effect for any adjustments to retained earnings upon adoption of the standard on January 1, 2018. Adoption of the new standard resulted in additional revenue-related disclosures in the footnotes to the Company’s condensed consolidated financial statements (see Note 3).</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January 2017, the FASB issued ASU 2017-01, </w:t>
      </w:r>
      <w:r>
        <w:rPr>
          <w:rFonts w:ascii="Arial" w:cs="Arial" w:eastAsia="Arial" w:hAnsi="Arial"/>
          <w:sz w:val="17"/>
          <w:szCs w:val="17"/>
          <w:i w:val="1"/>
          <w:iCs w:val="1"/>
          <w:color w:val="auto"/>
        </w:rPr>
        <w:t>Business Combinations, Clarifying the Definition of a Business,</w:t>
      </w:r>
      <w:r>
        <w:rPr>
          <w:rFonts w:ascii="Arial" w:cs="Arial" w:eastAsia="Arial" w:hAnsi="Arial"/>
          <w:sz w:val="17"/>
          <w:szCs w:val="17"/>
          <w:color w:val="auto"/>
        </w:rPr>
        <w:t xml:space="preserve"> which revises the definition of a business and provides new guidance in evaluating when a set of transferred assets and activities is a business. The Company adopted the standard on January 1, 2018. Adoption of the standard did not have an impact on the Company’s financial position, results of operations and cash flows.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2016, the FASB issued ASU 2016-18, </w:t>
      </w:r>
      <w:r>
        <w:rPr>
          <w:rFonts w:ascii="Arial" w:cs="Arial" w:eastAsia="Arial" w:hAnsi="Arial"/>
          <w:sz w:val="18"/>
          <w:szCs w:val="18"/>
          <w:i w:val="1"/>
          <w:iCs w:val="1"/>
          <w:color w:val="auto"/>
        </w:rPr>
        <w:t>Statement of Cash Flows: Classification Restricted Cash</w:t>
      </w:r>
      <w:r>
        <w:rPr>
          <w:rFonts w:ascii="Arial" w:cs="Arial" w:eastAsia="Arial" w:hAnsi="Arial"/>
          <w:sz w:val="18"/>
          <w:szCs w:val="18"/>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Company adopted the standard on January 1, 2018 by using the retrospective transition method. Adoption of the standard effected the presentation of cash equivalents in Company’s condensed consolidated statements of cash flows and related disclosures, restricted cash of $200 has been reclassified within that financial statement for the periods presented as a cash equivalent.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Scope of Modification Accounting</w:t>
      </w:r>
      <w:r>
        <w:rPr>
          <w:rFonts w:ascii="Arial" w:cs="Arial" w:eastAsia="Arial" w:hAnsi="Arial"/>
          <w:sz w:val="18"/>
          <w:szCs w:val="18"/>
          <w:color w:val="auto"/>
        </w:rPr>
        <w:t>. The amendments in this update provide guidance about which changes to the terms or conditions of a share-based payment award require an entity to apply modification accounting under Topic 718. An entity should account for effects of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Company adopted this standard on January 1, 2018. Adoption of the standard did not have an effect on the Company’s financial position,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new guidance was initiated as a joint project with the International Accounting Standards Board to simplify lease accounting and improve the quality of and comparability of financial information for users. This new guidance would eliminate the concept of off-balance sheet treatment for “operating leases” for lessees for the vast majority of lease contracts. Under ASU No. 2016-02, at inception, a lessee must classify all leases with a term of over one year as either finance or operating, with both classifications resulting in the recognition of a defined “right-of-use” asset and a lease liability on the balance sheet. However, recognition in the income statement will differ depending on the lease classification, with finance leases recognizing the amortization of the right-of-use asset separate from the interest on the lease liability and operating leases recognizing a single total lease expense. Lessor accounting under ASU No. 2016-02 would be substantially unchanged from the previous lease requirements under GAAP. ASU No. 2016-02 will take effect for public companies in fiscal years beginning after December 15, 2018, including interim periods within those fiscal years. Early adoption is permitted and for leases existing at, or entered into after, the beginning of the earliest comparative period presented in the financial statements, lessees and lessors must apply a modified retrospective transition approach. During the year ended December 31, 2017, the Company evaluated this new accounting standard and engaged professionals in the new lease accounting implementation to assist in determining the effect of the new standard as of January 1, 2018 with respect to the Company’s real estate leases. The Company currently has three real estate leases and evaluated each of these leases in accordance with the new lease accounting standard under ASC Topic 842. As of March 31, 2018, the Company estimates that the right of use asset to be recorded on its consolidated balance sheet would be approximately $2,400 and that the related lease liability would be approximately $3,000 related to operating leases. The difference between the right of use asset and related lease liability is predominantly deferred rent and other related lease expenses under the new lease accounting standard. The Company will continue this effort with respect to equipment leases and any other leases contemplated under Topic 842 in a manner to be appropriately prepared for its implementation on or before January 1, 2019.</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jc w:val="both"/>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This guidance simplifies the accounting for goodwill impairment for all entities by requiring impairment charges to be based on the first step in the current two-step impairment test under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does not expect ASU 2017-04 to have a material effect on the Company’s financial position,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 2018, the Company adopted ASU 2014-09, using the modified retrospective transition method. There was no effect for any adjustments to retained earnings upon adoption of the standard on January 1, 2018. The Company has two primary streams of revenue: (1) revenue recognized from our sale of products within our pharmacy services and (2) revenue recognized from intellectual property license and asset purchase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 from Pharmacy Services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sells prescription drugs directly through our pharmacy and outsourcing facility network. Revenue from our pharmacy services division includes: (i) the portion of the price the client pays directly to us, net of any volume-related or other discounts paid back to the client, (ii) the price paid to us by individuals, and (iii) customer copayments made directly to the pharmacy network. Sales taxes are not included in revenue. Following the core principle of ASU 2014-09, we have identified the following:</w:t>
      </w:r>
    </w:p>
    <w:p>
      <w:pPr>
        <w:spacing w:after="0" w:line="18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Identify the contract(s) with a customer: A contract exists with a customer at the time the prescription or order is received by the Company.</w:t>
      </w:r>
    </w:p>
    <w:p>
      <w:pPr>
        <w:spacing w:after="0" w:line="236"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 The order received contains the performance obligations to be met, in almost all cases the product the customer is wishing to receive. If we are unable to be meet the performance obligation the customer is notified.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 the transaction price is based on the product being sold to the customer, and any related customer discounts. These amounts are pre-determined and built into our order management software.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The transaction price associated with the product(s) being ordered is allocated according to the pre-determined amounts.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 At the time of shipment from the pharmacy or outsourcing facility the performance obligation has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revenue recognition policy has been established for the pharmacy services division:</w:t>
      </w:r>
    </w:p>
    <w:p>
      <w:pPr>
        <w:spacing w:after="0" w:line="225"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Revenues generated from prescription or office use drugs sold by our pharmacies and outsourcing facility are recognized when the prescription is shipped. At the time of shipment, the pharmacy services division has performed substantially all of its obligations under its client contracts and does not experience a significant level of returns or reshipments. Determination of criteria (3) and (4) is based on management’s judgments regarding the fixed nature of the selling prices of the products delivered and the collectability of those amounts. The Company records reductions to revenue for discounts at the time of the initial sale. Estimated returns and allowances and other adjustments are provided for in the same period during which the related sales are recorded and are based on actual returns history. The rate of returns is analyzed annually to determine historical returns experience. If the historical data we use to calculate these estimates do not properly reflect future returns, then a change in the allowance would be made in the period in which such a determination is made and revenues in that period could be materially affected.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currently holds five intellectual property license and related agreements in which the Company has promised to grant a license or sale which provides a customer with right to access the Company’s intellectual property. 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 each of which revenue is recognized at the point of time the performance obligation is met.</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revenue source for the three months ended March 31, 2018 and 2017, consists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19"/>
                <w:szCs w:val="19"/>
                <w:color w:val="auto"/>
              </w:rPr>
            </w:pPr>
          </w:p>
        </w:tc>
        <w:tc>
          <w:tcPr>
            <w:tcW w:w="2660" w:type="dxa"/>
            <w:vAlign w:val="bottom"/>
            <w:gridSpan w:val="5"/>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25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45"/>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2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6,089</w:t>
            </w:r>
          </w:p>
        </w:tc>
        <w:tc>
          <w:tcPr>
            <w:tcW w:w="40" w:type="dxa"/>
            <w:vAlign w:val="bottom"/>
            <w:tcBorders>
              <w:top w:val="single" w:sz="8" w:color="CCEEFF"/>
            </w:tcBorders>
            <w:shd w:val="clear" w:color="auto" w:fill="CCEEFF"/>
          </w:tcPr>
          <w:p>
            <w:pPr>
              <w:spacing w:after="0"/>
              <w:rPr>
                <w:sz w:val="18"/>
                <w:szCs w:val="18"/>
                <w:color w:val="auto"/>
              </w:rPr>
            </w:pPr>
          </w:p>
        </w:tc>
      </w:t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License revenues</w:t>
            </w:r>
          </w:p>
        </w:tc>
        <w:tc>
          <w:tcPr>
            <w:tcW w:w="98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2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6,097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and customer deposits at March 31, 2018 and December 31, 2017, was $73 and $29, retrospectively.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ETON PHARMACEUTICALS, INC. AND AGREEMENTS - RELATED PARTY TRANSACTIONS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2017, the Company and its subsidiary, Eton, entered into and closed on definitive stock purchase agreements related to the sale of Eton’s Series A preferred stock (the “Series A Stock”) that resulted in the Company losing voting and ownership control of Eton and it at that time, ceased consolidating Eton’s financial statements. The Series A Stock has mandatory conversion requirements into common stock of Eton upon events, including an underwritten initial public offering of Eton common stock (“IPO”). Eton is required to file a registration statement on Form S-1 with the United States Securities and Exchange Commission within nine months of the closing and complete an IPO by December 31, 2018, subject to extension upon certain conditions.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jc w:val="both"/>
        <w:spacing w:after="0" w:line="293" w:lineRule="auto"/>
        <w:rPr>
          <w:sz w:val="20"/>
          <w:szCs w:val="20"/>
          <w:color w:val="auto"/>
        </w:rPr>
      </w:pPr>
      <w:r>
        <w:rPr>
          <w:rFonts w:ascii="Arial" w:cs="Arial" w:eastAsia="Arial" w:hAnsi="Arial"/>
          <w:sz w:val="16"/>
          <w:szCs w:val="16"/>
          <w:color w:val="auto"/>
        </w:rPr>
        <w:t>The Company owns 3,500,000 common shares (approximately 27% issued and outstanding equity interest as of March 31, 2018) of Eton and, uses the equity method of accounting for this investment, as management has determined that the Company has the ability to exercise significant influence over the operating and financial decisions of Eton. Under this method, the Company recognizes earnings and losses of Eton in its consolidated financial statements and adjusts the carrying amount of its investment in Eton accordingly. The Company’s share of earnings and losses are based on the shares of common stock and in-substance common stock of Eton held by the Company. Any intra-entity profits and losses are eliminated. During the three months ended March 31, 2018, the Company recorded equity in net loss of Eton of $1,069. As of March 31, 2018, the carrying value of the Company’s investment in Eton was $2,438.</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owns approximately 27% of the voting interests in Eton. The Company’s Chief Executive Officer, Mark L. Baum, is a director of Eton, and several employees of the Company (including Mr. Baum and the Company’s Chief Financial Officer, Andrew R. Boll) have entered into consulting agreements with Eton.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results of operations information of Eton is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For the</w:t>
            </w:r>
          </w:p>
        </w:tc>
      </w:tr>
      <w:tr>
        <w:trPr>
          <w:trHeight w:val="230"/>
        </w:trPr>
        <w:tc>
          <w:tcPr>
            <w:tcW w:w="3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March 31, 2018</w:t>
            </w:r>
          </w:p>
        </w:tc>
      </w:tr>
      <w:tr>
        <w:trPr>
          <w:trHeight w:val="216"/>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350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3,886</w:t>
            </w:r>
          </w:p>
        </w:tc>
      </w:tr>
      <w:tr>
        <w:trPr>
          <w:trHeight w:val="230"/>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unaudited condensed balance sheet information of Eton is summarized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At March 31,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Non current assets</w:t>
            </w:r>
          </w:p>
        </w:tc>
        <w:tc>
          <w:tcPr>
            <w:tcW w:w="200" w:type="dxa"/>
            <w:vAlign w:val="bottom"/>
          </w:tcPr>
          <w:p>
            <w:pPr>
              <w:spacing w:after="0"/>
              <w:rPr>
                <w:sz w:val="20"/>
                <w:szCs w:val="20"/>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 preferred stock and stockholders’ equity</w:t>
            </w:r>
          </w:p>
        </w:tc>
        <w:tc>
          <w:tcPr>
            <w:tcW w:w="200" w:type="dxa"/>
            <w:vAlign w:val="bottom"/>
          </w:tcPr>
          <w:p>
            <w:pPr>
              <w:spacing w:after="0"/>
              <w:rPr>
                <w:sz w:val="20"/>
                <w:szCs w:val="20"/>
                <w:color w:val="auto"/>
              </w:rPr>
            </w:pPr>
          </w:p>
        </w:tc>
        <w:tc>
          <w:tcPr>
            <w:tcW w:w="1860" w:type="dxa"/>
            <w:vAlign w:val="bottom"/>
            <w:gridSpan w:val="2"/>
          </w:tcPr>
          <w:p>
            <w:pPr>
              <w:jc w:val="right"/>
              <w:ind w:right="60"/>
              <w:spacing w:after="0"/>
              <w:rPr>
                <w:sz w:val="20"/>
                <w:szCs w:val="20"/>
                <w:color w:val="auto"/>
              </w:rPr>
            </w:pPr>
            <w:r>
              <w:rPr>
                <w:rFonts w:ascii="Arial" w:cs="Arial" w:eastAsia="Arial" w:hAnsi="Arial"/>
                <w:sz w:val="18"/>
                <w:szCs w:val="18"/>
                <w:color w:val="auto"/>
              </w:rPr>
              <w:t>10,319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RESTRICTED CASH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restricted cash at March 31, 2018 and December 31, 2017 consisted of funds held in a money market account. At March 31, 2018 and December 31, 2017, the restricted cash was recorded at amortized cost, which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2018 and December 31, 2017, the funds held in a money market account of $200 were classified as a current asset. The money market account funds are required as collateral as additional security for the Company’s New Jersey facility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March 31, 2018 and December 31, 2017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March 31, 2018</w:t>
            </w:r>
          </w:p>
        </w:tc>
        <w:tc>
          <w:tcPr>
            <w:tcW w:w="160" w:type="dxa"/>
            <w:vAlign w:val="bottom"/>
          </w:tcPr>
          <w:p>
            <w:pPr>
              <w:spacing w:after="0"/>
              <w:rPr>
                <w:sz w:val="20"/>
                <w:szCs w:val="20"/>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December 31, 2017</w:t>
            </w:r>
          </w:p>
        </w:tc>
        <w:tc>
          <w:tcPr>
            <w:tcW w:w="4560" w:type="dxa"/>
            <w:vAlign w:val="bottom"/>
          </w:tcPr>
          <w:p>
            <w:pPr>
              <w:spacing w:after="0"/>
              <w:rPr>
                <w:sz w:val="20"/>
                <w:szCs w:val="20"/>
                <w:color w:val="auto"/>
              </w:rPr>
            </w:pPr>
          </w:p>
        </w:tc>
      </w:tr>
      <w:tr>
        <w:trPr>
          <w:trHeight w:val="216"/>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80" w:type="dxa"/>
            <w:vAlign w:val="bottom"/>
            <w:tcBorders>
              <w:top w:val="single" w:sz="8" w:color="CCEEFF"/>
            </w:tcBorders>
            <w:shd w:val="clear" w:color="auto" w:fill="CCEEFF"/>
          </w:tcPr>
          <w:p>
            <w:pPr>
              <w:spacing w:after="0"/>
              <w:rPr>
                <w:sz w:val="18"/>
                <w:szCs w:val="18"/>
                <w:color w:val="auto"/>
              </w:rPr>
            </w:pPr>
          </w:p>
        </w:tc>
        <w:tc>
          <w:tcPr>
            <w:tcW w:w="4560" w:type="dxa"/>
            <w:vAlign w:val="bottom"/>
          </w:tcPr>
          <w:p>
            <w:pPr>
              <w:spacing w:after="0"/>
              <w:rPr>
                <w:sz w:val="18"/>
                <w:szCs w:val="18"/>
                <w:color w:val="auto"/>
              </w:rPr>
            </w:pPr>
          </w:p>
        </w:tc>
      </w:tr>
      <w:tr>
        <w:trPr>
          <w:trHeight w:val="237"/>
        </w:trPr>
        <w:tc>
          <w:tcPr>
            <w:tcW w:w="3000" w:type="dxa"/>
            <w:vAlign w:val="bottom"/>
          </w:tcPr>
          <w:p>
            <w:pPr>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1,001</w:t>
            </w:r>
          </w:p>
        </w:tc>
        <w:tc>
          <w:tcPr>
            <w:tcW w:w="160" w:type="dxa"/>
            <w:vAlign w:val="bottom"/>
          </w:tcPr>
          <w:p>
            <w:pPr>
              <w:spacing w:after="0"/>
              <w:rPr>
                <w:sz w:val="20"/>
                <w:szCs w:val="20"/>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1,293</w:t>
            </w:r>
          </w:p>
        </w:tc>
        <w:tc>
          <w:tcPr>
            <w:tcW w:w="4560" w:type="dxa"/>
            <w:vAlign w:val="bottom"/>
          </w:tcPr>
          <w:p>
            <w:pPr>
              <w:spacing w:after="0"/>
              <w:rPr>
                <w:sz w:val="20"/>
                <w:szCs w:val="20"/>
                <w:color w:val="auto"/>
              </w:rPr>
            </w:pPr>
          </w:p>
        </w:tc>
      </w:tr>
      <w:tr>
        <w:trPr>
          <w:trHeight w:val="230"/>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56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20"/>
        </w:trPr>
        <w:tc>
          <w:tcPr>
            <w:tcW w:w="3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gridSpan w:val="4"/>
          </w:tcPr>
          <w:p>
            <w:pPr>
              <w:spacing w:after="0"/>
              <w:rPr>
                <w:sz w:val="20"/>
                <w:szCs w:val="20"/>
                <w:color w:val="auto"/>
              </w:rPr>
            </w:pPr>
            <w:r>
              <w:rPr>
                <w:rFonts w:ascii="Arial" w:cs="Arial" w:eastAsia="Arial" w:hAnsi="Arial"/>
                <w:sz w:val="18"/>
                <w:szCs w:val="18"/>
                <w:b w:val="1"/>
                <w:bCs w:val="1"/>
                <w:color w:val="auto"/>
              </w:rPr>
              <w:t>NOTE 7. PREPAID EXPENSES AND OTHER CURRENT ASSETS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00" w:type="dxa"/>
            <w:vAlign w:val="bottom"/>
            <w:gridSpan w:val="4"/>
          </w:tcPr>
          <w:p>
            <w:pPr>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March 31, 2018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prepaid expenses</w:t>
            </w:r>
          </w:p>
        </w:tc>
        <w:tc>
          <w:tcPr>
            <w:tcW w:w="20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8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7"/>
        </w:trPr>
        <w:tc>
          <w:tcPr>
            <w:tcW w:w="4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NOTE 8. PROPERTY, PLANT AND EQUIPMENT</w:t>
            </w: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w w:val="98"/>
              </w:rPr>
              <w:t>Property, plant and equipment consisted of the following:</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March 31, 2018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Computer software and hardware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1,340</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460" w:type="dxa"/>
            <w:vAlign w:val="bottom"/>
          </w:tcPr>
          <w:p>
            <w:pPr>
              <w:ind w:left="180"/>
              <w:spacing w:after="0"/>
              <w:rPr>
                <w:sz w:val="20"/>
                <w:szCs w:val="20"/>
                <w:color w:val="auto"/>
              </w:rPr>
            </w:pPr>
            <w:r>
              <w:rPr>
                <w:rFonts w:ascii="Arial" w:cs="Arial" w:eastAsia="Arial" w:hAnsi="Arial"/>
                <w:sz w:val="18"/>
                <w:szCs w:val="18"/>
                <w:color w:val="auto"/>
              </w:rPr>
              <w:t>Lab and pharmacy equipment</w:t>
            </w:r>
          </w:p>
        </w:tc>
        <w:tc>
          <w:tcPr>
            <w:tcW w:w="20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2,582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9,162</w:t>
            </w: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8,971</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7"/>
        </w:trPr>
        <w:tc>
          <w:tcPr>
            <w:tcW w:w="446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6,008</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6,215</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2018, depreciation related to the property, plant and equipment was $399.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NOTE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2018, future minimum payments to the Company under its note receivable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4000" w:type="dxa"/>
            <w:vAlign w:val="bottom"/>
          </w:tcPr>
          <w:p>
            <w:pPr>
              <w:spacing w:after="0"/>
              <w:rPr>
                <w:sz w:val="20"/>
                <w:szCs w:val="20"/>
                <w:color w:val="auto"/>
              </w:rPr>
            </w:pP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1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0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2019</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w:t>
            </w:r>
          </w:p>
        </w:tc>
        <w:tc>
          <w:tcPr>
            <w:tcW w:w="40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00" w:type="dxa"/>
            <w:vAlign w:val="bottom"/>
          </w:tcPr>
          <w:p>
            <w:pPr>
              <w:spacing w:after="0"/>
              <w:rPr>
                <w:sz w:val="18"/>
                <w:szCs w:val="18"/>
                <w:color w:val="auto"/>
              </w:rPr>
            </w:pPr>
          </w:p>
        </w:tc>
      </w:tr>
      <w:tr>
        <w:trPr>
          <w:trHeight w:val="237"/>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1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000" w:type="dxa"/>
            <w:vAlign w:val="bottom"/>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000" w:type="dxa"/>
            <w:vAlign w:val="bottom"/>
          </w:tcPr>
          <w:p>
            <w:pPr>
              <w:spacing w:after="0"/>
              <w:rPr>
                <w:sz w:val="18"/>
                <w:szCs w:val="18"/>
                <w:color w:val="auto"/>
              </w:rPr>
            </w:pPr>
          </w:p>
        </w:tc>
      </w:tr>
      <w:tr>
        <w:trPr>
          <w:trHeight w:val="237"/>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 income</w:t>
            </w:r>
          </w:p>
        </w:tc>
        <w:tc>
          <w:tcPr>
            <w:tcW w:w="1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000" w:type="dxa"/>
            <w:vAlign w:val="bottom"/>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future minimum note receivable</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000" w:type="dxa"/>
            <w:vAlign w:val="bottom"/>
          </w:tcPr>
          <w:p>
            <w:pPr>
              <w:spacing w:after="0"/>
              <w:rPr>
                <w:sz w:val="18"/>
                <w:szCs w:val="18"/>
                <w:color w:val="auto"/>
              </w:rPr>
            </w:pPr>
          </w:p>
        </w:tc>
      </w:tr>
      <w:tr>
        <w:trPr>
          <w:trHeight w:val="237"/>
        </w:trPr>
        <w:tc>
          <w:tcPr>
            <w:tcW w:w="458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w:t>
            </w:r>
          </w:p>
        </w:tc>
        <w:tc>
          <w:tcPr>
            <w:tcW w:w="4000" w:type="dxa"/>
            <w:vAlign w:val="bottom"/>
          </w:tcPr>
          <w:p>
            <w:pPr>
              <w:spacing w:after="0"/>
              <w:rPr>
                <w:sz w:val="20"/>
                <w:szCs w:val="20"/>
                <w:color w:val="auto"/>
              </w:rPr>
            </w:pPr>
          </w:p>
        </w:tc>
      </w:tr>
      <w:tr>
        <w:trPr>
          <w:trHeight w:val="230"/>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receivable net of current portion</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0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420"/>
        </w:trPr>
        <w:tc>
          <w:tcPr>
            <w:tcW w:w="4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12</w:t>
            </w:r>
          </w:p>
        </w:tc>
        <w:tc>
          <w:tcPr>
            <w:tcW w:w="13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NOTE 10. INTANGIBLE ASSETS AND GOODWILL</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40" w:type="dxa"/>
            <w:vAlign w:val="bottom"/>
            <w:gridSpan w:val="3"/>
          </w:tcPr>
          <w:p>
            <w:pPr>
              <w:spacing w:after="0"/>
              <w:rPr>
                <w:sz w:val="20"/>
                <w:szCs w:val="20"/>
                <w:color w:val="auto"/>
              </w:rPr>
            </w:pPr>
            <w:r>
              <w:rPr>
                <w:rFonts w:ascii="Arial" w:cs="Arial" w:eastAsia="Arial" w:hAnsi="Arial"/>
                <w:sz w:val="18"/>
                <w:szCs w:val="18"/>
                <w:color w:val="auto"/>
                <w:w w:val="91"/>
              </w:rPr>
              <w:t>The Company’s intangible assets at March 31, 2018 consisted of the following:</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3660" w:type="dxa"/>
            <w:vAlign w:val="bottom"/>
          </w:tcPr>
          <w:p>
            <w:pPr>
              <w:spacing w:after="0"/>
              <w:rPr>
                <w:sz w:val="24"/>
                <w:szCs w:val="24"/>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660" w:type="dxa"/>
            <w:vAlign w:val="bottom"/>
          </w:tcPr>
          <w:p>
            <w:pPr>
              <w:spacing w:after="0"/>
              <w:rPr>
                <w:sz w:val="19"/>
                <w:szCs w:val="19"/>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periods</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Accumulated</w:t>
            </w: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Net</w:t>
            </w:r>
          </w:p>
        </w:tc>
      </w:tr>
      <w:tr>
        <w:trPr>
          <w:trHeight w:val="237"/>
        </w:trPr>
        <w:tc>
          <w:tcPr>
            <w:tcW w:w="3660" w:type="dxa"/>
            <w:vAlign w:val="bottom"/>
          </w:tcPr>
          <w:p>
            <w:pPr>
              <w:spacing w:after="0"/>
              <w:rPr>
                <w:sz w:val="20"/>
                <w:szCs w:val="20"/>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 years)</w:t>
            </w:r>
          </w:p>
        </w:tc>
        <w:tc>
          <w:tcPr>
            <w:tcW w:w="160" w:type="dxa"/>
            <w:vAlign w:val="bottom"/>
          </w:tcPr>
          <w:p>
            <w:pPr>
              <w:spacing w:after="0"/>
              <w:rPr>
                <w:sz w:val="20"/>
                <w:szCs w:val="20"/>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amortization</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Impairment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Carrying value</w:t>
            </w:r>
          </w:p>
        </w:tc>
      </w:tr>
      <w:tr>
        <w:trPr>
          <w:trHeight w:val="21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Licenses</w:t>
            </w: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20 years</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Indefinite</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3-15 years</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(863)</w:t>
            </w:r>
          </w:p>
        </w:tc>
        <w:tc>
          <w:tcPr>
            <w:tcW w:w="4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2,120</w:t>
            </w: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8"/>
              </w:rPr>
              <w:t>5 years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Non-competition clause</w:t>
            </w: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3-4 years</w:t>
            </w: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4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2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6"/>
              </w:rPr>
              <w:t>25 years</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1"/>
                <w:szCs w:val="21"/>
                <w:color w:val="auto"/>
              </w:rPr>
            </w:pPr>
          </w:p>
        </w:tc>
      </w:tr>
      <w:tr>
        <w:trPr>
          <w:trHeight w:val="217"/>
        </w:trPr>
        <w:tc>
          <w:tcPr>
            <w:tcW w:w="36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w:t>
            </w: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340" w:type="dxa"/>
            <w:vAlign w:val="bottom"/>
            <w:tcBorders>
              <w:top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for the three months ended March 31, 2018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For the</w:t>
            </w:r>
          </w:p>
        </w:tc>
      </w:tr>
      <w:tr>
        <w:trPr>
          <w:trHeight w:val="230"/>
        </w:trPr>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March 31, 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March 31, 2017</w:t>
            </w: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Non-competition clause</w:t>
            </w: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5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2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17"/>
        </w:trPr>
        <w:tc>
          <w:tcPr>
            <w:tcW w:w="46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top w:val="single" w:sz="8" w:color="CCEEFF"/>
            </w:tcBorders>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March 31, 2018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196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2019</w:t>
            </w:r>
          </w:p>
        </w:tc>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2021</w:t>
            </w:r>
          </w:p>
        </w:tc>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r>
      <w:tr>
        <w:trPr>
          <w:trHeight w:val="237"/>
        </w:trPr>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6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40" w:type="dxa"/>
            <w:vAlign w:val="bottom"/>
            <w:tcBorders>
              <w:bottom w:val="single" w:sz="8" w:color="CCEEFF"/>
            </w:tcBorders>
          </w:tcPr>
          <w:p>
            <w:pPr>
              <w:spacing w:after="0"/>
              <w:rPr>
                <w:sz w:val="20"/>
                <w:szCs w:val="20"/>
                <w:color w:val="auto"/>
              </w:rPr>
            </w:pPr>
          </w:p>
        </w:tc>
      </w:tr>
      <w:tr>
        <w:trPr>
          <w:trHeight w:val="230"/>
        </w:trPr>
        <w:tc>
          <w:tcPr>
            <w:tcW w:w="28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the carrying value of the Company’s goodwill during the three months ended March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ACCOUNTS PAYABLE AND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 31, 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December 31, 2017</w:t>
            </w:r>
          </w:p>
        </w:tc>
        <w:tc>
          <w:tcPr>
            <w:tcW w:w="2280" w:type="dxa"/>
            <w:vAlign w:val="bottom"/>
          </w:tcPr>
          <w:p>
            <w:pPr>
              <w:spacing w:after="0"/>
              <w:rPr>
                <w:sz w:val="20"/>
                <w:szCs w:val="20"/>
                <w:color w:val="auto"/>
              </w:rPr>
            </w:pP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c>
          <w:tcPr>
            <w:tcW w:w="228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2280" w:type="dxa"/>
            <w:vAlign w:val="bottom"/>
          </w:tcPr>
          <w:p>
            <w:pPr>
              <w:spacing w:after="0"/>
              <w:rPr>
                <w:sz w:val="18"/>
                <w:szCs w:val="18"/>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Accrued exit fee for note payable</w:t>
            </w:r>
          </w:p>
        </w:tc>
        <w:tc>
          <w:tcPr>
            <w:tcW w:w="220" w:type="dxa"/>
            <w:vAlign w:val="bottom"/>
          </w:tcPr>
          <w:p>
            <w:pPr>
              <w:spacing w:after="0"/>
              <w:rPr>
                <w:sz w:val="20"/>
                <w:szCs w:val="20"/>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800</w:t>
            </w:r>
          </w:p>
        </w:tc>
        <w:tc>
          <w:tcPr>
            <w:tcW w:w="2280" w:type="dxa"/>
            <w:vAlign w:val="bottom"/>
          </w:tcPr>
          <w:p>
            <w:pPr>
              <w:spacing w:after="0"/>
              <w:rPr>
                <w:sz w:val="20"/>
                <w:szCs w:val="20"/>
                <w:color w:val="auto"/>
              </w:rPr>
            </w:pP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and accrued expenses</w:t>
            </w: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(3,885)</w:t>
            </w:r>
          </w:p>
        </w:tc>
        <w:tc>
          <w:tcPr>
            <w:tcW w:w="2280" w:type="dxa"/>
            <w:vAlign w:val="bottom"/>
          </w:tcPr>
          <w:p>
            <w:pPr>
              <w:spacing w:after="0"/>
              <w:rPr>
                <w:sz w:val="20"/>
                <w:szCs w:val="20"/>
                <w:color w:val="auto"/>
              </w:rPr>
            </w:pPr>
          </w:p>
        </w:tc>
      </w:tr>
      <w:tr>
        <w:trPr>
          <w:trHeight w:val="230"/>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total accrued expenses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20"/>
        </w:trPr>
        <w:tc>
          <w:tcPr>
            <w:tcW w:w="4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NOTE 12. DEBT</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420" w:type="dxa"/>
            <w:vAlign w:val="bottom"/>
            <w:gridSpan w:val="3"/>
          </w:tcPr>
          <w:p>
            <w:pPr>
              <w:spacing w:after="0"/>
              <w:rPr>
                <w:sz w:val="20"/>
                <w:szCs w:val="20"/>
                <w:color w:val="auto"/>
              </w:rPr>
            </w:pPr>
            <w:r>
              <w:rPr>
                <w:rFonts w:ascii="Arial" w:cs="Arial" w:eastAsia="Arial" w:hAnsi="Arial"/>
                <w:sz w:val="18"/>
                <w:szCs w:val="18"/>
                <w:color w:val="auto"/>
                <w:w w:val="94"/>
              </w:rPr>
              <w:t>At March 31, 2018, future minimum payments under the Company’s note payable were as follows:</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5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10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2019</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3,657</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2021</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3,214</w:t>
            </w:r>
          </w:p>
        </w:tc>
      </w:tr>
      <w:tr>
        <w:trPr>
          <w:trHeight w:val="25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11,200</w:t>
            </w:r>
          </w:p>
        </w:tc>
      </w:tr>
      <w:tr>
        <w:trPr>
          <w:trHeight w:val="203"/>
        </w:trPr>
        <w:tc>
          <w:tcPr>
            <w:tcW w:w="59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payments</w:t>
            </w:r>
          </w:p>
        </w:tc>
        <w:tc>
          <w:tcPr>
            <w:tcW w:w="106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23,218</w:t>
            </w:r>
          </w:p>
        </w:tc>
        <w:tc>
          <w:tcPr>
            <w:tcW w:w="80" w:type="dxa"/>
            <w:vAlign w:val="bottom"/>
            <w:tcBorders>
              <w:top w:val="single" w:sz="8" w:color="CCEEFF"/>
            </w:tcBorders>
          </w:tcPr>
          <w:p>
            <w:pPr>
              <w:spacing w:after="0"/>
              <w:rPr>
                <w:sz w:val="17"/>
                <w:szCs w:val="17"/>
                <w:color w:val="auto"/>
              </w:rPr>
            </w:pPr>
          </w:p>
        </w:tc>
      </w:tr>
      <w:tr>
        <w:trPr>
          <w:trHeight w:val="25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0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(7,218)</w:t>
            </w:r>
          </w:p>
        </w:tc>
      </w:tr>
      <w:tr>
        <w:trPr>
          <w:trHeight w:val="203"/>
        </w:trPr>
        <w:tc>
          <w:tcPr>
            <w:tcW w:w="59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Notes payable, gross</w:t>
            </w:r>
          </w:p>
        </w:tc>
        <w:tc>
          <w:tcPr>
            <w:tcW w:w="106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16,000</w:t>
            </w:r>
          </w:p>
        </w:tc>
        <w:tc>
          <w:tcPr>
            <w:tcW w:w="80" w:type="dxa"/>
            <w:vAlign w:val="bottom"/>
            <w:tcBorders>
              <w:top w:val="single" w:sz="8" w:color="CCEEFF"/>
            </w:tcBorders>
          </w:tcPr>
          <w:p>
            <w:pPr>
              <w:spacing w:after="0"/>
              <w:rPr>
                <w:sz w:val="17"/>
                <w:szCs w:val="17"/>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(1,864)</w:t>
            </w:r>
          </w:p>
        </w:tc>
      </w:tr>
      <w:tr>
        <w:trPr>
          <w:trHeight w:val="237"/>
        </w:trPr>
        <w:tc>
          <w:tcPr>
            <w:tcW w:w="5900" w:type="dxa"/>
            <w:vAlign w:val="bottom"/>
          </w:tcPr>
          <w:p>
            <w:pPr>
              <w:spacing w:after="0"/>
              <w:rPr>
                <w:sz w:val="20"/>
                <w:szCs w:val="20"/>
                <w:color w:val="auto"/>
              </w:rPr>
            </w:pPr>
            <w:r>
              <w:rPr>
                <w:rFonts w:ascii="Arial" w:cs="Arial" w:eastAsia="Arial" w:hAnsi="Arial"/>
                <w:sz w:val="18"/>
                <w:szCs w:val="18"/>
                <w:color w:val="auto"/>
              </w:rPr>
              <w:t>Less: current portion, net of unamortized discount</w:t>
            </w: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r>
      <w:tr>
        <w:trPr>
          <w:trHeight w:val="23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2018, debt discount amortization related to note payable was $128.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NOTE 13. CAPITAL LEASE OBLIGATION</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00" w:type="dxa"/>
            <w:vAlign w:val="bottom"/>
          </w:tcPr>
          <w:p>
            <w:pPr>
              <w:spacing w:after="0"/>
              <w:rPr>
                <w:sz w:val="20"/>
                <w:szCs w:val="20"/>
                <w:color w:val="auto"/>
              </w:rPr>
            </w:pPr>
            <w:r>
              <w:rPr>
                <w:rFonts w:ascii="Arial" w:cs="Arial" w:eastAsia="Arial" w:hAnsi="Arial"/>
                <w:sz w:val="18"/>
                <w:szCs w:val="18"/>
                <w:color w:val="auto"/>
                <w:w w:val="94"/>
              </w:rPr>
              <w:t>At March 31, 2018, future payments under the Company’s capital leases were as follows:</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700" w:type="dxa"/>
            <w:vAlign w:val="bottom"/>
          </w:tcPr>
          <w:p>
            <w:pPr>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70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700" w:type="dxa"/>
            <w:vAlign w:val="bottom"/>
          </w:tcPr>
          <w:p>
            <w:pPr>
              <w:spacing w:after="0"/>
              <w:rPr>
                <w:sz w:val="20"/>
                <w:szCs w:val="20"/>
                <w:color w:val="auto"/>
              </w:rPr>
            </w:pPr>
            <w:r>
              <w:rPr>
                <w:rFonts w:ascii="Arial" w:cs="Arial" w:eastAsia="Arial" w:hAnsi="Arial"/>
                <w:sz w:val="18"/>
                <w:szCs w:val="18"/>
                <w:color w:val="auto"/>
              </w:rPr>
              <w:t>Less: unamortized discount</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16"/>
        </w:trPr>
        <w:tc>
          <w:tcPr>
            <w:tcW w:w="6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700" w:type="dxa"/>
            <w:vAlign w:val="bottom"/>
          </w:tcPr>
          <w:p>
            <w:pPr>
              <w:spacing w:after="0"/>
              <w:rPr>
                <w:sz w:val="20"/>
                <w:szCs w:val="20"/>
                <w:color w:val="auto"/>
              </w:rPr>
            </w:pPr>
            <w:r>
              <w:rPr>
                <w:rFonts w:ascii="Arial" w:cs="Arial" w:eastAsia="Arial" w:hAnsi="Arial"/>
                <w:sz w:val="18"/>
                <w:szCs w:val="18"/>
                <w:color w:val="auto"/>
              </w:rPr>
              <w:t>Less: current portion, net of unamortized discount</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r>
      <w:tr>
        <w:trPr>
          <w:trHeight w:val="230"/>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lease obligation net of current portion and unamortized discount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2018, debt discount amortization related to the capital lease obligation was $31.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January 2018, the Company issued 25,273 shares of its restricted common stock, with a fair value of $44, in lieu of a cash payment for accrued royalty expenses.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Restricted stock units granted in February 2015 to Andrew R. Boll, the Company’s Chief Financial Officer, vested, and in February 2018, 30,000 shares the Company’s common stock were issued to Mr. Boll.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Restricted stock units granted in February 2015 to John P. Saharek, the Company’s Chief Commercial Officer, vested, and in February 2018, 30,000 shares the Company’s common stock were issued to Mr. Saharek.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2018, the Company issued 35,427 shares of its restricted common stock, with a fair value of $64, in lieu of a cash payment for accrued royalty expenses.</w:t>
      </w:r>
    </w:p>
    <w:p>
      <w:pPr>
        <w:spacing w:after="0" w:line="1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November 2015, the Company entered into a 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(the “Sales Agreement”) with Cantor Fitzgerald &amp; Co., as agent (“Cantor Fitzgerald”), pursuant to which the Company may offer and sell, from time to time through Cantor Fitzgerald, shares of our common stock having an aggregate offering price as set forth in the Sales Agreement and a related prospectus supplement filed with the Securities and Exchange Commission. The Company agreed to pay Cantor Fitzgerald a cash commission of 3.0% of the aggregate gross proceeds from each sale of shares under the Sales Agreement. The Company sold 69,376 shares of common stock and received net proceeds of $122, after deducting $4 for sales commission and offering expenses, under the Sales Agreement during the three months ended March 31, 2018, leaving an aggregate of $7,915 available for future sales of shares thereunder as of March 31, 2018.</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2018, 15,723 shares of the Company’s common stock underlying RSUs issued to directors vested,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“2007 Plan”). The 2007 Plan reached its term in September 2017, and we can no longer issue additional awards under this plan, however, options previously issued under the 2007 Plan will remain outstanding until they are exercised, reach their maturity or are otherwise cancelled/forfeited. On June 13, 2017, the Company’s Board of Directors and stockholders adopted the Company’s 2017 Incentive Stock and Awards Plan (the “2017 Plan” together with the 2007 Plan, the “Plans”). As of March 31, 2018, the 2017 Plan provide for the issuance of a maximum of 2,000,000 shares of the Company’s common stock. The purpose of the Plans is to attract and retain directors, officers, consultants, advisors and employees whose services are considered valuable, to encourage a sense of proprietorship and to stimulate an active interest of such persons in the Company’s development and financial success. Under the Plans, the Company is authorized to issue incentive stock options intended to qualify under Section 422 of the Internal Revenue Code, non-qualified stock options, restricted stock units and restricted stock. The Plans are administered by the Compensation Committee of the Company’s Board of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for the three months ended March 31, 2018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Weighted Avg.</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Weighted Avg.</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Remaining Contractual</w:t>
            </w: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Aggregate Intrinsic</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198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Number of shares</w:t>
            </w:r>
          </w:p>
        </w:tc>
        <w:tc>
          <w:tcPr>
            <w:tcW w:w="180" w:type="dxa"/>
            <w:vAlign w:val="bottom"/>
          </w:tcPr>
          <w:p>
            <w:pPr>
              <w:spacing w:after="0"/>
              <w:rPr>
                <w:sz w:val="20"/>
                <w:szCs w:val="20"/>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Exercise Price</w:t>
            </w:r>
          </w:p>
        </w:tc>
        <w:tc>
          <w:tcPr>
            <w:tcW w:w="1920" w:type="dxa"/>
            <w:vAlign w:val="bottom"/>
            <w:gridSpan w:val="2"/>
          </w:tcPr>
          <w:p>
            <w:pPr>
              <w:jc w:val="center"/>
              <w:ind w:right="140"/>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2018</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2,259,979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Options granted</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277,000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(15,128)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4.21</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March 31, 2018</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2,521,851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CCEEFF"/>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5.10</w:t>
            </w:r>
          </w:p>
        </w:tc>
        <w:tc>
          <w:tcPr>
            <w:tcW w:w="19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w:t>
            </w:r>
          </w:p>
        </w:tc>
        <w:tc>
          <w:tcPr>
            <w:tcW w:w="42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5.55</w:t>
            </w:r>
          </w:p>
        </w:tc>
        <w:tc>
          <w:tcPr>
            <w:tcW w:w="1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6.32</w:t>
            </w:r>
          </w:p>
        </w:tc>
        <w:tc>
          <w:tcPr>
            <w:tcW w:w="42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37"/>
        </w:trPr>
        <w:tc>
          <w:tcPr>
            <w:tcW w:w="4000" w:type="dxa"/>
            <w:vAlign w:val="bottom"/>
            <w:tcBorders>
              <w:bottom w:val="single" w:sz="8" w:color="CCEEFF"/>
            </w:tcBorders>
            <w:vMerge w:val="continue"/>
          </w:tcPr>
          <w:p>
            <w:pPr>
              <w:spacing w:after="0"/>
              <w:rPr>
                <w:sz w:val="20"/>
                <w:szCs w:val="20"/>
                <w:color w:val="auto"/>
              </w:rPr>
            </w:pP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1,073,705</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60" w:type="dxa"/>
            <w:vAlign w:val="bottom"/>
            <w:tcBorders>
              <w:bottom w:val="single" w:sz="8" w:color="CCEEFF"/>
            </w:tcBorders>
            <w:gridSpan w:val="2"/>
            <w:vMerge w:val="continue"/>
          </w:tcPr>
          <w:p>
            <w:pPr>
              <w:spacing w:after="0"/>
              <w:rPr>
                <w:sz w:val="20"/>
                <w:szCs w:val="20"/>
                <w:color w:val="auto"/>
              </w:rPr>
            </w:pPr>
          </w:p>
        </w:tc>
        <w:tc>
          <w:tcPr>
            <w:tcW w:w="1920" w:type="dxa"/>
            <w:vAlign w:val="bottom"/>
            <w:tcBorders>
              <w:bottom w:val="single" w:sz="8" w:color="CCEEFF"/>
            </w:tcBorders>
            <w:gridSpan w:val="2"/>
            <w:vMerge w:val="continue"/>
          </w:tcPr>
          <w:p>
            <w:pPr>
              <w:spacing w:after="0"/>
              <w:rPr>
                <w:sz w:val="20"/>
                <w:szCs w:val="20"/>
                <w:color w:val="auto"/>
              </w:rPr>
            </w:pPr>
          </w:p>
        </w:tc>
        <w:tc>
          <w:tcPr>
            <w:tcW w:w="420" w:type="dxa"/>
            <w:vAlign w:val="bottom"/>
            <w:tcBorders>
              <w:bottom w:val="single" w:sz="8" w:color="CCEEFF"/>
            </w:tcBorders>
            <w:gridSpan w:val="2"/>
            <w:vMerge w:val="continue"/>
          </w:tcPr>
          <w:p>
            <w:pPr>
              <w:spacing w:after="0"/>
              <w:rPr>
                <w:sz w:val="20"/>
                <w:szCs w:val="20"/>
                <w:color w:val="auto"/>
              </w:rPr>
            </w:pPr>
          </w:p>
        </w:tc>
        <w:tc>
          <w:tcPr>
            <w:tcW w:w="12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2,378,641</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gridSpan w:val="2"/>
            <w:shd w:val="clear" w:color="auto" w:fill="CCEEFF"/>
          </w:tcPr>
          <w:p>
            <w:pPr>
              <w:jc w:val="right"/>
              <w:ind w:right="240"/>
              <w:spacing w:after="0" w:line="190" w:lineRule="exact"/>
              <w:rPr>
                <w:sz w:val="20"/>
                <w:szCs w:val="20"/>
                <w:color w:val="auto"/>
              </w:rPr>
            </w:pPr>
            <w:r>
              <w:rPr>
                <w:rFonts w:ascii="Arial" w:cs="Arial" w:eastAsia="Arial" w:hAnsi="Arial"/>
                <w:sz w:val="18"/>
                <w:szCs w:val="18"/>
                <w:color w:val="auto"/>
              </w:rPr>
              <w:t>5.12</w:t>
            </w:r>
          </w:p>
        </w:tc>
        <w:tc>
          <w:tcPr>
            <w:tcW w:w="1920" w:type="dxa"/>
            <w:vAlign w:val="bottom"/>
            <w:tcBorders>
              <w:bottom w:val="single" w:sz="8" w:color="CCEEFF"/>
            </w:tcBorders>
            <w:gridSpan w:val="2"/>
            <w:shd w:val="clear" w:color="auto" w:fill="CCEEFF"/>
          </w:tcPr>
          <w:p>
            <w:pPr>
              <w:jc w:val="right"/>
              <w:ind w:right="120"/>
              <w:spacing w:after="0" w:line="190" w:lineRule="exact"/>
              <w:rPr>
                <w:sz w:val="20"/>
                <w:szCs w:val="20"/>
                <w:color w:val="auto"/>
              </w:rPr>
            </w:pPr>
            <w:r>
              <w:rPr>
                <w:rFonts w:ascii="Arial" w:cs="Arial" w:eastAsia="Arial" w:hAnsi="Arial"/>
                <w:sz w:val="18"/>
                <w:szCs w:val="18"/>
                <w:color w:val="auto"/>
              </w:rPr>
              <w:t>6.28</w:t>
            </w:r>
          </w:p>
        </w:tc>
        <w:tc>
          <w:tcPr>
            <w:tcW w:w="420" w:type="dxa"/>
            <w:vAlign w:val="bottom"/>
            <w:tcBorders>
              <w:bottom w:val="single" w:sz="8" w:color="CCEEFF"/>
            </w:tcBorders>
            <w:gridSpan w:val="2"/>
            <w:shd w:val="clear" w:color="auto" w:fill="CCEEFF"/>
          </w:tcPr>
          <w:p>
            <w:pPr>
              <w:jc w:val="right"/>
              <w:ind w:right="150"/>
              <w:spacing w:after="0" w:line="19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5" w:name="page16"/>
    <w:bookmarkEnd w:id="15"/>
    <w:p>
      <w:pPr>
        <w:jc w:val="both"/>
        <w:ind w:right="2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March 31, 2018, based on the closing price of the Company’s common stock of $1.76 on that date.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March 31, 2018, the Company granted stock options to certain employees and consultants.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three months ended March 31, 2018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20"/>
                <w:szCs w:val="20"/>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5.81 - 6.11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 - 126%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2.05 - 2.18%</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March 31,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gridSpan w:val="3"/>
          </w:tcPr>
          <w:p>
            <w:pPr>
              <w:ind w:left="1040"/>
              <w:spacing w:after="0"/>
              <w:rPr>
                <w:sz w:val="20"/>
                <w:szCs w:val="20"/>
                <w:color w:val="auto"/>
              </w:rPr>
            </w:pPr>
            <w:r>
              <w:rPr>
                <w:rFonts w:ascii="Arial" w:cs="Arial" w:eastAsia="Arial" w:hAnsi="Arial"/>
                <w:sz w:val="18"/>
                <w:szCs w:val="18"/>
                <w:color w:val="auto"/>
              </w:rPr>
              <w:t>Options Outstanding</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gridSpan w:val="6"/>
          </w:tcPr>
          <w:p>
            <w:pPr>
              <w:ind w:left="102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202"/>
        </w:trPr>
        <w:tc>
          <w:tcPr>
            <w:tcW w:w="18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left="250"/>
              <w:spacing w:after="0" w:line="201" w:lineRule="exact"/>
              <w:rPr>
                <w:sz w:val="20"/>
                <w:szCs w:val="20"/>
                <w:color w:val="auto"/>
              </w:rPr>
            </w:pPr>
            <w:r>
              <w:rPr>
                <w:rFonts w:ascii="Arial" w:cs="Arial" w:eastAsia="Arial" w:hAnsi="Arial"/>
                <w:sz w:val="18"/>
                <w:szCs w:val="18"/>
                <w:color w:val="auto"/>
                <w:w w:val="89"/>
              </w:rPr>
              <w:t>Weighted</w:t>
            </w:r>
          </w:p>
        </w:tc>
        <w:tc>
          <w:tcPr>
            <w:tcW w:w="3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ind w:left="250"/>
              <w:spacing w:after="0"/>
              <w:rPr>
                <w:sz w:val="20"/>
                <w:szCs w:val="20"/>
                <w:color w:val="auto"/>
              </w:rPr>
            </w:pPr>
            <w:r>
              <w:rPr>
                <w:rFonts w:ascii="Arial" w:cs="Arial" w:eastAsia="Arial" w:hAnsi="Arial"/>
                <w:sz w:val="18"/>
                <w:szCs w:val="18"/>
                <w:color w:val="auto"/>
                <w:w w:val="89"/>
              </w:rPr>
              <w:t>Average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Weighted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center"/>
              <w:ind w:left="250"/>
              <w:spacing w:after="0"/>
              <w:rPr>
                <w:sz w:val="20"/>
                <w:szCs w:val="20"/>
                <w:color w:val="auto"/>
              </w:rPr>
            </w:pPr>
            <w:r>
              <w:rPr>
                <w:rFonts w:ascii="Arial" w:cs="Arial" w:eastAsia="Arial" w:hAnsi="Arial"/>
                <w:sz w:val="18"/>
                <w:szCs w:val="18"/>
                <w:color w:val="auto"/>
                <w:w w:val="92"/>
              </w:rPr>
              <w:t>Remaining</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Average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Range of</w:t>
            </w:r>
          </w:p>
        </w:tc>
        <w:tc>
          <w:tcPr>
            <w:tcW w:w="198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w:t>
            </w:r>
          </w:p>
        </w:tc>
        <w:tc>
          <w:tcPr>
            <w:tcW w:w="1380" w:type="dxa"/>
            <w:vAlign w:val="bottom"/>
          </w:tcPr>
          <w:p>
            <w:pPr>
              <w:jc w:val="center"/>
              <w:ind w:left="250"/>
              <w:spacing w:after="0"/>
              <w:rPr>
                <w:sz w:val="20"/>
                <w:szCs w:val="20"/>
                <w:color w:val="auto"/>
              </w:rPr>
            </w:pPr>
            <w:r>
              <w:rPr>
                <w:rFonts w:ascii="Arial" w:cs="Arial" w:eastAsia="Arial" w:hAnsi="Arial"/>
                <w:sz w:val="18"/>
                <w:szCs w:val="18"/>
                <w:color w:val="auto"/>
                <w:w w:val="91"/>
              </w:rPr>
              <w:t>Contractual</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Exercise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2080" w:type="dxa"/>
            <w:vAlign w:val="bottom"/>
            <w:gridSpan w:val="2"/>
          </w:tcPr>
          <w:p>
            <w:pPr>
              <w:jc w:val="right"/>
              <w:ind w:right="600"/>
              <w:spacing w:after="0"/>
              <w:rPr>
                <w:sz w:val="20"/>
                <w:szCs w:val="20"/>
                <w:color w:val="auto"/>
              </w:rPr>
            </w:pPr>
            <w:r>
              <w:rPr>
                <w:rFonts w:ascii="Arial" w:cs="Arial" w:eastAsia="Arial" w:hAnsi="Arial"/>
                <w:sz w:val="18"/>
                <w:szCs w:val="18"/>
                <w:color w:val="auto"/>
              </w:rPr>
              <w:t>Exercise Prices</w:t>
            </w:r>
          </w:p>
        </w:tc>
        <w:tc>
          <w:tcPr>
            <w:tcW w:w="19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Outstanding</w:t>
            </w:r>
          </w:p>
        </w:tc>
        <w:tc>
          <w:tcPr>
            <w:tcW w:w="1380" w:type="dxa"/>
            <w:vAlign w:val="bottom"/>
          </w:tcPr>
          <w:p>
            <w:pPr>
              <w:jc w:val="center"/>
              <w:ind w:left="250"/>
              <w:spacing w:after="0"/>
              <w:rPr>
                <w:sz w:val="20"/>
                <w:szCs w:val="20"/>
                <w:color w:val="auto"/>
              </w:rPr>
            </w:pPr>
            <w:r>
              <w:rPr>
                <w:rFonts w:ascii="Arial" w:cs="Arial" w:eastAsia="Arial" w:hAnsi="Arial"/>
                <w:sz w:val="18"/>
                <w:szCs w:val="18"/>
                <w:color w:val="auto"/>
                <w:w w:val="91"/>
              </w:rPr>
              <w:t>Life in Years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Price</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Exercisable</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$1.47 - $2.60</w:t>
            </w:r>
          </w:p>
        </w:tc>
        <w:tc>
          <w:tcPr>
            <w:tcW w:w="2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854,125</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8.50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244,261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$3.20 - $4.50</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539,906</w:t>
            </w:r>
          </w:p>
        </w:tc>
        <w:tc>
          <w:tcPr>
            <w:tcW w:w="138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7.69</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318,564</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$5.49 - $6.36</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101,536</w:t>
            </w:r>
          </w:p>
        </w:tc>
        <w:tc>
          <w:tcPr>
            <w:tcW w:w="1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5.32</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99,034</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$6.64 - $8.99</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1,021,254</w:t>
            </w:r>
          </w:p>
        </w:tc>
        <w:tc>
          <w:tcPr>
            <w:tcW w:w="138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3.79</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7.98</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406,816</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50"/>
        </w:trPr>
        <w:tc>
          <w:tcPr>
            <w:tcW w:w="2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$42.80</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5,030</w:t>
            </w:r>
          </w:p>
        </w:tc>
        <w:tc>
          <w:tcPr>
            <w:tcW w:w="13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2.37</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42.80</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5,030</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7"/>
        </w:trPr>
        <w:tc>
          <w:tcPr>
            <w:tcW w:w="20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$1.47 - $42.80</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2,521,851</w:t>
            </w: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ind w:left="40"/>
              <w:spacing w:after="0"/>
              <w:rPr>
                <w:sz w:val="20"/>
                <w:szCs w:val="20"/>
                <w:color w:val="auto"/>
              </w:rPr>
            </w:pPr>
            <w:r>
              <w:rPr>
                <w:rFonts w:ascii="Arial" w:cs="Arial" w:eastAsia="Arial" w:hAnsi="Arial"/>
                <w:sz w:val="18"/>
                <w:szCs w:val="18"/>
                <w:color w:val="auto"/>
              </w:rPr>
              <w:t>6.28</w:t>
            </w:r>
          </w:p>
        </w:tc>
        <w:tc>
          <w:tcPr>
            <w:tcW w:w="360" w:type="dxa"/>
            <w:vAlign w:val="bottom"/>
            <w:tcBorders>
              <w:top w:val="single" w:sz="8" w:color="CCEEFF"/>
            </w:tcBorders>
            <w:gridSpan w:val="2"/>
          </w:tcPr>
          <w:p>
            <w:pPr>
              <w:jc w:val="right"/>
              <w:ind w:right="105"/>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5.10</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1,073,705</w:t>
            </w: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gridSpan w:val="2"/>
            <w:vMerge w:val="restart"/>
          </w:tcPr>
          <w:p>
            <w:pPr>
              <w:ind w:left="1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As of March 31, 2018, there was approximately $2,745 of total unrecognized compensation expense related to unvested stock options granted under the Plans. That expense is expected to be recognized over the weighted-average remaining vesting period of 2.6 years. The stock-based compensation expense for all stock options was $417 during the three months ended March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three months ended March 31, 2018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 Average Grant</w:t>
            </w:r>
          </w:p>
        </w:tc>
      </w:tr>
      <w:tr>
        <w:trPr>
          <w:trHeight w:val="237"/>
        </w:trPr>
        <w:tc>
          <w:tcPr>
            <w:tcW w:w="5660" w:type="dxa"/>
            <w:vAlign w:val="bottom"/>
          </w:tcPr>
          <w:p>
            <w:pPr>
              <w:spacing w:after="0"/>
              <w:rPr>
                <w:sz w:val="20"/>
                <w:szCs w:val="20"/>
                <w:color w:val="auto"/>
              </w:rPr>
            </w:pP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Number of RSUs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Date Fair Value</w:t>
            </w:r>
          </w:p>
        </w:tc>
      </w:tr>
      <w:tr>
        <w:trPr>
          <w:trHeight w:val="216"/>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2018</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1,298,946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RSUs 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r>
      <w:tr>
        <w:trPr>
          <w:trHeight w:val="237"/>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cancelled/forfeit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30"/>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March 31, 2018</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1,223,223</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r>
      <w:tr>
        <w:trPr>
          <w:trHeight w:val="20"/>
        </w:trPr>
        <w:tc>
          <w:tcPr>
            <w:tcW w:w="56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2018, the total unrecognized compensation expense related to unvested RSUs was approximately $1,003, which is expected to be recognized over a weighted-average period of 0.8 years, based on estimated and actual vesting schedules of the applicable RSUs. The stock-based compensation for RSUs during the three months ended March 31, 2018 was $323.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settlement agreements and other non-employees for services rendered or to be rendered in the future.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w w:val="98"/>
              </w:rPr>
              <w:t>A summary of warrant activity for the three months ended March 31, 2018 is as follows:</w:t>
            </w: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3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Number of Shares Subject to</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Weighted Avg. 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380" w:type="dxa"/>
            <w:vAlign w:val="bottom"/>
            <w:gridSpan w:val="2"/>
          </w:tcPr>
          <w:p>
            <w:pPr>
              <w:jc w:val="right"/>
              <w:ind w:right="500"/>
              <w:spacing w:after="0"/>
              <w:rPr>
                <w:sz w:val="20"/>
                <w:szCs w:val="20"/>
                <w:color w:val="auto"/>
              </w:rPr>
            </w:pPr>
            <w:r>
              <w:rPr>
                <w:rFonts w:ascii="Arial" w:cs="Arial" w:eastAsia="Arial" w:hAnsi="Arial"/>
                <w:sz w:val="18"/>
                <w:szCs w:val="18"/>
                <w:color w:val="auto"/>
              </w:rPr>
              <w:t>Warrants 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2018</w:t>
            </w: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6,264,215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Granted</w:t>
            </w: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Expired</w:t>
            </w:r>
          </w:p>
        </w:tc>
        <w:tc>
          <w:tcPr>
            <w:tcW w:w="2380" w:type="dxa"/>
            <w:vAlign w:val="bottom"/>
            <w:gridSpan w:val="2"/>
          </w:tcPr>
          <w:p>
            <w:pPr>
              <w:jc w:val="right"/>
              <w:ind w:right="120"/>
              <w:spacing w:after="0"/>
              <w:rPr>
                <w:sz w:val="20"/>
                <w:szCs w:val="20"/>
                <w:color w:val="auto"/>
              </w:rPr>
            </w:pPr>
            <w:r>
              <w:rPr>
                <w:rFonts w:ascii="Arial" w:cs="Arial" w:eastAsia="Arial" w:hAnsi="Arial"/>
                <w:sz w:val="18"/>
                <w:szCs w:val="18"/>
                <w:color w:val="auto"/>
              </w:rPr>
              <w:t>(55,688)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March 31, 2018</w:t>
            </w:r>
          </w:p>
        </w:tc>
        <w:tc>
          <w:tcPr>
            <w:tcW w:w="2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6,208,527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spacing w:after="0" w:line="195" w:lineRule="exact"/>
              <w:rPr>
                <w:sz w:val="20"/>
                <w:szCs w:val="20"/>
                <w:color w:val="auto"/>
              </w:rPr>
            </w:pPr>
            <w:r>
              <w:rPr>
                <w:rFonts w:ascii="Arial" w:cs="Arial" w:eastAsia="Arial" w:hAnsi="Arial"/>
                <w:sz w:val="18"/>
                <w:szCs w:val="18"/>
                <w:color w:val="auto"/>
                <w:w w:val="96"/>
              </w:rPr>
              <w:t>Weighted average remaining contractual life of the outstanding warrants in years - March</w:t>
            </w:r>
          </w:p>
        </w:tc>
        <w:tc>
          <w:tcPr>
            <w:tcW w:w="2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840" w:type="dxa"/>
            <w:vAlign w:val="bottom"/>
            <w:vMerge w:val="continue"/>
          </w:tcPr>
          <w:p>
            <w:pPr>
              <w:spacing w:after="0"/>
              <w:rPr>
                <w:sz w:val="13"/>
                <w:szCs w:val="13"/>
                <w:color w:val="auto"/>
              </w:rPr>
            </w:pPr>
          </w:p>
        </w:tc>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6860" w:type="dxa"/>
            <w:vAlign w:val="bottom"/>
            <w:gridSpan w:val="2"/>
          </w:tcPr>
          <w:p>
            <w:pPr>
              <w:spacing w:after="0"/>
              <w:rPr>
                <w:sz w:val="20"/>
                <w:szCs w:val="20"/>
                <w:color w:val="auto"/>
              </w:rPr>
            </w:pPr>
            <w:r>
              <w:rPr>
                <w:rFonts w:ascii="Arial" w:cs="Arial" w:eastAsia="Arial" w:hAnsi="Arial"/>
                <w:sz w:val="18"/>
                <w:szCs w:val="18"/>
                <w:color w:val="auto"/>
              </w:rPr>
              <w:t>31, 2018</w:t>
            </w:r>
          </w:p>
        </w:tc>
        <w:tc>
          <w:tcPr>
            <w:tcW w:w="238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40" w:type="dxa"/>
            <w:vAlign w:val="bottom"/>
            <w:vMerge w:val="restart"/>
          </w:tcPr>
          <w:p>
            <w:pPr>
              <w:jc w:val="right"/>
              <w:ind w:right="970"/>
              <w:spacing w:after="0"/>
              <w:rPr>
                <w:sz w:val="20"/>
                <w:szCs w:val="20"/>
                <w:color w:val="auto"/>
              </w:rPr>
            </w:pPr>
            <w:r>
              <w:rPr>
                <w:rFonts w:ascii="Arial" w:cs="Arial" w:eastAsia="Arial" w:hAnsi="Arial"/>
                <w:sz w:val="18"/>
                <w:szCs w:val="18"/>
                <w:color w:val="auto"/>
              </w:rPr>
              <w:t>17</w:t>
            </w: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vMerge w:val="continue"/>
          </w:tcPr>
          <w:p>
            <w:pPr>
              <w:spacing w:after="0"/>
              <w:rPr>
                <w:sz w:val="24"/>
                <w:szCs w:val="24"/>
                <w:color w:val="auto"/>
              </w:rPr>
            </w:pPr>
          </w:p>
        </w:tc>
        <w:tc>
          <w:tcPr>
            <w:tcW w:w="6840" w:type="dxa"/>
            <w:vAlign w:val="bottom"/>
            <w:tcBorders>
              <w:bottom w:val="single" w:sz="8" w:color="auto"/>
            </w:tcBorders>
            <w:vMerge w:val="continue"/>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 list of the warrants outstanding as of March 31, 2018 is included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3"/>
          </w:tcPr>
          <w:p>
            <w:pPr>
              <w:jc w:val="right"/>
              <w:ind w:right="150"/>
              <w:spacing w:after="0"/>
              <w:rPr>
                <w:sz w:val="20"/>
                <w:szCs w:val="20"/>
                <w:color w:val="auto"/>
              </w:rPr>
            </w:pPr>
            <w:r>
              <w:rPr>
                <w:rFonts w:ascii="Arial" w:cs="Arial" w:eastAsia="Arial" w:hAnsi="Arial"/>
                <w:sz w:val="18"/>
                <w:szCs w:val="18"/>
                <w:color w:val="auto"/>
              </w:rPr>
              <w:t>Warrants Outstanding</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gridSpan w:val="4"/>
          </w:tcPr>
          <w:p>
            <w:pPr>
              <w:ind w:left="880"/>
              <w:spacing w:after="0"/>
              <w:rPr>
                <w:sz w:val="20"/>
                <w:szCs w:val="20"/>
                <w:color w:val="auto"/>
              </w:rPr>
            </w:pPr>
            <w:r>
              <w:rPr>
                <w:rFonts w:ascii="Arial" w:cs="Arial" w:eastAsia="Arial" w:hAnsi="Arial"/>
                <w:sz w:val="18"/>
                <w:szCs w:val="18"/>
                <w:color w:val="auto"/>
              </w:rPr>
              <w:t>Warrants Exercisable</w:t>
            </w:r>
          </w:p>
        </w:tc>
        <w:tc>
          <w:tcPr>
            <w:tcW w:w="0" w:type="dxa"/>
            <w:vAlign w:val="bottom"/>
          </w:tcPr>
          <w:p>
            <w:pPr>
              <w:spacing w:after="0"/>
              <w:rPr>
                <w:sz w:val="1"/>
                <w:szCs w:val="1"/>
                <w:color w:val="auto"/>
              </w:rPr>
            </w:pPr>
          </w:p>
        </w:tc>
      </w:tr>
      <w:tr>
        <w:trPr>
          <w:trHeight w:val="215"/>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Warrant Series</w:t>
            </w: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7"/>
              </w:rPr>
              <w:t>Warrants</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Exercise</w:t>
            </w:r>
          </w:p>
        </w:tc>
        <w:tc>
          <w:tcPr>
            <w:tcW w:w="100" w:type="dxa"/>
            <w:vAlign w:val="bottom"/>
          </w:tcPr>
          <w:p>
            <w:pPr>
              <w:spacing w:after="0"/>
              <w:rPr>
                <w:sz w:val="18"/>
                <w:szCs w:val="18"/>
                <w:color w:val="auto"/>
              </w:rPr>
            </w:pPr>
          </w:p>
        </w:tc>
        <w:tc>
          <w:tcPr>
            <w:tcW w:w="180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Warrants</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20" w:type="dxa"/>
            <w:vAlign w:val="bottom"/>
            <w:gridSpan w:val="2"/>
            <w:vMerge w:val="continue"/>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Issue Date</w:t>
            </w: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Outstanding</w:t>
            </w:r>
          </w:p>
        </w:tc>
        <w:tc>
          <w:tcPr>
            <w:tcW w:w="260" w:type="dxa"/>
            <w:vAlign w:val="bottom"/>
          </w:tcPr>
          <w:p>
            <w:pPr>
              <w:spacing w:after="0"/>
              <w:rPr>
                <w:sz w:val="20"/>
                <w:szCs w:val="20"/>
                <w:color w:val="auto"/>
              </w:rPr>
            </w:pPr>
          </w:p>
        </w:tc>
        <w:tc>
          <w:tcPr>
            <w:tcW w:w="1440" w:type="dxa"/>
            <w:vAlign w:val="bottom"/>
            <w:gridSpan w:val="3"/>
          </w:tcPr>
          <w:p>
            <w:pPr>
              <w:ind w:left="300"/>
              <w:spacing w:after="0"/>
              <w:rPr>
                <w:sz w:val="20"/>
                <w:szCs w:val="20"/>
                <w:color w:val="auto"/>
              </w:rPr>
            </w:pPr>
            <w:r>
              <w:rPr>
                <w:rFonts w:ascii="Arial" w:cs="Arial" w:eastAsia="Arial" w:hAnsi="Arial"/>
                <w:sz w:val="18"/>
                <w:szCs w:val="18"/>
                <w:color w:val="auto"/>
              </w:rPr>
              <w:t>Price</w:t>
            </w:r>
          </w:p>
        </w:tc>
        <w:tc>
          <w:tcPr>
            <w:tcW w:w="1800" w:type="dxa"/>
            <w:vAlign w:val="bottom"/>
            <w:gridSpan w:val="2"/>
          </w:tcPr>
          <w:p>
            <w:pPr>
              <w:jc w:val="right"/>
              <w:ind w:right="580"/>
              <w:spacing w:after="0"/>
              <w:rPr>
                <w:sz w:val="20"/>
                <w:szCs w:val="20"/>
                <w:color w:val="auto"/>
              </w:rPr>
            </w:pPr>
            <w:r>
              <w:rPr>
                <w:rFonts w:ascii="Arial" w:cs="Arial" w:eastAsia="Arial" w:hAnsi="Arial"/>
                <w:sz w:val="18"/>
                <w:szCs w:val="18"/>
                <w:color w:val="auto"/>
              </w:rPr>
              <w:t>Exercisable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16"/>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5/11/2015</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79"/>
              </w:rPr>
              <w:t>1.79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5/11/2025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Settlement warrants</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8/16/2016</w:t>
            </w: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40,000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8/16/2021</w:t>
            </w: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Warrants issued to investor relations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consultant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7/19/2013</w:t>
            </w:r>
          </w:p>
        </w:tc>
        <w:tc>
          <w:tcPr>
            <w:tcW w:w="12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60,000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7/19/2018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Placement Agent Warrants</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12/27/2016</w:t>
            </w: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210,313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210,313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12/27/2019</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 Investor Warrants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12/27/2016</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5,157,828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5,157,828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12/27/2019</w:t>
            </w:r>
          </w:p>
        </w:tc>
        <w:tc>
          <w:tcPr>
            <w:tcW w:w="0" w:type="dxa"/>
            <w:vAlign w:val="bottom"/>
          </w:tcPr>
          <w:p>
            <w:pPr>
              <w:spacing w:after="0"/>
              <w:rPr>
                <w:sz w:val="1"/>
                <w:szCs w:val="1"/>
                <w:color w:val="auto"/>
              </w:rPr>
            </w:pPr>
          </w:p>
        </w:tc>
      </w:tr>
      <w:tr>
        <w:trPr>
          <w:trHeight w:val="237"/>
        </w:trPr>
        <w:tc>
          <w:tcPr>
            <w:tcW w:w="3220" w:type="dxa"/>
            <w:vAlign w:val="bottom"/>
            <w:gridSpan w:val="2"/>
          </w:tcPr>
          <w:p>
            <w:pPr>
              <w:spacing w:after="0"/>
              <w:rPr>
                <w:sz w:val="20"/>
                <w:szCs w:val="20"/>
                <w:color w:val="auto"/>
              </w:rPr>
            </w:pPr>
            <w:r>
              <w:rPr>
                <w:rFonts w:ascii="Arial" w:cs="Arial" w:eastAsia="Arial" w:hAnsi="Arial"/>
                <w:sz w:val="18"/>
                <w:szCs w:val="18"/>
                <w:color w:val="auto"/>
              </w:rPr>
              <w:t>Lender warrants</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7/19/2017</w:t>
            </w:r>
          </w:p>
        </w:tc>
        <w:tc>
          <w:tcPr>
            <w:tcW w:w="120" w:type="dxa"/>
            <w:vAlign w:val="bottom"/>
          </w:tcPr>
          <w:p>
            <w:pPr>
              <w:spacing w:after="0"/>
              <w:rPr>
                <w:sz w:val="20"/>
                <w:szCs w:val="20"/>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615,386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615,386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7/19/2024</w:t>
            </w:r>
          </w:p>
        </w:tc>
        <w:tc>
          <w:tcPr>
            <w:tcW w:w="0" w:type="dxa"/>
            <w:vAlign w:val="bottom"/>
          </w:tcPr>
          <w:p>
            <w:pPr>
              <w:spacing w:after="0"/>
              <w:rPr>
                <w:sz w:val="1"/>
                <w:szCs w:val="1"/>
                <w:color w:val="auto"/>
              </w:rPr>
            </w:pPr>
          </w:p>
        </w:tc>
      </w:tr>
      <w:tr>
        <w:trPr>
          <w:trHeight w:val="230"/>
        </w:trPr>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6,208,527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6,208,527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Stock-Based Transactions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three months ended March 31, 2018 the Company recognized $11 in stock-based compensation related to equity instruments granted by Surface to consultants, Imprimis employees and directors, including Mark Baum, CEO of the Company, Andrew Boll, CFO of the Company, and Richard Lindstrom, a director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940" w:type="dxa"/>
            <w:vAlign w:val="bottom"/>
          </w:tcPr>
          <w:p>
            <w:pPr>
              <w:jc w:val="center"/>
              <w:ind w:left="230"/>
              <w:spacing w:after="0"/>
              <w:rPr>
                <w:sz w:val="20"/>
                <w:szCs w:val="20"/>
                <w:color w:val="auto"/>
              </w:rPr>
            </w:pPr>
            <w:r>
              <w:rPr>
                <w:rFonts w:ascii="Arial" w:cs="Arial" w:eastAsia="Arial" w:hAnsi="Arial"/>
                <w:sz w:val="18"/>
                <w:szCs w:val="18"/>
                <w:color w:val="auto"/>
                <w:w w:val="87"/>
              </w:rPr>
              <w:t>For the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For the</w:t>
            </w:r>
          </w:p>
        </w:tc>
      </w:tr>
      <w:tr>
        <w:trPr>
          <w:trHeight w:val="230"/>
        </w:trPr>
        <w:tc>
          <w:tcPr>
            <w:tcW w:w="4860" w:type="dxa"/>
            <w:vAlign w:val="bottom"/>
          </w:tcPr>
          <w:p>
            <w:pPr>
              <w:spacing w:after="0"/>
              <w:rPr>
                <w:sz w:val="19"/>
                <w:szCs w:val="19"/>
                <w:color w:val="auto"/>
              </w:rPr>
            </w:pPr>
          </w:p>
        </w:tc>
        <w:tc>
          <w:tcPr>
            <w:tcW w:w="1940" w:type="dxa"/>
            <w:vAlign w:val="bottom"/>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4860" w:type="dxa"/>
            <w:vAlign w:val="bottom"/>
          </w:tcPr>
          <w:p>
            <w:pPr>
              <w:spacing w:after="0"/>
              <w:rPr>
                <w:sz w:val="20"/>
                <w:szCs w:val="20"/>
                <w:color w:val="auto"/>
              </w:rPr>
            </w:pPr>
          </w:p>
        </w:tc>
        <w:tc>
          <w:tcPr>
            <w:tcW w:w="1940" w:type="dxa"/>
            <w:vAlign w:val="bottom"/>
          </w:tcPr>
          <w:p>
            <w:pPr>
              <w:jc w:val="center"/>
              <w:ind w:left="230"/>
              <w:spacing w:after="0"/>
              <w:rPr>
                <w:sz w:val="20"/>
                <w:szCs w:val="20"/>
                <w:color w:val="auto"/>
              </w:rPr>
            </w:pPr>
            <w:r>
              <w:rPr>
                <w:rFonts w:ascii="Arial" w:cs="Arial" w:eastAsia="Arial" w:hAnsi="Arial"/>
                <w:sz w:val="18"/>
                <w:szCs w:val="18"/>
                <w:color w:val="auto"/>
                <w:w w:val="91"/>
              </w:rPr>
              <w:t>March 31, 2018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March 31, 2017</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general and administrative</w:t>
            </w:r>
          </w:p>
        </w:tc>
        <w:tc>
          <w:tcPr>
            <w:tcW w:w="1940" w:type="dxa"/>
            <w:vAlign w:val="bottom"/>
            <w:tcBorders>
              <w:top w:val="single" w:sz="8" w:color="auto"/>
            </w:tcBorders>
            <w:shd w:val="clear" w:color="auto" w:fill="CCEEFF"/>
          </w:tcPr>
          <w:p>
            <w:pPr>
              <w:jc w:val="right"/>
              <w:ind w:right="17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Directors – selling, general and administrative</w:t>
            </w:r>
          </w:p>
        </w:tc>
        <w:tc>
          <w:tcPr>
            <w:tcW w:w="19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Consultants – selling, general and administrative</w:t>
            </w:r>
          </w:p>
        </w:tc>
        <w:tc>
          <w:tcPr>
            <w:tcW w:w="19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108</w:t>
            </w:r>
          </w:p>
        </w:tc>
        <w:tc>
          <w:tcPr>
            <w:tcW w:w="22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7"/>
        </w:trPr>
        <w:tc>
          <w:tcPr>
            <w:tcW w:w="4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bottom w:val="single" w:sz="8" w:color="auto"/>
            </w:tcBorders>
          </w:tcPr>
          <w:p>
            <w:pPr>
              <w:jc w:val="right"/>
              <w:ind w:right="17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751</w:t>
            </w: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2016, Louis L. Sobol, M.D. (“Sobol”) filed a lawsuit in the U.S. District Court for the Eastern District of Michigan, Southern Division against the Company, asserting claims on behalf of himself and an as-yet-uncertified class of consumers. The claims allege violations under the Telephone Consumer Protection Act, 47 U.S.C. § 227 via the Company’s alleged transmittal of advertisements to its clients via facsimile. The case is currently in the discovery phase, and the Company expects Dr. Sobol to request the court to certify the class during 2018. The Company believes the claims are frivolous and have previously and will continue to dispute all claims against it and intends to vigorously defend these allegations.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2017, Allergan USA, Inc. (“Allergan”) filed a lawsuit in the U.S. District Court for the Central District of California against the Company, primarily claiming violations under the federal Lanham Act and other state laws. The case is currently in the beginning stages of discovery, with a trial date set for April 2019. The Company has previously and continues to dispute all claims against it and intends to vigorously defend these allegations.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Spectrum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Company filed a complaint against Spectrum Laboratory Products, Inc., Spectrum Chemical Manufacturing Corp. and Spectrum Pharmacy Products, Inc. (collectively “Spectrum”) in the Los Angeles County Superior Court asserting claims for breach of contract, breach of implied covenant of good faith and fair dealing, violation of California Commercial Code Section 2101 and fraud. The claims stem from prior business dealings between the Company and Spectrum and allege false representation by Spectrum regarding their products, fraudulent labeling and misrepresentations of approved product usages. The complaint has been filed with the Court and in May Spectrum has filed its answer with the Court. The Company intends to fully purse any and all legal remedies available to us against Spectrum.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2018, Novel Drug Solutions, LLC and Eyecare Northwest, PA, (collectively “NDS”) filed a lawsuit in the U.S. District Court of Delaware asserting claims for breach of contract. The claims stem from an asset purchase agreement the Company and NDS entered into in 2013. The Company has not yet responded to the complaint, however, the Company believes the claims are frivolous and disputes all claims against it and intends to vigorously defend the allegations.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The Company utilizes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the Company as a co-defendant. The Company has not yet responded to the complaint, however, the Company believes the claims are frivolous and disputes all claims against it and intends to vigorously defend the allegation.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Board of Pharmacy Accusation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2018, the California Board of Pharmacy filed an accusation against the Company’s wholly owned subsidiary, Park Compounding, Inc. related to a compounded formulation the Company believes was legally dispensed and was, without the Company’s knowledge, inappropriately administered to a patient unknown to the Company, by the prescribing healthcare professionals. The Company has filed its response to the accusation and has requested for a formal hearing. The Company disputes all claims against it and intends to vigorously defend against the allegations.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Klarity License Agreement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2017 and as amended in April 2018,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used to protect and rehabilitate the ocular surface (the “Klarity Product”).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Klarity License Agreement, the Company is required to make royalty payments to Dr. Lindstrom ranging from 3% to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No payments were made during the three months ended March 31, 2018 and 2017, and $101 was due to Dr. Lindstrom at March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the Company entered various sales and marketing agreements with certain organizations, to provide exclusive sales and marketing representation services to Imprimis in select geographies in the U.S., in connection with our ophthalmic compounded formulations.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sales and marketing agreements, the Company is required to make commission payments to equal to 10% - 14% of net sales for products above and beyond the initial existing sales amounts. In addition, the Company is required to make periodic milestone payments to certain organizations in shares of the Company’s restricted common stock if net sales in the assigned territory reach certain future levels by the end of their terms, as applicable. No stock based payments were made and $215 were incurred under these agreements for commission expenses during the three months ended March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its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U.S.; therefore, total revenues for 2018 and 2017 are attributed to the U.S. All long-lived assets at March 31, 2018 and December 31, 2017 are located in the U.S.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months ended March 31, 2018 and 2017.</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58% and 93% of active pharmaceutical ingredient purchases during the three months ended March 31, 2018 and 2017,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March 31, 2018 through the filing date of this Quarterly Report. Based on its evaluation, nothing other than the events described below needs to be disclosed.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2018, the Company sold 66,531 shares of common stock under the Sales Agreement and received net proceeds of $132, after deducting offering related expenses and commissions.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2018, the Company and its subsidiary Surface closed on an offering of Surface’s Series A Preferred Stock at $3.30 a share for proceeds of approximately $15,000 (the “Surface Series A Round”), with intentions to close up to an additional $5,000 in proceeds within 90 days (proceeds $20,000 in aggregate). At the time of closing the Company lost its controlling interest, and deconsolidated Surface from its consolidated financial statements. In addition, the Company entered into asset purchase and license agreements (the “Surface License Agreements”) in 2017 and amended in April 2018, that transferred to its subsidiary Surface three proprietary drug candidates. Under the Surface License Agreements, the Company is eligible to receive royalties on sales of its contributed drug candidates. The Company holds 3,500,000 shares of Surface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2017 and subsequent reports on Form 8-K, which discuss our business in greater detail. As used in this discussion and analysis, unless the context indicates otherwise, the terms the “Company”, “Imprimis” “we”, “us” and “our” refer to Imprimis Pharmaceuticals, Inc. and its consolidated subsidiaries, consisting of Park Compounding, Inc., Imprimis Rx NJ, LLC dba ImprimisRx, Imprimis NJOF, LLC, and Surface Pharmaceuticals, Inc. In this discussion and analysis, we refer to our consolidated subsidiaries collectively as our “ImprimisRx compounding pharmacies.”</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pharmaceutical company specializing in the development, production and sale of innovative medications that offer unique competitive advantages and serve unmet needs in the marketplace. We are committed to our company’s mission, of delivering high-quality novel medications to physicians and patients at affordable prices. We currently operate our business through several divisions and subsidiaries: ImprimisRx, a leading ophthalmology focused compounding business; Park Compounding, a custom compounding business focused on patient specific orders; and holds equity interests in 505(b)(2) focused specialty pharmaceutical companies, Surface Pharmaceuticals, Inc. and Eton Pharmaceuticals, Inc., along with royalty interests in certain of their drug candidates.</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Almost all of our sales revenue is derived from making, selling and dispensing our prescription drug formulations as cash pay transactions between us and our end-user customer. As such, the majority of our commercial transactions do not involve distributors, wholesalers, insurance companies, pharmacy benefit managers or other middle parties. By not being reliant on insurance company formulary inclusion and pharmacy benefit manager payment clawbacks, we are able to simplify the prescription transaction process. We believe the outcome of our business model is a simple transaction, involving a patient-in-need, a physician’s diagnosis and a fair price and great service for a quality pharmaceutical product. We sell our products through a network of employees and independent contractors and we dispense our formulations in all 50 states, Puerto Rico and in selected markets outside the United States.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jc w:val="both"/>
        <w:ind w:firstLine="648"/>
        <w:spacing w:after="0" w:line="302" w:lineRule="auto"/>
        <w:rPr>
          <w:sz w:val="20"/>
          <w:szCs w:val="20"/>
          <w:color w:val="auto"/>
        </w:rPr>
      </w:pPr>
      <w:r>
        <w:rPr>
          <w:rFonts w:ascii="Arial" w:cs="Arial" w:eastAsia="Arial" w:hAnsi="Arial"/>
          <w:sz w:val="16"/>
          <w:szCs w:val="16"/>
          <w:color w:val="auto"/>
        </w:rPr>
        <w:t>We have incurred recurring operating losses and have had negative operating cash flows since July 24, 1998 (inception). In addition, we have an accumulated deficit of approximately $92,349,000 at December 31, 2017. Beginning on April 1, 2014, when we acquired our first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Compounding Businesses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Pharmaceutical compounding is the science of combining different active pharmaceutical ingredients (APIs), all of which are FDA-approved (either as a finished form product or as a bulk drug ingredient) and excipients, to create specialized preparations. Physicians and healthcare institutions use compounded drugs when commercially available drugs do not optimally treat a patients needs In many cases, compounded drugs such as ours have wide market utility and may be clinically appropriate for large patient populations. Examples of compounded formulations include medications with alternative dosage strengths or unique dosage forms, such as topical creams or gels, suspensions, or solutions with more tolerable drug delivery vehicles.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Compounding Facilities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three compounding facilities. Our New Jersey operations comprises two separate entities and facilities, with one facility registered with the FDA as an outsourcing facility (“NJOF”) under Section 503B of the FDCA. The other New Jersey facility (“RxNJ”), and Park Compounding, Inc. (“Park”) our California based pharmacy, are both licensed pharmacies operating under Sections 503A of the FDCA. All products that we sell, produce and dispense are made in the United States of America.</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believe that our current compounding facilities provide us with the infrastructure to scale our business appropriately under the current regulatory landscape and meet the growth in demand we are targeting. We plan to maintain and invest our facilities to further their capacity and efficiencies. Also, we may seek to access greater redundancy and markets through acquisitions, partnerships or other strategic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ImprimisRx</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ImprimisRx is our core ophthalmology focused compounding business. We offer our 2,000+ physician customers and their patients critical medicines to meet needs that are unmet by commercially available drugs. We make our formulations available at prices that are, in most cases, lower than non-customized commercial drugs. Our current ophthalmology formulary includes over twenty compounded formulations, many of which are patented or patent-pending, and are customizable for the specific needs of a patient. Some examples of our compounded medications are various combinations of drugs formulated into one bottle and numerous preservative free formulations. Depending on the formulation, the regulations of a specific state and ultimately the needs of the patient, ImprimisRx products may be dispensed as patient-specific medications from our 503A pharmacies, or for in-office use made according to cGMPs, in our FDA-registered NJOF outsourcing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 Compounding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Park, our wholly owned subsidiary pharmacy based in Irvine, California, is focused on general customizable pharmaceutical compounding. Park dispenses sterile and non-sterile compounded medications prescribed by licensed practitioners when commercially available choices do not meet a patient’s needs. Park also produces and dispenses certain of our ophthalmic formulations.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Pharmaceutical Businesses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large shareholders of our previously consolidated subsidiaries, Surface Pharmaceuticals, Inc. (“Surface”) and Eton Pharmaceuticals, Inc. (“Eton”), and hold royalty interests in certain of their drug candidates. Both Surface and Eton are pursuing FDA approvals for their drug candidates through a traditional approval under the FDCA, including Section 505(b)(2) which permits the submission of an new drug application (NDA) where at least some of the information required for approval comes from studies not conducted by or for the applicant and for which the applicant has not obtained a right of reference. We intend to create additional subsidiaries that will be focused on the development and FDA approval for certain of our proprietary compounded formulations.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Surface Pharmaceuticals, Inc.</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Surface is a biopharmaceutical company focused on development and commercialization of innovative therapeutics for ocular surface diseases and is seeking FDA approval for the commercialization of its drug candidates through the Section 505(b)(2) regulatory pathway under the FDCA. In 2017 and amended in April 2018, Imprimis entered into asset purchase and license agreements (the “Surface License Agreements”) and transferred to Surface its current drug pipeline, which consists of three proprietary drug candidates. Our patent-pending preservative-free topical eye drop drug candidates, SURF-100 and SURF-200, utilize a patented delivery vehicle known as Klarity Drops (“Klarity”), that was invented by Imprimis board member and Surface’s chairman of the board and renowned ophthalmologist Dr. Richard Lindstrom. Klarity is designed to protect and rehabilitate the ocular surface pathology for patients with DED. Our drug candidate SURF-300 is a patent-pending oral capsule that will target patients also suffering from DED signs and symptoms.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2018, Surface closed on an offering of its Series A Preferred Stock at $3.30 a share for proceeds of approximately $15 million (the “Surface Series A Round”), with intentions to close up to an additional $5 million in proceeds within 90 days (proceeds $20 million in aggregate, approximately). At the time of closing we lost our controlling interest, and deconsolidated Surface from our consolidated financial statements. We own 3.5 million shares of Surface common stock, which is approximately 35% of the equity and voting interests issued and outstanding of Surface following the initial close of the Surface Series A Round, and we estimate we will own approximately 30% of the issued and outstanding equity and voting interests of Surface following the second close of the Surface Series A Round. Pursuant to the terms of the Surface License Agreements, Imprimis is eligible to receive royalties on sales of contributed drug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Eton Pharmaceuticals, Inc.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Eton is a biopharmaceutical company focused on developing and commercializing innovative products utilizing the FDA’s 505(b)(2) regulatory pathway. Its pipeline includes nearly a dozen products in various stages of development across a variety of dosage forms. Eton’s pipeline is focused on innovative 505(b)(2) products and marketed unapproved drugs.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May 2017, we entered into two asset purchase and license agreements (the “Eton License Agreements”) with our previously wholly owned subsidiary, Eton. Pursuant to the terms of the Eton License Agreements, we assigned and licensed to Eton certain intellectual property and related rights to develop, formulate, make, sell, and sub-license our proprietary formulations of synthetic corticotropin (Eton drug candidate CT-100) and a patented injectable pentoxifylline (collectively, the “Imprimis Products”). Eton intends to seek FDA approval for the commercialization of these drug candidates through the Section 505(b)(2) regulatory pathway. If these drug candidates are approved by the FDA, Eton is required to make royalty payments to us on the Imprimis Products. In addition to the Imprimis Products, Eton has acquired several additional 505(b)(2) drug candidates and ones that qualify under the Drug Efficacy Study Implementation (DESI) program which it plans to develop and commercialize through the 505(b)(2) pathway. Imprimis is only eligible to receive royalties on the Imprimis Products (corticotropin and pentoxifylline), and will not receive royalties on any other drug candidates currently being developed by Eton.</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Eton License Agreements became effective in June 2017, when Eton closed an offering of its Series A Preferred Stock at $3.00 a share for gross proceeds of approximately $20 million (the “Series A Round”). At the time of closing we lost our controlling interest, and deconsolidated Eton from our consolidated financial statements. We are currently the largest shareholder of Eton and own 3.5 million shares of Eton common stock, which is approximately 27% of the equity and voting interests issued and outstanding of Eton following the close of the Series A Round. The Series A Preferred Stock has mandatory conversion requirements into common stock of Eton upon events, including an underwritten initial public offering of Eton common stock (“IPO”). Eton is required to file a registration statement on Form S-1 with the United States Securities and Exchange Commission within nine months of the closing and complete and IPO by December 31, 2018, subject to extension upon written approval of the holders of a majority of the Series A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Reimbursement Options and Pricing Optimization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However, we work with third-party insurers, pharmacy benefit managers and buying groups to offer patient-specific customizable compounded formulations at accessible prices. We may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formal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ophthalmic formulations. An economic study conducted in 2015 by researchers at Andrew Chang &amp; Co, LLC and co-sponsored by us demonstrated that, assuming the cost of Dropless Therapy is $100 per dose, our formulations may provide collective savings to Medicare, Medicaid and patients of up to $13 billion, with a most likely savings estimate of $8.7 billion, over a 10-year period. Based on this research, we believe optimized pricing for certain of our compounded formulations could be greater than $100 per dose. Any efforts to attain optimized pricing for these or any of our other proprietary formulations could fail, which could make our products less attractive or unavailable to some patients or could reduce our margins.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describes certain developments in 2018 to date that are important to understand our financial condition and results of operations. See the notes to our consolidated financial statements included in this report for additional information about each of these developments.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Surface Pharmaceuticals License Agreements and Series A Round</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described more fully above under the sub-heading “Surface Pharmaceuticals, Inc.”, in 2017 and amended in April 2018, we entered the Surface License Agreements with our previously wholly owned subsidiary, Surface. The Surface License Agreements were made effective in May 2018, following the close of the Surface Series A Round. Pursuant to the terms of the Surface License Agreements, we assigned and licensed to Surface certain intellectual property and related rights to develop, formulate, make, sell, and sub-license the its current drug candidate pipeline.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period-to-period comparisons of our financial results are not necessarily indicative of results for the current period or any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The following presents our revenues for the three months ended March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7"/>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200" w:type="dxa"/>
            <w:vAlign w:val="bottom"/>
          </w:tcPr>
          <w:p>
            <w:pPr>
              <w:spacing w:after="0"/>
              <w:rPr>
                <w:sz w:val="19"/>
                <w:szCs w:val="19"/>
                <w:color w:val="auto"/>
              </w:rPr>
            </w:pPr>
          </w:p>
        </w:tc>
        <w:tc>
          <w:tcPr>
            <w:tcW w:w="10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jc w:val="right"/>
              <w:ind w:right="2090"/>
              <w:spacing w:after="0"/>
              <w:rPr>
                <w:sz w:val="20"/>
                <w:szCs w:val="20"/>
                <w:color w:val="auto"/>
              </w:rPr>
            </w:pPr>
            <w:r>
              <w:rPr>
                <w:rFonts w:ascii="Arial" w:cs="Arial" w:eastAsia="Arial" w:hAnsi="Arial"/>
                <w:sz w:val="18"/>
                <w:szCs w:val="18"/>
                <w:b w:val="1"/>
                <w:bCs w:val="1"/>
                <w:color w:val="auto"/>
                <w:w w:val="86"/>
              </w:rPr>
              <w:t>Product sales, net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8,855,000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6,089,000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2,766,000</w:t>
            </w:r>
          </w:p>
        </w:tc>
        <w:tc>
          <w:tcPr>
            <w:tcW w:w="0" w:type="dxa"/>
            <w:vAlign w:val="bottom"/>
          </w:tcPr>
          <w:p>
            <w:pPr>
              <w:spacing w:after="0"/>
              <w:rPr>
                <w:sz w:val="1"/>
                <w:szCs w:val="1"/>
                <w:color w:val="auto"/>
              </w:rPr>
            </w:pPr>
          </w:p>
        </w:tc>
      </w:tr>
      <w:tr>
        <w:trPr>
          <w:trHeight w:val="237"/>
        </w:trPr>
        <w:tc>
          <w:tcPr>
            <w:tcW w:w="3540" w:type="dxa"/>
            <w:vAlign w:val="bottom"/>
          </w:tcPr>
          <w:p>
            <w:pPr>
              <w:jc w:val="right"/>
              <w:ind w:right="2150"/>
              <w:spacing w:after="0"/>
              <w:rPr>
                <w:sz w:val="20"/>
                <w:szCs w:val="20"/>
                <w:color w:val="auto"/>
              </w:rPr>
            </w:pPr>
            <w:r>
              <w:rPr>
                <w:rFonts w:ascii="Arial" w:cs="Arial" w:eastAsia="Arial" w:hAnsi="Arial"/>
                <w:sz w:val="18"/>
                <w:szCs w:val="18"/>
                <w:b w:val="1"/>
                <w:bCs w:val="1"/>
                <w:color w:val="auto"/>
                <w:w w:val="84"/>
              </w:rPr>
              <w:t>License revenues</w:t>
            </w:r>
          </w:p>
        </w:tc>
        <w:tc>
          <w:tcPr>
            <w:tcW w:w="26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8,000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3540" w:type="dxa"/>
            <w:vAlign w:val="bottom"/>
            <w:tcBorders>
              <w:top w:val="single" w:sz="8" w:color="CCEEFF"/>
              <w:bottom w:val="single" w:sz="8" w:color="CCEEFF"/>
            </w:tcBorders>
            <w:shd w:val="clear" w:color="auto" w:fill="CCEEFF"/>
          </w:tcPr>
          <w:p>
            <w:pPr>
              <w:jc w:val="right"/>
              <w:ind w:right="215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revenue between periods was largely attributable to increased sales of our proprietary formulations and furtherance of our ophthalmology related compounded formulations. Our gross ophthalmology related sales were approximately $6,980,000 for the three months ended March 31, 2018, compared to $3,658,000 during the same period last year. Net revenues generated from NJOF (which include certain ophthalmology related sales) totaled $4,589,000 during the three months ended March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months ended March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For the Three months ended</w:t>
            </w:r>
          </w:p>
        </w:tc>
        <w:tc>
          <w:tcPr>
            <w:tcW w:w="160" w:type="dxa"/>
            <w:vAlign w:val="bottom"/>
          </w:tcPr>
          <w:p>
            <w:pPr>
              <w:spacing w:after="0"/>
              <w:rPr>
                <w:sz w:val="19"/>
                <w:szCs w:val="19"/>
                <w:color w:val="auto"/>
              </w:rPr>
            </w:pPr>
          </w:p>
        </w:tc>
        <w:tc>
          <w:tcPr>
            <w:tcW w:w="102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1"/>
        </w:trPr>
        <w:tc>
          <w:tcPr>
            <w:tcW w:w="2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96"/>
              </w:rPr>
              <w:t>March 31,</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714,000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our cost of sales between periods was largely attributable to an increase in the volume of unit sales of our formulations and products and our associated costs of such sales. The increase in gross profit and gross margin between periods is largely attributable to increased efficiencies in our production process and utilization of capacities as a result of increased output.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general and administrative expenses for the three months ended March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9"/>
              </w:rPr>
              <w:t>For the Three months ended</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93"/>
              </w:rPr>
              <w:t>March 31,</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Selling, general and administrative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6,811,000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0"/>
              </w:rPr>
              <w:t>(323,000)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decrease in selling, general and administrative expenses between periods was largely attributable to the cost reduction strategies we began to implement during the third quarter of 2016 and throughout 2017 as well as the use of contracted sales forces in lieu of a larger salaried sales force headcount. Those reduction strategies included reductions in force, implementation of information technology related efficiencies and streamlined certain operational activities. Our selling, general and administrative expenses included approximately $87,000 related to the operations of Surface during the three months ended March 31,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months ended March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w w:val="89"/>
              </w:rPr>
              <w:t>For the Three months ended</w:t>
            </w:r>
          </w:p>
        </w:tc>
        <w:tc>
          <w:tcPr>
            <w:tcW w:w="200" w:type="dxa"/>
            <w:vAlign w:val="bottom"/>
          </w:tcPr>
          <w:p>
            <w:pPr>
              <w:spacing w:after="0"/>
              <w:rPr>
                <w:sz w:val="19"/>
                <w:szCs w:val="19"/>
                <w:color w:val="auto"/>
              </w:rPr>
            </w:pPr>
          </w:p>
        </w:tc>
        <w:tc>
          <w:tcPr>
            <w:tcW w:w="10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93"/>
              </w:rPr>
              <w:t>March 31,</w:t>
            </w: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87,000</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160,000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decrease in research and development expenses between periods was primarily attributable to several formulation development studies that were conducted during the three months ended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was $1,000 for three months ended March 31, 2018, compared to $3,000 during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Interest expense was $664,000 for three months ended March 31, 2018, compared to $791,000 during the same period last year. The decrease was primarily due to interest expense recognition related to the deferred acquisition obligations related to our acquisition of Park being fulfilled.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Loss from Eton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months ended March 31, 2018, we recorded a loss of $1,069,000 for our share of losses based on our ownership of Eton. We began using equity method accounting for our investment in Eton beginning on June 16, 2017, the date we no longer had a controlling interest, prior to that date, their losses were consolidated within our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net loss for the three months ended March 31,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March 31, 2018</w:t>
            </w:r>
          </w:p>
        </w:tc>
        <w:tc>
          <w:tcPr>
            <w:tcW w:w="180" w:type="dxa"/>
            <w:vAlign w:val="bottom"/>
          </w:tcPr>
          <w:p>
            <w:pPr>
              <w:spacing w:after="0"/>
              <w:rPr>
                <w:sz w:val="20"/>
                <w:szCs w:val="20"/>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31,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(3,513,000)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8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(0.26</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cash on hand (including restricted cash) at March 31, 2018 was $2,892,000 compared to $4,219,000 at December 31, 2017. Since inception through March 31, 2018 we have incurred aggregate losses to common stockholders of $(92,349,000).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jc w:val="both"/>
        <w:ind w:firstLine="648"/>
        <w:spacing w:after="0" w:line="253" w:lineRule="auto"/>
        <w:rPr>
          <w:sz w:val="20"/>
          <w:szCs w:val="20"/>
          <w:color w:val="auto"/>
        </w:rPr>
      </w:pPr>
      <w:r>
        <w:rPr>
          <w:rFonts w:ascii="Arial" w:cs="Arial" w:eastAsia="Arial" w:hAnsi="Arial"/>
          <w:sz w:val="17"/>
          <w:szCs w:val="17"/>
          <w:color w:val="auto"/>
        </w:rPr>
        <w:t>As of the date of this Quarterly Report, we believe that cash and cash equivalents of $2,692,000 and restricted cash of $200,000 totaling approximately $2,892,000 at March 31, 2018, along with net proceeds from the sale of our common stock through the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with Cantor Fitzgerald &amp; Co. (the “Sales Agreement”), will be sufficient to sustain our planned level of operations and capital expenditures for at least the next 12 months.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product candidate for which we pursue FDA approval, to pursue additional development programs or to explore other development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three months ended March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4"/>
              </w:rPr>
              <w:t>For the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For the</w:t>
            </w:r>
          </w:p>
        </w:tc>
      </w:tr>
      <w:tr>
        <w:trPr>
          <w:trHeight w:val="230"/>
        </w:trPr>
        <w:tc>
          <w:tcPr>
            <w:tcW w:w="6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Three Months Ended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6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March 31, 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March 31, 2017</w:t>
            </w:r>
          </w:p>
        </w:tc>
      </w:tr>
      <w:tr>
        <w:trPr>
          <w:trHeight w:val="216"/>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(3,980,000)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(264,000)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(216,000)</w:t>
            </w:r>
          </w:p>
        </w:tc>
      </w:tr>
      <w:tr>
        <w:trPr>
          <w:trHeight w:val="25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(98,000)</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2,739,000</w:t>
            </w:r>
          </w:p>
        </w:tc>
        <w:tc>
          <w:tcPr>
            <w:tcW w:w="80" w:type="dxa"/>
            <w:vAlign w:val="bottom"/>
            <w:shd w:val="clear" w:color="auto" w:fill="CCEEFF"/>
          </w:tcPr>
          <w:p>
            <w:pPr>
              <w:spacing w:after="0"/>
              <w:rPr>
                <w:sz w:val="21"/>
                <w:szCs w:val="21"/>
                <w:color w:val="auto"/>
              </w:rPr>
            </w:pPr>
          </w:p>
        </w:tc>
      </w:tr>
      <w:tr>
        <w:trPr>
          <w:trHeight w:val="203"/>
        </w:trPr>
        <w:tc>
          <w:tcPr>
            <w:tcW w:w="6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cash equivalents and restricted cash</w:t>
            </w:r>
          </w:p>
        </w:tc>
        <w:tc>
          <w:tcPr>
            <w:tcW w:w="10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(1,327,000)</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(1,457,000)</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4,219,000</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8,853,000</w:t>
            </w:r>
          </w:p>
        </w:tc>
        <w:tc>
          <w:tcPr>
            <w:tcW w:w="80" w:type="dxa"/>
            <w:vAlign w:val="bottom"/>
            <w:shd w:val="clear" w:color="auto" w:fill="CCEEFF"/>
          </w:tcPr>
          <w:p>
            <w:pPr>
              <w:spacing w:after="0"/>
              <w:rPr>
                <w:sz w:val="21"/>
                <w:szCs w:val="21"/>
                <w:color w:val="auto"/>
              </w:rPr>
            </w:pPr>
          </w:p>
        </w:tc>
      </w:tr>
      <w:tr>
        <w:trPr>
          <w:trHeight w:val="217"/>
        </w:trPr>
        <w:tc>
          <w:tcPr>
            <w:tcW w:w="6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end of the year</w:t>
            </w:r>
          </w:p>
        </w:tc>
        <w:tc>
          <w:tcPr>
            <w:tcW w:w="10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2,892,000</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7,396,000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used in operating activities was $(965,000) in 2018, as compared to $(3,980,000) used in operating activities during the same period in the prior year. The decrease in net cash used in operating activities was mainly attributed expense reductions and increased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in 2018 and 2017 was $(264,000) and $(216,000), respectively. Cash used in investing activities in 2018 and 2017, were primarily associated with equipment purchases and upgrades and investments in our intellectual property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cash (used in) provided by financing activities in 2018 and 2017 was $(98,000) and $2,739,000, respectively. Cash provided by financing activities during 2017 was primarily attributable to proceeds from the registered direct offering and sale of shares of common stock in March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sources of cash consist of cash provided by financing activities, including the proceeds related the sale of our common stock through the Sales Agreement and from ongoing product and formulation sales. We may also sell some or all of our ownership interests in Eton, Surface or our other subsidiaries. We do not currently receive sufficient revenues to support our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jc w:val="both"/>
        <w:ind w:firstLine="648"/>
        <w:spacing w:after="0" w:line="268" w:lineRule="auto"/>
        <w:rPr>
          <w:sz w:val="20"/>
          <w:szCs w:val="20"/>
          <w:color w:val="auto"/>
        </w:rPr>
      </w:pPr>
      <w:r>
        <w:rPr>
          <w:rFonts w:ascii="Arial" w:cs="Arial" w:eastAsia="Arial" w:hAnsi="Arial"/>
          <w:sz w:val="17"/>
          <w:szCs w:val="17"/>
          <w:color w:val="auto"/>
        </w:rPr>
        <w:t>We may need significant additional capital to support our business plan and fund our proposed business operations. We are eligible to receive additional proceeds from future sales of our common stock under the Sales Agreement.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SWK Loan.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and Note 3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March 31, 2018. Based on this evaluation, our principal executive officer and principal financial officer have concluded that our disclosure controls and procedures were effective to achieve their stated purpose as of March 31, 2018,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March 31, 2018,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Sobol</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December 2016, Louis L. Sobol, M.D. (“Sobol”) filed a lawsuit in the U.S. District Court for the Eastern District of Michigan, Southern Division against us, asserting claims on behalf of himself and an as-yet-uncertified class of consumers. The claims allege violations under the Telephone Consumer Protection Act, 47 U.S.C. § 227 via our alleged transmittal of advertisements to our clients via facsimile. The case is currently in the discovery phase, and we expect Dr. Sobol to likely request the court to certify the class at some point during this year. We believe the claims are frivolous and have previously and will continue to dispute all claims against us and intend to vigorously defend these allegations.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USA</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September 2017, Allergan USA, Inc. (“Allergan”) filed a lawsuit in the U.S. District Court for the Central District of California against us, primarily claiming violations under the federal Lanham Act and other state laws. In December, we filed counterclaims against Allergan alleging similar violations under the federal Lanham Act and other state laws and the case is currently in the beginning stages of discovery, with a trial date set for April 2019. We have previously and continue to dispute all claims against us and intend to vigorously defend these allegations.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Spectrum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2018, we filed a complaint against Spectrum Laboratory Products, Inc., Spectrum Chemical Manufacturing Corp. and Spectrum Pharmacy Products, Inc. (collectively “Spectrum”) in the Los Angeles County Superior Court asserting claims for breach of contract, breach of implied covenant of good faith and fair dealing, violation of California Commercial Code Section 2101 and fraud. The claims stem from prior business dealings between us and Spectrum and allege false representation by Spectrum regarding their products, fraudulent labeling and misrepresentations of approved product usages. The complaint has been filed with the Court and in May 2018, Spectrum has filed an answer with the Court. We intend to fully purse any and all legal remedies available to us against Spectrum.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Novel Drug Solutions et al.</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April 2018, Novel Drug Solutions, LLC and Eyecare Northwest, PA, (collectively “NDS”) filed a lawsuit against us in the U.S. District Court of Delaware asserting claims for breach of contract. The claims stem from an asset purchase agreement us and NDS entered into in 2013. We have not yet responded to the complaint, however, we believe the claims are frivolous, dispute all claims against us and intend to vigorously defend the allegations.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Professional Liability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Product and professional liability litigation represents an inherent risk to all firms in the pharmaceutical and pharmacy industry. We utilize traditional third-party insurance policies with regard to our product and professional liability claims. Such insurance coverage at any given time reflects current market conditions, including cost and availability, when the policy is written.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Erick et 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2018, John Erick and Deborah Ferrell, successors-in-interest and heirs of Jade Erick, (collectively “Erick”) filed a lawsuit in the San Diego County Superior against Kim Kelly, ND, MPH asserting claims related to death of Jade Erick. In April 2018, Erick filed an amendment to the lawsuit, naming us as a co-defendant. The Company has not yet responded to the complaint; however, we believe the claims are without merit, dispute all claims against us and intend to vigorously defend the allegations.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California Board of Pharmacy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2018, the California Board of Pharmacy filed an accusation against our wholly owned subsidiary, Park Compounding, Inc. related to a compounded formulation we believe was legally dispensed and was, without our knowledge, inappropriately administered to a patient unknown to us, by the prescribing healthcare professional. The Company has filed its response to the accusation and has requested for a formal hearing. The Company disputes all claims against it and intends to vigorously defend against the allegations.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ordinary course of business, we may face various claims brought by third parties and we may, from time to time, make claims or take legal actions to assert our rights, including intellectual property disputes, contractual disputes and other commercial disputes. Any of these claims could subject us to litigation. Management believes the outcomes of currently pending claims are not likely to have a material effect on our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 Dollar amounts are express in thousands.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incurred losses in every year of our operations, including net losses of $(11,985,000) and $(19,087,000) for the years ended December 31, 2017 and 2016, respectively, and net losses of $(3,513,00) and $(5,006,000) for the three months ended March 31, 2018 and 2017, respectively. As of March 31, 2018, our accumulated deficit was $(92,349,000). We expect to decrease our operating losses during 2018, however, our projections may not be correct and our plans could change and we could incur increasing operating losses in the foreseeable future for our commercialization activities, research and development and our pharmacy operations. Although we have been generating some revenue from our pharmacy operations, our ability to generate significant revenues and achieve profitability will depend on many factors, including those discussed in this “Risk Factors” section. Our business plan and strategies involve costly activities that are susceptible to failure, and, therefore, we may never be able to generate sufficient revenue to support our business or reach the level of sales and revenues necessary to achieve and sustain profitability.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plan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b w:val="1"/>
          <w:bCs w:val="1"/>
          <w:i w:val="1"/>
          <w:iCs w:val="1"/>
          <w:color w:val="auto"/>
        </w:rPr>
        <w:t>We sell certain of our proprietary formulations primarily through three compounding facilities we own, but we may not be successful in our efforts to integrate these businesses into our operations.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establishing a small compounding pharmacy group, whether through acquisitions, establishing new pharmacies or entering into licensing arrangements with third-party pharmacies and outsourcing facilities, to market and sell our proprietary formulations and other non-proprietary products in all 50 states and in certain geographies outside of the U.S.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acquired our New Jersey and California, compounding pharmacies in April 2014 and January 2015. In February 2015, we leased space in New Jersey and began construction of a new outsourcing facility to replace our current facility, which was completed near the end of the third quarter of 2016. We may plan to expand our pharmacy operations and personnel and developing our facilities into a unified group compounding pharmacy facilities. We have been developing “ImprimisRx” as a uniform brand for certain of our compounding facilities and ophthalmology focused compounded business.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strategy, including difficulties that arise as a result of our lack of experience, and we may be unsuccessful. For instance:</w:t>
      </w:r>
    </w:p>
    <w:p>
      <w:pPr>
        <w:spacing w:after="0" w:line="16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our outsourcing facility construction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completing future construction plans on a timely basis or within budget;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successful in our efforts to integrate, manage or otherwise realize the benefits we expect from acquisitions of our ImprimisRx compounding pharmacies or any additional pharmacy businesses or outsourcing facilities we to acquire or build in the future;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achieve a sufficient physician and patient customer base to sustain our pharmacy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all our efforts to expand pharmacy operations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a group of unified compounding facilities and, even if we are successful, we may be unable to generate sufficient revenue to recover our costs.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currently distribute our proprietary formulations through compounding pharmacies and an outsourcing facility. Formulations prepared and dispensed by compounding pharmacies contain FDA-approved ingredients, but are not themselves approved by the FDA. Thus, our compounded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For example, the FDA has issued formal requests to compounding pharmacies and outsourcing facilities to conduct a recall of all non-expired, purportedly sterile drug products and to cease sterile compounding operations due to lack of sterility assurance. As a result, some health care providers may be reluctant to purchase and use compounded drugs. Our growth and future sales depend not only on our ability to demonstrate in the face of increased scrutiny the quality and safety of our pharmacies and outsourcing facilities and our compliance with more stringent regulatory standards at the federal and state levels, but also on the continued acceptance of compounded drugs and formulations, particularly outsourced compounded drugs and formulations, in the marketplace.</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 incident similar to the fungal meningitis outbreak in 2012, which was caused by a compounding pharmacy employing a non-sterile-to-sterile business model, could cause our customers to reduce their use of compounded formulations significantly or even stop using compounded drugs altogether. States have in the past, and could in the future, enact regulation prohibiting or restricting the use of compounding pharmacies and outsourcing facilities in response to such incidents. Such prohibitions or restrictions by states or reduced customer demand as a result of an incident with compounded drugs and formulations could have a material adverse effect on our business, results of operations and financial condition.</w:t>
      </w:r>
    </w:p>
    <w:p>
      <w:pPr>
        <w:spacing w:after="0" w:line="17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August 2017, FDA issued a MedWatch notification regarding our curcumin emulsion and two adverse events that had been associated with the use of these emulsions by prescribing physicians. We issued a press release on August 7, 2017, clarifying certain facts regarding the notice which outlined our belief that the adverse events associated with the two patients occurred due to an allergic reaction caused by the products being inappropriately administered and obtained by the prescribing physician, and our use of curcumin and excipients in our curcumin emulsion formulation met regulatory standards required for dispensing of the curcumin emulsion. In September 2017, the FDA released a letter confirming that the alleged misuse of certain ingredients in our curcumin emulsions were due to mislabeling by the underlying supplier, and not of our own misdoing. Separately, in December 2017, we were issued a warning letter from the FDA alleging that, in their interpretation of our public communications, we had made false or misleading claims and omitted risk and side effect information regarding certain of our ophthalmology focused compounded medications. We immediately performed a full review of our public communications referenced in the warning letter and responded to the FDA in January 2018. Notwithstanding our continued belief that our public communications were not in fact false and misleading, we have begun discussions with the FDA and taking steps to address the items outlined in the letter and will continue to work with the FDA to assure that all allegations in the warning letter have been addressed. We believe we have addressed all of the material items of concern in the FDA’s warning letter and those related to the MedWatch notification (and any other requirements observed by FDA and noted to us), and do not believe there will be any further action taken by FDA in this regard. Nonetheless, these two items increased further scrutiny and negative publicity on us as a company. At times, we have become aware of negative views of regulators related to certain formulations, and as a result discontinued compounding certain drug formulations in an attempt help mitigate potential regulatory risk. As a result of the MedWatch notice and other regulatory notifications, some physicians may be hesitant to prescribe and some patients may be hesitant to purchase and use non-FDA approved compounded formulations, particularly when an FDA-approved potential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our formulations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drug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pharmacies fails to comply with state statutes and regulations, the pharmacy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 pharmacy laws require pharmacy locations in those states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If our one of our pharmacies, or with which we may partner is found not to comply with state pharmacy and controlled substance laws and regulations, the pharmacy could be required to cease operations or become subject to burdensome restrictions and limitations on its business. For example, in March 2018, the California Board of Pharmacy filed an accusation against our wholly owned subsidiary, Park Compounding, Inc. related to a compounded formulation we believe was legally dispensed and was, without our knowledge, inappropriately administered to a patient unknown to us, by the prescribing healthcare professionals. While we dispute all claims against us and intend to vigorously defend against the accusations, if Park Compounding is found to be in non-compliance pursuant to this accusation, it may be required to permanently or temporarily cease or limit its operations including its sterile compounding operations. If Park Compounding is required to permanently or temporarily cease or limit its sterile compounding operations, we would be unable to realize the expected benefits of this pharmacy’s operations, including its sales of our proprietary formulations. Although we distribute our proprietary formulations through other compounding pharmacies, and not solely through Park Compounding, the loss of Park Compounding’s ability to compound sterile formulations would have an immediate adverse impact on our ability to implement our business plan in a timely manner.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compounding pharmacies are in material compliance with applicable regulatory requirements. Further, if any of our compounding pharmacies (including Park) fail to comply with regulatory requirements, they could be forced to permanently or temporarily cease or limit their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Sections 503A and 503B,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jc w:val="both"/>
        <w:ind w:firstLine="648"/>
        <w:spacing w:after="0" w:line="285" w:lineRule="auto"/>
        <w:rPr>
          <w:sz w:val="20"/>
          <w:szCs w:val="20"/>
          <w:color w:val="auto"/>
        </w:rPr>
      </w:pPr>
      <w:r>
        <w:rPr>
          <w:rFonts w:ascii="Arial" w:cs="Arial" w:eastAsia="Arial" w:hAnsi="Arial"/>
          <w:sz w:val="16"/>
          <w:szCs w:val="16"/>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shipments of interstate compounding. Previously, the draft MOU presented by the FDA in February 2015 intended to limit interstate shipments of compounded drug units to 30% of all compounded and non-compounded units dispensed or distributed by the pharmacy per month, the excess of which the FDA considered an “inordinate amount.” The FDA stated in the guidance issued in February 2015 that it would not enforce interstate restrictions until after it published a final MOU and made it available to states for signature for some designated period of time. If the final MOU was drafted and released by the FDA and was not signed by a particular state, then interstate shipments of compounded preparations from a pharmacy located in that state would be limited to quantities not greater than 5% of total prescription orders dispensed or distributed by the pharmacy; however, we are not aware that the FDA currently enforces or has in the past enforced the 5% rule and, under current draft guidance, the FDA had historically stated that it would not enforce the 5% rule until a final MOU was made available to states for signature. The FDA originally proposed a 180-day period for states to agree to the final MOU after the final version was presented, which to date has not occurred, before it would begin to enforce the 5% rule. In January of 2018, the FDA released a “2018 Compounding Policy Priorities Plan” (the “2018 Compounding Plan”) which provided an overview of the key priorities the FDA plans to focus on in 2018 in connection with compounding regulations. One of the priorities outlined in the 2018 Compounding Plan addressed the current status of the MOU and the FDA’s plan to release a revised MOU (the “Revised MOU”). Pursuant to the statements in the Compounding Plan, the Revised MOU would consider amounts shipped interstate by a compounder to be inordinate amounts if the “number of prescriptions of compounded drugs distributed interstate during any calendar month is greater than 50 percent.” Importantly, instead of that number serving as a “hard limit, for state action,” the 50% target would trigger certain additional reporting requirements. The Revised MOU will also provide states more time to report to the FDA, and flexibility on identifying when amounts are inordinate, considering the size and scope of compounding operations. Until a the Revised MOU is issued and presented to states to consider, the extent of interstate dispensing restrictions imposed by Section 503A is unknown. However, if the final Revised MOU contains a 50% limit on interstate distribution, dependent on the additional reporting requirements to be outlined in the Revised MOU, our pharmacy operations could be materially limited.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many competitive risks related to marketing and selling our proprietary formulations and operating our compounding pharmacy business.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drug candidate in November 2013, our acquisitions of compounding facilities and various product development opportunities in 2014 and 2015,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compounding pharmacies and current and future relationships with pharmacists, physicians and other inventors to provide us with additional development opportunities, our growth and prospects could be limited.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any other assets we may acquire.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drug candidate, we develop a commercialization strategy for it, which may include marketing and selling the formulation in compounded form through compounding pharmacies or outsourcing facilities, or pursuing FDA approval of the drug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19, 2017, we incurred $16,000,000 of indebtedness under a loan agreement with SWK Funding, LLC and its partners (SWK) and concurrent with the funding, we utilized a portion of the SWK Loan funds as full payment to an affiliate of Life Sciences Alternative Funding, LLC (LSAF) to terminate all amounts due to LSAF in connection with the existing term loan and security agreements, as amended, originally entered into between the Company and LSAF on May 11, 2015 (the “LSAF Loan”), which loan had a principal balance of $12,120,000 at the time of final payment.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SWK debt instrument contain various restrictive covenants, including, among others, our obligation to deliver to SWK certain financial and other information, our obligation to comply with certain notice and insurance requirements, and our inability, without SWK’s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SWK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ind w:right="120"/>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currently earn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raised over $55,000,000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drug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with SWK.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drug candidates, technologies or businesses.</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drug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Product Development, Regulatory Approval, Manufacturing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such as with drug candidates being developed by Surface and Eton, we may be unable to demonstrate the necessary safety and efficacy to obtain such FDA approval.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our business strategy was focused on developing and commercializing product opportunities as compounded formulations. In in 2017 and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drug candidate on a timely basis or at all. Before we obtain FDA approval for the sale of any potential drug candidates, we will be required to demonstrate through preclinical studies and clinical trials that it is safe and effective for each intended use, which we may not be able to do. A failure to demonstrate safety and efficacy of a drug candidate to the FDA’s satisfaction would result in our failure to obtain FDA approval. Moreover, even if the FDA were to grant regulatory approval of a drug candidate, the approval may be limited to specific therapeutic areas or limited as to its distribution, which could reduce revenue potential, and we will be subject to extensive and costly post-approval requirements and oversight with respect to commercialization of the drug candidate.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drug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drug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drug candidates may be limited or eliminated, which may prevent us from recouping our investment in research and development efforts for the drug candidate and would have a material adverse effect on our business, results of operations, financial condition and prospects.</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the success of our drug candidates, and those we have royalty rights to, which have not yet demonstrated efficacy for their target or any other indications. If we are unable to generate revenues from our drug candidates, our ability to create stockholder value will be limited.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drug candidates are in the early stages of clinical development. We do not generate revenues from any FDA approved drug products. We expect to submit an Investigational New Drug Application (“IND”) or foreign equivalent to the FDA or international regulatory authorities seeking approval to initiate our clinical trials in humans in the United States or other countries yet to be determined. We plan on submitting our clinical trial protocols and receive approvals from the FDA and international regulatory authorities before we can commence any clinical trials. We may not be successful in obtaining acceptance from the FDA or comparable foreign regulatory authorities to start our clinical trials. If we do not obtain such acceptance, the time in which we expect to commence clinical programs for any drug candidate will be extended and such extension will increase our expenses and increase our need for additional capital. Moreover, there is no guarantee that our clinical trials will be successful or that we will continue clinical development in support of an approval from the FDA or comparable foreign regulatory authorities for any indication. We note that most drug candidates never reach the clinical development stage and even those that do commence clinical development have only a small chance of successfully completing clinical development and gaining regulatory approval. Therefore, our business currently depends entirely on the successful development, regulatory approval and commercialization of our drug candidates, which may never occur.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not able to obtain any required regulatory approvals for our drug candidates, we will not be able to commercialize our drug candidate and our ability to generate revenue will be limited.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must successfully complete clinical trials for our drug candidates before we can apply for marketing approval. Even if we complete our clinical trials, it does not assure marketing approval. Our clinical trials may be unsuccessful, which would materially harm our business. Even if our initial clinical trials are successful, we are required to conduct additional clinical trials to establish our drug candidates’ safety and efficacy, before an NDA or Biologics License Application (“BLA”), or their foreign equivalents can be filed with the FDA or comparable foreign regulatory authorities for marketing approval of our drug candidates.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Clinical testing is expensive, is difficult to design and implement, can take many years to complete and is uncertain as to outcome.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drug candidates. 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We are not permitted to market our drug candidates as prescription pharmaceutical products in the United States until we receive approval of an NDA from the FDA, or in any foreign countries until we receive the requisite approval from such countries. In the United States, the FDA generally requires the completion of clinical trials of each drug to establish its safety and efficacy and extensive pharmaceutical development to ensure its quality before an NDA is approved. Regulatory authorities in other jurisdictions impose similar requirements. Of the large number of drugs in development, only a small percentage result in the submission of an NDA to the FDA and even fewer are eventually approved for commercialization. We have not submitted an NDA to the FDA or comparable applications to other regulatory authorities. If our development efforts for our drug candidates, including regulatory approval, are not successful for their planned indications, or if adequate demand for our drug candidates is not generated, our business will be materially adversely affected.</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success depends on the receipt of regulatory approval and the issuance of such regulatory approvals is uncertain and subject to a number of risks, including the following:</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toxicology studies may not support the filing of an IND for our drug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or Institutional Review Boards, or “IRB”, may disagree with the design or implementation of our 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provide acceptable evidence of our drug candidates’ safety and efficacy;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our clinical trials may not be satisfactory or may not meet the level of statistical or clinical significance required by the FDA, European Medicines Agency (the “EMA”), or other regulatory agencies for marketing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dosing of our drug candidates in a particular clinical trial may not be at an optimal level;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drug candidates;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an NDA, BLA or other submission or to obtain regulatory approval in the United States or elsewhere;</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jc w:val="both"/>
        <w:ind w:firstLine="648"/>
        <w:spacing w:after="0" w:line="255" w:lineRule="auto"/>
        <w:rPr>
          <w:sz w:val="20"/>
          <w:szCs w:val="20"/>
          <w:color w:val="auto"/>
        </w:rPr>
      </w:pPr>
      <w:r>
        <w:rPr>
          <w:rFonts w:ascii="Arial" w:cs="Arial" w:eastAsia="Arial" w:hAnsi="Arial"/>
          <w:sz w:val="18"/>
          <w:szCs w:val="18"/>
          <w:color w:val="auto"/>
        </w:rPr>
        <w:t>Failure to obtain regulatory approval for our drug candidates for the foregoing, or any other reasons, will prevent us from commercializing our drug candidates, and our ability to generate revenue will be materially impaired. We cannot guarantee that regulators will agree with our assessment of the results of the clinical trials we intend to conduct in the future or that such trials will be successful. The FDA, EMA and other regulators have substantial discretion in the approval process and may refuse to accept any application or may decide that our data is insufficient for approval and require additional clinical trials, or pre-clinical or other studies. In addition, varying interpretations of the data obtained from pre-clinical and clinical testing could delay, limit or prevent regulatory approval of our drug candidates.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Excluding any activities through our passive ownership interest in Eton, we have not submitted an NDA or received regulatory approval to market our drug candidates in any jurisdiction. We have only limited experience in filing the applications necessary to gain regulatory approvals and expect to rely on consultants and third party contract research organizations, or “CROs”, with expertise in this area to assist us in this process. Securing regulatory approvals to market a product requires the submission of pre-clinical, clinical, and/or pharmacokinetic data, information about product manufacturing processes and inspection of facilities and supporting information to the appropriate regulatory authorities for each therapeutic indication to establish a drug candidate’s safety and efficacy for each indication. Our drug candidates may prove to have undesirable or unintended side effects, toxicities or other characteristics that may preclude us from obtaining regulatory approval or prevent or limit commercial use with respect to one or all intended indications.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among other things, the type, complexity and novelty of the drug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drug candidate will receive regulatory approval in all jurisdictions in which we may seek approval, but the failure to obtain approval in one jurisdiction may negatively impact our ability to seek approval in a different jurisdiction. Failure to obtain regulatory marketing approval for our drug candidates in any indication will prevent us from commercializing the drug candidate, and our ability to generate revenue will be materially impaired.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successfully commercialize any of our drug candidates, we may need to acquire additional drug candidates and our business will be adversely affected.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commercialized any drug candidates and do not have any other compounds in pre-clinical testing, lead optimization or lead identification stages beyond our drug candidates. We cannot be certain that any of our drug candidates will prove to be sufficiently effective and safe to meet applicable regulatory standards for any indication. If we fail to successfully commercialize any of our drug candidates for their targeted indications, whether as stand-alone therapies or in combination with other therapeutic agents, our business would be adversely affected.</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for any of our drug candidates, we may not be able to successfully commercialize the product and the revenue that we generate from its sales, if any, may be limited.</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approved for marketing, the commercial success of our drug candidates will depend upon each product’s acceptance by the medical community, including physicians, patients and health care payors. The degree of market acceptance for any of our drug candidates will depend on a number of factors, including:</w:t>
      </w:r>
    </w:p>
    <w:p>
      <w:pPr>
        <w:spacing w:after="0" w:line="18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demonstration of clinical safety and efficacy;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relative convenience, dosing burden and ease of administration;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physicians to prescribe our drug candidates, and the target patient population to try new therapies;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efficacy of our drug candidates compared to competing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introduction of any new products that may in the future become available targeting indications for which our drug candidates may be approved;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procedures or therapies that may reduce the incidences of any of the indications in which our drug candidates may show utility;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pricing and cost-effectiveness;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inclusion or omission of our drug candidates in applicable therapeutic and vaccine guidelines;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own or any future collaborators’ sales and marketing strategies;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or warnings contained in approved labeling from regulatory authorities;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third-party coverage or reimbursement or government pricing approvals.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our drug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drug candidates may require significant resources and may never be successful.</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even if we obtain regulatory approvals, the timing or scope of any approvals may prohibit or reduce our ability to commercialize our drug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drug candidates not commercially viable. For example, regulatory authorities may approve any of our drug candidates for fewer or more limited indications than we request, may not approve the price we intend to charge for any of our drug candidates, may grant approval contingent on the performance of costly post-marketing clinical trials, or may approve any of our drug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The FDA may also require a REMS for an approved product when new safety information emerges. Any of these limitations on approval or marketing could restrict the commercial promotion, distribution, prescription or dispensing of our drug candidates. Moreover, product approvals may be withdrawn for non-compliance with regulatory standards or if problems occur following the initial marketing of the product. Any of the foregoing scenarios could materially harm the commercial success of our drug candidates.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jc w:val="both"/>
        <w:spacing w:after="0" w:line="259" w:lineRule="auto"/>
        <w:rPr>
          <w:sz w:val="20"/>
          <w:szCs w:val="20"/>
          <w:color w:val="auto"/>
        </w:rPr>
      </w:pPr>
      <w:r>
        <w:rPr>
          <w:rFonts w:ascii="Arial" w:cs="Arial" w:eastAsia="Arial" w:hAnsi="Arial"/>
          <w:sz w:val="18"/>
          <w:szCs w:val="18"/>
          <w:b w:val="1"/>
          <w:bCs w:val="1"/>
          <w:i w:val="1"/>
          <w:iCs w:val="1"/>
          <w:color w:val="auto"/>
        </w:rPr>
        <w:t>Even if we obtain marketing approval for any of our drug candidates, we will be subject to ongoing obligations and continued regulatory review, which may result in significant additional expense. Additionally, our drug candidates could be subject to labeling and other restrictions and withdrawal from the market and we may be subject to penalties if we fail to comply with regulatory requirements or if we experience unanticipated problems with our drug candidates.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we obtain regulatory approval for any of our drug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drug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 requirements relating to quality control, quality assurance and corresponding maintenance of records and documents.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FDA has the authority to require a REMS as part of an NDA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With respect to sales and marketing activities by us or any future partner,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6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if any of our drug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drug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or a regulatory agency discovers previously unknown problems with a product,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issuance of 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holds;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 monetary fines;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filed by us, or suspension or revocation of product license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suspension or imposition of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occurrence of any event or penalty described above may inhibit our ability to commercialize our drug candidates and generate revenue. Adverse regulatory action, whether pre- or post-approval, can also potentially lead to product liability claims and increase our product liability exposure.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Obtaining and maintaining regulatory approval of our drug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products is also subject to approval.</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 or to receive applicable marketing approvals, our target market will be reduced and our ability to realize the full market potential of our drug candidates will be harmed.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obtain marketing approval of and commercialize our drug candidates and affect the prices we may obtain.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for our drug candidates, restrict or regulate post-approval activities and affect our ability to profitably sell our drug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drug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jc w:val="both"/>
        <w:ind w:firstLine="648"/>
        <w:spacing w:after="0" w:line="271" w:lineRule="auto"/>
        <w:rPr>
          <w:sz w:val="20"/>
          <w:szCs w:val="20"/>
          <w:color w:val="auto"/>
        </w:rPr>
      </w:pPr>
      <w:r>
        <w:rPr>
          <w:rFonts w:ascii="Arial" w:cs="Arial" w:eastAsia="Arial" w:hAnsi="Arial"/>
          <w:sz w:val="17"/>
          <w:szCs w:val="17"/>
          <w:color w:val="auto"/>
        </w:rPr>
        <w:t>In the United States,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drug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Patient Protection and Affordable Care Act, as amended by the Health Care and Education Affordability Reconciliation Act of 2010 or, collectively, the Health Care Reform Law,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Health Care Reform Law revised the definition of “average manufacturer price” for reporting purposes, which could increase the amount of Medicaid drug rebates to states. Further, the law imposed a significant annual fee on companies that manufacture or import branded prescription drug products.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Health Care Reform Law remains subject to legislative efforts to repeal, modify or delay the implementation of the law. Efforts to date have generally been unsuccessful as a result of the balance of power in Congress and the President’s veto power. However, the recent Presidential and Congressional elections, which resulted in the election of the Republican presidential nominee and Republican majorities in both houses of Congress, may result in additional efforts to repeal, modify or delay implementation of the Health Reform Law. If the Health Care Reform Law is repealed or modified, or if implementation of certain aspects of the Health Care Reform Law are delayed, such repeal, modification or delay may materially adversely impact our business, strategies, prospects, operating results or financial condition. We are unable to predict the full impact of any repeal, modification or delay in the implementation of the Health Care Reform Law on us at this time. Due to the substantial regulatory changes that will need to be implemented by Centers for Medicare &amp; Medicaid Services (“CMS”) and others, and the numerous processes required to implement these reforms, we cannot predict which healthcare initiatives will be implemented at the federal or state level, the timing of any such reforms, or the effect such reforms or any other future legislation or regulation will have on our business.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Health Care Reform Law was enacted.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or eliminate our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may face competition sooner than expected.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will depend in part on our ability to obtain and maintain patent protection for our certain of our drug candidates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However, the applications we have filed or may file in the future may never yield patents that protect our inventions and intellectual property assets. Failure to obtain patents that sufficiently cover our formulations and technologies would limit our protection against compounding pharmacies, outsourcing facilities, generic drug manufacturers, pharmaceutical companies and other parties who may seek to copy our products, produce products substantially similar to ours or use technologies substantially similar to those we own.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jc w:val="both"/>
        <w:ind w:firstLine="648"/>
        <w:spacing w:after="0" w:line="270" w:lineRule="auto"/>
        <w:rPr>
          <w:sz w:val="20"/>
          <w:szCs w:val="20"/>
          <w:color w:val="auto"/>
        </w:rPr>
      </w:pPr>
      <w:r>
        <w:rPr>
          <w:rFonts w:ascii="Arial" w:cs="Arial" w:eastAsia="Arial" w:hAnsi="Arial"/>
          <w:sz w:val="17"/>
          <w:szCs w:val="17"/>
          <w:color w:val="auto"/>
        </w:rPr>
        <w:t>We also intend to seek data exclusivity or market exclusivity for our drug candidates provided under the FDCA, and similar laws in other countries. The FDCA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Even if our drug candidates are considered to be reference products eligible for 3 years of exclusivity under the FDCA, another company could market competing products if the FDA approves a full NDA for such product containing the sponsor’s own preclinical data and data from adequate and well-controlled clinical trials to demonstrate the safety, purity and potency of the products. Moreover, an amendment or repeal of the FDCA could result in a shorter exclusivity period for our drug candidates, which would have a material adverse effect on our business.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market any of our drug candidates in a manner that violates healthcare fraud and abuse laws, or if we violate government price reporting laws, we may be subject to civil or criminal penalties.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FDA enforces laws and regulations which require that the promotion of pharmaceutical products be consistent with the approved prescribing information. While physicians may prescribe an approved product for a so-called “off label” use, it is unlawful for a pharmaceutical company to promote its products in a manner that is inconsistent with its approved label and any company which engages in such conduct can subject that company to significant liability. Similarly, industry codes in the EU and other foreign jurisdictions prohibit companies from engaging in off-label promotion and regulatory agencies in various countries enforce violations of the code with civil penalties. While we intend to ensure that our promotional materials are consistent with our label, regulatory agencies may disagree with our assessment and may issue untitled letters, warning letters or may institute other civil or criminal enforcement proceedings. In addition to FDA restrictions on marketing of pharmaceutical products, several other types of state and federal healthcare fraud and abuse laws have been applied in recent years to restrict certain marketing practices in the pharmaceutical industry. These laws include the U.S. Anti-Kickback Statute, U.S. False Claims Act and similar state laws. Because of the breadth of these laws and the narrowness of the safe harbors, it is possible that some of our business activities could be subject to challenge under one or more of these laws.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U.S.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broadly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anti-kickback liability. Moreover, recent health care reform legislation has strengthened these laws. For example, the Health Care Reform Law, among other things, amends the intent requirement of the U.S. Anti-Kickback Statute and criminal health care fraud statutes; a person or entity no longer needs to have actual knowledge of this statute or specific intent to violate it. In addition, the Health Care Reform Law provides that the government may assert that a claim including items or services resulting from a violation of the U.S. Anti-Kickback Statute constitutes a false or fraudulent claim for purposes of the U.S. False Claims Act. Federal false claims laws prohibit any person from knowingly presenting, or causing to be presented, a false claim for payment to the federal government or knowingly making, or causing to be made, a false statement to get a false claim paid.</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Over the past few years, several pharmaceutical and other healthcare companies have been prosecuted under these laws for a variety of alleged promotional and marketing activities, such as: allegedly providing free trips, free goods, sham consulting fees and grants and other monetary benefits to prescribers; reporting to pricing services inflated average wholesale prices that were then used by federal programs to set reimbursement rates; engaging in off-label promotion that caused claims to be submitted to Medicare or Medicaid for non-covered, off-label uses; and submitting inflated best price information to the Medicaid Rebate Program to reduce liability for Medicaid rebates. Most states also have statutes or regulations similar to the U.S. Anti-Kickback Statute and the U.S. False Claims Act, which apply to items and services reimbursed under Medicaid and other state programs, or, in several states, apply regardless of the payor. Sanctions under these federal and state laws may include substantial civil monetary penalties, exclusion of a manufacturer’s products from reimbursement under government programs, substantial criminal fines and imprisonment.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jc w:val="both"/>
        <w:spacing w:after="0" w:line="312" w:lineRule="auto"/>
        <w:rPr>
          <w:sz w:val="20"/>
          <w:szCs w:val="20"/>
          <w:color w:val="auto"/>
        </w:rPr>
      </w:pPr>
      <w:r>
        <w:rPr>
          <w:rFonts w:ascii="Arial" w:cs="Arial" w:eastAsia="Arial" w:hAnsi="Arial"/>
          <w:sz w:val="16"/>
          <w:szCs w:val="16"/>
          <w:b w:val="1"/>
          <w:bCs w:val="1"/>
          <w:i w:val="1"/>
          <w:iCs w:val="1"/>
          <w:color w:val="auto"/>
        </w:rPr>
        <w:t>We will be completely dependent on third parties to manufacture our drug candidates, and our commercialization of our drug candidates could be halted, delayed or made less profitable if those third parties fail to obtain manufacturing approval from the FDA or comparable foreign regulatory authorities, fail to provide us with sufficient quantities of our drug candidates or fail to do so at acceptable quality levels or prices.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currently have, nor do we plan to acquire, the capability or infrastructure to manufacture the active pharmaceutical ingredient, (“API”), in our drug candidates for use in our clinical trials or for commercial product, if any. In addition, we do not have the capability to encapsulate any of our drug candidates as a finished drug product for commercial distribution. As a result, we will be obligated to rely on contract manufacturers, if and when any of our drug candidates are approved for commercialization. We have not entered into an agreement with any contract manufacturers for commercial supply and may not be able to engage a contract manufacturer for commercial supply of any of our drug candidates on favorable terms to us, or at all.</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comparable foreign regulatory authorities pursuant to inspections that will be conducted after we submit an NDA or BLA to the FDA or their equivalents to other relevant regulatory authorities. We will not control the manufacturing process of, and will be completely dependent on, our contract manufacturing partners for compliance with cGMPs for manufacture of both active drug substances and finished drug products. These cGMP regulations cover all aspects of the manufacturing, testing, quality control and record keeping relating to our drug candidates. If our contract manufacturers do not successfully manufacture material that conforms to our specifications and the strict regulatory requirements of the FDA or others, they will not be able to secure and/or maintain regulatory approval for their manufacturing facilities.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drug candidates, delays, suspensions or withdrawals of approvals,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obtain regulatory approval for or market any of our drug candidates.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for any reason, these third parties are unable or unwilling to perform, we may not be able to terminate our agreements with them, and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API or finished products or should cease doing business with us, we could experience significant interruptions in the supply of any of our drug candidates or may not be able to create a supply of our drug candidates at all. Were we to encounter manufacturing issues, our ability to produce a sufficient supply of any of our drug candidates might be negatively affected. Our inability to coordinate the efforts of our third party manufacturing partners, or the lack of capacity available at our third party manufacturing partners, could impair our ability to supply any of our drug candidates at required levels. Because of the significant regulatory requirements that we would need to satisfy in order to qualify a new bulk or finished product manufacturer, if we face these or other difficulties with our current manufacturing partners, we could experience significant interruptions in the supply of any of our drug candidates if we decided to transfer the manufacture of any of our drug candidates to one or more alternative manufacturers in an effort to deal with the difficulties.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jc w:val="both"/>
        <w:ind w:firstLine="648"/>
        <w:spacing w:after="0" w:line="257" w:lineRule="auto"/>
        <w:rPr>
          <w:sz w:val="20"/>
          <w:szCs w:val="20"/>
          <w:color w:val="auto"/>
        </w:rPr>
      </w:pPr>
      <w:r>
        <w:rPr>
          <w:rFonts w:ascii="Arial" w:cs="Arial" w:eastAsia="Arial" w:hAnsi="Arial"/>
          <w:sz w:val="18"/>
          <w:szCs w:val="18"/>
          <w:color w:val="auto"/>
        </w:rPr>
        <w:t>Any manufacturing problem or the loss of a contract manufacturer could be disruptive to our operations and result in lost sales. Additionally, we rely on third parties to supply the raw materials needed to manufacture our potential products. Any reliance on suppliers may involve several risks, including a potential inability to obtain critical materials and reduced control over production costs, delivery schedules, reliability and quality. Any unanticipated disruption to a future contract manufacturer caused by problems at suppliers could delay shipment of any of our drug candidates, increase our cost of goods sold and result in lost sales.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guarantee that our future manufacturing and supply partners will be able to reduce the costs of commercial scale manufacturing of any of our drug candidates over time. If the commercial-scale manufacturing costs of any of our drug candidates are higher than expected, these costs may significantly impact our operating results. In order to reduce costs, we may need to develop and implement process improvements. However, in order to do so, we will need, from time to time, to notify or make submissions with regulatory authorities, and the improvements may be subject to approval by such regulatory authorities. We cannot be sure that we will receive these necessary approvals or that these approvals will be granted in a timely fashion. We also cannot guarantee that we will be able to enhance and optimize output in our commercial manufacturing process. If we cannot enhance and optimize output, we may not be able to reduce our costs over time.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rely on third parties to conduct clinical trials for our drug candidates. If these third parties do not successfully carry out their contractual duties or meet expected deadlines, we may not be able to obtain regulatory approval for or commercialize any of our drug candidates and our business would be substantially harmed.</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expect to enter into agreements with third-party CROs to conduct and manage our clinical programs including contracting with clinical sites to perform our clinical studies. We plan to rely heavily on these parties for execution of clinical studies for our drug candidates and will control only certain aspects of their activities. Nevertheless, we will be responsible for ensuring that each of our studies is conducted in accordance with the applicable protocol, legal, regulatory and scientific standards, and our reliance on CROs and clinical sites will not relieve us of our regulatory responsibilities. We and our CROs will be required to comply with cGCPs, which are regulations and guidelines enforced by the FDA, the Competent Authorities of the Member States of the European Economic Area and comparable foreign regulatory authorities for any products in clinical development. The FDA and its foreign equivalents enforce these cGCP regulations through periodic inspections of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or other regulatory authorities will determine that any of our clinical trials comply with cGCPs. In addition, our clinical trials must be conducted with products produced under cGMP regulations and will require a large number of test subjects. Our failure or the failure of our CROs or clinical sites to comply with these regulations may require us to repeat clinical trials, which would delay the regulatory approval process and could also subject us to enforcement action up to and including civil and criminal penalties.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intend to design the clinical trials for our drug candidates in consultation with CROs, we expect that the CROs will manage all of the clinical trials conducted at contracted clinical sites. As a result, many important aspects of our drug development programs would be outside of our direct control. In addition, the CROs and clinical sites may not perform all of their obligations under arrangements with us or in compliance with regulatory requirements. If the CROs or clinical sites do not perform clinical trials in a satisfactory manner, breach their obligations to us or fail to comply with regulatory requirements, the development and commercialization of any of our drug candidates for the subject indication may be delayed or our development program materially and irreversibly harmed. We cannot control the amount and timing of resources these CROs and clinical sites will devote to our program or any of our drug candidates. If we are unable to rely on clinical data collected by our CROs, we could be required to repeat, extend the duration of, or increase the size of our clinical trials, which could significantly delay commercialization and require significantly greater expenditures.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third-party CROs or clinical sites terminate, we may not be able to enter into arrangements with alternative CROs or clinical sites.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drug candidates. As a result, our financial results and the commercial prospects for any of our drug candidates would be harmed, our costs could increase and our ability to generate revenue could be delayed.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spacing w:after="0" w:line="342" w:lineRule="auto"/>
        <w:rPr>
          <w:sz w:val="20"/>
          <w:szCs w:val="20"/>
          <w:color w:val="auto"/>
        </w:rPr>
      </w:pPr>
      <w:r>
        <w:rPr>
          <w:rFonts w:ascii="Arial" w:cs="Arial" w:eastAsia="Arial" w:hAnsi="Arial"/>
          <w:sz w:val="16"/>
          <w:szCs w:val="16"/>
          <w:b w:val="1"/>
          <w:bCs w:val="1"/>
          <w:i w:val="1"/>
          <w:iCs w:val="1"/>
          <w:color w:val="auto"/>
        </w:rPr>
        <w:t>Any termination or suspension of, or delays in the commencement or completion of, any necessary studies of any of our drug candidates for any indications could result in increased costs to us, delay or limit our ability to generate revenue and adversely affect our commercial prospects.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commencement and completion of clinical studies can be delayed for a number of reasons, including delays related to:</w:t>
      </w:r>
    </w:p>
    <w:p>
      <w:pPr>
        <w:spacing w:after="0" w:line="225"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 failing to grant permission to proceed and placing the clinical study on hold;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subjects for clinical testing failing to enroll or remain in our trials at the rate we expect;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facility manufacturing any of our drug candidates being ordered by the FDA or other government or regulatory authorities to temporarily or permanently shut down due to violations of cGMP requirements or other applicable requirements, or cross-contaminations of drug candidates in the manufacturing process;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subjects choosing an alternative treatment for the indications for which we are developing our drug candidates, or participating in competing clinical studies;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from clinical testing on similar technologies and products raising safety and/or efficacy concerns;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81"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one or more IRBs refusing to approve, suspending or terminating the study at an investigational site, precluding enrollment of additional subjects, or withdrawing its approval of the trial; reaching agreement on acceptable terms with prospective CROs and clinical trial sites, the terms of which can be subject to extensive negotiation and may vary significantly among different CROs and trial sites;</w:t>
      </w:r>
    </w:p>
    <w:p>
      <w:pPr>
        <w:spacing w:after="0" w:line="165"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deviations of the clinical sites from trial protocols or dropping out of a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of the CRO to execute any clinical trials for any reason;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1" w:name="page52"/>
    <w:bookmarkEnd w:id="51"/>
    <w:p>
      <w:pPr>
        <w:jc w:val="both"/>
        <w:ind w:firstLine="648"/>
        <w:spacing w:after="0" w:line="269" w:lineRule="auto"/>
        <w:rPr>
          <w:sz w:val="20"/>
          <w:szCs w:val="20"/>
          <w:color w:val="auto"/>
        </w:rPr>
      </w:pPr>
      <w:r>
        <w:rPr>
          <w:rFonts w:ascii="Arial" w:cs="Arial" w:eastAsia="Arial" w:hAnsi="Arial"/>
          <w:sz w:val="17"/>
          <w:szCs w:val="17"/>
          <w:color w:val="auto"/>
        </w:rPr>
        <w:t>Product development costs for any of our drug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drug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drug candidates. In addition, if one or more clinical studies are delayed, our competitors may be able to bring products to market before we do, and the commercial viability of any of our drug candidates could be significantly reduced.</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results of earlier studies and trials may not be predictive of future trial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Clinical testing of drug candidates is expensive and can take many years to complete, and its outcome is inherently uncertain. Failure can occur at any time during the clinical trial process. The results of pre-clinical studies and early clinical trials may not be predictive of the results of later-stage clinical trials. We cannot assure you that the FDA or comparable foreign regulatory authorities will view the results as we do or that any future trials of any of our drug candidates will achieve positive results. Drug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Any future clinical trial results for our drug candidates may not be successful.</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 number of factors could contribute to a lack of favorable safety and efficacy results for any of our drug candidates. For example, such trials could result in increased variability due to varying site characteristics, such as local standards of care, differences in evaluation period and surgical technique, and due to varying patient characteristics including demographic factors and health status.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though we may apply for orphan drug designation for a drug candidate, we may not be able to obtain orphan drug marketing exclusivity.</w:t>
      </w:r>
    </w:p>
    <w:p>
      <w:pPr>
        <w:spacing w:after="0" w:line="2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no guarantee that the FDA, EMA or their foreign equivalents will grant any future application for orphan drug designation for any of our drug candidates, which would make us ineligible for the additional exclusivity and other benefits of orphan drug designation.</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Unites States for this type of disease or condition will be recovered from sales of the product. Orphan drug designation must be requested before submitting an NDA.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$400,000 per year for four years to defray costs of clinical trial expenses, tax credits for clinical research expenses and potential exemption from the FDA application user fee.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jc w:val="both"/>
        <w:ind w:firstLine="648"/>
        <w:spacing w:after="0" w:line="254"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drug candidates in the indications for which we think they might qualify, if we elect to seek such applications.</w:t>
      </w:r>
    </w:p>
    <w:p>
      <w:pPr>
        <w:spacing w:after="0" w:line="19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Although we may pursue expedited regulatory approval pathways for a drug candidate, it may not qualify for expedited development or, if it does qualify for expedited development, it may not actually lead to a faster development or regulatory review or approval process.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believe there may be an opportunity to accelerate the development of certain of our drug candidates through one or more of the FDA’s expedited programs, such as fast track, breakthrough therapy, accelerated approval or priority review, we cannot be assured that any of our drug candidates will qualify for such programs.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example, a drug may be eligible for designation as a breakthrough therapy if the drug is intended, alone or in combination with one or more other drugs, to treat a serious or life-threatening condition and preliminary clinical evidence indicates that the drug may demonstrate substantial improvement over existing therapies on one or more clinically significant endpoints. Although breakthrough designation or access to any other expedited program may expedite the development or approval process, it does not change the standards for approval. If we apply for breakthrough therapy designation or any other expedited program for our drug candidates, the FDA may determine that our proposed target indication or other aspects of our clinical development plans do not qualify for such expedited program. Even if we are successful in obtaining a breakthrough therapy designation or access to any other expedited program, we may not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drug candidate.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As of February 19, 2018, we own and/or license 32 U.S. patents or patent applications and we own nine international patent applications filed under the Patent Cooperation Treaty and 30 foreign patent or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our Chief Executive Officer, Mark L. Baum, and other key persons for the continued growth and development of our Company.</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Chief Executive Officer,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and leadership would likely materially adversely impact our Company. We presently maintain key man insurance for Mr. Baum. In addition, our loan agreement, identifies other key persons including, but not limited to, our Chief Financial Officer, Andrew R. Boll and our Chief Commercial Officer, John P. Saharek.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for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of their significant stock ownership, some of our existing stockholders are able to exert control over us and our significant corporate decisions.</w:t>
      </w:r>
    </w:p>
    <w:p>
      <w:pPr>
        <w:spacing w:after="0" w:line="2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May 10, 2018, approximately 14%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results. If we cannot provide reliable financial results, our financial statements could be misstated, our reputation may be harmed and the trading price of our common stock could decline. As we discussed in Item 9A of our 2017 Annual Report, our management concluded that our internal controls over financial reporting were effective as of December 31, 2017.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SWK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January 2018, we issued 25,273 shares of restricted common stock, valued at $44,000, to an inventor in connection with royalties due under an asset purchase agreement. These securities have not been registered under the Securities Act and have been issued in reliance on an exemption from the registration requirements of the Securities Act afforded by Section 4(2) thereof. These securities may not be offered or sold in the United States in the absence of an effective registration statement or exemption from applicable registration requirements. In determining that each of the issuances qualified for an exemption under Section 4(2) of the Securities Act, we relied on the following facts: in each case, the securities were offered to a single individual or entity in consideration for amounts due by the Company; and the securities issued were restricted securities..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2018, we issued 35,427 shares of restricted common stock, valued at $64,000, to an inventor in connection with royalties due under an asset purchase agreement. These securities have not been registered under the Securities Act and have been issued in reliance on an exemption from the registration requirements of the Securities Act afforded by Section 4(2) thereof. These securities may not be offered or sold in the United States in the absence of an effective registration statement or exemption from applicable registration requirements. In determining that each of the issuances qualified for an exemption under Section 4(2) of the Securities Act, we relied on the following facts: in each case, the securities were offered to a single individual or entity in consideration for amounts due by the Company; and the securities issued were restricted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jc w:val="both"/>
        <w:ind w:left="960" w:hanging="958"/>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b w:val="1"/>
          <w:bCs w:val="1"/>
          <w:color w:val="auto"/>
        </w:rPr>
        <w:t>31.1*</w:t>
      </w:r>
      <w:r>
        <w:rPr>
          <w:sz w:val="20"/>
          <w:szCs w:val="20"/>
          <w:color w:val="auto"/>
        </w:rPr>
        <w:tab/>
      </w:r>
      <w:hyperlink w:anchor="page60">
        <w:r>
          <w:rPr>
            <w:rFonts w:ascii="Arial" w:cs="Arial" w:eastAsia="Arial" w:hAnsi="Arial"/>
            <w:sz w:val="18"/>
            <w:szCs w:val="18"/>
            <w:u w:val="single" w:color="auto"/>
            <w:color w:val="0000EE"/>
          </w:rPr>
          <w:t>Certification of Mark L. Baum, principal executive officer, pursuant to Rule 13a-14(a) or 15d-14(a) of the Securities and Exchange Act of 1934,</w:t>
        </w:r>
      </w:hyperlink>
      <w:r>
        <w:rPr>
          <w:rFonts w:ascii="Arial" w:cs="Arial" w:eastAsia="Arial" w:hAnsi="Arial"/>
          <w:sz w:val="18"/>
          <w:szCs w:val="18"/>
          <w:u w:val="single" w:color="auto"/>
          <w:color w:val="0000EE"/>
        </w:rPr>
        <w:t xml:space="preserve"> </w:t>
      </w:r>
      <w:hyperlink w:anchor="page60">
        <w:r>
          <w:rPr>
            <w:rFonts w:ascii="Arial" w:cs="Arial" w:eastAsia="Arial" w:hAnsi="Arial"/>
            <w:sz w:val="18"/>
            <w:szCs w:val="18"/>
            <w:u w:val="single" w:color="auto"/>
            <w:color w:val="0000EE"/>
          </w:rPr>
          <w:t>as adopted pursuant to Section 302 of the Sarbanes- Oxley Act of 2002.</w:t>
        </w:r>
      </w:hyperlink>
    </w:p>
    <w:p>
      <w:pPr>
        <w:spacing w:after="0" w:line="170" w:lineRule="exact"/>
        <w:rPr>
          <w:sz w:val="20"/>
          <w:szCs w:val="20"/>
          <w:color w:val="auto"/>
        </w:rPr>
      </w:pPr>
    </w:p>
    <w:p>
      <w:pPr>
        <w:jc w:val="both"/>
        <w:ind w:left="960" w:right="20" w:hanging="958"/>
        <w:spacing w:after="0" w:line="277"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b w:val="1"/>
          <w:bCs w:val="1"/>
          <w:color w:val="auto"/>
        </w:rPr>
        <w:t>31.2*</w:t>
      </w:r>
      <w:r>
        <w:rPr>
          <w:sz w:val="20"/>
          <w:szCs w:val="20"/>
          <w:color w:val="auto"/>
        </w:rPr>
        <w:tab/>
      </w:r>
      <w:hyperlink w:anchor="page62">
        <w:r>
          <w:rPr>
            <w:rFonts w:ascii="Arial" w:cs="Arial" w:eastAsia="Arial" w:hAnsi="Arial"/>
            <w:sz w:val="18"/>
            <w:szCs w:val="18"/>
            <w:u w:val="single" w:color="auto"/>
            <w:color w:val="0000EE"/>
          </w:rPr>
          <w:t>Certification of Andrew R. Boll, principal financial and accounting officer, pursuant to Rule 13a-14(a) or 15d-14(a) of the Securities and</w:t>
        </w:r>
      </w:hyperlink>
      <w:r>
        <w:rPr>
          <w:rFonts w:ascii="Arial" w:cs="Arial" w:eastAsia="Arial" w:hAnsi="Arial"/>
          <w:sz w:val="18"/>
          <w:szCs w:val="18"/>
          <w:u w:val="single" w:color="auto"/>
          <w:color w:val="0000EE"/>
        </w:rPr>
        <w:t xml:space="preserve"> </w:t>
      </w:r>
      <w:hyperlink w:anchor="page62">
        <w:r>
          <w:rPr>
            <w:rFonts w:ascii="Arial" w:cs="Arial" w:eastAsia="Arial" w:hAnsi="Arial"/>
            <w:sz w:val="18"/>
            <w:szCs w:val="18"/>
            <w:u w:val="single" w:color="auto"/>
            <w:color w:val="0000EE"/>
          </w:rPr>
          <w:t>Exchange Act of 1934, as adopted pursuant to Section 302 of the Sarbanes- Oxley Act of 2002.</w:t>
        </w:r>
      </w:hyperlink>
    </w:p>
    <w:p>
      <w:pPr>
        <w:spacing w:after="0" w:line="170" w:lineRule="exact"/>
        <w:rPr>
          <w:sz w:val="20"/>
          <w:szCs w:val="20"/>
          <w:color w:val="auto"/>
        </w:rPr>
      </w:pPr>
    </w:p>
    <w:p>
      <w:pPr>
        <w:spacing w:after="0"/>
        <w:tabs>
          <w:tab w:leader="none" w:pos="940" w:val="left"/>
        </w:tabs>
        <w:rPr>
          <w:rFonts w:ascii="Arial" w:cs="Arial" w:eastAsia="Arial" w:hAnsi="Arial"/>
          <w:sz w:val="16"/>
          <w:szCs w:val="16"/>
          <w:u w:val="single" w:color="auto"/>
          <w:color w:val="0000EE"/>
        </w:rPr>
      </w:pPr>
      <w:r>
        <w:rPr>
          <w:rFonts w:ascii="Arial" w:cs="Arial" w:eastAsia="Arial" w:hAnsi="Arial"/>
          <w:sz w:val="18"/>
          <w:szCs w:val="18"/>
          <w:b w:val="1"/>
          <w:bCs w:val="1"/>
          <w:color w:val="auto"/>
        </w:rPr>
        <w:t>32.1**</w:t>
      </w:r>
      <w:r>
        <w:rPr>
          <w:sz w:val="20"/>
          <w:szCs w:val="20"/>
          <w:color w:val="auto"/>
        </w:rPr>
        <w:tab/>
      </w:r>
      <w:hyperlink w:anchor="page64">
        <w:r>
          <w:rPr>
            <w:rFonts w:ascii="Arial" w:cs="Arial" w:eastAsia="Arial" w:hAnsi="Arial"/>
            <w:sz w:val="16"/>
            <w:szCs w:val="16"/>
            <w:u w:val="single" w:color="auto"/>
            <w:color w:val="0000EE"/>
          </w:rPr>
          <w:t>Certification pursuant to 18 U.S.C. Section 1350, as adopted pursuant to Section 906 of the Sarbanes-Oxley Act of 2002, executed by Mark L.</w:t>
        </w:r>
      </w:hyperlink>
    </w:p>
    <w:p>
      <w:pPr>
        <w:spacing w:after="0" w:line="27" w:lineRule="exact"/>
        <w:rPr>
          <w:sz w:val="20"/>
          <w:szCs w:val="20"/>
          <w:color w:val="auto"/>
        </w:rPr>
      </w:pPr>
    </w:p>
    <w:p>
      <w:pPr>
        <w:ind w:left="9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Baum, principal executive officer, and Andrew R. Boll, principal financial and accounting officer.</w:t>
        </w:r>
      </w:hyperlink>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101.INS*</w:t>
      </w:r>
      <w:r>
        <w:rPr>
          <w:sz w:val="20"/>
          <w:szCs w:val="20"/>
          <w:color w:val="auto"/>
        </w:rPr>
        <w:tab/>
      </w:r>
      <w:r>
        <w:rPr>
          <w:rFonts w:ascii="Arial" w:cs="Arial" w:eastAsia="Arial" w:hAnsi="Arial"/>
          <w:sz w:val="16"/>
          <w:szCs w:val="16"/>
          <w:color w:val="auto"/>
        </w:rPr>
        <w:t>XBRL Instance Document</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101.SCH*</w:t>
      </w:r>
      <w:r>
        <w:rPr>
          <w:sz w:val="20"/>
          <w:szCs w:val="20"/>
          <w:color w:val="auto"/>
        </w:rPr>
        <w:tab/>
      </w:r>
      <w:r>
        <w:rPr>
          <w:rFonts w:ascii="Arial" w:cs="Arial" w:eastAsia="Arial" w:hAnsi="Arial"/>
          <w:sz w:val="16"/>
          <w:szCs w:val="16"/>
          <w:color w:val="auto"/>
        </w:rPr>
        <w:t>XBRL Taxonomy Extension Schema</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101.CAL*</w:t>
      </w:r>
      <w:r>
        <w:rPr>
          <w:sz w:val="20"/>
          <w:szCs w:val="20"/>
          <w:color w:val="auto"/>
        </w:rPr>
        <w:tab/>
      </w:r>
      <w:r>
        <w:rPr>
          <w:rFonts w:ascii="Arial" w:cs="Arial" w:eastAsia="Arial" w:hAnsi="Arial"/>
          <w:sz w:val="16"/>
          <w:szCs w:val="16"/>
          <w:color w:val="auto"/>
        </w:rPr>
        <w:t>XBRL Taxonomy Extension Calculation Linkbase</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101.DEF*</w:t>
      </w:r>
      <w:r>
        <w:rPr>
          <w:sz w:val="20"/>
          <w:szCs w:val="20"/>
          <w:color w:val="auto"/>
        </w:rPr>
        <w:tab/>
      </w:r>
      <w:r>
        <w:rPr>
          <w:rFonts w:ascii="Arial" w:cs="Arial" w:eastAsia="Arial" w:hAnsi="Arial"/>
          <w:sz w:val="16"/>
          <w:szCs w:val="16"/>
          <w:color w:val="auto"/>
        </w:rPr>
        <w:t>XBRL Taxonomy Extension Definition Linkbase</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101.LAB*</w:t>
      </w:r>
      <w:r>
        <w:rPr>
          <w:sz w:val="20"/>
          <w:szCs w:val="20"/>
          <w:color w:val="auto"/>
        </w:rPr>
        <w:tab/>
      </w:r>
      <w:r>
        <w:rPr>
          <w:rFonts w:ascii="Arial" w:cs="Arial" w:eastAsia="Arial" w:hAnsi="Arial"/>
          <w:sz w:val="16"/>
          <w:szCs w:val="16"/>
          <w:color w:val="auto"/>
        </w:rPr>
        <w:t>XBRL Taxonomy Extension Label Linkbase</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101.PRE*</w:t>
      </w:r>
      <w:r>
        <w:rPr>
          <w:sz w:val="20"/>
          <w:szCs w:val="20"/>
          <w:color w:val="auto"/>
        </w:rPr>
        <w:tab/>
      </w:r>
      <w:r>
        <w:rPr>
          <w:rFonts w:ascii="Arial" w:cs="Arial" w:eastAsia="Arial" w:hAnsi="Arial"/>
          <w:sz w:val="16"/>
          <w:szCs w:val="16"/>
          <w:color w:val="auto"/>
        </w:rPr>
        <w:t>XBRL Taxonomy Extension Presentation Linkbase</w:t>
      </w:r>
    </w:p>
    <w:p>
      <w:pPr>
        <w:spacing w:after="0" w:line="2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15, 2018</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8" w:name="page59"/>
    <w:bookmarkEnd w:id="5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ind w:left="10340"/>
        <w:spacing w:after="0"/>
        <w:rPr>
          <w:sz w:val="20"/>
          <w:szCs w:val="20"/>
          <w:color w:val="auto"/>
        </w:rPr>
      </w:pPr>
      <w:r>
        <w:rPr>
          <w:rFonts w:ascii="Arial" w:cs="Arial" w:eastAsia="Arial" w:hAnsi="Arial"/>
          <w:sz w:val="17"/>
          <w:szCs w:val="17"/>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15, 2018</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ind w:left="10340"/>
        <w:spacing w:after="0"/>
        <w:rPr>
          <w:sz w:val="20"/>
          <w:szCs w:val="20"/>
          <w:color w:val="auto"/>
        </w:rPr>
      </w:pPr>
      <w:r>
        <w:rPr>
          <w:rFonts w:ascii="Arial" w:cs="Arial" w:eastAsia="Arial" w:hAnsi="Arial"/>
          <w:sz w:val="17"/>
          <w:szCs w:val="17"/>
          <w:color w:val="auto"/>
        </w:rPr>
        <w:t>EXHIBIT 31.2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15, 2018</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March 31, 2018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2020-01-15T10:35:20Z</dcterms:created>
  <dcterms:modified xsi:type="dcterms:W3CDTF">2020-01-15T10:35:20Z</dcterms:modified>
</cp:coreProperties>
</file>