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12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001-35814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center"/>
              <w:ind w:right="1210"/>
              <w:spacing w:after="0" w:line="201" w:lineRule="exact"/>
              <w:rPr>
                <w:sz w:val="20"/>
                <w:szCs w:val="20"/>
                <w:color w:val="auto"/>
              </w:rPr>
            </w:pPr>
            <w:r>
              <w:rPr>
                <w:rFonts w:ascii="Arial" w:cs="Arial" w:eastAsia="Arial" w:hAnsi="Arial"/>
                <w:sz w:val="18"/>
                <w:szCs w:val="18"/>
                <w:color w:val="auto"/>
                <w:w w:val="91"/>
              </w:rPr>
              <w:t>(Commission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120" w:type="dxa"/>
            <w:vAlign w:val="bottom"/>
            <w:gridSpan w:val="3"/>
          </w:tcPr>
          <w:p>
            <w:pPr>
              <w:jc w:val="center"/>
              <w:ind w:right="1460"/>
              <w:spacing w:after="0"/>
              <w:rPr>
                <w:sz w:val="20"/>
                <w:szCs w:val="20"/>
                <w:color w:val="auto"/>
              </w:rPr>
            </w:pPr>
            <w:r>
              <w:rPr>
                <w:rFonts w:ascii="Arial" w:cs="Arial" w:eastAsia="Arial" w:hAnsi="Arial"/>
                <w:sz w:val="18"/>
                <w:szCs w:val="18"/>
                <w:color w:val="auto"/>
                <w:w w:val="93"/>
              </w:rPr>
              <w:t>of incorporation)</w:t>
            </w:r>
          </w:p>
        </w:tc>
        <w:tc>
          <w:tcPr>
            <w:tcW w:w="2660" w:type="dxa"/>
            <w:vAlign w:val="bottom"/>
            <w:gridSpan w:val="3"/>
          </w:tcPr>
          <w:p>
            <w:pPr>
              <w:jc w:val="center"/>
              <w:ind w:right="148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120" w:type="dxa"/>
            <w:vAlign w:val="bottom"/>
            <w:gridSpan w:val="3"/>
          </w:tcPr>
          <w:p>
            <w:pPr>
              <w:jc w:val="center"/>
              <w:ind w:left="2350"/>
              <w:spacing w:after="0"/>
              <w:rPr>
                <w:sz w:val="20"/>
                <w:szCs w:val="20"/>
                <w:color w:val="auto"/>
              </w:rPr>
            </w:pPr>
            <w:r>
              <w:rPr>
                <w:rFonts w:ascii="Arial" w:cs="Arial" w:eastAsia="Arial" w:hAnsi="Arial"/>
                <w:sz w:val="18"/>
                <w:szCs w:val="18"/>
                <w:b w:val="1"/>
                <w:bCs w:val="1"/>
                <w:color w:val="auto"/>
                <w:w w:val="91"/>
              </w:rPr>
              <w:t>12264 El Camino Real, Suite 350</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1"/>
        </w:trPr>
        <w:tc>
          <w:tcPr>
            <w:tcW w:w="5120" w:type="dxa"/>
            <w:vAlign w:val="bottom"/>
            <w:tcBorders>
              <w:bottom w:val="single" w:sz="8" w:color="auto"/>
            </w:tcBorders>
            <w:gridSpan w:val="3"/>
          </w:tcPr>
          <w:p>
            <w:pPr>
              <w:jc w:val="center"/>
              <w:ind w:left="2350"/>
              <w:spacing w:after="0"/>
              <w:rPr>
                <w:sz w:val="20"/>
                <w:szCs w:val="20"/>
                <w:color w:val="auto"/>
              </w:rPr>
            </w:pPr>
            <w:r>
              <w:rPr>
                <w:rFonts w:ascii="Arial" w:cs="Arial" w:eastAsia="Arial" w:hAnsi="Arial"/>
                <w:sz w:val="18"/>
                <w:szCs w:val="18"/>
                <w:b w:val="1"/>
                <w:bCs w:val="1"/>
                <w:color w:val="auto"/>
                <w:w w:val="90"/>
              </w:rPr>
              <w:t>San Diego, CA</w:t>
            </w:r>
          </w:p>
        </w:tc>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756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2015, Imprimis Pharmaceuticals, Inc. (the “Company”) competed the acquisition of all of the outstanding capital stock of South Coast Specialty Compounding, Inc. D/B/A Park Compounding (“Park”) from Dennis Saadeh and Tina Sulic-Saadeh (the “Sellers,” and such transaction, the “Acquisition”), pursuant to a Stock Purchase Agreement, dated November 26, 2014, by and among the Company, the Sellers, Park and the Seller Representative (as defined therein) (the “Purchase Agreement”). Park is a compounding pharmacy accredited by the Pharmacy Compounding Accreditation Board and is located in Irvine, California.</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2015 (the “Closing Date”), in connection with the closing of the Acquisition (the “Closing”), the Company paid to the Sellers an aggregate cash purchase price of $3,000,000, net of fees and expenses, subject to adjustment based on the final calculation of Park’s working capital and certain other financial information, and issued to the Sellers 63,525 shares of its common stock valued at $500,000 based on the average closing price of the common stock for the ten (10) trading days preceding the Closing. In addition, the Company is obligated to make twelve (12) quarterly cash payments collectively to the Sellers of $53,125 each over the three years following the Closing, totaling $637,500; provided that the Sellers will have the option to receive the last six (6) of such payments, totaling up to an aggregate of $318,750, in the form of such number of shares of the Company’s common stock determined based on the average closing price of the common stock for the ten (10) trading days preceding the Closing Date. All shares of common stock issued or issuable in connection herewith constitute a private placement exempt from registration under Section 4(2) of the Securities Act of 1933, as amended, and Rule 506(b) promulgated thereunder.</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Acquisition, Mr. Saadeh has entered into an Employment Agreement with the Company, effective as of January 1, 2015, to act as Senior Director of Corporate Development of Park. In addition, an affiliate of and controlled by the Sellers has entered into a Commercial Lease Agreement, dated as of January 1, 2015, to lease certain premises to Park.</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above description of the Purchase Agreement does not purport to be complete and is qualified in its entirety by reference to the full text of the Purchase Agreement. The representations and warranties contained in the Purchase Agreement were made only for the purposes of the Purchase Agreement as of specific dates and may have been qualified by certain disclosures between the parties and a contractual standard of materiality different from those generally applicable to stockholders, among other limitations. The representations and warranties were made for the purposes of allocating contractual risk between the parties to the Purchase Agreement and should not be relied upon as a disclosure of factual information relating to the Company or Park. The Purchase Agreement is filed as Exhibit 2.1 of the Company’s Form 8-K filed on December 2, 2014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required by this item, if any, with respect to the Acquisition, will be filed as soon as practicable, and in any event within the timeframe required by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 Forma Financial Information.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financial information required by this item, if any, with respect to the Acquisition, will be filed as soon as practicable, and in any event within the timeframe required by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1"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67576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7670" cy="17145"/>
                    </a:xfrm>
                    <a:prstGeom prst="rect">
                      <a:avLst/>
                    </a:prstGeom>
                    <a:noFill/>
                  </pic:spPr>
                </pic:pic>
              </a:graphicData>
            </a:graphic>
          </wp:anchor>
        </w:drawing>
      </w:r>
    </w:p>
    <w:p>
      <w:pPr>
        <w:spacing w:after="0" w:line="236" w:lineRule="exact"/>
        <w:rPr>
          <w:sz w:val="20"/>
          <w:szCs w:val="20"/>
          <w:color w:val="auto"/>
        </w:rPr>
      </w:pPr>
    </w:p>
    <w:p>
      <w:pPr>
        <w:jc w:val="both"/>
        <w:ind w:left="780" w:hanging="557"/>
        <w:spacing w:after="0" w:line="264" w:lineRule="auto"/>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November 26, 2014 between Imprimis Pharmaceuticals, Inc., Dennis Saadeh and Tina Sulic-Saadeh (as Sellers), South Coast Specialty Compounding, Inc., and Seller Representative (as defined therein).* (Incorporated by reference to Exhibit 2.1 of the Company’s 8-K filed on December 2, 2014)</w:t>
      </w:r>
    </w:p>
    <w:p>
      <w:pPr>
        <w:spacing w:after="0" w:line="181" w:lineRule="exact"/>
        <w:rPr>
          <w:sz w:val="20"/>
          <w:szCs w:val="20"/>
          <w:color w:val="auto"/>
        </w:rPr>
      </w:pPr>
    </w:p>
    <w:p>
      <w:pPr>
        <w:jc w:val="both"/>
        <w:ind w:firstLine="8"/>
        <w:spacing w:after="0" w:line="264" w:lineRule="auto"/>
        <w:tabs>
          <w:tab w:leader="none" w:pos="158"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January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jc w:val="both"/>
        <w:ind w:left="740" w:hanging="557"/>
        <w:spacing w:after="0" w:line="264" w:lineRule="auto"/>
        <w:tabs>
          <w:tab w:leader="none" w:pos="7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November 26, 2014 between Imprimis Pharmaceuticals, Inc., Dennis Saadeh and Tina Sulic-Saadeh (as Sellers), South Coast Specialty Compounding, Inc., and Seller Representative (as defined therein).* (Incorporated by reference to Exhibit 2.1 of the Company’s 8-K filed on December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688"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2020-01-22T04:19:32Z</dcterms:created>
  <dcterms:modified xsi:type="dcterms:W3CDTF">2020-01-22T04:19:32Z</dcterms:modified>
</cp:coreProperties>
</file>