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March 12, 2019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747" w:right="3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380"/>
          </w:cols>
          <w:pgMar w:left="240" w:top="747" w:right="3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747"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12, 2019, Harrow Health, Inc. (the “Company”) issued a press release announcing its financial results for the quarter and year ended December 31, 2018.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Harrow Health, Inc. on March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March 12,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238375" cy="883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38375" cy="88328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Fourth Quarter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 – March 12, 2019 – Harrow Health, Inc. (NASDAQ: HROW) today reported results for the fourth quarter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and Other Recent Notable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increased 55% year-over-year to a new record of $11.4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Ophthalmology revenue increased 72% year-over-year to a new record of $10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Margins hit a new record at 64%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$18.1 million in Net Income (GAAP)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ImprimisRx customers ordering chronic care ophthalmic medicines with refills expected to hit 1,000 by the end of Q1 2019</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ImprimisRx products to be featured in a new company record number of presentations at the upcoming American Society of Cataract and Refractive Surgery (ASCRS) meeting on May 3-7, 2019 in San Diego, CA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Balance Sheet assets at year-end totaled $49.5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Eton Pharmaceuticals, a former Harrow subsidiary, completed an initial public offering in November 2018 and is listed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Melt Pharmaceuticals subsidiary completed Series A financing, a deconsolidating transaction, in January 2019</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Mark L. Baum, CEO of Harrow Health, commented, “We closed our most successful year in business with continued strong revenue growth, achieving record high gross margins, and record net income for the quarter and the year. Our market-leading ophthalmology business, ImprimisRx, has now generated a 187% revenue CAGR from 2014 through 2018 and we see growth continuing in 2019, with line of sight to reaching our 2021 revenue goals. Our first Project 15 business, Eton Pharmaceuticals, completed its IPO on NASDAQ during the fourth quarter of 2018. And our other two deconsolidated businesses – Surface and Melt – are set to have potential value inflection events occur in 2020. With the announcement in February of the completion of the Melt Pharmaceuticals Series A financing, we now own significant equity stakes and royalty rights in three funded and well-managed pharmaceutical businesses. Over the coming months, we intend to reveal more about our plans for Mayfield and Radley, and additional projects we are expecting to discuss later in the year. Finally, during the fourth quarter, we implemented a strategy to aggressively and immediately reduce our future exposure to legal expenses, dismissing a civil case we were plaintiff in, settled a multi-year long civil case we were defending, and are working closely with state regulatory agencies to reach amicable resolutions to other pending matters. Ultimately, Harrow is being positioned to continue to unlock value related to the growth in and profits from our commercial stage business, the growing value of our stakes in Project 15 businesses, and potential future royalty streams.”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EDT (1:30 p.m. PDT) to discuss the financial results and other recent developments. To participate in the call, please dial (844) 369-8770 for domestic callers or (862) 298-0840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Harrow Health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April 12, 2019. To access the replay, dial (877) 481-4010 domestically or (919) 882-2331 internationally and reference Replay ID: 44882. The webcast replay will be available until June 12,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year ended December 31, 2018 and for the same periods in 2017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41"/>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(4,102)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(3,457)</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(9,012)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(5,942)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(2,151)</w:t>
            </w:r>
          </w:p>
        </w:tc>
      </w:tr>
      <w:tr>
        <w:trPr>
          <w:trHeight w:val="24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r>
      <w:tr>
        <w:trPr>
          <w:trHeight w:val="234"/>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18,130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(2,771)</w:t>
            </w:r>
          </w:p>
        </w:tc>
      </w:tr>
      <w:tr>
        <w:trPr>
          <w:trHeight w:val="436"/>
        </w:trPr>
        <w:tc>
          <w:tcPr>
            <w:tcW w:w="6180" w:type="dxa"/>
            <w:vAlign w:val="bottom"/>
          </w:tcPr>
          <w:p>
            <w:pPr>
              <w:spacing w:after="0"/>
              <w:rPr>
                <w:sz w:val="24"/>
                <w:szCs w:val="24"/>
                <w:color w:val="auto"/>
              </w:rPr>
            </w:pPr>
          </w:p>
        </w:tc>
        <w:tc>
          <w:tcPr>
            <w:tcW w:w="2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For the year ended December</w:t>
            </w:r>
          </w:p>
        </w:tc>
        <w:tc>
          <w:tcPr>
            <w:tcW w:w="140" w:type="dxa"/>
            <w:vAlign w:val="bottom"/>
          </w:tcPr>
          <w:p>
            <w:pPr>
              <w:spacing w:after="0"/>
              <w:rPr>
                <w:sz w:val="24"/>
                <w:szCs w:val="24"/>
                <w:color w:val="auto"/>
              </w:rPr>
            </w:pPr>
          </w:p>
        </w:tc>
        <w:tc>
          <w:tcPr>
            <w:tcW w:w="2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year ended December</w:t>
            </w:r>
          </w:p>
        </w:tc>
      </w:tr>
      <w:tr>
        <w:trPr>
          <w:trHeight w:val="241"/>
        </w:trPr>
        <w:tc>
          <w:tcPr>
            <w:tcW w:w="6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31, 2018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31, 2017</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(16,521)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(13,505)</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13,269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(29,243)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(25,019)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(12,163)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14,625</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(11,985)</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 per Common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(0.60)</w:t>
            </w:r>
          </w:p>
        </w:tc>
      </w:tr>
      <w:tr>
        <w:trPr>
          <w:trHeight w:val="234"/>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Income (Loss) per Common Share, Diluted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(0.60)</w:t>
            </w:r>
          </w:p>
        </w:tc>
      </w:tr>
      <w:tr>
        <w:trPr>
          <w:trHeight w:val="421"/>
        </w:trPr>
        <w:tc>
          <w:tcPr>
            <w:tcW w:w="6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Adjusted E(L)BITDA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for the same period in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41"/>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20" w:type="dxa"/>
            <w:vAlign w:val="bottom"/>
          </w:tcPr>
          <w:p>
            <w:pPr>
              <w:spacing w:after="0"/>
              <w:rPr>
                <w:sz w:val="18"/>
                <w:szCs w:val="18"/>
                <w:color w:val="auto"/>
              </w:rPr>
            </w:pPr>
          </w:p>
        </w:tc>
        <w:tc>
          <w:tcPr>
            <w:tcW w:w="248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8"/>
                <w:szCs w:val="18"/>
                <w:color w:val="auto"/>
              </w:rPr>
            </w:pPr>
          </w:p>
        </w:tc>
        <w:tc>
          <w:tcPr>
            <w:tcW w:w="2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24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expenses/loss</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Investment gains/loss from Eton and Surface, net</w:t>
            </w:r>
          </w:p>
        </w:tc>
        <w:tc>
          <w:tcPr>
            <w:tcW w:w="120" w:type="dxa"/>
            <w:vAlign w:val="bottom"/>
          </w:tcPr>
          <w:p>
            <w:pPr>
              <w:spacing w:after="0"/>
              <w:rPr>
                <w:sz w:val="18"/>
                <w:szCs w:val="18"/>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(21,017)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57"/>
        </w:trPr>
        <w:tc>
          <w:tcPr>
            <w:tcW w:w="61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 net</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(794)</w:t>
            </w:r>
          </w:p>
        </w:tc>
      </w:tr>
    </w:tbl>
    <w:p>
      <w:pPr>
        <w:spacing w:after="0" w:line="183"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Non-recurring expenses includes costs accrued in connection with litigation settlements, income from settlements associated with accrued expenses and trade payable disputes, and costs Melt incurred during the period presented that were consolidated in the Company’s financial statements, that will be reimbursed to the Company following the deconsolidation of Melt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the nation’s leading ophthalmology pharmaceutical compounding business,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Mayfield Pharmaceuticals and Radley Pharmaceuticals, all companies founded as subsidiaries of Harrow Health. The Company also owns royalty rights in certain 505(b)(2) drug candidates being developed by Eton, Surface, Melt, Mayfield and Radley. Harrow intends to create, invest in and grow paradigm shifting health 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2020-01-09T16:52:12Z</dcterms:created>
  <dcterms:modified xsi:type="dcterms:W3CDTF">2020-01-09T16:52:12Z</dcterms:modified>
</cp:coreProperties>
</file>