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June 13,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17145</wp:posOffset>
            </wp:positionV>
            <wp:extent cx="32670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On June 13, 2017, Imprimis Pharmaceuticals, Inc. held its 2017 Annual Meeting of Stockholders (the “Annual Meeting”) at the San Diego Marriott Del Mar Hotel, 11966 El Camino Real, San Diego, California 92130. The number of shares of common stock entitled to vote at the Annual Meeting was 19,965,415. The number of shares of common stock present or represented by valid proxy at the Annual Meeting was 15,025,849. All matters submitted to a binding vote of stockholders at the Annual Meeting were approved. The number of votes cast for and against, and the number of abstentions and broker non-votes with respect to the matters voted upon at the Annual Meeting, are set forth below:</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Proposal 1: Election of Directors</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Stockholders voted to elect to the Board of Directors the five (5) director nominees named in the accompanying proxy statement to serve until the 2018 annual meeting of stockholders and until their successors are duly elected and qualified. The results of the voting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Directors</w:t>
            </w: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w:t>
            </w:r>
          </w:p>
        </w:tc>
        <w:tc>
          <w:tcPr>
            <w:tcW w:w="1940" w:type="dxa"/>
            <w:vAlign w:val="bottom"/>
            <w:gridSpan w:val="2"/>
          </w:tcPr>
          <w:p>
            <w:pPr>
              <w:ind w:left="500"/>
              <w:spacing w:after="0"/>
              <w:rPr>
                <w:sz w:val="20"/>
                <w:szCs w:val="20"/>
                <w:color w:val="auto"/>
              </w:rPr>
            </w:pPr>
            <w:r>
              <w:rPr>
                <w:rFonts w:ascii="Arial" w:cs="Arial" w:eastAsia="Arial" w:hAnsi="Arial"/>
                <w:sz w:val="18"/>
                <w:szCs w:val="18"/>
                <w:b w:val="1"/>
                <w:bCs w:val="1"/>
                <w:color w:val="auto"/>
              </w:rPr>
              <w:t>Withheld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6"/>
        </w:trPr>
        <w:tc>
          <w:tcPr>
            <w:tcW w:w="5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Stephen G. Austin</w:t>
            </w:r>
          </w:p>
        </w:tc>
        <w:tc>
          <w:tcPr>
            <w:tcW w:w="2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7,319,390</w:t>
            </w: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1,793,002</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5,913,457</w:t>
            </w:r>
          </w:p>
        </w:tc>
      </w:tr>
      <w:tr>
        <w:trPr>
          <w:trHeight w:val="216"/>
        </w:trPr>
        <w:tc>
          <w:tcPr>
            <w:tcW w:w="58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Mark L. Baum</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8,383,693</w:t>
            </w: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728,699</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5,913,457</w:t>
            </w:r>
          </w:p>
        </w:tc>
      </w:tr>
      <w:tr>
        <w:trPr>
          <w:trHeight w:val="216"/>
        </w:trPr>
        <w:tc>
          <w:tcPr>
            <w:tcW w:w="5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Robert J. Kammer</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7,362,623</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1,749,769</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5,913,457</w:t>
            </w:r>
          </w:p>
        </w:tc>
      </w:tr>
      <w:tr>
        <w:trPr>
          <w:trHeight w:val="216"/>
        </w:trPr>
        <w:tc>
          <w:tcPr>
            <w:tcW w:w="58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Richard L. Lindstrom</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7,296,997</w:t>
            </w: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1,815,395</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5,913,457</w:t>
            </w:r>
          </w:p>
        </w:tc>
      </w:tr>
      <w:tr>
        <w:trPr>
          <w:trHeight w:val="216"/>
        </w:trPr>
        <w:tc>
          <w:tcPr>
            <w:tcW w:w="5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Anthony J. Principi</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8,086,228</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1,026,164</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5,913,457</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2: Ratification of Auditors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Stockholders ratified the selection of KMJ Corbin and Company, LLP as the Company’s independent registered public accounting firm for the fiscal year ending December 31, 2017. The results of the voting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w:t>
            </w:r>
          </w:p>
        </w:tc>
        <w:tc>
          <w:tcPr>
            <w:tcW w:w="2980" w:type="dxa"/>
            <w:vAlign w:val="bottom"/>
            <w:gridSpan w:val="2"/>
          </w:tcPr>
          <w:p>
            <w:pPr>
              <w:ind w:left="1080"/>
              <w:spacing w:after="0"/>
              <w:rPr>
                <w:sz w:val="20"/>
                <w:szCs w:val="20"/>
                <w:color w:val="auto"/>
              </w:rPr>
            </w:pPr>
            <w:r>
              <w:rPr>
                <w:rFonts w:ascii="Arial" w:cs="Arial" w:eastAsia="Arial" w:hAnsi="Arial"/>
                <w:sz w:val="18"/>
                <w:szCs w:val="18"/>
                <w:b w:val="1"/>
                <w:bCs w:val="1"/>
                <w:color w:val="auto"/>
              </w:rPr>
              <w:t>Against</w:t>
            </w:r>
          </w:p>
        </w:tc>
        <w:tc>
          <w:tcPr>
            <w:tcW w:w="2940" w:type="dxa"/>
            <w:vAlign w:val="bottom"/>
            <w:gridSpan w:val="2"/>
          </w:tcPr>
          <w:p>
            <w:pPr>
              <w:jc w:val="right"/>
              <w:ind w:right="1280"/>
              <w:spacing w:after="0"/>
              <w:rPr>
                <w:sz w:val="20"/>
                <w:szCs w:val="20"/>
                <w:color w:val="auto"/>
              </w:rPr>
            </w:pPr>
            <w:r>
              <w:rPr>
                <w:rFonts w:ascii="Arial" w:cs="Arial" w:eastAsia="Arial" w:hAnsi="Arial"/>
                <w:sz w:val="18"/>
                <w:szCs w:val="18"/>
                <w:b w:val="1"/>
                <w:bCs w:val="1"/>
                <w:color w:val="auto"/>
              </w:rPr>
              <w:t>Abstain</w:t>
            </w:r>
          </w:p>
        </w:tc>
        <w:tc>
          <w:tcPr>
            <w:tcW w:w="2720" w:type="dxa"/>
            <w:vAlign w:val="bottom"/>
          </w:tcPr>
          <w:p>
            <w:pPr>
              <w:jc w:val="right"/>
              <w:ind w:right="610"/>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54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14,736,566</w:t>
            </w:r>
          </w:p>
        </w:tc>
        <w:tc>
          <w:tcPr>
            <w:tcW w:w="24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167,394</w:t>
            </w:r>
          </w:p>
        </w:tc>
        <w:tc>
          <w:tcPr>
            <w:tcW w:w="2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rPr>
              <w:t>121,889</w:t>
            </w:r>
          </w:p>
        </w:tc>
        <w:tc>
          <w:tcPr>
            <w:tcW w:w="2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3: Approval of 2017 Incentive Plan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Stockholders approved the 2017 Incentive Stock and Awards Plan (the “2017 Incentive Plan”). The forms of award agreements to be used in connection with the 2017 Incentive Plan are attached hereto as Exhibits 10.1 through 10.4 and are incorporated herein by reference. The results of the voting were: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w:t>
            </w:r>
          </w:p>
        </w:tc>
        <w:tc>
          <w:tcPr>
            <w:tcW w:w="2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Against</w:t>
            </w:r>
          </w:p>
        </w:tc>
        <w:tc>
          <w:tcPr>
            <w:tcW w:w="2940" w:type="dxa"/>
            <w:vAlign w:val="bottom"/>
            <w:gridSpan w:val="2"/>
          </w:tcPr>
          <w:p>
            <w:pPr>
              <w:jc w:val="right"/>
              <w:ind w:right="1280"/>
              <w:spacing w:after="0"/>
              <w:rPr>
                <w:sz w:val="20"/>
                <w:szCs w:val="20"/>
                <w:color w:val="auto"/>
              </w:rPr>
            </w:pPr>
            <w:r>
              <w:rPr>
                <w:rFonts w:ascii="Arial" w:cs="Arial" w:eastAsia="Arial" w:hAnsi="Arial"/>
                <w:sz w:val="18"/>
                <w:szCs w:val="18"/>
                <w:b w:val="1"/>
                <w:bCs w:val="1"/>
                <w:color w:val="auto"/>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6"/>
        </w:trPr>
        <w:tc>
          <w:tcPr>
            <w:tcW w:w="254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6,544,464</w:t>
            </w:r>
          </w:p>
        </w:tc>
        <w:tc>
          <w:tcPr>
            <w:tcW w:w="24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2,405,375</w:t>
            </w:r>
          </w:p>
        </w:tc>
        <w:tc>
          <w:tcPr>
            <w:tcW w:w="2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rPr>
              <w:t>162,553</w:t>
            </w:r>
          </w:p>
        </w:tc>
        <w:tc>
          <w:tcPr>
            <w:tcW w:w="2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5,913,457</w:t>
            </w:r>
          </w:p>
        </w:tc>
      </w:tr>
      <w:tr>
        <w:trPr>
          <w:trHeight w:val="439"/>
        </w:trPr>
        <w:tc>
          <w:tcPr>
            <w:tcW w:w="2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7400" w:type="dxa"/>
            <w:vAlign w:val="bottom"/>
          </w:tcPr>
          <w:p>
            <w:pPr>
              <w:spacing w:after="0"/>
              <w:rPr>
                <w:sz w:val="20"/>
                <w:szCs w:val="20"/>
                <w:color w:val="auto"/>
              </w:rPr>
            </w:pP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640" w:type="dxa"/>
            <w:vAlign w:val="bottom"/>
          </w:tcPr>
          <w:p>
            <w:pPr>
              <w:spacing w:after="0"/>
              <w:rPr>
                <w:sz w:val="24"/>
                <w:szCs w:val="24"/>
                <w:color w:val="auto"/>
              </w:rPr>
            </w:pPr>
          </w:p>
        </w:tc>
        <w:tc>
          <w:tcPr>
            <w:tcW w:w="7400" w:type="dxa"/>
            <w:vAlign w:val="bottom"/>
          </w:tcPr>
          <w:p>
            <w:pPr>
              <w:spacing w:after="0"/>
              <w:rPr>
                <w:sz w:val="24"/>
                <w:szCs w:val="24"/>
                <w:color w:val="auto"/>
              </w:rPr>
            </w:pPr>
          </w:p>
        </w:tc>
      </w:tr>
      <w:tr>
        <w:trPr>
          <w:trHeight w:val="453"/>
        </w:trPr>
        <w:tc>
          <w:tcPr>
            <w:tcW w:w="138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2640" w:type="dxa"/>
            <w:vAlign w:val="bottom"/>
          </w:tcPr>
          <w:p>
            <w:pPr>
              <w:spacing w:after="0"/>
              <w:rPr>
                <w:sz w:val="20"/>
                <w:szCs w:val="20"/>
                <w:color w:val="auto"/>
              </w:rPr>
            </w:pPr>
            <w:r>
              <w:rPr>
                <w:rFonts w:ascii="Arial" w:cs="Arial" w:eastAsia="Arial" w:hAnsi="Arial"/>
                <w:sz w:val="18"/>
                <w:szCs w:val="18"/>
                <w:color w:val="auto"/>
              </w:rPr>
              <w:t>Description</w:t>
            </w:r>
          </w:p>
        </w:tc>
        <w:tc>
          <w:tcPr>
            <w:tcW w:w="74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100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Imprimis Pharmaceuticals Inc. 2017 Incentive Plan – Form of Incentive Stock Option Agreement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Imprimis Pharmaceuticals Inc. 2017 Incentive Plan – Form of Non-Statutory Stock Option Agreement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1"/>
              </w:rPr>
              <w:t>Imprimis Pharmaceuticals Inc. 2017</w:t>
            </w:r>
          </w:p>
        </w:tc>
        <w:tc>
          <w:tcPr>
            <w:tcW w:w="7400" w:type="dxa"/>
            <w:vAlign w:val="bottom"/>
          </w:tcPr>
          <w:p>
            <w:pPr>
              <w:ind w:left="20"/>
              <w:spacing w:after="0"/>
              <w:rPr>
                <w:sz w:val="20"/>
                <w:szCs w:val="20"/>
                <w:color w:val="auto"/>
              </w:rPr>
            </w:pPr>
            <w:r>
              <w:rPr>
                <w:rFonts w:ascii="Arial" w:cs="Arial" w:eastAsia="Arial" w:hAnsi="Arial"/>
                <w:sz w:val="18"/>
                <w:szCs w:val="18"/>
                <w:color w:val="auto"/>
              </w:rPr>
              <w:t>Incentive Plan – Form of Restricted Stock Award Agreement</w:t>
            </w: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1"/>
              </w:rPr>
              <w:t>Imprimis Pharmaceuticals Inc. 2017</w:t>
            </w:r>
          </w:p>
        </w:tc>
        <w:tc>
          <w:tcPr>
            <w:tcW w:w="7400" w:type="dxa"/>
            <w:vAlign w:val="bottom"/>
          </w:tcPr>
          <w:p>
            <w:pPr>
              <w:ind w:left="20"/>
              <w:spacing w:after="0"/>
              <w:rPr>
                <w:sz w:val="20"/>
                <w:szCs w:val="20"/>
                <w:color w:val="auto"/>
              </w:rPr>
            </w:pPr>
            <w:r>
              <w:rPr>
                <w:rFonts w:ascii="Arial" w:cs="Arial" w:eastAsia="Arial" w:hAnsi="Arial"/>
                <w:sz w:val="18"/>
                <w:szCs w:val="18"/>
                <w:color w:val="auto"/>
              </w:rPr>
              <w:t>Incentive Plan – Form of Restricted Stock Unit Agreement</w:t>
            </w:r>
          </w:p>
        </w:tc>
      </w:tr>
      <w:tr>
        <w:trPr>
          <w:trHeight w:val="439"/>
        </w:trPr>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June 16,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400" w:type="dxa"/>
            <w:vAlign w:val="bottom"/>
          </w:tcPr>
          <w:p>
            <w:pPr>
              <w:ind w:left="116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38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2640" w:type="dxa"/>
            <w:vAlign w:val="bottom"/>
          </w:tcPr>
          <w:p>
            <w:pPr>
              <w:spacing w:after="0"/>
              <w:rPr>
                <w:sz w:val="20"/>
                <w:szCs w:val="20"/>
                <w:color w:val="auto"/>
              </w:rPr>
            </w:pPr>
            <w:r>
              <w:rPr>
                <w:rFonts w:ascii="Arial" w:cs="Arial" w:eastAsia="Arial" w:hAnsi="Arial"/>
                <w:sz w:val="18"/>
                <w:szCs w:val="18"/>
                <w:color w:val="auto"/>
              </w:rPr>
              <w:t>Description</w:t>
            </w:r>
          </w:p>
        </w:tc>
        <w:tc>
          <w:tcPr>
            <w:tcW w:w="74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100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Imprimis Pharmaceuticals Inc. 2017 Incentive Plan – Form of Incentive Stock Option Agreement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1"/>
              </w:rPr>
              <w:t>Imprimis Pharmaceuticals Inc. 2017</w:t>
            </w:r>
          </w:p>
        </w:tc>
        <w:tc>
          <w:tcPr>
            <w:tcW w:w="7400" w:type="dxa"/>
            <w:vAlign w:val="bottom"/>
          </w:tcPr>
          <w:p>
            <w:pPr>
              <w:ind w:left="20"/>
              <w:spacing w:after="0"/>
              <w:rPr>
                <w:sz w:val="20"/>
                <w:szCs w:val="20"/>
                <w:color w:val="auto"/>
              </w:rPr>
            </w:pPr>
            <w:r>
              <w:rPr>
                <w:rFonts w:ascii="Arial" w:cs="Arial" w:eastAsia="Arial" w:hAnsi="Arial"/>
                <w:sz w:val="18"/>
                <w:szCs w:val="18"/>
                <w:color w:val="auto"/>
              </w:rPr>
              <w:t>Incentive Plan – Form of Non-Statutory Stock Option Agreement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1"/>
              </w:rPr>
              <w:t>Imprimis Pharmaceuticals Inc. 2017</w:t>
            </w:r>
          </w:p>
        </w:tc>
        <w:tc>
          <w:tcPr>
            <w:tcW w:w="7400" w:type="dxa"/>
            <w:vAlign w:val="bottom"/>
          </w:tcPr>
          <w:p>
            <w:pPr>
              <w:ind w:left="20"/>
              <w:spacing w:after="0"/>
              <w:rPr>
                <w:sz w:val="20"/>
                <w:szCs w:val="20"/>
                <w:color w:val="auto"/>
              </w:rPr>
            </w:pPr>
            <w:r>
              <w:rPr>
                <w:rFonts w:ascii="Arial" w:cs="Arial" w:eastAsia="Arial" w:hAnsi="Arial"/>
                <w:sz w:val="18"/>
                <w:szCs w:val="18"/>
                <w:color w:val="auto"/>
              </w:rPr>
              <w:t>Incentive Plan – Form of Restricted Stock Award Agreement</w:t>
            </w: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1"/>
              </w:rPr>
              <w:t>Imprimis Pharmaceuticals Inc. 2017</w:t>
            </w:r>
          </w:p>
        </w:tc>
        <w:tc>
          <w:tcPr>
            <w:tcW w:w="7400" w:type="dxa"/>
            <w:vAlign w:val="bottom"/>
          </w:tcPr>
          <w:p>
            <w:pPr>
              <w:ind w:left="20"/>
              <w:spacing w:after="0"/>
              <w:rPr>
                <w:sz w:val="20"/>
                <w:szCs w:val="20"/>
                <w:color w:val="auto"/>
              </w:rPr>
            </w:pPr>
            <w:r>
              <w:rPr>
                <w:rFonts w:ascii="Arial" w:cs="Arial" w:eastAsia="Arial" w:hAnsi="Arial"/>
                <w:sz w:val="18"/>
                <w:szCs w:val="18"/>
                <w:color w:val="auto"/>
              </w:rPr>
              <w:t>Incentive Plan – Form of Restricted Stock Unit Agreement</w:t>
            </w:r>
          </w:p>
        </w:tc>
      </w:tr>
      <w:tr>
        <w:trPr>
          <w:trHeight w:val="439"/>
        </w:trPr>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2017 INCENTIVE STOCK AND AWARDS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INCENTIVE STOCK OPTION AGREEMENT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This INCENTIVE STOCK OPTION AGREEMENT (the “Option Agreement”), dated as of ____________, 20__ (the “Grant Date”), is between Imprimis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Pharmaceuticals, Inc., a Delaware corporation (the “Company”), and _____________ (the “Optionee”), an employee of the Company, pursuant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 2017 Incentive Stock and Awards Plan (the “Plan”).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WHEREAS, the Company desires to give the Optionee the opportunity to purchase _____________ shares of common stock of the Company, par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$0.001 (“Common Shares”) in accordance with the provisions of the Plan, a copy of which is attached hereto;</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mutual covenants hereinafter set forth and for other good and valuable consideration, the parties hereto, intending to be legally bound hereby, agree as follows:</w:t>
      </w:r>
    </w:p>
    <w:p>
      <w:pPr>
        <w:spacing w:after="0" w:line="170"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Company hereby grants to the Optionee the right and option (the “Option”) to purchase all or any part of an aggregate of</w:t>
      </w:r>
    </w:p>
    <w:p>
      <w:pPr>
        <w:spacing w:after="0" w:line="34" w:lineRule="exact"/>
        <w:rPr>
          <w:rFonts w:ascii="Arial" w:cs="Arial" w:eastAsia="Arial" w:hAnsi="Arial"/>
          <w:sz w:val="17"/>
          <w:szCs w:val="17"/>
          <w:color w:val="auto"/>
        </w:rPr>
      </w:pPr>
    </w:p>
    <w:p>
      <w:pPr>
        <w:jc w:val="both"/>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____________ Common Shares. The Option is in all respects limited and conditioned as hereinafter provided, and is subject in all respects to the terms and conditions of the Plan now in effect and as it may be amended from time to time (but only to the extent that such amendments apply to outstanding options). Such terms and conditions are incorporated herein by reference, made a part hereof, and shall control in the event of any conflict with any other terms of this Option Agreement. The Option granted hereunder is intended to be an incentive stock option (“ISO”) meeting the requirements of the Plan and section 422 of the Internal Revenue Code of 1986, as amended (the “Code”), and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a nonqualified stock option (“NQSO”).</w:t>
      </w:r>
    </w:p>
    <w:p>
      <w:pPr>
        <w:spacing w:after="0" w:line="178" w:lineRule="exact"/>
        <w:rPr>
          <w:rFonts w:ascii="Arial" w:cs="Arial" w:eastAsia="Arial" w:hAnsi="Arial"/>
          <w:sz w:val="17"/>
          <w:szCs w:val="17"/>
          <w:color w:val="auto"/>
        </w:rPr>
      </w:pPr>
    </w:p>
    <w:p>
      <w:pPr>
        <w:jc w:val="both"/>
        <w:ind w:firstLine="8"/>
        <w:spacing w:after="0" w:line="259" w:lineRule="auto"/>
        <w:tabs>
          <w:tab w:leader="none" w:pos="194"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the Common Shares covered by this Option shall be $____ per share. It is the determination of the committee administering the Plan (the “Committee”) that on the Grant Date the exercise price was not less than the greater of (i) 100% (110% for an Optionee who owns more than 10% of the total combined voting power of all shares of stock of the - a “More-Than-10% Owner”) of the “Fair Market Value” (as defined in the Plan) of a Common Share, or (ii) the par value of a Common Share.</w:t>
      </w:r>
    </w:p>
    <w:p>
      <w:pPr>
        <w:spacing w:after="0" w:line="186" w:lineRule="exact"/>
        <w:rPr>
          <w:rFonts w:ascii="Arial" w:cs="Arial" w:eastAsia="Arial" w:hAnsi="Arial"/>
          <w:sz w:val="18"/>
          <w:szCs w:val="18"/>
          <w:color w:val="auto"/>
        </w:rPr>
      </w:pPr>
    </w:p>
    <w:p>
      <w:pPr>
        <w:ind w:firstLine="8"/>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Unless earlier terminated pursuant to any provision of the Plan or of this Option Agreement, this Option shall expire on _____________ __, 20__ (the “Expiration Date”). This Option shall not be exercisable on or after the Expiration Date.</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The Optionee shall have the right to purchase from the Company, on and after the following dates, the following number of Common Shares, provided the Optionee has not terminated his or her service as of the applicable vesting date: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Committee may accelerate any exercise date of the Option, in its discretion, if it deems such acceleration to be desirable. Once the Option becomes exercisable, it will remain exercisable until it is exercised or until it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5"/>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Date Installment Becomes Exercisable</w:t>
            </w:r>
          </w:p>
        </w:tc>
        <w:tc>
          <w:tcPr>
            <w:tcW w:w="5600" w:type="dxa"/>
            <w:vAlign w:val="bottom"/>
          </w:tcPr>
          <w:p>
            <w:pPr>
              <w:spacing w:after="0"/>
              <w:rPr>
                <w:sz w:val="20"/>
                <w:szCs w:val="20"/>
                <w:color w:val="auto"/>
              </w:rPr>
            </w:pPr>
            <w:r>
              <w:rPr>
                <w:rFonts w:ascii="Arial" w:cs="Arial" w:eastAsia="Arial" w:hAnsi="Arial"/>
                <w:sz w:val="18"/>
                <w:szCs w:val="18"/>
                <w:b w:val="1"/>
                <w:bCs w:val="1"/>
                <w:color w:val="auto"/>
              </w:rPr>
              <w:t>Number of Common Shares</w:t>
            </w:r>
          </w:p>
        </w:tc>
      </w:tr>
      <w:tr>
        <w:trPr>
          <w:trHeight w:val="392"/>
        </w:trPr>
        <w:tc>
          <w:tcPr>
            <w:tcW w:w="4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9"/>
              </w:rPr>
              <w:t>______________________________________________</w:t>
            </w:r>
          </w:p>
        </w:tc>
        <w:tc>
          <w:tcPr>
            <w:tcW w:w="1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__________Shares</w:t>
            </w:r>
          </w:p>
        </w:tc>
      </w:tr>
      <w:tr>
        <w:trPr>
          <w:trHeight w:val="439"/>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______________________________________________</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an additional __________Shares</w:t>
            </w:r>
          </w:p>
        </w:tc>
      </w:tr>
      <w:tr>
        <w:trPr>
          <w:trHeight w:val="412"/>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______________________________________________</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an additional __________Shares</w:t>
            </w:r>
          </w:p>
        </w:tc>
      </w:tr>
      <w:tr>
        <w:trPr>
          <w:trHeight w:val="412"/>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______________________________________________</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an additional __________Shares</w:t>
            </w:r>
          </w:p>
        </w:tc>
      </w:tr>
    </w:tbl>
    <w:p>
      <w:pPr>
        <w:spacing w:after="0" w:line="229" w:lineRule="exact"/>
        <w:rPr>
          <w:sz w:val="20"/>
          <w:szCs w:val="20"/>
          <w:color w:val="auto"/>
        </w:rPr>
      </w:pPr>
    </w:p>
    <w:p>
      <w:pPr>
        <w:jc w:val="both"/>
        <w:ind w:firstLine="8"/>
        <w:spacing w:after="0" w:line="259"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w:t>
      </w:r>
      <w:r>
        <w:rPr>
          <w:rFonts w:ascii="Arial" w:cs="Arial" w:eastAsia="Arial" w:hAnsi="Arial"/>
          <w:sz w:val="18"/>
          <w:szCs w:val="18"/>
          <w:color w:val="auto"/>
        </w:rPr>
        <w:t>. Subject to the terms and conditions of this Option Agreement and the Plan, the Option may be exercised by written notice to the Company at its principal office. The form of such notice is attached hereto and shall state the election to exercise the Option and the number of whole shares with respect to which it is being exercised; shall be signed by the person or persons so exercising the Option; and shall be accompanied by payment of the full exercise price of such shares. Only full shares will be issued.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shall be paid to the Company -</w:t>
      </w:r>
    </w:p>
    <w:p>
      <w:pPr>
        <w:spacing w:after="0" w:line="225" w:lineRule="exact"/>
        <w:rPr>
          <w:sz w:val="20"/>
          <w:szCs w:val="20"/>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cash, or by certified check, bank draft, or postal or express money order;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delivery of Common Shares previously acquired by the Optionee;</w:t>
      </w:r>
    </w:p>
    <w:p>
      <w:pPr>
        <w:spacing w:after="0" w:line="225" w:lineRule="exact"/>
        <w:rPr>
          <w:rFonts w:ascii="Arial" w:cs="Arial" w:eastAsia="Arial" w:hAnsi="Arial"/>
          <w:sz w:val="18"/>
          <w:szCs w:val="18"/>
          <w:color w:val="auto"/>
        </w:rPr>
      </w:pPr>
    </w:p>
    <w:p>
      <w:pPr>
        <w:ind w:firstLine="656"/>
        <w:spacing w:after="0" w:line="277" w:lineRule="auto"/>
        <w:tabs>
          <w:tab w:leader="none" w:pos="916"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delivering a properly executed notice of exercise of the Option to the Company and a broker, with irrevocable instructions to the broker promptly to deliver to the Company the amount necessary to pay the exercise price of the Option;</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Common Shares newly acquired by the Optionee upon exercise of the Option (which shall constitute a disqualifying disposition with respect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ISO);</w:t>
      </w:r>
    </w:p>
    <w:p>
      <w:pPr>
        <w:spacing w:after="0" w:line="210" w:lineRule="exact"/>
        <w:rPr>
          <w:rFonts w:ascii="Arial" w:cs="Arial" w:eastAsia="Arial" w:hAnsi="Arial"/>
          <w:sz w:val="16"/>
          <w:szCs w:val="16"/>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any combination of (a), (b), (c), or (d) above.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the exercise price is paid, in whole or in part, with Common Shares, the portion of the exercise price so paid shall be equal to the Fair Market Value of the Common Shares surrendered on the date of exercise.</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Upon receipt of notice of exercise and payment, the Company shall deliver a certificate or certificates representing the Common Shares with respect to which the Option is so exercised. The Optionee shall obtain the rights of a shareholder upon receipt of a certificate(s) representing such Common Shares.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Such certificate(s) shall be registered in the name of the person so exercising the Option (or, if the Option is exercised by the Optionee and if the Optionee so requests in the notice exercising the Option, shall be registered in the name of the Optionee and the Optionee’s spouse, jointly, with right of survivorship), and shall be delivered as provided above to, or upon the written order of, the person exercising the Option. In the event the Option is exercised by any person after the death or disability (as determined in accordance with Section 22(e)(3) of the Code) of the Optionee, the notice shall be accompanied by appropriate proof of the right of such person to exercise the Option. All Common Shares that are purchased upon exercise of the Option as provided herein shall be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both"/>
        <w:spacing w:after="0" w:line="255" w:lineRule="auto"/>
        <w:rPr>
          <w:sz w:val="20"/>
          <w:szCs w:val="20"/>
          <w:color w:val="auto"/>
        </w:rPr>
      </w:pPr>
      <w:r>
        <w:rPr>
          <w:rFonts w:ascii="Arial" w:cs="Arial" w:eastAsia="Arial" w:hAnsi="Arial"/>
          <w:sz w:val="18"/>
          <w:szCs w:val="18"/>
          <w:color w:val="auto"/>
        </w:rPr>
        <w:t>Upon exercise of the Option, Optionee shall be responsible for all employment and income taxes then or thereafter due (whether Federal, State or local), and if the Optionee does not remit to the Company sufficient cash (or, with the consent of the Committee, Common Shares) to satisfy all applicable withholding requirements, the Company shall be entitled to satisfy any withholding requirements for any such tax by disposing of Common Shares at exercise, withholding cash from Optionee’s salary or other compensation or such other means as the Committee considers appropriate to the fullest extent permitted by applicable law. Nothing in the preceding sentence shall impair or limit the Company’s rights with respect to satisfying withholding obligations under Section 10 of the Plan.</w:t>
      </w:r>
    </w:p>
    <w:p>
      <w:pPr>
        <w:spacing w:after="0" w:line="193" w:lineRule="exact"/>
        <w:rPr>
          <w:sz w:val="20"/>
          <w:szCs w:val="20"/>
          <w:color w:val="auto"/>
        </w:rPr>
      </w:pPr>
    </w:p>
    <w:p>
      <w:pPr>
        <w:jc w:val="both"/>
        <w:ind w:firstLine="8"/>
        <w:spacing w:after="0" w:line="264" w:lineRule="auto"/>
        <w:tabs>
          <w:tab w:leader="none" w:pos="19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is not assignable or transferable, in whole or in part, by the Optionee other than by will or by the laws of descent and distribution. During the lifetime of the Optionee, the Option shall be exercisable only by the Optionee or, in the event of his or her disability, by his or her guardian or legal representative.</w:t>
      </w:r>
    </w:p>
    <w:p>
      <w:pPr>
        <w:spacing w:after="0" w:line="181" w:lineRule="exact"/>
        <w:rPr>
          <w:rFonts w:ascii="Arial" w:cs="Arial" w:eastAsia="Arial" w:hAnsi="Arial"/>
          <w:sz w:val="18"/>
          <w:szCs w:val="18"/>
          <w:color w:val="auto"/>
        </w:rPr>
      </w:pPr>
    </w:p>
    <w:p>
      <w:pPr>
        <w:jc w:val="both"/>
        <w:ind w:firstLine="8"/>
        <w:spacing w:after="0" w:line="25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by Optionee</w:t>
      </w:r>
      <w:r>
        <w:rPr>
          <w:rFonts w:ascii="Arial" w:cs="Arial" w:eastAsia="Arial" w:hAnsi="Arial"/>
          <w:sz w:val="18"/>
          <w:szCs w:val="18"/>
          <w:color w:val="auto"/>
        </w:rPr>
        <w:t>. If the Optionee’s employment with the Company is terminated by the Optionee for any reason (other than death or disability or with Good Reason) prior to the Expiration Date, this Option may be exercised, to the extent of the number of Common Shares with respect to which the Optionee could have exercised it on the date of such termination of employment by the Optionee at any time prior to the earlier of (i) the Expiration Date, or (ii) ninety (90) days after such termination of employment. Any part of the Option that was not exercisable immediately before the Optionee’s termination of employment shall terminate at that time.</w:t>
      </w:r>
    </w:p>
    <w:p>
      <w:pPr>
        <w:spacing w:after="0" w:line="188" w:lineRule="exact"/>
        <w:rPr>
          <w:rFonts w:ascii="Arial" w:cs="Arial" w:eastAsia="Arial" w:hAnsi="Arial"/>
          <w:sz w:val="18"/>
          <w:szCs w:val="18"/>
          <w:color w:val="auto"/>
        </w:rPr>
      </w:pPr>
    </w:p>
    <w:p>
      <w:pPr>
        <w:jc w:val="both"/>
        <w:ind w:firstLine="8"/>
        <w:spacing w:after="0" w:line="276"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If the Optionee becomes disabled (as determined in accordance with Section 22(e)(3) of the Code) during his or her employment and, prior to the Expiration Date, the Optionee’s employment is terminated as a consequence of such disability, this Option may be exercised, to the extent of the number of Common Shares with respect to which the Optionee could have exercised it on the date of such termination of employment by the Optionee or by the Optionee’s legal representative at any time prior to the earlier of (i) the Expiration Date or (ii) ninety (90) days after such termination of employment. Any part of the Option that was not exercisable immediately before the Optionee’s termination of employment shall terminate at that time.</w:t>
      </w:r>
    </w:p>
    <w:p>
      <w:pPr>
        <w:spacing w:after="0" w:line="172" w:lineRule="exact"/>
        <w:rPr>
          <w:rFonts w:ascii="Arial" w:cs="Arial" w:eastAsia="Arial" w:hAnsi="Arial"/>
          <w:sz w:val="17"/>
          <w:szCs w:val="17"/>
          <w:color w:val="auto"/>
        </w:rPr>
      </w:pPr>
    </w:p>
    <w:p>
      <w:pPr>
        <w:jc w:val="both"/>
        <w:ind w:firstLine="8"/>
        <w:spacing w:after="0" w:line="276"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by Company without Cause or by Optionee with Good Reason</w:t>
      </w:r>
      <w:r>
        <w:rPr>
          <w:rFonts w:ascii="Arial" w:cs="Arial" w:eastAsia="Arial" w:hAnsi="Arial"/>
          <w:sz w:val="17"/>
          <w:szCs w:val="17"/>
          <w:color w:val="auto"/>
        </w:rPr>
        <w:t>. If the Optionee’s employment with the Company is terminated by the Company for any reason other than Cause (or is terminated by the Optionee for Good Reason) prior to the Expiration Date, this Option may be exercised, to the extent of the number of Common Shares with respect to which the Optionee could have exercised it on the date of such termination of employment by the Optionee at any time prior to the earlier of (i) the Expiration Date, or (ii) one year after such termination of employment. Any part of the Option that was not exercisable immediately before the Optionee’s termination of employment shall terminate at that time.</w:t>
      </w:r>
    </w:p>
    <w:p>
      <w:pPr>
        <w:spacing w:after="0" w:line="172" w:lineRule="exact"/>
        <w:rPr>
          <w:rFonts w:ascii="Arial" w:cs="Arial" w:eastAsia="Arial" w:hAnsi="Arial"/>
          <w:sz w:val="17"/>
          <w:szCs w:val="17"/>
          <w:color w:val="auto"/>
        </w:rPr>
      </w:pPr>
    </w:p>
    <w:p>
      <w:pPr>
        <w:jc w:val="both"/>
        <w:ind w:firstLine="8"/>
        <w:spacing w:after="0" w:line="272" w:lineRule="auto"/>
        <w:tabs>
          <w:tab w:leader="none" w:pos="27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If the Optionee dies during his or her employment and prior to the Expiration Date, or if the Optionee’s employment is terminated for any reason (as described in Paragraphs 7, 8 and 9) and the Optionee dies following his or her termination of employment but prior to the earliest of (i) the Expiration Date, or (ii) the expiration of the period determined under Paragraph 7, 8 or 9 (as applicable to the Optionee) this Option may be exercised, to the extent of the number of Common Shares with respect to which the Optionee could have exercised it on the date of his or her death by the Optionee’s estate, personal representative or beneficiary who acquired the right to exercise this Option by bequest or inheritance or by reason of the Optionee’s death, at any time prior to the earlier of (i) the Expiration Date or (ii) one year after the date of the Optionee’s death. Any part of the Option that was not exercisable immediately before the Optionee’s death shall terminate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ind w:left="-8" w:firstLine="8"/>
        <w:spacing w:after="0" w:line="277" w:lineRule="auto"/>
        <w:tabs>
          <w:tab w:leader="none" w:pos="269"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If the Optionee’s employment with the Company is terminated by the Company for Cause prior to the Expiration Date, any unexercised portion of this Option shall immediately terminate at that time.</w:t>
      </w:r>
    </w:p>
    <w:p>
      <w:pPr>
        <w:spacing w:after="0" w:line="170" w:lineRule="exact"/>
        <w:rPr>
          <w:rFonts w:ascii="Arial" w:cs="Arial" w:eastAsia="Arial" w:hAnsi="Arial"/>
          <w:sz w:val="18"/>
          <w:szCs w:val="18"/>
          <w:color w:val="auto"/>
        </w:rPr>
      </w:pPr>
    </w:p>
    <w:p>
      <w:pPr>
        <w:jc w:val="both"/>
        <w:ind w:left="-8" w:firstLine="8"/>
        <w:spacing w:after="0" w:line="290" w:lineRule="auto"/>
        <w:tabs>
          <w:tab w:leader="none" w:pos="26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Disqualifying Disposition of Option Shares</w:t>
      </w:r>
      <w:r>
        <w:rPr>
          <w:rFonts w:ascii="Arial" w:cs="Arial" w:eastAsia="Arial" w:hAnsi="Arial"/>
          <w:sz w:val="16"/>
          <w:szCs w:val="16"/>
          <w:color w:val="auto"/>
        </w:rPr>
        <w:t>. The Optionee agrees to give written notice to the Company, at its principal office, if a “disposition” of the Common Shares acquired through exercise of the Option granted hereunder occurs at any time within two years after the Grant Date or within one year after the transfer to the Optionee of such shares. Optionee acknowledges that if such disposition occurs, the Optionee generally will recognize ordinary income as of the date the Option was exercised in an amount equal to the lesser of (i) the Fair Market Value of the Common Shares on the date of exercise minus the exercise price, or (ii) the amount realized on disposition of such shares minus the exercise price. If requested by the Company at the time of and in the case of any such disposition, Optionee shall pay to the Company an amount sufficient to satisfy the Company’s federal, state and local withholding tax obligations with respect to such disposition. The provisions of this Section 12 shall apply, whether or not the Optionee is in the employ of the Company at the time of the relevant disposition. For purposes of this Paragraph, the term “disposition” shall have the meaning assigned to such term by section 424(c) of the Code.</w:t>
      </w:r>
    </w:p>
    <w:p>
      <w:pPr>
        <w:spacing w:after="0" w:line="166" w:lineRule="exact"/>
        <w:rPr>
          <w:rFonts w:ascii="Arial" w:cs="Arial" w:eastAsia="Arial" w:hAnsi="Arial"/>
          <w:sz w:val="16"/>
          <w:szCs w:val="16"/>
          <w:color w:val="auto"/>
        </w:rPr>
      </w:pPr>
    </w:p>
    <w:p>
      <w:pPr>
        <w:ind w:left="272" w:hanging="272"/>
        <w:spacing w:after="0"/>
        <w:tabs>
          <w:tab w:leader="none" w:pos="27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Securities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656"/>
        <w:spacing w:after="0" w:line="290" w:lineRule="auto"/>
        <w:tabs>
          <w:tab w:leader="none" w:pos="891" w:val="left"/>
        </w:tabs>
        <w:numPr>
          <w:ilvl w:val="1"/>
          <w:numId w:val="6"/>
        </w:numPr>
        <w:rPr>
          <w:rFonts w:ascii="Arial" w:cs="Arial" w:eastAsia="Arial" w:hAnsi="Arial"/>
          <w:sz w:val="16"/>
          <w:szCs w:val="16"/>
          <w:color w:val="auto"/>
        </w:rPr>
      </w:pPr>
      <w:r>
        <w:rPr>
          <w:rFonts w:ascii="Arial" w:cs="Arial" w:eastAsia="Arial" w:hAnsi="Arial"/>
          <w:sz w:val="16"/>
          <w:szCs w:val="16"/>
          <w:color w:val="auto"/>
        </w:rPr>
        <w:t>If, at any time, counsel to the Company shall determine that the listing, registration or qualification of the Common Shares subject to the Option upon any securities exchange or under any state or federal law, or the consent or approval of any governmental or regulatory body, or that the disclosure of non-public information or the satisfaction of any other condition is necessary as a condition of, or in connection with, the issuance or purchase of Common Shares hereunder, such Option may not be exercised, in whole or in part, unless such listing, registration, qualification, consent or approval, or satisfaction of such condition shall have been effected or obtained on conditions acceptable to the Board of Directors. The Company shall be under no obligation to apply for or to obtain such listing, registration or qualification, or to satisfy such condition. The Committee shall inform the Optionee in writing of any decision to defer or prohibit the exercise of an Option. During the period that the effectiveness of the exercise of an Option has been deferred or prohibited, the Optionee may, by written notice, withdraw the Optionee’s decision to exercise and obtain a refund of any amount paid with respect thereto.</w:t>
      </w:r>
    </w:p>
    <w:p>
      <w:pPr>
        <w:spacing w:after="0" w:line="166" w:lineRule="exact"/>
        <w:rPr>
          <w:rFonts w:ascii="Arial" w:cs="Arial" w:eastAsia="Arial" w:hAnsi="Arial"/>
          <w:sz w:val="16"/>
          <w:szCs w:val="16"/>
          <w:color w:val="auto"/>
        </w:rPr>
      </w:pPr>
    </w:p>
    <w:p>
      <w:pPr>
        <w:jc w:val="both"/>
        <w:ind w:left="-8" w:firstLine="656"/>
        <w:spacing w:after="0" w:line="289" w:lineRule="auto"/>
        <w:tabs>
          <w:tab w:leader="none" w:pos="911"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Company may require: (i) the Optionee (or any other person exercising the Option in the case of the Optionee’s death or Disability) as a condition of exercising the Option, to give written assurances, in substance and form satisfactory to the Company, to the effect that such person is acquiring the Common Shares subject to the Option for his or her own account for investment and not with any present intention of selling or otherwise distributing the same, and to make such other representations or covenants; and (ii) that any certificates for Common Shares delivered in connection with the exercise of the Option bear such legends, in each case as the Company deems necessary or appropriate, in order to comply with federal and applicable state securities laws, to comply with covenants or representations made by the Company in connection with any public offering of its Common Shares or otherwise. The Optionee specifically understands and agrees that the Common Shares, if and when issued upon exercise of the Option, may be “restricted securities,” as that term is defined in Rule 144 under the Securities Act of 1933 and, accordingly, the Optionee may be required to hold the shares indefinitely unless they are registered under such Securities Act of 1933, as amended, or an exemption from such registration is available.</w:t>
      </w:r>
    </w:p>
    <w:p>
      <w:pPr>
        <w:spacing w:after="0" w:line="166" w:lineRule="exact"/>
        <w:rPr>
          <w:rFonts w:ascii="Arial" w:cs="Arial" w:eastAsia="Arial" w:hAnsi="Arial"/>
          <w:sz w:val="16"/>
          <w:szCs w:val="16"/>
          <w:color w:val="auto"/>
        </w:rPr>
      </w:pPr>
    </w:p>
    <w:p>
      <w:pPr>
        <w:jc w:val="both"/>
        <w:ind w:left="-8" w:firstLine="656"/>
        <w:spacing w:after="0" w:line="312" w:lineRule="auto"/>
        <w:tabs>
          <w:tab w:leader="none" w:pos="887"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Optionee shall have no rights as a shareholder with respect to any Common Shares covered by the Option (including, without limitation, any rights to receive dividends or non-cash distributions with respect to such shares) until the date of issue of a stock certificate to the Optionee for such Common Shares. No adjustment shall be made for dividends or other rights for which the record date is prior to the date such stock certificate is issued.</w:t>
      </w:r>
    </w:p>
    <w:p>
      <w:pPr>
        <w:spacing w:after="0" w:line="146" w:lineRule="exact"/>
        <w:rPr>
          <w:rFonts w:ascii="Arial" w:cs="Arial" w:eastAsia="Arial" w:hAnsi="Arial"/>
          <w:sz w:val="16"/>
          <w:szCs w:val="16"/>
          <w:color w:val="auto"/>
        </w:rPr>
      </w:pPr>
    </w:p>
    <w:p>
      <w:pPr>
        <w:jc w:val="both"/>
        <w:ind w:left="-8" w:firstLine="8"/>
        <w:spacing w:after="0" w:line="264" w:lineRule="auto"/>
        <w:tabs>
          <w:tab w:leader="none" w:pos="26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Option Agreement shall be governed by the applicable Code provisions to the maximum extent possible. Otherwise, the laws of the State of Delaware (without reference to the principles of conflict of laws) shall govern the operation of, and the rights of the Optionee under, the Plan and Options granted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IN WITNESS WHEREOF, the Company has caused this Incentive Stock Option Agreement to be duly executed by its duly authorized officer, and the Optionee has hereunto set his or her hand and seal, all as of the ______ day of __________, 20__.</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306705</wp:posOffset>
            </wp:positionV>
            <wp:extent cx="3636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36010" cy="1714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2017 Incentive Stock and Awards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Exercise of Incentive Stock Option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 hereby exercise the incentive stock option granted to me pursuant to the Incentive Stock Option Agreement dated as of ____________, 20__, by Imprimis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Pharmaceuticals, Inc. (the “Company”), with respect to the following number of shares of the Company’s common stock (“Shares”), par value $0.001 per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Share, covered by said option:</w:t>
            </w:r>
          </w:p>
        </w:tc>
        <w:tc>
          <w:tcPr>
            <w:tcW w:w="7900" w:type="dxa"/>
            <w:vAlign w:val="bottom"/>
          </w:tcPr>
          <w:p>
            <w:pPr>
              <w:spacing w:after="0"/>
              <w:rPr>
                <w:sz w:val="20"/>
                <w:szCs w:val="20"/>
                <w:color w:val="auto"/>
              </w:rPr>
            </w:pPr>
          </w:p>
        </w:tc>
      </w:tr>
      <w:tr>
        <w:trPr>
          <w:trHeight w:val="418"/>
        </w:trPr>
        <w:tc>
          <w:tcPr>
            <w:tcW w:w="1180" w:type="dxa"/>
            <w:vAlign w:val="bottom"/>
          </w:tcPr>
          <w:p>
            <w:pPr>
              <w:spacing w:after="0"/>
              <w:rPr>
                <w:sz w:val="24"/>
                <w:szCs w:val="24"/>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Number of shares to be purchased:  _____________</w:t>
            </w:r>
          </w:p>
        </w:tc>
      </w:tr>
      <w:tr>
        <w:trPr>
          <w:trHeight w:val="432"/>
        </w:trPr>
        <w:tc>
          <w:tcPr>
            <w:tcW w:w="1180" w:type="dxa"/>
            <w:vAlign w:val="bottom"/>
          </w:tcPr>
          <w:p>
            <w:pPr>
              <w:spacing w:after="0"/>
              <w:rPr>
                <w:sz w:val="24"/>
                <w:szCs w:val="24"/>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Purchase price per Share:</w:t>
            </w:r>
          </w:p>
        </w:tc>
        <w:tc>
          <w:tcPr>
            <w:tcW w:w="7900" w:type="dxa"/>
            <w:vAlign w:val="bottom"/>
          </w:tcPr>
          <w:p>
            <w:pPr>
              <w:jc w:val="right"/>
              <w:ind w:right="6170"/>
              <w:spacing w:after="0"/>
              <w:rPr>
                <w:sz w:val="20"/>
                <w:szCs w:val="20"/>
                <w:color w:val="auto"/>
              </w:rPr>
            </w:pPr>
            <w:r>
              <w:rPr>
                <w:rFonts w:ascii="Arial" w:cs="Arial" w:eastAsia="Arial" w:hAnsi="Arial"/>
                <w:sz w:val="18"/>
                <w:szCs w:val="18"/>
                <w:color w:val="auto"/>
              </w:rPr>
              <w:t>$_____________</w:t>
            </w:r>
          </w:p>
        </w:tc>
      </w:tr>
      <w:tr>
        <w:trPr>
          <w:trHeight w:val="432"/>
        </w:trPr>
        <w:tc>
          <w:tcPr>
            <w:tcW w:w="1180" w:type="dxa"/>
            <w:vAlign w:val="bottom"/>
          </w:tcPr>
          <w:p>
            <w:pPr>
              <w:spacing w:after="0"/>
              <w:rPr>
                <w:sz w:val="24"/>
                <w:szCs w:val="24"/>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Total purchase price:</w:t>
            </w:r>
          </w:p>
        </w:tc>
        <w:tc>
          <w:tcPr>
            <w:tcW w:w="7900" w:type="dxa"/>
            <w:vAlign w:val="bottom"/>
          </w:tcPr>
          <w:p>
            <w:pPr>
              <w:jc w:val="right"/>
              <w:ind w:right="6170"/>
              <w:spacing w:after="0"/>
              <w:rPr>
                <w:sz w:val="20"/>
                <w:szCs w:val="20"/>
                <w:color w:val="auto"/>
              </w:rPr>
            </w:pPr>
            <w:r>
              <w:rPr>
                <w:rFonts w:ascii="Arial" w:cs="Arial" w:eastAsia="Arial" w:hAnsi="Arial"/>
                <w:sz w:val="18"/>
                <w:szCs w:val="18"/>
                <w:color w:val="auto"/>
              </w:rPr>
              <w:t>$_____________</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_____A.</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2"/>
              </w:rPr>
              <w:t xml:space="preserve">Enclosed is cash or my certified check, bank draft, or postal or express money order in the amount of $_______ in full/partial </w:t>
            </w:r>
            <w:r>
              <w:rPr>
                <w:rFonts w:ascii="Arial" w:cs="Arial" w:eastAsia="Arial" w:hAnsi="Arial"/>
                <w:sz w:val="18"/>
                <w:szCs w:val="18"/>
                <w:b w:val="1"/>
                <w:bCs w:val="1"/>
                <w:color w:val="auto"/>
                <w:w w:val="92"/>
              </w:rPr>
              <w:t>[circle one]</w:t>
            </w:r>
          </w:p>
        </w:tc>
      </w:tr>
      <w:tr>
        <w:trPr>
          <w:trHeight w:val="230"/>
        </w:trPr>
        <w:tc>
          <w:tcPr>
            <w:tcW w:w="1180" w:type="dxa"/>
            <w:vAlign w:val="bottom"/>
          </w:tcPr>
          <w:p>
            <w:pPr>
              <w:spacing w:after="0"/>
              <w:rPr>
                <w:sz w:val="20"/>
                <w:szCs w:val="20"/>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payment for such Shares;</w:t>
            </w:r>
          </w:p>
        </w:tc>
        <w:tc>
          <w:tcPr>
            <w:tcW w:w="790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and/or___ B.</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0"/>
              </w:rPr>
              <w:t xml:space="preserve">Enclosed is/are ________ Share(s) with a total fair market value of $_______ on the date hereof in full/partial </w:t>
            </w:r>
            <w:r>
              <w:rPr>
                <w:rFonts w:ascii="Arial" w:cs="Arial" w:eastAsia="Arial" w:hAnsi="Arial"/>
                <w:sz w:val="18"/>
                <w:szCs w:val="18"/>
                <w:b w:val="1"/>
                <w:bCs w:val="1"/>
                <w:color w:val="auto"/>
                <w:w w:val="90"/>
              </w:rPr>
              <w:t>[circle one]</w:t>
            </w:r>
            <w:r>
              <w:rPr>
                <w:rFonts w:ascii="Arial" w:cs="Arial" w:eastAsia="Arial" w:hAnsi="Arial"/>
                <w:sz w:val="18"/>
                <w:szCs w:val="18"/>
                <w:color w:val="auto"/>
                <w:w w:val="90"/>
              </w:rPr>
              <w:t xml:space="preserve"> payment for such</w:t>
            </w:r>
          </w:p>
        </w:tc>
      </w:tr>
      <w:tr>
        <w:trPr>
          <w:trHeight w:val="230"/>
        </w:trPr>
        <w:tc>
          <w:tcPr>
            <w:tcW w:w="1180" w:type="dxa"/>
            <w:vAlign w:val="bottom"/>
          </w:tcPr>
          <w:p>
            <w:pPr>
              <w:spacing w:after="0"/>
              <w:rPr>
                <w:sz w:val="20"/>
                <w:szCs w:val="20"/>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Shares;</w:t>
            </w:r>
          </w:p>
        </w:tc>
        <w:tc>
          <w:tcPr>
            <w:tcW w:w="7900" w:type="dxa"/>
            <w:vAlign w:val="bottom"/>
          </w:tcPr>
          <w:p>
            <w:pPr>
              <w:spacing w:after="0"/>
              <w:rPr>
                <w:sz w:val="20"/>
                <w:szCs w:val="20"/>
                <w:color w:val="auto"/>
              </w:rPr>
            </w:pPr>
          </w:p>
        </w:tc>
      </w:tr>
      <w:tr>
        <w:trPr>
          <w:trHeight w:val="414"/>
        </w:trPr>
        <w:tc>
          <w:tcPr>
            <w:tcW w:w="1180" w:type="dxa"/>
            <w:vAlign w:val="bottom"/>
          </w:tcPr>
          <w:p>
            <w:pPr>
              <w:spacing w:after="0"/>
              <w:rPr>
                <w:sz w:val="20"/>
                <w:szCs w:val="20"/>
                <w:color w:val="auto"/>
              </w:rPr>
            </w:pPr>
            <w:r>
              <w:rPr>
                <w:rFonts w:ascii="Arial" w:cs="Arial" w:eastAsia="Arial" w:hAnsi="Arial"/>
                <w:sz w:val="18"/>
                <w:szCs w:val="18"/>
                <w:color w:val="auto"/>
              </w:rPr>
              <w:t>and/or____ C.</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1"/>
              </w:rPr>
              <w:t xml:space="preserve">I have provided notice to___________ </w:t>
            </w:r>
            <w:r>
              <w:rPr>
                <w:rFonts w:ascii="Arial" w:cs="Arial" w:eastAsia="Arial" w:hAnsi="Arial"/>
                <w:sz w:val="18"/>
                <w:szCs w:val="18"/>
                <w:b w:val="1"/>
                <w:bCs w:val="1"/>
                <w:color w:val="auto"/>
                <w:w w:val="91"/>
              </w:rPr>
              <w:t>[insert name of broker]</w:t>
            </w:r>
            <w:r>
              <w:rPr>
                <w:rFonts w:ascii="Arial" w:cs="Arial" w:eastAsia="Arial" w:hAnsi="Arial"/>
                <w:sz w:val="18"/>
                <w:szCs w:val="18"/>
                <w:color w:val="auto"/>
                <w:w w:val="91"/>
              </w:rPr>
              <w:t xml:space="preserve">, a broker, who will render full/partial </w:t>
            </w:r>
            <w:r>
              <w:rPr>
                <w:rFonts w:ascii="Arial" w:cs="Arial" w:eastAsia="Arial" w:hAnsi="Arial"/>
                <w:sz w:val="18"/>
                <w:szCs w:val="18"/>
                <w:b w:val="1"/>
                <w:bCs w:val="1"/>
                <w:color w:val="auto"/>
                <w:w w:val="91"/>
              </w:rPr>
              <w:t>[circle one]</w:t>
            </w:r>
            <w:r>
              <w:rPr>
                <w:rFonts w:ascii="Arial" w:cs="Arial" w:eastAsia="Arial" w:hAnsi="Arial"/>
                <w:sz w:val="18"/>
                <w:szCs w:val="18"/>
                <w:color w:val="auto"/>
                <w:w w:val="91"/>
              </w:rPr>
              <w:t xml:space="preserve"> payment for such Shares.</w:t>
            </w:r>
          </w:p>
        </w:tc>
      </w:tr>
      <w:tr>
        <w:trPr>
          <w:trHeight w:val="216"/>
        </w:trPr>
        <w:tc>
          <w:tcPr>
            <w:tcW w:w="1180" w:type="dxa"/>
            <w:vAlign w:val="bottom"/>
          </w:tcPr>
          <w:p>
            <w:pPr>
              <w:spacing w:after="0"/>
              <w:rPr>
                <w:sz w:val="18"/>
                <w:szCs w:val="18"/>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[Optionee should attach to the notice of exercise provided to such broker a copy of this Notice of Exercise and irrevocable</w:t>
            </w:r>
          </w:p>
        </w:tc>
      </w:tr>
      <w:tr>
        <w:trPr>
          <w:trHeight w:val="234"/>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b w:val="1"/>
                <w:bCs w:val="1"/>
                <w:color w:val="auto"/>
              </w:rPr>
              <w:t>instructions to pay to the Company the full/partial (as elected above) exercise price.]</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and/or___ D.</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4"/>
              </w:rPr>
              <w:t>I elect to satisfy the payment for Shares purchased hereunder by having the Company withhold newly acquired Shares pursuant to the</w:t>
            </w:r>
          </w:p>
        </w:tc>
      </w:tr>
      <w:tr>
        <w:trPr>
          <w:trHeight w:val="216"/>
        </w:trPr>
        <w:tc>
          <w:tcPr>
            <w:tcW w:w="1180" w:type="dxa"/>
            <w:vAlign w:val="bottom"/>
          </w:tcPr>
          <w:p>
            <w:pPr>
              <w:spacing w:after="0"/>
              <w:rPr>
                <w:sz w:val="18"/>
                <w:szCs w:val="18"/>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4"/>
              </w:rPr>
              <w:t>exercise of the Option. I understand that this will result in a “disqualifying disposition,” as described in Section 12 of my Incentive Stock</w:t>
            </w:r>
          </w:p>
        </w:tc>
      </w:tr>
      <w:tr>
        <w:trPr>
          <w:trHeight w:val="230"/>
        </w:trPr>
        <w:tc>
          <w:tcPr>
            <w:tcW w:w="1180" w:type="dxa"/>
            <w:vAlign w:val="bottom"/>
          </w:tcPr>
          <w:p>
            <w:pPr>
              <w:spacing w:after="0"/>
              <w:rPr>
                <w:sz w:val="20"/>
                <w:szCs w:val="20"/>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Option Agreement.</w:t>
            </w:r>
          </w:p>
        </w:tc>
        <w:tc>
          <w:tcPr>
            <w:tcW w:w="7900" w:type="dxa"/>
            <w:vAlign w:val="bottom"/>
          </w:tcPr>
          <w:p>
            <w:pPr>
              <w:spacing w:after="0"/>
              <w:rPr>
                <w:sz w:val="20"/>
                <w:szCs w:val="20"/>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Please have the certificate or certificates representing the purchased Shares registered in the following name or names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____________ and sent to</w:t>
      </w:r>
    </w:p>
    <w:p>
      <w:pPr>
        <w:spacing w:after="0"/>
        <w:rPr>
          <w:sz w:val="20"/>
          <w:szCs w:val="20"/>
          <w:color w:val="auto"/>
        </w:rPr>
      </w:pPr>
      <w:r>
        <w:rPr>
          <w:rFonts w:ascii="Arial" w:cs="Arial" w:eastAsia="Arial" w:hAnsi="Arial"/>
          <w:sz w:val="18"/>
          <w:szCs w:val="18"/>
          <w:color w:val="auto"/>
        </w:rPr>
        <w:t>_________________.</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 20____</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*Certificates may be registered in the name of the Optionee alone or in the joint names (with right of survivorship) of the Optionee and his or her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2017 INCENTIVE STOCK AND AWARD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NONQUALIFIED STOCK OPTION AGREEMENT (the “Option Agreement”), dated as of the </w:t>
      </w:r>
      <w:r>
        <w:rPr>
          <w:rFonts w:ascii="Arial" w:cs="Arial" w:eastAsia="Arial" w:hAnsi="Arial"/>
          <w:sz w:val="17"/>
          <w:szCs w:val="17"/>
          <w:u w:val="single" w:color="auto"/>
          <w:color w:val="auto"/>
        </w:rPr>
        <w:t>_</w:t>
      </w:r>
      <w:r>
        <w:rPr>
          <w:rFonts w:ascii="Arial" w:cs="Arial" w:eastAsia="Arial" w:hAnsi="Arial"/>
          <w:sz w:val="17"/>
          <w:szCs w:val="17"/>
          <w:color w:val="auto"/>
        </w:rPr>
        <w:t xml:space="preserve"> day of ______, 20__ (the “Grant Date”), is between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Imprimis Pharmaceuticals, Inc., a Delaware corporation (the “Company”), and ______________ (the “Optionee”), a </w:t>
      </w:r>
      <w:r>
        <w:rPr>
          <w:rFonts w:ascii="Arial" w:cs="Arial" w:eastAsia="Arial" w:hAnsi="Arial"/>
          <w:sz w:val="16"/>
          <w:szCs w:val="16"/>
          <w:b w:val="1"/>
          <w:bCs w:val="1"/>
          <w:color w:val="auto"/>
        </w:rPr>
        <w:t>[choose one]</w:t>
      </w:r>
      <w:r>
        <w:rPr>
          <w:rFonts w:ascii="Arial" w:cs="Arial" w:eastAsia="Arial" w:hAnsi="Arial"/>
          <w:sz w:val="16"/>
          <w:szCs w:val="16"/>
          <w:color w:val="auto"/>
        </w:rPr>
        <w:t xml:space="preserve"> [key employee, director,</w:t>
      </w:r>
    </w:p>
    <w:p>
      <w:pPr>
        <w:spacing w:after="0" w:line="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advisor and/or consultant] of the Company or of a Subsidiary of the Company (a “Related Corporation”), pursuant to the Imprimis Pharmaceuticals, Inc. 2017 Incentive Stock and Awards Plan (the “Plan”).</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WHEREAS, the Company desires to give the Optionee the opportunity to purchase shares of common stock of the Company, par value $0.001 (“Common Shares”) in accordance with the provisions of the Plan, a copy of which is attached hereto;</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mutual covenants hereinafter set forth and for other good and valuable consideration, the parties hereto, intending to be legally bound hereby, agree as follows:</w:t>
      </w:r>
    </w:p>
    <w:p>
      <w:pPr>
        <w:spacing w:after="0" w:line="17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The Company hereby grants to the Optionee the right and option (the “Option”) to purchase all or any part of an aggregate of ________</w:t>
      </w:r>
    </w:p>
    <w:p>
      <w:pPr>
        <w:spacing w:after="0" w:line="46" w:lineRule="exact"/>
        <w:rPr>
          <w:rFonts w:ascii="Arial" w:cs="Arial" w:eastAsia="Arial" w:hAnsi="Arial"/>
          <w:sz w:val="16"/>
          <w:szCs w:val="16"/>
          <w:color w:val="auto"/>
        </w:rPr>
      </w:pPr>
    </w:p>
    <w:p>
      <w:pPr>
        <w:jc w:val="both"/>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Common Shares. The Option is in all respects limited and conditioned as hereinafter provided, and is subject in all respects to the terms and conditions of the Plan now in effect and as it may be amended from time to time (but only to the extent that such amendments apply to outstanding options). Such terms and conditions are incorporated herein by reference, made a part hereof, and shall control in the event of any conflict with any other terms of this Option Agreement. The Option granted hereunder is intended to be a nonqualified stock option (“NQSO”) and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an incentive stock option (“ISO”) as such term is defined in section 422 of the Internal Revenue Code of 1986, as amended (the “Code”).</w:t>
      </w:r>
    </w:p>
    <w:p>
      <w:pPr>
        <w:spacing w:after="0" w:line="178" w:lineRule="exact"/>
        <w:rPr>
          <w:rFonts w:ascii="Arial" w:cs="Arial" w:eastAsia="Arial" w:hAnsi="Arial"/>
          <w:sz w:val="16"/>
          <w:szCs w:val="16"/>
          <w:color w:val="auto"/>
        </w:rPr>
      </w:pPr>
    </w:p>
    <w:p>
      <w:pPr>
        <w:jc w:val="both"/>
        <w:ind w:firstLine="8"/>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the Common Shares covered by this Option shall be $_________ per share. It is the determination of the committee administering the Plan (the “Committee”) that on the Grant Date the exercise price was not less than the greater of (i) 100% of the “Fair Market Value” (as defined in the Plan) of a Common Share, or (ii) the par value of a Common Share.</w:t>
      </w:r>
    </w:p>
    <w:p>
      <w:pPr>
        <w:spacing w:after="0" w:line="181" w:lineRule="exact"/>
        <w:rPr>
          <w:rFonts w:ascii="Arial" w:cs="Arial" w:eastAsia="Arial" w:hAnsi="Arial"/>
          <w:sz w:val="18"/>
          <w:szCs w:val="18"/>
          <w:color w:val="auto"/>
        </w:rPr>
      </w:pPr>
    </w:p>
    <w:p>
      <w:pPr>
        <w:ind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Unless earlier terminated pursuant to any provision of the Plan or of this Option Agreement, this Option shall expire on __________ __, 20__ (the “Expiration Date”). This Option shall not be exercisable on or after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ind w:firstLine="8"/>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The Optionee shall have the right to purchase from the Company, on and after the following dates, the following number of Common Shares, provided the Optionee has not terminated his or her service as of the applicable vesting date:</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Number of Common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Date Installment Becomes Exercisable</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92"/>
        </w:trPr>
        <w:tc>
          <w:tcPr>
            <w:tcW w:w="56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______________________________________________</w:t>
            </w:r>
          </w:p>
        </w:tc>
        <w:tc>
          <w:tcPr>
            <w:tcW w:w="2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4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Shares</w:t>
            </w:r>
          </w:p>
        </w:tc>
      </w:tr>
      <w:tr>
        <w:trPr>
          <w:trHeight w:val="439"/>
        </w:trPr>
        <w:tc>
          <w:tcPr>
            <w:tcW w:w="5620" w:type="dxa"/>
            <w:vAlign w:val="bottom"/>
          </w:tcPr>
          <w:p>
            <w:pPr>
              <w:spacing w:after="0"/>
              <w:rPr>
                <w:sz w:val="20"/>
                <w:szCs w:val="20"/>
                <w:color w:val="auto"/>
              </w:rPr>
            </w:pPr>
            <w:r>
              <w:rPr>
                <w:rFonts w:ascii="Arial" w:cs="Arial" w:eastAsia="Arial" w:hAnsi="Arial"/>
                <w:sz w:val="18"/>
                <w:szCs w:val="18"/>
                <w:color w:val="auto"/>
              </w:rPr>
              <w:t>______________________________________________</w:t>
            </w:r>
          </w:p>
        </w:tc>
        <w:tc>
          <w:tcPr>
            <w:tcW w:w="20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4"/>
              </w:rPr>
              <w:t>an additional</w:t>
            </w: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940" w:type="dxa"/>
            <w:vAlign w:val="bottom"/>
          </w:tcPr>
          <w:p>
            <w:pPr>
              <w:ind w:left="40"/>
              <w:spacing w:after="0"/>
              <w:rPr>
                <w:sz w:val="20"/>
                <w:szCs w:val="20"/>
                <w:color w:val="auto"/>
              </w:rPr>
            </w:pPr>
            <w:r>
              <w:rPr>
                <w:rFonts w:ascii="Arial" w:cs="Arial" w:eastAsia="Arial" w:hAnsi="Arial"/>
                <w:sz w:val="18"/>
                <w:szCs w:val="18"/>
                <w:color w:val="auto"/>
              </w:rPr>
              <w:t>Shares</w:t>
            </w:r>
          </w:p>
        </w:tc>
      </w:tr>
      <w:tr>
        <w:trPr>
          <w:trHeight w:val="439"/>
        </w:trPr>
        <w:tc>
          <w:tcPr>
            <w:tcW w:w="5620" w:type="dxa"/>
            <w:vAlign w:val="bottom"/>
          </w:tcPr>
          <w:p>
            <w:pPr>
              <w:spacing w:after="0"/>
              <w:rPr>
                <w:sz w:val="20"/>
                <w:szCs w:val="20"/>
                <w:color w:val="auto"/>
              </w:rPr>
            </w:pPr>
            <w:r>
              <w:rPr>
                <w:rFonts w:ascii="Arial" w:cs="Arial" w:eastAsia="Arial" w:hAnsi="Arial"/>
                <w:sz w:val="18"/>
                <w:szCs w:val="18"/>
                <w:color w:val="auto"/>
              </w:rPr>
              <w:t>______________________________________________</w:t>
            </w:r>
          </w:p>
        </w:tc>
        <w:tc>
          <w:tcPr>
            <w:tcW w:w="20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4"/>
              </w:rPr>
              <w:t>an additional</w:t>
            </w: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940" w:type="dxa"/>
            <w:vAlign w:val="bottom"/>
          </w:tcPr>
          <w:p>
            <w:pPr>
              <w:ind w:left="40"/>
              <w:spacing w:after="0"/>
              <w:rPr>
                <w:sz w:val="20"/>
                <w:szCs w:val="20"/>
                <w:color w:val="auto"/>
              </w:rPr>
            </w:pPr>
            <w:r>
              <w:rPr>
                <w:rFonts w:ascii="Arial" w:cs="Arial" w:eastAsia="Arial" w:hAnsi="Arial"/>
                <w:sz w:val="18"/>
                <w:szCs w:val="18"/>
                <w:color w:val="auto"/>
              </w:rPr>
              <w:t>Shares</w:t>
            </w:r>
          </w:p>
        </w:tc>
      </w:tr>
      <w:tr>
        <w:trPr>
          <w:trHeight w:val="439"/>
        </w:trPr>
        <w:tc>
          <w:tcPr>
            <w:tcW w:w="5620" w:type="dxa"/>
            <w:vAlign w:val="bottom"/>
          </w:tcPr>
          <w:p>
            <w:pPr>
              <w:spacing w:after="0"/>
              <w:rPr>
                <w:sz w:val="20"/>
                <w:szCs w:val="20"/>
                <w:color w:val="auto"/>
              </w:rPr>
            </w:pPr>
            <w:r>
              <w:rPr>
                <w:rFonts w:ascii="Arial" w:cs="Arial" w:eastAsia="Arial" w:hAnsi="Arial"/>
                <w:sz w:val="18"/>
                <w:szCs w:val="18"/>
                <w:color w:val="auto"/>
              </w:rPr>
              <w:t>______________________________________________</w:t>
            </w:r>
          </w:p>
        </w:tc>
        <w:tc>
          <w:tcPr>
            <w:tcW w:w="20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4"/>
              </w:rPr>
              <w:t>an additional</w:t>
            </w: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Shares</w:t>
            </w: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may accelerate any exercise date of the Option, in its discretion, if it deems such acceleration to be desirable. Once the Option becomes exercisable, it will remain exercisable until it is exercised or until it terminates.</w:t>
      </w:r>
    </w:p>
    <w:p>
      <w:pPr>
        <w:spacing w:after="0" w:line="170" w:lineRule="exact"/>
        <w:rPr>
          <w:sz w:val="20"/>
          <w:szCs w:val="20"/>
          <w:color w:val="auto"/>
        </w:rPr>
      </w:pPr>
    </w:p>
    <w:p>
      <w:pPr>
        <w:jc w:val="both"/>
        <w:ind w:firstLine="8"/>
        <w:spacing w:after="0" w:line="259"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w:t>
      </w:r>
      <w:r>
        <w:rPr>
          <w:rFonts w:ascii="Arial" w:cs="Arial" w:eastAsia="Arial" w:hAnsi="Arial"/>
          <w:sz w:val="18"/>
          <w:szCs w:val="18"/>
          <w:color w:val="auto"/>
        </w:rPr>
        <w:t>. Subject to the terms and conditions of this Option Agreement and the Plan, the Option may be exercised by written notice to the Company at its principal office. The form of such notice is attached hereto and shall state the election to exercise the Option and the number of whole shares with respect to which it is being exercised; shall be signed by the person or persons so exercising the Option; and shall be accompanied by payment of the full exercise price of such shares. Only full shares will be issued.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shall be paid to the Company -</w:t>
      </w:r>
    </w:p>
    <w:p>
      <w:pPr>
        <w:spacing w:after="0" w:line="225" w:lineRule="exact"/>
        <w:rPr>
          <w:sz w:val="20"/>
          <w:szCs w:val="20"/>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cash, or by certified check, bank draft, or postal or express money order;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delivery of Common Shares;</w:t>
      </w:r>
    </w:p>
    <w:p>
      <w:pPr>
        <w:spacing w:after="0" w:line="225" w:lineRule="exact"/>
        <w:rPr>
          <w:rFonts w:ascii="Arial" w:cs="Arial" w:eastAsia="Arial" w:hAnsi="Arial"/>
          <w:sz w:val="18"/>
          <w:szCs w:val="18"/>
          <w:color w:val="auto"/>
        </w:rPr>
      </w:pPr>
    </w:p>
    <w:p>
      <w:pPr>
        <w:ind w:firstLine="656"/>
        <w:spacing w:after="0" w:line="277" w:lineRule="auto"/>
        <w:tabs>
          <w:tab w:leader="none" w:pos="9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delivering a properly executed notice of exercise of the Option to the Company and a broker, with irrevocable instructions to the broker promptly to deliver to the Company the amount necessary to pay the exercise price of the Option;</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Common Shares newly acquired by the Optionee upon the exercise of the Option; or</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any combination of (a), (b), (c), or (d) above.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the exercise price is paid, in whole or in part, with Common Shares, the portion of the exercise price so paid shall be equal to the Fair Market Value of the Common Shares surrendered on the date of exercise.</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Upon receipt of notice of exercise and payment, the Company shall deliver a certificate or certificates representing the Common Shares with respect to which the Option is so exercised. The Optionee shall obtain the rights of a shareholder upon receipt of a certificate(s) representing such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Such certificate(s) shall be registered in the name of the person so exercising the Option (or, if the Option is exercised by the Optionee and if the Optionee so requests in the notice exercising the Option, shall be registered in the name of the Optionee and the Optionee’s spouse, jointly, with right of survivorship) and shall be delivered as provided above to, or upon the written order of, the person exercising the Option. In the event the Option is exercised by any person or persons after the death or disability (as determined in accordance with section 22(e)(3) of the Code) of the Optionee, the notice shall be accompanied by appropriate proof of the right of such person or persons to exercise the Option. All Common Shares that are purchased upon exercise of the Option as provided herein shall be fully paid and non-assessable.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exercise of the Option, Optionee shall be responsible for all employment and income taxes then or thereafter due (whether Federal, State or local), and if the Optionee does not remit to the Company sufficient cash (or, with the consent of the Committee, Common Shares to satisfy all applicable withholding requirements, the Company shall be entitled to satisfy any withholding requirements for any such tax by disposing of Common Shares at exercise, withholding cash from Optionee’s salary or other compensation or such other means as the Committee considers appropriate to the fullest extent permitted by applicable law. Nothing in the preceding sentence shall impair or limit the Company’s rights with respect to satisfying withholding obligations under Section 10 of the Plan.</w:t>
      </w:r>
    </w:p>
    <w:p>
      <w:pPr>
        <w:spacing w:after="0" w:line="193" w:lineRule="exact"/>
        <w:rPr>
          <w:sz w:val="20"/>
          <w:szCs w:val="20"/>
          <w:color w:val="auto"/>
        </w:rPr>
      </w:pPr>
    </w:p>
    <w:p>
      <w:pPr>
        <w:jc w:val="both"/>
        <w:ind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Transferability of Option</w:t>
      </w:r>
      <w:r>
        <w:rPr>
          <w:rFonts w:ascii="Arial" w:cs="Arial" w:eastAsia="Arial" w:hAnsi="Arial"/>
          <w:sz w:val="18"/>
          <w:szCs w:val="18"/>
          <w:color w:val="auto"/>
        </w:rPr>
        <w:t>. This Option is not assignable or transferable, in whole or in part, by the Optionee other than by will or by the laws of descent and distribution. During the lifetime of the Optionee, the Option shall be exercisable only by the Optionee or, in the event of his or her disability, by his or her guardian or legal representative.</w:t>
      </w:r>
    </w:p>
    <w:p>
      <w:pPr>
        <w:spacing w:after="0" w:line="181" w:lineRule="exact"/>
        <w:rPr>
          <w:rFonts w:ascii="Arial" w:cs="Arial" w:eastAsia="Arial" w:hAnsi="Arial"/>
          <w:sz w:val="18"/>
          <w:szCs w:val="18"/>
          <w:color w:val="auto"/>
        </w:rPr>
      </w:pPr>
    </w:p>
    <w:p>
      <w:pPr>
        <w:jc w:val="both"/>
        <w:ind w:firstLine="8"/>
        <w:spacing w:after="0" w:line="25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Termination of Service by Optionee</w:t>
      </w:r>
      <w:r>
        <w:rPr>
          <w:rFonts w:ascii="Arial" w:cs="Arial" w:eastAsia="Arial" w:hAnsi="Arial"/>
          <w:sz w:val="18"/>
          <w:szCs w:val="18"/>
          <w:color w:val="auto"/>
        </w:rPr>
        <w:t>. If the Optionee’s service with the Company and all Related Corporations is terminated by the Optionee for any reason other than death or disability prior to the Expiration Date, this Option may be exercised, to the extent of the number of Common Shares with respect to which the Optionee could have exercised it on the date of such termination of service by the Optionee at any time prior to the earlier of (i) the Expiration Date or (ii) ninety (90) days after the date of such termination of service. Any part of the Option that was not exercisable immediately before the Optionee’s termination of service shall terminate at that time.</w:t>
      </w:r>
    </w:p>
    <w:p>
      <w:pPr>
        <w:spacing w:after="0" w:line="188" w:lineRule="exact"/>
        <w:rPr>
          <w:rFonts w:ascii="Arial" w:cs="Arial" w:eastAsia="Arial" w:hAnsi="Arial"/>
          <w:sz w:val="18"/>
          <w:szCs w:val="18"/>
          <w:color w:val="auto"/>
        </w:rPr>
      </w:pPr>
    </w:p>
    <w:p>
      <w:pPr>
        <w:jc w:val="both"/>
        <w:ind w:firstLine="8"/>
        <w:spacing w:after="0" w:line="276" w:lineRule="auto"/>
        <w:tabs>
          <w:tab w:leader="none" w:pos="194"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If the Optionee becomes disabled (as determined in accordance with section 22(e)(3) of the Code) during his or her service and, prior to the Expiration Date, the Optionee’s service is terminated as a consequence of such disability, this Option may be exercised, to the extent of the number of Common Shares with respect to which the Optionee could have exercised it on the date of such termination of service by the Optionee or by the optionee’s legal representative, at any time prior to the earlier of (i) the Expiration Date or (ii) ninety (90) days after such termination of service. Any part of the Option that was not exercisable immediately before the Optionee’s termination of service shall terminate at that time.</w:t>
      </w:r>
    </w:p>
    <w:p>
      <w:pPr>
        <w:spacing w:after="0" w:line="172" w:lineRule="exact"/>
        <w:rPr>
          <w:rFonts w:ascii="Arial" w:cs="Arial" w:eastAsia="Arial" w:hAnsi="Arial"/>
          <w:sz w:val="17"/>
          <w:szCs w:val="17"/>
          <w:color w:val="auto"/>
        </w:rPr>
      </w:pPr>
    </w:p>
    <w:p>
      <w:pPr>
        <w:jc w:val="both"/>
        <w:ind w:firstLine="8"/>
        <w:spacing w:after="0" w:line="276" w:lineRule="auto"/>
        <w:tabs>
          <w:tab w:leader="none" w:pos="207"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Termination of Service by Company without Cause or by Optionee with Good Reason</w:t>
      </w:r>
      <w:r>
        <w:rPr>
          <w:rFonts w:ascii="Arial" w:cs="Arial" w:eastAsia="Arial" w:hAnsi="Arial"/>
          <w:sz w:val="17"/>
          <w:szCs w:val="17"/>
          <w:color w:val="auto"/>
        </w:rPr>
        <w:t>. If the Optionee’s service with the Company and all Related Corporations is terminated by the Company for any reason other than Cause (or is terminated by the Optionee for Good Reason) prior to the Expiration Date, this Option may be exercised, to the extent of the number of Common Shares with respect to which the Optionee could have exercised it on the date of such termination of employment by the Optionee at any time prior to the earlier of (i) the Expiration Date, or (ii) one year after such termination of service. Any part of the Option that was not exercisable immediately before the Optionee’s termination of employment shall terminate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both"/>
        <w:ind w:left="-8" w:firstLine="8"/>
        <w:spacing w:after="0" w:line="255" w:lineRule="auto"/>
        <w:tabs>
          <w:tab w:leader="none" w:pos="27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the Optionee dies during his or her service and prior to the Expiration Date, or if the Optionee’s service is terminated for any reason (as described in Paragraphs 7, 8 and 9) and the Optionee dies following his or her termination of service but prior to the earlier of the Expiration Date or the expiration of the period determined under Paragraph 7, 8 or 9 (as applicable to the Optionee), this Option may be exercised, to the extent of the number of Common Shares with respect to which the Optionee could have exercised it on the date of his or her death by the Optionee’s estate, personal representative or beneficiary who acquired the right to exercise this Option by bequest or inheritance or by reason of the Optionee’s death, at any time prior to the earlier of (i) the Expiration Date or (ii) one year after the date of the Optionee’s death. Any part of the Option that was not exercisable immediately before the Optionee’s death shall terminate at that time.</w:t>
      </w:r>
    </w:p>
    <w:p>
      <w:pPr>
        <w:spacing w:after="0" w:line="189" w:lineRule="exact"/>
        <w:rPr>
          <w:rFonts w:ascii="Arial" w:cs="Arial" w:eastAsia="Arial" w:hAnsi="Arial"/>
          <w:sz w:val="18"/>
          <w:szCs w:val="18"/>
          <w:color w:val="auto"/>
        </w:rPr>
      </w:pPr>
    </w:p>
    <w:p>
      <w:pPr>
        <w:ind w:left="-8" w:firstLine="8"/>
        <w:spacing w:after="0" w:line="277" w:lineRule="auto"/>
        <w:tabs>
          <w:tab w:leader="none" w:pos="269"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If the Optionee’s service with the Company and all Related Corporations is terminated by the Company for Cause prior to the Expiration Date, any unexercised portion of this Option shall immediately terminate at that time.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Securities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656"/>
        <w:spacing w:after="0" w:line="290" w:lineRule="auto"/>
        <w:tabs>
          <w:tab w:leader="none" w:pos="891" w:val="left"/>
        </w:tabs>
        <w:numPr>
          <w:ilvl w:val="1"/>
          <w:numId w:val="12"/>
        </w:numPr>
        <w:rPr>
          <w:rFonts w:ascii="Arial" w:cs="Arial" w:eastAsia="Arial" w:hAnsi="Arial"/>
          <w:sz w:val="16"/>
          <w:szCs w:val="16"/>
          <w:color w:val="auto"/>
        </w:rPr>
      </w:pPr>
      <w:r>
        <w:rPr>
          <w:rFonts w:ascii="Arial" w:cs="Arial" w:eastAsia="Arial" w:hAnsi="Arial"/>
          <w:sz w:val="16"/>
          <w:szCs w:val="16"/>
          <w:color w:val="auto"/>
        </w:rPr>
        <w:t>If, at any time, counsel to the Company shall determine that the listing, registration or qualification of the Common Shares subject to the Option upon any securities exchange or under any state or federal law, or the consent or approval of any governmental or regulatory body, or that the disclosure of non-public information or the satisfaction of any other condition is necessary as a condition of, or in connection with, the issuance or purchase of Common Shares hereunder, such Option may not be exercised, in whole or in part, unless such listing, registration, qualification, consent or approval, or satisfaction of such condition shall have been effected or obtained on conditions acceptable to the Board of Directors. The Company shall be under no obligation to apply for or to obtain such listing, registration or qualification, or to satisfy such condition. The Committee shall inform the Optionee in writing of any decision to defer or prohibit the exercise of an Option. During the period that the effectiveness of the exercise of an Option has been deferred or prohibited, the Optionee may, by written notice, withdraw the Optionee’s decision to exercise and obtain a refund of any amount paid with respect thereto.</w:t>
      </w:r>
    </w:p>
    <w:p>
      <w:pPr>
        <w:spacing w:after="0" w:line="166" w:lineRule="exact"/>
        <w:rPr>
          <w:rFonts w:ascii="Arial" w:cs="Arial" w:eastAsia="Arial" w:hAnsi="Arial"/>
          <w:sz w:val="16"/>
          <w:szCs w:val="16"/>
          <w:color w:val="auto"/>
        </w:rPr>
      </w:pPr>
    </w:p>
    <w:p>
      <w:pPr>
        <w:jc w:val="both"/>
        <w:ind w:left="-8" w:firstLine="656"/>
        <w:spacing w:after="0" w:line="289" w:lineRule="auto"/>
        <w:tabs>
          <w:tab w:leader="none" w:pos="908"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Company may require: (i) the Optionee (or any other person exercising the Option in the case of the Optionee’s death or Disability) as a condition of exercising the Option, to give written assurances, in substance and form satisfactory to the Company, to the effect that such person is acquiring the Common Shares subject to the Option for his or her own account for investment and not with any present intention of selling or otherwise distributing the same, and to make such other representations or covenants; and (ii) that any certificates for Common Shares delivered in connection with the exercise of the Option bear such legends, in each case as the Company deems necessary or appropriate, in order to comply with federal and applicable state securities laws, to comply with covenants or representations made by the Company in connection with any public offering of its Common Shares or otherwise. The Optionee specifically understands and agrees that the Common Shares, if and when issued upon exercise of the Option, may be “restricted securities,” as that term is defined in Rule 144 under the Securities Act of 1933 and, accordingly, the Optionee may be required to hold the shares indefinitely unless they are registered under such Securities Act of 1933, as amended, or an exemption from such registration is available.</w:t>
      </w:r>
    </w:p>
    <w:p>
      <w:pPr>
        <w:spacing w:after="0" w:line="166" w:lineRule="exact"/>
        <w:rPr>
          <w:rFonts w:ascii="Arial" w:cs="Arial" w:eastAsia="Arial" w:hAnsi="Arial"/>
          <w:sz w:val="16"/>
          <w:szCs w:val="16"/>
          <w:color w:val="auto"/>
        </w:rPr>
      </w:pPr>
    </w:p>
    <w:p>
      <w:pPr>
        <w:jc w:val="both"/>
        <w:ind w:left="-8" w:firstLine="656"/>
        <w:spacing w:after="0" w:line="286" w:lineRule="auto"/>
        <w:tabs>
          <w:tab w:leader="none" w:pos="884"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Optionee shall have no rights as a shareholder with respect to any Common Shares covered by the Option (including, without limitation, any rights to receive dividends or non-cash distributions with respect to such shares) until the date of issue of a stock certificate to the Optionee for such Common Shares. No adjustment shall be made for dividends or other rights for which the record date is prior to the date such stock certificate is issued.</w:t>
      </w:r>
    </w:p>
    <w:p>
      <w:pPr>
        <w:spacing w:after="0" w:line="165" w:lineRule="exact"/>
        <w:rPr>
          <w:rFonts w:ascii="Arial" w:cs="Arial" w:eastAsia="Arial" w:hAnsi="Arial"/>
          <w:sz w:val="17"/>
          <w:szCs w:val="17"/>
          <w:color w:val="auto"/>
        </w:rPr>
      </w:pPr>
    </w:p>
    <w:p>
      <w:pPr>
        <w:jc w:val="both"/>
        <w:ind w:left="-8" w:firstLine="8"/>
        <w:spacing w:after="0" w:line="264" w:lineRule="auto"/>
        <w:tabs>
          <w:tab w:leader="none" w:pos="26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Option Agreement shall be governed by the applicable Code provisions to the maximum extent possible. Otherwise, the laws of the State of Delaware (without reference to the principles of conflict of laws) shall govern the operation of, and the rights of the Optionee under, the Plan and Options granted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IN WITNESS WHEREOF, the Company has caused this Nonqualified Stock Option Agreement to be duly executed by its duly authorized officer, and the Optionee has hereunto set his or her hand and seal, all as of the ______ day of __________, 20__.</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314960</wp:posOffset>
            </wp:positionV>
            <wp:extent cx="36188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1714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2017 INCENTIVE STOCK AND AWARDS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Exercise of Nonqualified Stock Option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 hereby exercise the nonqualified stock option granted to me pursuant to the Nonqualified Stock Option Agreement dated as of _________ __, 20__, by</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Imprimis Pharmaceuticals, Inc. (the “Company”), with respect to the following number of shares of the Company’s common stock (“Shares”), par value $0.001 per Share, covered by said option: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Number of shares to be purchased: _____________</w:t>
      </w:r>
    </w:p>
    <w:p>
      <w:pPr>
        <w:sectPr>
          <w:pgSz w:w="11900" w:h="16838" w:orient="portrait"/>
          <w:cols w:equalWidth="0" w:num="1">
            <w:col w:w="11420"/>
          </w:cols>
          <w:pgMar w:left="240" w:top="665" w:right="239" w:bottom="1440" w:gutter="0" w:footer="0" w:header="0"/>
        </w:sectPr>
      </w:pPr>
    </w:p>
    <w:p>
      <w:pPr>
        <w:spacing w:after="0" w:line="225" w:lineRule="exact"/>
        <w:rPr>
          <w:sz w:val="20"/>
          <w:szCs w:val="20"/>
          <w:color w:val="auto"/>
        </w:rPr>
      </w:pPr>
    </w:p>
    <w:p>
      <w:pPr>
        <w:ind w:left="980"/>
        <w:spacing w:after="0"/>
        <w:rPr>
          <w:sz w:val="20"/>
          <w:szCs w:val="20"/>
          <w:color w:val="auto"/>
        </w:rPr>
      </w:pPr>
      <w:r>
        <w:rPr>
          <w:rFonts w:ascii="Arial" w:cs="Arial" w:eastAsia="Arial" w:hAnsi="Arial"/>
          <w:sz w:val="15"/>
          <w:szCs w:val="15"/>
          <w:color w:val="auto"/>
        </w:rPr>
        <w:t>Purchase price per Share: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200" w:lineRule="exact"/>
        <w:rPr>
          <w:sz w:val="20"/>
          <w:szCs w:val="20"/>
          <w:color w:val="auto"/>
        </w:rPr>
      </w:pPr>
    </w:p>
    <w:p>
      <w:pPr>
        <w:sectPr>
          <w:pgSz w:w="11900" w:h="16838" w:orient="portrait"/>
          <w:cols w:equalWidth="0" w:num="2">
            <w:col w:w="2860" w:space="720"/>
            <w:col w:w="7840"/>
          </w:cols>
          <w:pgMar w:left="240" w:top="665" w:right="239" w:bottom="1440" w:gutter="0" w:footer="0" w:header="0"/>
          <w:type w:val="continuous"/>
        </w:sectPr>
      </w:pPr>
    </w:p>
    <w:p>
      <w:pPr>
        <w:spacing w:after="0" w:line="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Total purchase price: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200" w:lineRule="exact"/>
        <w:rPr>
          <w:sz w:val="20"/>
          <w:szCs w:val="20"/>
          <w:color w:val="auto"/>
        </w:rPr>
      </w:pPr>
    </w:p>
    <w:p>
      <w:pPr>
        <w:sectPr>
          <w:pgSz w:w="11900" w:h="16838" w:orient="portrait"/>
          <w:cols w:equalWidth="0" w:num="2">
            <w:col w:w="2860" w:space="720"/>
            <w:col w:w="7840"/>
          </w:cols>
          <w:pgMar w:left="240" w:top="665" w:right="239" w:bottom="1440" w:gutter="0" w:footer="0" w:header="0"/>
          <w:type w:val="continuous"/>
        </w:sectPr>
      </w:pPr>
    </w:p>
    <w:p>
      <w:pPr>
        <w:spacing w:after="0" w:line="260" w:lineRule="exact"/>
        <w:rPr>
          <w:sz w:val="20"/>
          <w:szCs w:val="20"/>
          <w:color w:val="auto"/>
        </w:rPr>
      </w:pPr>
    </w:p>
    <w:p>
      <w:pPr>
        <w:ind w:left="980" w:right="20" w:hanging="532"/>
        <w:spacing w:after="0" w:line="28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Enclosed is cash or my certified check, bank draft, or postal or express money order in the amount of $_______ in full/partial </w:t>
      </w:r>
      <w:r>
        <w:rPr>
          <w:rFonts w:ascii="Arial" w:cs="Arial" w:eastAsia="Arial" w:hAnsi="Arial"/>
          <w:sz w:val="18"/>
          <w:szCs w:val="18"/>
          <w:b w:val="1"/>
          <w:bCs w:val="1"/>
          <w:color w:val="auto"/>
        </w:rPr>
        <w:t>[circle one]</w:t>
      </w:r>
      <w:r>
        <w:rPr>
          <w:rFonts w:ascii="Arial" w:cs="Arial" w:eastAsia="Arial" w:hAnsi="Arial"/>
          <w:sz w:val="18"/>
          <w:szCs w:val="18"/>
          <w:color w:val="auto"/>
        </w:rPr>
        <w:t xml:space="preserve"> payment for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-185420</wp:posOffset>
            </wp:positionV>
            <wp:extent cx="2286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and/or</w:t>
      </w:r>
    </w:p>
    <w:p>
      <w:pPr>
        <w:spacing w:after="0" w:line="23" w:lineRule="exact"/>
        <w:rPr>
          <w:sz w:val="20"/>
          <w:szCs w:val="20"/>
          <w:color w:val="auto"/>
        </w:rPr>
      </w:pPr>
    </w:p>
    <w:p>
      <w:pPr>
        <w:ind w:left="980" w:right="20" w:hanging="522"/>
        <w:spacing w:after="0" w:line="261"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Enclosed is/are ________ Share(s) with a total fair market value of $_________ on the date hereof in full/partial </w:t>
      </w:r>
      <w:r>
        <w:rPr>
          <w:rFonts w:ascii="Arial" w:cs="Arial" w:eastAsia="Arial" w:hAnsi="Arial"/>
          <w:sz w:val="18"/>
          <w:szCs w:val="18"/>
          <w:b w:val="1"/>
          <w:bCs w:val="1"/>
          <w:color w:val="auto"/>
        </w:rPr>
        <w:t>[circle one]</w:t>
      </w:r>
      <w:r>
        <w:rPr>
          <w:rFonts w:ascii="Arial" w:cs="Arial" w:eastAsia="Arial" w:hAnsi="Arial"/>
          <w:sz w:val="18"/>
          <w:szCs w:val="18"/>
          <w:color w:val="auto"/>
        </w:rPr>
        <w:t xml:space="preserve"> payment for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-173990</wp:posOffset>
            </wp:positionV>
            <wp:extent cx="2286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and/or</w:t>
      </w:r>
    </w:p>
    <w:p>
      <w:pPr>
        <w:spacing w:after="0" w:line="23" w:lineRule="exact"/>
        <w:rPr>
          <w:sz w:val="20"/>
          <w:szCs w:val="20"/>
          <w:color w:val="auto"/>
        </w:rPr>
      </w:pPr>
    </w:p>
    <w:p>
      <w:pPr>
        <w:ind w:left="980" w:hanging="522"/>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 have provided notice to ____________ </w:t>
      </w:r>
      <w:r>
        <w:rPr>
          <w:rFonts w:ascii="Arial" w:cs="Arial" w:eastAsia="Arial" w:hAnsi="Arial"/>
          <w:sz w:val="16"/>
          <w:szCs w:val="16"/>
          <w:b w:val="1"/>
          <w:bCs w:val="1"/>
          <w:color w:val="auto"/>
        </w:rPr>
        <w:t>[insert name of broker]</w:t>
      </w:r>
      <w:r>
        <w:rPr>
          <w:rFonts w:ascii="Arial" w:cs="Arial" w:eastAsia="Arial" w:hAnsi="Arial"/>
          <w:sz w:val="16"/>
          <w:szCs w:val="16"/>
          <w:color w:val="auto"/>
        </w:rPr>
        <w:t xml:space="preserve">, a broker, who will render full/partial </w:t>
      </w:r>
      <w:r>
        <w:rPr>
          <w:rFonts w:ascii="Arial" w:cs="Arial" w:eastAsia="Arial" w:hAnsi="Arial"/>
          <w:sz w:val="16"/>
          <w:szCs w:val="16"/>
          <w:b w:val="1"/>
          <w:bCs w:val="1"/>
          <w:color w:val="auto"/>
        </w:rPr>
        <w:t>[circle one]</w:t>
      </w:r>
      <w:r>
        <w:rPr>
          <w:rFonts w:ascii="Arial" w:cs="Arial" w:eastAsia="Arial" w:hAnsi="Arial"/>
          <w:sz w:val="16"/>
          <w:szCs w:val="16"/>
          <w:color w:val="auto"/>
        </w:rPr>
        <w:t xml:space="preserve"> payment for such Shares.</w:t>
      </w:r>
    </w:p>
    <w:p>
      <w:pPr>
        <w:spacing w:after="0" w:line="32" w:lineRule="exact"/>
        <w:rPr>
          <w:rFonts w:ascii="Arial" w:cs="Arial" w:eastAsia="Arial" w:hAnsi="Arial"/>
          <w:sz w:val="16"/>
          <w:szCs w:val="16"/>
          <w:color w:val="auto"/>
        </w:rPr>
      </w:pPr>
    </w:p>
    <w:p>
      <w:pPr>
        <w:ind w:left="98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[Optionee should attach to the notice of exercise provided to such broker a copy of this Notice of Exercise and irrevocable instructions to pay to the Company the full/partial (as elected above)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-311150</wp:posOffset>
            </wp:positionV>
            <wp:extent cx="2286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and/or</w:t>
      </w:r>
    </w:p>
    <w:p>
      <w:pPr>
        <w:spacing w:after="0" w:line="23" w:lineRule="exact"/>
        <w:rPr>
          <w:sz w:val="20"/>
          <w:szCs w:val="20"/>
          <w:color w:val="auto"/>
        </w:rPr>
      </w:pPr>
    </w:p>
    <w:p>
      <w:pPr>
        <w:jc w:val="both"/>
        <w:ind w:left="980" w:hanging="522"/>
        <w:spacing w:after="0" w:line="255"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elect to satisfy the payment for Shares purchased hereunder by having the Company withhold newly acquired Shares pursuant to the exercise of the Option. I understand that this will result in a “disqualifying disposition,” as described in Section 12 of my Incentive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-306705</wp:posOffset>
            </wp:positionV>
            <wp:extent cx="2286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Please have the certificate or certificates representing the purchased Shares registered in the following name or names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____________ and sent to</w:t>
      </w:r>
    </w:p>
    <w:p>
      <w:pPr>
        <w:spacing w:after="0"/>
        <w:rPr>
          <w:sz w:val="20"/>
          <w:szCs w:val="20"/>
          <w:color w:val="auto"/>
        </w:rPr>
      </w:pPr>
      <w:r>
        <w:rPr>
          <w:rFonts w:ascii="Arial" w:cs="Arial" w:eastAsia="Arial" w:hAnsi="Arial"/>
          <w:sz w:val="18"/>
          <w:szCs w:val="18"/>
          <w:color w:val="auto"/>
        </w:rPr>
        <w:t>_________________.</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 20_____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23495</wp:posOffset>
            </wp:positionV>
            <wp:extent cx="355028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3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Optionee’s Signature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*Certificates may be registered in the name of the Optionee alone or in the joint names (with right of survivorship) of the Optionee and his or her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19" w:name="page20"/>
    <w:bookmarkEnd w:id="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INCENTIVE STOCK AND AWARDS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 OF RESTRICTED STOCK AWARD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323850</wp:posOffset>
            </wp:positionV>
            <wp:extent cx="43649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64990" cy="1714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169545</wp:posOffset>
            </wp:positionV>
            <wp:extent cx="43649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64990" cy="1714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14605</wp:posOffset>
            </wp:positionV>
            <wp:extent cx="43649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649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(the “Grantee”) have been granted shares of Common Stock of the Company (the “Award”), subject to the terms and conditions of this Notice of Restricted Stock Award (the “Notice”), the Imprimis Pharmaceuticals, Inc. 2017 Incentive Stock and Awards Plan (the “Plan”), as amended from time to time, and the Restricted Stock Award Agreement (the “Agreement”) attached hereto, as follows. Unless otherwise defined herein, the terms defined in the Plan shall have the same defined meanings in this Notice.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Award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23495</wp:posOffset>
            </wp:positionV>
            <wp:extent cx="43649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64990" cy="17145"/>
                    </a:xfrm>
                    <a:prstGeom prst="rect">
                      <a:avLst/>
                    </a:prstGeom>
                    <a:noFill/>
                  </pic:spPr>
                </pic:pic>
              </a:graphicData>
            </a:graphic>
          </wp:anchor>
        </w:drawing>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23495</wp:posOffset>
            </wp:positionV>
            <wp:extent cx="43649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64990" cy="17145"/>
                    </a:xfrm>
                    <a:prstGeom prst="rect">
                      <a:avLst/>
                    </a:prstGeom>
                    <a:noFill/>
                  </pic:spPr>
                </pic:pic>
              </a:graphicData>
            </a:graphic>
          </wp:anchor>
        </w:drawing>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23495</wp:posOffset>
            </wp:positionV>
            <wp:extent cx="43649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64990" cy="17145"/>
                    </a:xfrm>
                    <a:prstGeom prst="rect">
                      <a:avLst/>
                    </a:prstGeom>
                    <a:noFill/>
                  </pic:spPr>
                </pic:pic>
              </a:graphicData>
            </a:graphic>
          </wp:anchor>
        </w:drawing>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Number of Shares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Common Stock Awarded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14605</wp:posOffset>
            </wp:positionV>
            <wp:extent cx="43649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64990" cy="1714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Grantee continuing to be employed by or providing services to the Company or any Subsidiary and other limitations set forth in this Notice, the Plan and the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purposes of this Notice and the Agreement, the term “vest” shall mean, with respect to any Shares, that such Shares are no longer subject to forfeiture to the Company. Shares that have not vested are deemed “Restricted Shares.” If the Grantee would become vested in a fraction of a Restricted Share, such Restricted Share shall not vest until the Grantee becomes vested in the entire Share.</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Except as set forth above, vesting shall cease upon the date of termination of the Grantee’s employment or service for any reason incluing death or Disability. In the event the Grantee’s employment or service is terminated for any reason, including death or Disability, any Restricted Shares held by the Grantee immediately following such termination of employment or service shall be deemed reconveyed to the Company and the Company shall thereafter be the legal and beneficial owner of the Restricted Shares and shall have all rights and interest in or related thereto without further action by the Grantee. The foregoing forfeiture provisions set forth in this Notice as to Restricted Shares shall apply to the new capital stock or other property (including cash paid other than as a regular cash dividend) received in exchange for the Shares in consummation of any transaction described in Section 8 of the Plan and such stock or property shall be deemed Additional Securities (as defined in the Agreement) for purposes of the Agreement, but only to the extent the Shares are at the time covered by such forfeiture provisions.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jc w:val="both"/>
        <w:ind w:firstLine="648"/>
        <w:spacing w:after="0" w:line="277" w:lineRule="auto"/>
        <w:rPr>
          <w:sz w:val="20"/>
          <w:szCs w:val="20"/>
          <w:color w:val="auto"/>
        </w:rPr>
      </w:pPr>
      <w:r>
        <w:rPr>
          <w:rFonts w:ascii="Arial" w:cs="Arial" w:eastAsia="Arial" w:hAnsi="Arial"/>
          <w:sz w:val="18"/>
          <w:szCs w:val="18"/>
          <w:color w:val="auto"/>
        </w:rPr>
        <w:t>IN WITNESS WHEREOF, the Company and the Grantee have executed this Notice and agree that the Award is to be governed by the terms and conditions of this Notice, the Plan and the Agreement.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GRANTEE ACKNOWLEDGES AND AGREES THAT THE SHARES SHALL VEST, IF AT ALL, ONLY DURING THE PERIOD OF THE GRANTEE’S EMPLOYMENT OR SERVICE (NOT THROUGH THE ACT OF BEING HIRED, BEING GRANTED THIS AWARD OR ACQUIRING SHARES HEREUNDER). THE GRANTEE FURTHER ACKNOWLEDGES AND AGREES THAT NOTHING IN THIS NOTICE, THE AGREEMENT NOR THE PLAN SHALL CONFER UPON THE GRANTEE ANY RIGHT WITH RESPECT TO CONTINUATION OF THE GRANTEE’S EMPLOYMENT OR SERVICE, NOR SHALL IT INTERFERE IN ANY WAY WITH THE GRANTEE’S RIGHT OR THE COMPANY’S RIGHT TO TERMINATE THE GRANTEE’S EMPLOYMENT OR SERVICE AT ANY TIME, WITH OR WITHOUT CAUSE, AND WITH OR WITHOUT NOTICE. THE GRANTEE ACKNOWLEDGES THAT UNLESS THE GRANTEE HAS A WRITTEN EMPLOYMENT AGREEMENT WITH THE COMPANY TO THE CONTRARY, THE GRANTEE’S STATUS IS AT WILL.</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Grantee further acknowledges that, from time to time, the Company may be in a “blackout period” and/or subject to applicable federal securities laws that could subject the Grantee to liability for engaging in any transaction involving the sale of the Company’s Shares. The Grantee further acknowledges and agrees that, prior to the sale of any Shares acquired under this Award, it is the Grantee’s responsibility to determine whether or not such sale of Shares will subject the Grantee to liability under insider trading rules or other applicable federal securities laws.</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Grantee understands that the Award is subject to the Grantee’s consent to access, and acknowledgement of having accessed, the Plan prospectus in connection with the Form S-8 registration statement for the Plan, any updates thereto, the Plan, the Agreement and this Notice (collectively, the “Plan Documents”) in electronic form through the [BROKER] web page at the following address: [WEB ADDRESS] or such other address as is provided by notification from time to time. By accepting the grant of the Award, the Grantee hereby: (i) consents to access electronic copies (instead of receiving paper copies) of the Plan Documents via the [BROKER] web page or such other web page as is provided by notification from time to time, (ii) represents that the Grantee has access to the internet generally; (iii) acknowledges receipt of electronic copies, or that the Grantee is already in possession of paper copies, of the Plan Documents and the Company’s most recent annual report to shareholders; and (iv) represents that the Grantee is familiar with the terms and provisions of the Plan Documents and accepts the Award subject to all of the terms and provisions of the Plan Documents.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jc w:val="both"/>
        <w:ind w:firstLine="648"/>
        <w:spacing w:after="0" w:line="312" w:lineRule="auto"/>
        <w:rPr>
          <w:sz w:val="20"/>
          <w:szCs w:val="20"/>
          <w:color w:val="auto"/>
        </w:rPr>
      </w:pPr>
      <w:r>
        <w:rPr>
          <w:rFonts w:ascii="Arial" w:cs="Arial" w:eastAsia="Arial" w:hAnsi="Arial"/>
          <w:sz w:val="16"/>
          <w:szCs w:val="16"/>
          <w:color w:val="auto"/>
        </w:rPr>
        <w:t>The Grantee may receive, without charge, upon written or oral request, paper copies of any or all of the Plan Documents, documents incorporated by reference in the Form S-8 registration statement for the Plan, and the Company’s most recent annual report to shareholders by requesting them from [Stock Administration] at Imprimis Pharmaceuticals, Inc., [ADDRESS], Attn. [Stock Administration]. Telephone [NUMBER], email: [INSERT EMAIL].</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Grantee acknowledges receipt of a copy of the Plan and the Agreement and represents that he or she is familiar with the terms and provisions thereof, and hereby accepts the Award subject to all of the terms and provisions hereof and thereof. The Grantee has reviewed this Notice, the Agreement and the Plan in their entirety, has had an opportunity to obtain the advice of counsel prior to executing this Notice and fully understands all provisions of this Notice, the Agreement and the Plan. The Grantee hereby agrees that all questions of interpretation and administration relating to this Notice, the Plan and the Agreement shall be resolved by the Administrator in accordance with Section 11 of the Agreement. The Grantee further agrees to the venue selection in accordance with Section 12 of the Agreement. The Grantee further agrees to notify the Company upon any change in the residence address indicated in this Notice.</w:t>
      </w:r>
    </w:p>
    <w:p>
      <w:pPr>
        <w:spacing w:after="0" w:line="18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14605</wp:posOffset>
            </wp:positionV>
            <wp:extent cx="1449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ind w:left="8500"/>
        <w:spacing w:after="0"/>
        <w:rPr>
          <w:sz w:val="20"/>
          <w:szCs w:val="20"/>
          <w:color w:val="auto"/>
        </w:rPr>
      </w:pPr>
      <w:r>
        <w:rPr>
          <w:rFonts w:ascii="Arial" w:cs="Arial" w:eastAsia="Arial" w:hAnsi="Arial"/>
          <w:sz w:val="16"/>
          <w:szCs w:val="16"/>
          <w:b w:val="1"/>
          <w:bCs w:val="1"/>
          <w:color w:val="auto"/>
        </w:rPr>
        <w:t>Award Number: __________________</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INCENTIVE STOCK AND AWARDS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AWARD AGREEMENT</w:t>
      </w:r>
    </w:p>
    <w:p>
      <w:pPr>
        <w:spacing w:after="0" w:line="229" w:lineRule="exact"/>
        <w:rPr>
          <w:sz w:val="20"/>
          <w:szCs w:val="20"/>
          <w:color w:val="auto"/>
        </w:rPr>
      </w:pPr>
    </w:p>
    <w:p>
      <w:pPr>
        <w:jc w:val="both"/>
        <w:ind w:firstLine="656"/>
        <w:spacing w:after="0" w:line="272" w:lineRule="auto"/>
        <w:tabs>
          <w:tab w:leader="none" w:pos="82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Issuance of Shares</w:t>
      </w:r>
      <w:r>
        <w:rPr>
          <w:rFonts w:ascii="Arial" w:cs="Arial" w:eastAsia="Arial" w:hAnsi="Arial"/>
          <w:sz w:val="17"/>
          <w:szCs w:val="17"/>
          <w:color w:val="auto"/>
        </w:rPr>
        <w:t>. Imprimis Pharmaceuticals, Inc., a Delaware corporation (the “Company”), hereby issues to the Grantee (the “Grantee”) named in the Notice of Restricted Stock Award (the “Notice”), the Total Number of Shares of Common Stock Awarded set forth in the Notice (the “Shares”), subject to the Notice, this Restricted Stock Award Agreement (the “Agreement”) and the terms and provisions of the Company’s 2017 Incentive Stock and Awards Plan (the “Plan”), as amended from time to time, which are incorporated herein by reference. Unless otherwise defined herein, the terms defined in the Plan shall have the same defined meanings in this Agreement. All Shares issued hereunder will be deemed issued to the Grantee as fully paid and nonassessable shares, and the Grantee will have the right to vote the Shares at meetings of the Company’s stockholders. The Company shall pay any applicable stock transfer taxes imposed upon the issuance of the Shares to the Grantee hereunder.</w:t>
      </w:r>
    </w:p>
    <w:p>
      <w:pPr>
        <w:spacing w:after="0" w:line="177" w:lineRule="exact"/>
        <w:rPr>
          <w:rFonts w:ascii="Arial" w:cs="Arial" w:eastAsia="Arial" w:hAnsi="Arial"/>
          <w:sz w:val="17"/>
          <w:szCs w:val="17"/>
          <w:color w:val="auto"/>
        </w:rPr>
      </w:pPr>
    </w:p>
    <w:p>
      <w:pPr>
        <w:jc w:val="both"/>
        <w:ind w:firstLine="656"/>
        <w:spacing w:after="0" w:line="264" w:lineRule="auto"/>
        <w:tabs>
          <w:tab w:leader="none" w:pos="85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The Shares issued to the Grantee hereunder may not be sold, transferred by gift, pledged, hypothecated, or otherwise transferred or disposed of by the Grantee prior to the date when the Shares become vested pursuant to the Vesting Schedule set forth in the Notice. Any attempt to transfer Restricted Shares in violation of this Section 2 will be null and void and will be disregarded.</w:t>
      </w:r>
    </w:p>
    <w:p>
      <w:pPr>
        <w:spacing w:after="0" w:line="181" w:lineRule="exact"/>
        <w:rPr>
          <w:rFonts w:ascii="Arial" w:cs="Arial" w:eastAsia="Arial" w:hAnsi="Arial"/>
          <w:sz w:val="18"/>
          <w:szCs w:val="18"/>
          <w:color w:val="auto"/>
        </w:rPr>
      </w:pPr>
    </w:p>
    <w:p>
      <w:pPr>
        <w:jc w:val="both"/>
        <w:ind w:firstLine="656"/>
        <w:spacing w:after="0" w:line="268" w:lineRule="auto"/>
        <w:tabs>
          <w:tab w:leader="none" w:pos="82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Escrow of Stock</w:t>
      </w:r>
      <w:r>
        <w:rPr>
          <w:rFonts w:ascii="Arial" w:cs="Arial" w:eastAsia="Arial" w:hAnsi="Arial"/>
          <w:sz w:val="17"/>
          <w:szCs w:val="17"/>
          <w:color w:val="auto"/>
        </w:rPr>
        <w:t xml:space="preserve">. For purposes of facilitating the enforcement of the provisions of this Agreement, the Grantee agrees, immediately upon receipt of the certificate(s) for the Restricted Shares, to deliver such certificate(s), together with an Assignment Separate from Certificate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executed in blank by the Grantee with respect to each such stock certificate, to the Secretary or Assistant Secretary of the Company, or their designee, to hold in escrow for so long as such Restricted Shares have not vested pursuant to the Vesting Schedule set forth in the Notice, with the authority to take all such actions and to effectuate all such transfers and/or releases as may be necessary or appropriate to accomplish the objectives of this Agreement in accordance with the terms hereof. The Grantee hereby acknowledges that the appointment of the Secretary or Assistant Secretary of the Company (or their designee) as the escrow holder hereunder with the stated authorities is a material inducement to the Company to make this Agreement and that such appointment is coupled with an interest and is accordingly irrevocable. The Grantee agrees that the Restricted Shares may be held electronically in a book entry system maintained by the Company’s transfer agent or other third party and that all the terms and conditions of this Section 3 applicable to certificated Restricted Shares will apply with the same force and effect to such electronic method for holding the Restricted Shares. The Grantee agrees that such escrow holder shall not be liable to any party hereto (or to any other party) for any actions or omissions unless such escrow holder is grossly negligent relative thereto. The escrow holder may rely upon any letter, notice or other document executed by any signature purported to be genuine and may resign at any time. Upon the vesting of Restricted Shares, the escrow holder will, without further order or instruction, transmit to the Grantee the certificate evidencing such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transmittal of certificates evidencing the Shares will occur unless and until the Grantee has satisfied all Tax Withholding Obligations (as defined in Section 5(c) below).</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4" w:name="page25"/>
    <w:bookmarkEnd w:id="24"/>
    <w:p>
      <w:pPr>
        <w:ind w:left="780" w:hanging="184"/>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Additional Securities and Distributions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0" w:firstLine="1305"/>
        <w:spacing w:after="0" w:line="288" w:lineRule="auto"/>
        <w:tabs>
          <w:tab w:leader="none" w:pos="1478"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securities or cash received (other than a regular cash dividend) as the result of ownership of the Restricted Shares (the “Additional Securities”), including, but not by way of limitation, warrants, options and securities received as a stock dividend or stock split, or as a result of a recapitalization or reorganization or other similar change in the Company’s capital structure, shall be retained in escrow in the same manner and subject to the same conditions and restrictions as the Restricted Shares with respect to which they were issued, including, without limitation, the Vesting Schedule set forth in the Notice. The Grantee shall be entitled to direct the Company to exercise any warrant or option received as Additional Securities upon supplying the funds necessary to do so, in which event the securities so purchased shall constitute Additional Securities, but the Grantee may not direct the Company to sell any such warrant or option. If Additional Securities consist of a convertible security, the Grantee may exercise any conversion right, and any securities so acquired shall constitute Additional Securities. In the event of any change in certificates evidencing the Shares or the Additional Securities by reason of any recapitalization, reorganization or other transaction that results in the creation of Additional Securities, the escrow holder is authorized to deliver to the issuer the certificates evidencing the Shares or the Additional Securities in exchange for the certificates of the replacement securities.</w:t>
      </w:r>
    </w:p>
    <w:p>
      <w:pPr>
        <w:spacing w:after="0" w:line="169" w:lineRule="exact"/>
        <w:rPr>
          <w:rFonts w:ascii="Arial" w:cs="Arial" w:eastAsia="Arial" w:hAnsi="Arial"/>
          <w:sz w:val="16"/>
          <w:szCs w:val="16"/>
          <w:color w:val="auto"/>
        </w:rPr>
      </w:pPr>
    </w:p>
    <w:p>
      <w:pPr>
        <w:ind w:left="-60" w:firstLine="1305"/>
        <w:spacing w:after="0" w:line="277" w:lineRule="auto"/>
        <w:tabs>
          <w:tab w:leader="none" w:pos="1508"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shall disburse to the Grantee all regular cash dividends with respect to the Shares and Additional Securities (whether vested or not), less any applicable withholding obligations.</w:t>
      </w:r>
    </w:p>
    <w:p>
      <w:pPr>
        <w:spacing w:after="0" w:line="170" w:lineRule="exact"/>
        <w:rPr>
          <w:rFonts w:ascii="Arial" w:cs="Arial" w:eastAsia="Arial" w:hAnsi="Arial"/>
          <w:sz w:val="18"/>
          <w:szCs w:val="18"/>
          <w:color w:val="auto"/>
        </w:rPr>
      </w:pPr>
    </w:p>
    <w:p>
      <w:pPr>
        <w:ind w:left="780" w:hanging="184"/>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firstLine="1305"/>
        <w:spacing w:after="0" w:line="277" w:lineRule="auto"/>
        <w:tabs>
          <w:tab w:leader="none" w:pos="1495"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No Section 83(b) Election</w:t>
      </w:r>
      <w:r>
        <w:rPr>
          <w:rFonts w:ascii="Arial" w:cs="Arial" w:eastAsia="Arial" w:hAnsi="Arial"/>
          <w:sz w:val="18"/>
          <w:szCs w:val="18"/>
          <w:color w:val="auto"/>
        </w:rPr>
        <w:t>. As a condition to receiving the Shares, the Grantee agrees to refrain from making an election pursuant to Section 83(b) of the Code with respect to the Shares.</w:t>
      </w:r>
    </w:p>
    <w:p>
      <w:pPr>
        <w:spacing w:after="0" w:line="170" w:lineRule="exact"/>
        <w:rPr>
          <w:rFonts w:ascii="Arial" w:cs="Arial" w:eastAsia="Arial" w:hAnsi="Arial"/>
          <w:sz w:val="18"/>
          <w:szCs w:val="18"/>
          <w:color w:val="auto"/>
        </w:rPr>
      </w:pPr>
    </w:p>
    <w:p>
      <w:pPr>
        <w:jc w:val="both"/>
        <w:ind w:left="-60" w:firstLine="1305"/>
        <w:spacing w:after="0" w:line="257" w:lineRule="auto"/>
        <w:tabs>
          <w:tab w:leader="none" w:pos="1518"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Tax Liability</w:t>
      </w:r>
      <w:r>
        <w:rPr>
          <w:rFonts w:ascii="Arial" w:cs="Arial" w:eastAsia="Arial" w:hAnsi="Arial"/>
          <w:sz w:val="18"/>
          <w:szCs w:val="18"/>
          <w:color w:val="auto"/>
        </w:rPr>
        <w:t>. The Grantee is ultimately liable and responsible for all taxes owed by the Grantee in connection with the Award, regardless of any action the Company or any Subsidiary takes with respect to any tax withholding obligations that arise in connection with the Award. Neither the Company nor any Subsidiary makes any representation or undertaking regarding the treatment of any tax withholding in connection with the grant or vesting of the Award or the subsequent sale of Shares subject to the Award. The Company and its Subsidiaries do not commit and are under no obligation to structure the Award to reduce or eliminate the Grantee’s tax liability.</w:t>
      </w:r>
    </w:p>
    <w:p>
      <w:pPr>
        <w:spacing w:after="0" w:line="188" w:lineRule="exact"/>
        <w:rPr>
          <w:rFonts w:ascii="Arial" w:cs="Arial" w:eastAsia="Arial" w:hAnsi="Arial"/>
          <w:sz w:val="18"/>
          <w:szCs w:val="18"/>
          <w:color w:val="auto"/>
        </w:rPr>
      </w:pPr>
    </w:p>
    <w:p>
      <w:pPr>
        <w:jc w:val="both"/>
        <w:ind w:left="-60" w:firstLine="1305"/>
        <w:spacing w:after="0" w:line="259" w:lineRule="auto"/>
        <w:tabs>
          <w:tab w:leader="none" w:pos="1481"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Payment of Withholding Taxes</w:t>
      </w:r>
      <w:r>
        <w:rPr>
          <w:rFonts w:ascii="Arial" w:cs="Arial" w:eastAsia="Arial" w:hAnsi="Arial"/>
          <w:sz w:val="18"/>
          <w:szCs w:val="18"/>
          <w:color w:val="auto"/>
        </w:rPr>
        <w:t>. Prior to any event in connection with the Award (e.g., vesting) that the Company determines may result in any tax withholding obligation, whether United States federal, state, local or non-U.S., including any employment tax obligation (the “Tax Withholding Obligation”), the Grantee must arrange for the satisfaction of the minimum amount of such Tax Withholding Obligation in a manner acceptable to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300" w:top="692" w:right="239" w:bottom="1440" w:gutter="0" w:footer="0" w:header="0"/>
        </w:sectPr>
      </w:pPr>
    </w:p>
    <w:bookmarkStart w:id="25" w:name="page26"/>
    <w:bookmarkEnd w:id="25"/>
    <w:p>
      <w:pPr>
        <w:jc w:val="both"/>
        <w:ind w:firstLine="1953"/>
        <w:spacing w:after="0" w:line="257" w:lineRule="auto"/>
        <w:tabs>
          <w:tab w:leader="none" w:pos="2173"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By Share Withholding. </w:t>
      </w:r>
      <w:r>
        <w:rPr>
          <w:rFonts w:ascii="Arial" w:cs="Arial" w:eastAsia="Arial" w:hAnsi="Arial"/>
          <w:sz w:val="18"/>
          <w:szCs w:val="18"/>
          <w:color w:val="auto"/>
        </w:rPr>
        <w:t>The Grantee authorizes the Company to, upon the exercise of its sole discretion, withhold from those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issuable to the Grantee the whole number of Shares sufficient to satisfy the minimum applicable Tax Withholding Obligation. The Grantee acknowledges that the withheld Shares may not be sufficient to satisfy the Grantee’s minimum Tax Withholding Obligation. Accordingly, the Grantee agrees to pay to the Company or any Subsidiary as soon as practicable, including through additional payroll withholding, any amount of the Tax Withholding Obligation that is not satisfied by the withholding of Shares described above.</w:t>
      </w:r>
    </w:p>
    <w:p>
      <w:pPr>
        <w:spacing w:after="0" w:line="188" w:lineRule="exact"/>
        <w:rPr>
          <w:rFonts w:ascii="Arial" w:cs="Arial" w:eastAsia="Arial" w:hAnsi="Arial"/>
          <w:sz w:val="18"/>
          <w:szCs w:val="18"/>
          <w:color w:val="auto"/>
        </w:rPr>
      </w:pPr>
    </w:p>
    <w:p>
      <w:pPr>
        <w:jc w:val="both"/>
        <w:ind w:firstLine="1953"/>
        <w:spacing w:after="0" w:line="287" w:lineRule="auto"/>
        <w:tabs>
          <w:tab w:leader="none" w:pos="2210"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By Sale of Shares</w:t>
      </w:r>
      <w:r>
        <w:rPr>
          <w:rFonts w:ascii="Arial" w:cs="Arial" w:eastAsia="Arial" w:hAnsi="Arial"/>
          <w:sz w:val="16"/>
          <w:szCs w:val="16"/>
          <w:color w:val="auto"/>
        </w:rPr>
        <w:t>. Unless the Grantee determines to satisfy the Tax Withholding Obligation by some other means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clause (iii) below, the Grantee’s acceptance of this Award constitutes the Grantee’s instruction and authorization to the Company and any brokerage firm determined acceptable to the Company for such purpose to sell on the Grantee’s behalf a whole number of Shares from those Shares issuable to the Grantee as the Company determines to be appropriate to generate cash proceeds sufficient to satisfy the minimum applicable Tax Withholding Obligation. Such Shares will be sold on the day such Tax Withholding Obligation arises (e.g., a vesting date) or as soon thereafter as practicable. The Grantee will be responsible for all broker’s fees and other costs of sale, and the Grantee agrees to indemnify and hold the Company harmless from any losses, costs, damages, or expenses relating to any such sale. To the extent the proceeds of such sale exceed the Grantee’s minimum Tax Withholding Obligation, the Company agrees to pay such excess in cash to the Grantee. The Grantee acknowledges that the Company or its designee is under no obligation to arrange for such sale at any particular price, and that the proceeds of any such sale may not be sufficient to satisfy the Grantee’s minimum Tax Withholding Obligation. Accordingly, the Grantee agrees to pay to the Company or any Subsidiary as soon as practicable, including through additional payroll withholding, any amount of the Tax Withholding Obligation that is not satisfied by the sale of Shares described above.</w:t>
      </w:r>
    </w:p>
    <w:p>
      <w:pPr>
        <w:spacing w:after="0" w:line="172" w:lineRule="exact"/>
        <w:rPr>
          <w:rFonts w:ascii="Arial" w:cs="Arial" w:eastAsia="Arial" w:hAnsi="Arial"/>
          <w:sz w:val="16"/>
          <w:szCs w:val="16"/>
          <w:color w:val="auto"/>
        </w:rPr>
      </w:pPr>
    </w:p>
    <w:p>
      <w:pPr>
        <w:jc w:val="both"/>
        <w:ind w:firstLine="1953"/>
        <w:spacing w:after="0" w:line="288" w:lineRule="auto"/>
        <w:tabs>
          <w:tab w:leader="none" w:pos="2260"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By Check, Wire Transfer or Other Means</w:t>
      </w:r>
      <w:r>
        <w:rPr>
          <w:rFonts w:ascii="Arial" w:cs="Arial" w:eastAsia="Arial" w:hAnsi="Arial"/>
          <w:sz w:val="16"/>
          <w:szCs w:val="16"/>
          <w:color w:val="auto"/>
        </w:rPr>
        <w:t>. At any time not less than five (5) business days (or such fewer number of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days as determined by the Administrator) before any Tax Withholding Obligation arises (e.g., a vesting date), the Grantee may elect to satisfy the Grantee’s Tax Withholding Obligation by delivering to the Company an amount that the Company determines is sufficient to satisfy the Tax Withholding Obligation by</w:t>
      </w:r>
    </w:p>
    <w:p>
      <w:pPr>
        <w:ind w:firstLine="8"/>
        <w:spacing w:after="0" w:line="261" w:lineRule="auto"/>
        <w:tabs>
          <w:tab w:leader="none" w:pos="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wire transfer to such account as the Company may direct, (y) delivery of a certified check payable to the Company, or (z) such other means as specified from time to time by the Administrator.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the Company also may satisfy any Tax Withholding Obligation by offsetting any amounts (including, but not limited to, salary, bonus and severance payments) due to the Grantee by the Company.</w:t>
      </w:r>
    </w:p>
    <w:p>
      <w:pPr>
        <w:spacing w:after="0" w:line="170" w:lineRule="exact"/>
        <w:rPr>
          <w:sz w:val="20"/>
          <w:szCs w:val="20"/>
          <w:color w:val="auto"/>
        </w:rPr>
      </w:pPr>
    </w:p>
    <w:p>
      <w:pPr>
        <w:jc w:val="both"/>
        <w:ind w:firstLine="656"/>
        <w:spacing w:after="0" w:line="259" w:lineRule="auto"/>
        <w:tabs>
          <w:tab w:leader="none" w:pos="84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In order to ensure compliance with the restrictions on transfer set forth in this Agreement, the Notice or the Plan, the Company may issue appropriate “stop transfer” instructions to its transfer agent, if any, and, if the Company transfers its own securities, it may make appropriate notations to the same effect in its own records. The Company may issue a “stop transfer” instruction if the Grantee fails to satisfy any Tax Withholding Obligations.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jc w:val="both"/>
        <w:ind w:left="-60" w:firstLine="656"/>
        <w:spacing w:after="0" w:line="264" w:lineRule="auto"/>
        <w:tabs>
          <w:tab w:leader="none" w:pos="78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81" w:lineRule="exact"/>
        <w:rPr>
          <w:rFonts w:ascii="Arial" w:cs="Arial" w:eastAsia="Arial" w:hAnsi="Arial"/>
          <w:sz w:val="18"/>
          <w:szCs w:val="18"/>
          <w:color w:val="auto"/>
        </w:rPr>
      </w:pPr>
    </w:p>
    <w:p>
      <w:pPr>
        <w:jc w:val="both"/>
        <w:ind w:left="-60" w:firstLine="656"/>
        <w:spacing w:after="0" w:line="264" w:lineRule="auto"/>
        <w:tabs>
          <w:tab w:leader="none" w:pos="79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Restrictive Legends</w:t>
      </w:r>
      <w:r>
        <w:rPr>
          <w:rFonts w:ascii="Arial" w:cs="Arial" w:eastAsia="Arial" w:hAnsi="Arial"/>
          <w:sz w:val="18"/>
          <w:szCs w:val="18"/>
          <w:color w:val="auto"/>
        </w:rPr>
        <w:t>. The Grantee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81" w:lineRule="exact"/>
        <w:rPr>
          <w:sz w:val="20"/>
          <w:szCs w:val="20"/>
          <w:color w:val="auto"/>
        </w:rPr>
      </w:pPr>
    </w:p>
    <w:p>
      <w:pPr>
        <w:jc w:val="both"/>
        <w:ind w:left="1240" w:right="1300"/>
        <w:spacing w:after="0" w:line="279" w:lineRule="auto"/>
        <w:rPr>
          <w:sz w:val="20"/>
          <w:szCs w:val="20"/>
          <w:color w:val="auto"/>
        </w:rPr>
      </w:pPr>
      <w:r>
        <w:rPr>
          <w:rFonts w:ascii="Arial" w:cs="Arial" w:eastAsia="Arial" w:hAnsi="Arial"/>
          <w:sz w:val="17"/>
          <w:szCs w:val="17"/>
          <w:color w:val="auto"/>
        </w:rPr>
        <w:t>THE SHARES REPRESENTED BY THIS CERTIFICATE ARE RESTRICTED BY THE TERMS OF THAT CERTAIN RESTRICTED STOCK AWARD AGREEMENT BETWEEN THE COMPANY AND THE NAMED STOCKHOLDER. THE SHARES REPRESENTED BY THIS CERTIFICATE MAY BE TRANSFERRED ONLY IN ACCORDANCE WITH SUCH AGREEMENT, A COPY OF WHICH IS ON FILE WITH THE SECRETARY OF THE COMPANY.</w:t>
      </w:r>
    </w:p>
    <w:p>
      <w:pPr>
        <w:spacing w:after="0" w:line="171" w:lineRule="exact"/>
        <w:rPr>
          <w:sz w:val="20"/>
          <w:szCs w:val="20"/>
          <w:color w:val="auto"/>
        </w:rPr>
      </w:pPr>
    </w:p>
    <w:p>
      <w:pPr>
        <w:jc w:val="both"/>
        <w:ind w:left="-60" w:firstLine="656"/>
        <w:spacing w:after="0" w:line="255" w:lineRule="auto"/>
        <w:tabs>
          <w:tab w:leader="none" w:pos="78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These agreements are to be construed in accordance with and governed by the internal laws of the State of California without giving effect to any choice of law rule that would cause the application of the laws of any jurisdiction other than the internal laws of the State of California to the rights and duties of the parties. Should any provision of the Notice or this Agreement be determined to be illegal or unenforceable, the other provisions shall nevertheless remain effective and shall remain enforceable.</w:t>
      </w:r>
    </w:p>
    <w:p>
      <w:pPr>
        <w:spacing w:after="0" w:line="189" w:lineRule="exact"/>
        <w:rPr>
          <w:rFonts w:ascii="Arial" w:cs="Arial" w:eastAsia="Arial" w:hAnsi="Arial"/>
          <w:sz w:val="18"/>
          <w:szCs w:val="18"/>
          <w:color w:val="auto"/>
        </w:rPr>
      </w:pPr>
    </w:p>
    <w:p>
      <w:pPr>
        <w:jc w:val="both"/>
        <w:ind w:left="-60" w:firstLine="656"/>
        <w:spacing w:after="0" w:line="264" w:lineRule="auto"/>
        <w:tabs>
          <w:tab w:leader="none" w:pos="85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captions used in the Notice and this Agreement are inserted for convenience and shall not be deemed a part of the Award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181" w:lineRule="exact"/>
        <w:rPr>
          <w:rFonts w:ascii="Arial" w:cs="Arial" w:eastAsia="Arial" w:hAnsi="Arial"/>
          <w:sz w:val="18"/>
          <w:szCs w:val="18"/>
          <w:color w:val="auto"/>
        </w:rPr>
      </w:pPr>
    </w:p>
    <w:p>
      <w:pPr>
        <w:jc w:val="both"/>
        <w:ind w:left="-60" w:firstLine="656"/>
        <w:spacing w:after="0" w:line="264" w:lineRule="auto"/>
        <w:tabs>
          <w:tab w:leader="none" w:pos="89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Administration and Interpretation</w:t>
      </w:r>
      <w:r>
        <w:rPr>
          <w:rFonts w:ascii="Arial" w:cs="Arial" w:eastAsia="Arial" w:hAnsi="Arial"/>
          <w:sz w:val="18"/>
          <w:szCs w:val="18"/>
          <w:color w:val="auto"/>
        </w:rPr>
        <w:t>. Any question or dispute regarding the administration or interpretation of the Notice, the Plan or this Agreement shall be submitted by the Grantee or by the Company to the Administrator. The resolution of such question or dispute by the Administrator shall be final and binding on all persons.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300" w:top="692" w:right="239" w:bottom="1440" w:gutter="0" w:footer="0" w:header="0"/>
        </w:sectPr>
      </w:pPr>
    </w:p>
    <w:bookmarkStart w:id="27" w:name="page28"/>
    <w:bookmarkEnd w:id="27"/>
    <w:p>
      <w:pPr>
        <w:jc w:val="both"/>
        <w:ind w:left="-60" w:firstLine="656"/>
        <w:spacing w:after="0" w:line="273" w:lineRule="auto"/>
        <w:tabs>
          <w:tab w:leader="none" w:pos="872"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Venue and Waiver of Jury Trial</w:t>
      </w:r>
      <w:r>
        <w:rPr>
          <w:rFonts w:ascii="Arial" w:cs="Arial" w:eastAsia="Arial" w:hAnsi="Arial"/>
          <w:sz w:val="17"/>
          <w:szCs w:val="17"/>
          <w:color w:val="auto"/>
        </w:rPr>
        <w:t>. The parties agree that any suit, action, or proceeding arising out of or relating to the Notice, the Plan or this Agreement shall be brought in the United States District Court for the Southern District of California (or should such court lack jurisdiction to hear such action, suit or proceeding, in a California state court in the County of San Diego) and that the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12 shall for any reason be held invalid or unenforceable, it is the specific intent of the parties that such provisions shall be modified to the minimum extent necessary to make it or its application valid and enforceable.</w:t>
      </w:r>
    </w:p>
    <w:p>
      <w:pPr>
        <w:spacing w:after="0" w:line="178" w:lineRule="exact"/>
        <w:rPr>
          <w:rFonts w:ascii="Arial" w:cs="Arial" w:eastAsia="Arial" w:hAnsi="Arial"/>
          <w:sz w:val="17"/>
          <w:szCs w:val="17"/>
          <w:color w:val="auto"/>
        </w:rPr>
      </w:pPr>
    </w:p>
    <w:p>
      <w:pPr>
        <w:jc w:val="both"/>
        <w:ind w:left="-60" w:firstLine="656"/>
        <w:spacing w:after="0" w:line="285" w:lineRule="auto"/>
        <w:tabs>
          <w:tab w:leader="none" w:pos="85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The Grantee hereby explicitly and unambiguously consents to the collection, use and transfer, in electronic or other form, of the Grantee’s personal data as described in this Agreement by and among, as applicable, the Grantee’s employer, the Company, and any Subsidiary for the exclusive purpose of implementing, administering and managing the Grantee’s participation in the Plan. The Grantee understands that the Company or any Subsidiary may hold certain personal information about the Grantee, including, but not limited to, the Grantee’s name, home address and telephone number, date of birth, social security/insurance number or other identification number, salary, nationality, job title, any shares of Common Stock or directorships held in the Company, details of all awards or any other entitlement to shares awarded, canceled, vested, unvested or outstanding in the Grantee’s favor, for the purpose of implementing, administering and managing the Plan (“Data”). The Grantee understands that Data may be transferred to any third parties assisting in the implementation, administration and management of the Plan, that these recipients may be located in the Grantee’s country, or elsewhere, and that the recipient’s country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purposes of implementing, administering and managing the Grantee’s participation in the Plan, including any requisite transfer of such Data as may be required to a broker, escrow agent or other third party with whom the Shares received upon vesting of the Award may be deposited. The Grantee understands that Data will be held pursuant to this Section 13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refuse or withdraw the consents herein, in any case without cost, by contacting in writing the Grantee’s local human resources representative. The Grantee understands that refusal or withdrawal of consent may affect the Grantee’s ability to participate in the Plan. For more information on the consequences of the Grantee’s refusal to consent or withdrawal of consent, the Grantee understands that the Grantee may contact the Grantee’s local human resources representative.</w:t>
      </w:r>
    </w:p>
    <w:p>
      <w:pPr>
        <w:spacing w:after="0" w:line="172" w:lineRule="exact"/>
        <w:rPr>
          <w:rFonts w:ascii="Arial" w:cs="Arial" w:eastAsia="Arial" w:hAnsi="Arial"/>
          <w:sz w:val="16"/>
          <w:szCs w:val="16"/>
          <w:color w:val="auto"/>
        </w:rPr>
      </w:pPr>
    </w:p>
    <w:p>
      <w:pPr>
        <w:jc w:val="both"/>
        <w:ind w:left="-60" w:firstLine="656"/>
        <w:spacing w:after="0" w:line="259" w:lineRule="auto"/>
        <w:tabs>
          <w:tab w:leader="none" w:pos="85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300" w:top="692" w:right="239" w:bottom="1440" w:gutter="0" w:footer="0" w:header="0"/>
        </w:sectPr>
      </w:pPr>
    </w:p>
    <w:bookmarkStart w:id="28" w:name="page29"/>
    <w:bookmarkEnd w:id="28"/>
    <w:p>
      <w:pPr>
        <w:ind w:firstLine="656"/>
        <w:spacing w:after="0" w:line="277" w:lineRule="auto"/>
        <w:tabs>
          <w:tab w:leader="none" w:pos="91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Grantee has received the Agreement or any other document related to the Plan translated into a language other than English and if the meaning of the translated version is different than the English version, the English version will control.</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32"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The Company may, in its sole discretion, decide to deliver any documents related to current or future participation in the Plan by electronic means. The Grantee hereby consents to receive such documents by electronic delivery and agrees to participate in the Plan through an on-line or electronic system established and maintained by the Company or a third party designated by the Company.</w:t>
      </w:r>
    </w:p>
    <w:p>
      <w:pPr>
        <w:spacing w:after="0" w:line="165" w:lineRule="exact"/>
        <w:rPr>
          <w:rFonts w:ascii="Arial" w:cs="Arial" w:eastAsia="Arial" w:hAnsi="Arial"/>
          <w:sz w:val="17"/>
          <w:szCs w:val="17"/>
          <w:color w:val="auto"/>
        </w:rPr>
      </w:pPr>
    </w:p>
    <w:p>
      <w:pPr>
        <w:jc w:val="both"/>
        <w:ind w:firstLine="656"/>
        <w:spacing w:after="0" w:line="259" w:lineRule="auto"/>
        <w:tabs>
          <w:tab w:leader="none" w:pos="91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Grantee’s participation in the Plan, on the Award and on any Shares acquired under the Plan, to the extent the Company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 OF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ASSIGNMENT SEPARATE FROM CERTIFICATE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FOR VALUE RECEIVED, _______________________hereby sells, assigns and transfers unto _______________________, _________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 shares of the Common Stock of Imprimis Pharmaceuticals, Inc., a Delaware corporation (the “Company”), standing in his name on the books of, the</w:t>
      </w:r>
    </w:p>
    <w:p>
      <w:pPr>
        <w:spacing w:after="0" w:line="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Company represented by Certificate No. herewith, and does hereby irrevocably constitute and appoint the Secretary of the Company attorney to transfer the said stock in the books of the Company with full power of substitution.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160655</wp:posOffset>
            </wp:positionV>
            <wp:extent cx="36188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[Please sign this document but do not date it. The date and information of the transferee will be completed if and when the shares are assigned.]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INCENTIVE STOCK AND AWARDS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RESTRICTED STOCK UNIT AWARD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598170</wp:posOffset>
            </wp:positionV>
            <wp:extent cx="43649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64990" cy="1714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306705</wp:posOffset>
            </wp:positionV>
            <wp:extent cx="43649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64990" cy="1714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14605</wp:posOffset>
            </wp:positionV>
            <wp:extent cx="43649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649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(the “Grantee”) have been granted an award of Restricted Stock Units (the “Award”), subject to the terms and conditions of this Notice of Restricted Stock Unit Award (the “Notice”), the Imprimis Pharmaceuticals, Inc. 2017 Incentive Stock and Awards Plan, as amended from time to time (the “Plan”) and the Restricted Stock Unit Agreement (the “Agreement”) attached hereto, as follows. Unless otherwise provided herein, the terms in this Notice shall have the same meaning as those defined in the Plan.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Award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14605</wp:posOffset>
            </wp:positionV>
            <wp:extent cx="43649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64990" cy="17145"/>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of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14605</wp:posOffset>
            </wp:positionV>
            <wp:extent cx="43649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64990" cy="17145"/>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14605</wp:posOffset>
            </wp:positionV>
            <wp:extent cx="43649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64990" cy="17145"/>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Number of Restricted Stock</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Units Awarded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5715</wp:posOffset>
            </wp:positionV>
            <wp:extent cx="43649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6499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the Grantee continuing to be employed by or provide service to the Company or any Subsidiary and other limitations set forth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Notice, the Agreement and the Plan, the Units will “vest” in accordance with the following schedule (the “Vesting Schedule”):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[Insert Vesting Schedule].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of the Grantee’s change in status from an employee to a consultant or nonemployee director, the determination of whether such change in status results in a termination of employment or service will be determined in accordance with Section 409A of the Code.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purposes of this Notice and the Agreement, the term “vest” shall mean, with respect to any Units, that such Units are no longer subject to forfeiture to the Company. If the Grantee would become vested in a fraction of a Unit, such Unit shall not vest until the Grantee becomes vested in the entire Unit.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Vesting shall cease upon the date the Grantee terminates employment or service with the Company or any Subsidiary for any reason, including death or Disability. In the event the Grantee terminates employment or service for any reason, including death or Disability, any unvested Units held by the Grantee immediately upon such termination of the Grantee’s employment or service shall be forfeited and deemed reconveyed to the Company and the Company shall thereafter be the legal and beneficial owner of such reconveyed Units and shall have all rights and interest in or related thereto without further action by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both"/>
        <w:ind w:firstLine="648"/>
        <w:spacing w:after="0" w:line="277" w:lineRule="auto"/>
        <w:rPr>
          <w:sz w:val="20"/>
          <w:szCs w:val="20"/>
          <w:color w:val="auto"/>
        </w:rPr>
      </w:pPr>
      <w:r>
        <w:rPr>
          <w:rFonts w:ascii="Arial" w:cs="Arial" w:eastAsia="Arial" w:hAnsi="Arial"/>
          <w:sz w:val="18"/>
          <w:szCs w:val="18"/>
          <w:color w:val="auto"/>
        </w:rPr>
        <w:t>IN WITNESS WHEREOF, the Company and the Grantee have executed this Notice and agree that the Award is to be governed by the terms and conditions of this Notice, the Plan, and the Agreement.</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GRANTEE ACKNOWLEDGES AND AGREES THAT THE UNITS SHALL VEST, IF AT ALL, ONLY DURING THE PERIOD OF THE GRANTEE’S EMPLOYMENT OR SERVICE WITH THE COMPANY OR A SUBSIDIARY OR AS OTHERWISE SPECIFICALLY PROVIDED HEREIN (NOT THROUGH THE ACT OF BEING HIRED, BEING GRANTED THIS AWARD OR ACQUIRING SHARES HEREUNDER). THE GRANTEE FURTHER ACKNOWLEDGES AND AGREES THAT NOTHING IN THIS NOTICE, THE AGREEMENT, NOR IN THE PLAN, SHALL CONFER UPON THE GRANTEE ANY RIGHT WITH RESPECT TO CONTINUATION OF THE GRANTEE’S EMPLOYMENT OR SERVICE, NOR SHALL IT INTERFERE IN ANY WAY WITH THE GRANTEE’S RIGHT OR THE COMPANY’S RIGHT TO TERMINATE THE GRANTEE’S EMPLOYMENT OR SERVICE AT ANY TIME, WITH OR WITHOUT CAUSE, AND WITH OR WITHOUT NOTICE. THE GRANTEE ACKNOWLEDGES THAT UNLESS THE GRANTEE HAS A WRITTEN EMPLOYMENT AGREEMENT WITH THE COMPANY TO THE CONTRARY, THE GRANTEE’S STATUS IS AT WILL.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u w:val="single" w:color="auto"/>
          <w:color w:val="auto"/>
        </w:rPr>
        <w:t>Grantee Acknowledges and Agrees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Grantee acknowledges receipt of a copy of the Plan and the Agreement and represents that he or she is familiar with the terms and provisions thereof, and hereby accepts the Award subject to all of the terms and provisions hereof and thereof. The Grantee has reviewed this Notice, the Agreement and the Plan in their entirety, has had an opportunity to obtain the advice of counsel prior to executing this Notice and fully understands all provisions of this Notice, the Agreement and the Plan. The Grantee further agrees and acknowledges that this Award is a non-elective arrangement pursuant to Section 409A of the Code.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Grantee further acknowledges that, from time to time, the Company may be in a “blackout period” and/or subject to applicable federal securities laws that could subject the Grantee to liability for engaging in any transaction involving the sale of the Company’s Shares. The Grantee further acknowledges and agrees that, prior to the sale of any Shares acquired under this Award, it is the Grantee’s responsibility to determine whether or not such sale of Shares will subject the Grantee to liability under insider trading rules or other applicable federal securities laws.</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Grantee understands that the Award is subject to the Grantee’s consent to access this Notice, the Agreement, the Plan and the Plan prospectus (collectively, the “Plan Documents”) in electronic form on the Company’s intranet or the website of the Company’s designated brokerage firm, if applicable. By signing below (or providing an electronic signature by clicking below) and accepting the grant of the Award, the Grantee: (i) consents to access electronic copies (instead of receiving paper copies) of the Plan Documents via the Company’s intranet or the website of the Company’s designated brokerage firm, if applicable; (ii) represents that the Grantee has access to the Company’s intranet [or the website of the Company’s designated brokerage firm, if applicable];</w:t>
      </w:r>
    </w:p>
    <w:p>
      <w:pPr>
        <w:spacing w:after="0" w:line="2" w:lineRule="exact"/>
        <w:rPr>
          <w:sz w:val="20"/>
          <w:szCs w:val="20"/>
          <w:color w:val="auto"/>
        </w:rPr>
      </w:pPr>
    </w:p>
    <w:p>
      <w:pPr>
        <w:ind w:firstLine="8"/>
        <w:spacing w:after="0" w:line="261"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acknowledges receipt of electronic copies, or that the Grantee is already in possession of paper copies, of the Plan Documents; and (iv) acknowledges that the Grantee is familiar with and accepts the Award subject to the terms and provisions of the Plan Documents.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may, in its sole discretion, decide to deliver any Plan Documents by electronic means or request the Grantee’s consent to participate in the Plan by electronic means. The Grantee hereby consents to receive such documents by electronic delivery and agrees to participate in the Plan through an on-line or electronic system established and maintained by the Company or a third party designated by the Company.</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Grantee hereby agrees that all questions of interpretation and administration relating to this Notice, the Plan and the Agreement shall be resolved by the Administrator in accordance with Section 8 of the Agreement. The Grantee further agrees to the venue and jurisdiction selection in accordance with Section 9 of the Agreement. The Grantee further agrees to notify the Company upon any change in his or her residence address indicated in this Notice.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9551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Grantee’s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152400</wp:posOffset>
            </wp:positionV>
            <wp:extent cx="35420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Grantee’s 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152400</wp:posOffset>
            </wp:positionV>
            <wp:extent cx="354203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152400</wp:posOffset>
            </wp:positionV>
            <wp:extent cx="354203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City, State &amp; Zip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ind w:left="8500"/>
        <w:spacing w:after="0"/>
        <w:rPr>
          <w:sz w:val="20"/>
          <w:szCs w:val="20"/>
          <w:color w:val="auto"/>
        </w:rPr>
      </w:pPr>
      <w:r>
        <w:rPr>
          <w:rFonts w:ascii="Arial" w:cs="Arial" w:eastAsia="Arial" w:hAnsi="Arial"/>
          <w:sz w:val="16"/>
          <w:szCs w:val="16"/>
          <w:b w:val="1"/>
          <w:bCs w:val="1"/>
          <w:color w:val="auto"/>
        </w:rPr>
        <w:t>Award Number: __________________</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INCENTIVE STOCK AND AWARDS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29" w:lineRule="exact"/>
        <w:rPr>
          <w:sz w:val="20"/>
          <w:szCs w:val="20"/>
          <w:color w:val="auto"/>
        </w:rPr>
      </w:pPr>
    </w:p>
    <w:p>
      <w:pPr>
        <w:jc w:val="both"/>
        <w:ind w:firstLine="656"/>
        <w:spacing w:after="0" w:line="276" w:lineRule="auto"/>
        <w:tabs>
          <w:tab w:leader="none" w:pos="828"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Issuance of Units</w:t>
      </w:r>
      <w:r>
        <w:rPr>
          <w:rFonts w:ascii="Arial" w:cs="Arial" w:eastAsia="Arial" w:hAnsi="Arial"/>
          <w:sz w:val="17"/>
          <w:szCs w:val="17"/>
          <w:color w:val="auto"/>
        </w:rPr>
        <w:t>. Imprimis Pharmaceuticals, Inc., a Delaware corporation (the “Company”), hereby issues to the Grantee (the “Grantee”) named in the Notice of Restricted Stock Unit Award (the “Notice”) an award (the “Award”) of the Total Number of Restricted Stock Units Awarded set forth in the Notice (the “Units”), subject to the Notice, this Restricted Stock Unit Agreement (the “Agreement”) and the terms and provisions of the Imprimis Pharmaceuticals, Inc. 2017 Incentive Stock and Awards Plan, as amended from time to time (the “Plan”), which is incorporated herein by reference. Unless otherwise provided herein, the terms in this Agreement shall have the same meaning as those defined in the Plan.</w:t>
      </w:r>
    </w:p>
    <w:p>
      <w:pPr>
        <w:spacing w:after="0" w:line="172" w:lineRule="exact"/>
        <w:rPr>
          <w:rFonts w:ascii="Arial" w:cs="Arial" w:eastAsia="Arial" w:hAnsi="Arial"/>
          <w:sz w:val="17"/>
          <w:szCs w:val="17"/>
          <w:color w:val="auto"/>
        </w:rPr>
      </w:pPr>
    </w:p>
    <w:p>
      <w:pPr>
        <w:ind w:left="840" w:hanging="184"/>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The Units may not be transferred in any manner other than by will or by the laws of descent and distribution.</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Conversion of Units and Issuance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93" w:lineRule="auto"/>
        <w:tabs>
          <w:tab w:leader="none" w:pos="1568"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Subject to Sections 3(b) and 3(c), one share of Common Stock shall be issuable for each Unit subject to the Award (the “Shares”) upon vesting. Immediately prior to the specified effective date of a Change in Control (each as defined in the Plan) and subject to Sections 3(b) and 3(c), vesting shall accelerate and one Share shall be issuable for each Unit subject to the Award. Immediately thereafter, or as soon as administratively feasible, the Company will transfer the appropriate number of Shares to the Grantee after satisfaction of any required tax or other withholding obligations. Any fractional Unit remaining after the Award is fully vested shall be discarded and shall not be converted into a fractional Share. Notwithstanding the foregoing, the relevant number of Shares shall be issued no later than March 15th of the year following the calendar year in which the Award vests.</w:t>
      </w:r>
    </w:p>
    <w:p>
      <w:pPr>
        <w:spacing w:after="0" w:line="164" w:lineRule="exact"/>
        <w:rPr>
          <w:rFonts w:ascii="Arial" w:cs="Arial" w:eastAsia="Arial" w:hAnsi="Arial"/>
          <w:sz w:val="16"/>
          <w:szCs w:val="16"/>
          <w:color w:val="auto"/>
        </w:rPr>
      </w:pPr>
    </w:p>
    <w:p>
      <w:pPr>
        <w:jc w:val="both"/>
        <w:ind w:firstLine="1305"/>
        <w:spacing w:after="0" w:line="255" w:lineRule="auto"/>
        <w:tabs>
          <w:tab w:leader="none" w:pos="1551"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Delay of Conversion</w:t>
      </w:r>
      <w:r>
        <w:rPr>
          <w:rFonts w:ascii="Arial" w:cs="Arial" w:eastAsia="Arial" w:hAnsi="Arial"/>
          <w:sz w:val="18"/>
          <w:szCs w:val="18"/>
          <w:color w:val="auto"/>
        </w:rPr>
        <w:t>. The conversion of the Units into the Shares under Section 3(a) above, shall be delayed in the event the Company reasonably anticipates that the issuance of the Shares would constitute a violation of federal securities laws or other applicable law. If the conversion of the Units into the Shares is delayed by the provisions of this Section 3(b), the conversion of the Units into the Shares shall occur at the earliest date at which the Company reasonably anticipates issuing the Shares will not cause a violation of federal securities laws or other applicable law. For purposes of this Section 3(b), the issuance of Shares that would cause inclusion in gross income or the application of any penalty provision or other provision of the Code is not considered a violation of applicable law.</w:t>
      </w:r>
    </w:p>
    <w:p>
      <w:pPr>
        <w:spacing w:after="0" w:line="193" w:lineRule="exact"/>
        <w:rPr>
          <w:rFonts w:ascii="Arial" w:cs="Arial" w:eastAsia="Arial" w:hAnsi="Arial"/>
          <w:sz w:val="18"/>
          <w:szCs w:val="18"/>
          <w:color w:val="auto"/>
        </w:rPr>
      </w:pPr>
    </w:p>
    <w:p>
      <w:pPr>
        <w:jc w:val="both"/>
        <w:ind w:right="20" w:firstLine="1305"/>
        <w:spacing w:after="0" w:line="302" w:lineRule="auto"/>
        <w:tabs>
          <w:tab w:leader="none" w:pos="1541"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Delay of Issuance of Shares</w:t>
      </w:r>
      <w:r>
        <w:rPr>
          <w:rFonts w:ascii="Arial" w:cs="Arial" w:eastAsia="Arial" w:hAnsi="Arial"/>
          <w:sz w:val="16"/>
          <w:szCs w:val="16"/>
          <w:color w:val="auto"/>
        </w:rPr>
        <w:t>. The Company shall delay the issuance of any Shares under this Section 3 to the extent necessary to comply with Section 409A(a)(2)(B)(i) of the Code (relating to payments made to certain “specified employees” of certain publicly-traded companies); in such event, any Shares to which the Grantee would otherwise be entitled during the six (6) month period following the date of the Grantee’s termination of employment or service with the Company or a Subsidiary will be issuable on the first business day following the expiration of such six (6)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ind w:left="-8" w:firstLine="656"/>
        <w:spacing w:after="0" w:line="308" w:lineRule="auto"/>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Right to Shares</w:t>
      </w:r>
      <w:r>
        <w:rPr>
          <w:rFonts w:ascii="Arial" w:cs="Arial" w:eastAsia="Arial" w:hAnsi="Arial"/>
          <w:sz w:val="17"/>
          <w:szCs w:val="17"/>
          <w:color w:val="auto"/>
        </w:rPr>
        <w:t>. The Grantee shall not have any right in, to or with respect to any of the Shares (including any voting rights or rights with respect to dividends paid on the Common Stock) issuable under the Award until the Award is settled by the issuance of such Shares to the Grantee.</w:t>
      </w:r>
    </w:p>
    <w:p>
      <w:pPr>
        <w:spacing w:after="0" w:line="150" w:lineRule="exact"/>
        <w:rPr>
          <w:rFonts w:ascii="Arial" w:cs="Arial" w:eastAsia="Arial" w:hAnsi="Arial"/>
          <w:sz w:val="17"/>
          <w:szCs w:val="17"/>
          <w:color w:val="auto"/>
        </w:rPr>
      </w:pPr>
    </w:p>
    <w:p>
      <w:pPr>
        <w:ind w:left="832" w:hanging="184"/>
        <w:spacing w:after="0"/>
        <w:tabs>
          <w:tab w:leader="none" w:pos="83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r>
        <w:rPr>
          <w:rFonts w:ascii="Arial" w:cs="Arial" w:eastAsia="Arial" w:hAnsi="Arial"/>
          <w:sz w:val="30"/>
          <w:szCs w:val="30"/>
          <w:color w:val="auto"/>
          <w:vertAlign w:val="superscript"/>
        </w:rPr>
        <w:t>1</w:t>
      </w:r>
    </w:p>
    <w:p>
      <w:pPr>
        <w:spacing w:after="0" w:line="124" w:lineRule="exact"/>
        <w:rPr>
          <w:rFonts w:ascii="Arial" w:cs="Arial" w:eastAsia="Arial" w:hAnsi="Arial"/>
          <w:sz w:val="18"/>
          <w:szCs w:val="18"/>
          <w:color w:val="auto"/>
        </w:rPr>
      </w:pPr>
    </w:p>
    <w:p>
      <w:pPr>
        <w:jc w:val="both"/>
        <w:ind w:left="-8" w:firstLine="1305"/>
        <w:spacing w:after="0" w:line="255" w:lineRule="auto"/>
        <w:tabs>
          <w:tab w:leader="none" w:pos="156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Tax Liability</w:t>
      </w:r>
      <w:r>
        <w:rPr>
          <w:rFonts w:ascii="Arial" w:cs="Arial" w:eastAsia="Arial" w:hAnsi="Arial"/>
          <w:sz w:val="18"/>
          <w:szCs w:val="18"/>
          <w:color w:val="auto"/>
        </w:rPr>
        <w:t>. The Grantee is ultimately liable and responsible for all taxes owed by the Grantee in connection with the Award, regardless of any action the Company or any Subsidiary takes with respect to any tax withholding obligations that arise in connection with the Award. Neither the Company nor any Subsidiary makes any representation or undertaking regarding the treatment of any tax withholding in connection with any aspect of the Award, including the grant, vesting, assignment, release or cancellation of the Units, the delivery of Shares, the subsequent sale of any Shares acquired upon vesting and the receipt of any dividends or dividend equivalents. The Company does not commit and is under no obligation to structure the Award to reduce or eliminate the Grantee’s tax liability.</w:t>
      </w:r>
    </w:p>
    <w:p>
      <w:pPr>
        <w:spacing w:after="0" w:line="193" w:lineRule="exact"/>
        <w:rPr>
          <w:rFonts w:ascii="Arial" w:cs="Arial" w:eastAsia="Arial" w:hAnsi="Arial"/>
          <w:sz w:val="18"/>
          <w:szCs w:val="18"/>
          <w:color w:val="auto"/>
        </w:rPr>
      </w:pPr>
    </w:p>
    <w:p>
      <w:pPr>
        <w:jc w:val="both"/>
        <w:ind w:left="-8" w:firstLine="1305"/>
        <w:spacing w:after="0" w:line="259" w:lineRule="auto"/>
        <w:tabs>
          <w:tab w:leader="none" w:pos="1543"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Payment of Withholding Taxes</w:t>
      </w:r>
      <w:r>
        <w:rPr>
          <w:rFonts w:ascii="Arial" w:cs="Arial" w:eastAsia="Arial" w:hAnsi="Arial"/>
          <w:sz w:val="18"/>
          <w:szCs w:val="18"/>
          <w:color w:val="auto"/>
        </w:rPr>
        <w:t>. Prior to any event in connection with the Award (e.g., vesting) that the Company determines may result in any tax withholding obligation, whether United States federal, state, local or non-U.S., including any social insurance, employment tax, payment on account or other tax-related obligation (the “Tax Withholding Obligation”), the Grantee must arrange for the satisfaction of the minimum amount of such Tax Withholding Obligation in a manner acceptable to the Company.</w:t>
      </w:r>
    </w:p>
    <w:p>
      <w:pPr>
        <w:spacing w:after="0" w:line="186" w:lineRule="exact"/>
        <w:rPr>
          <w:rFonts w:ascii="Arial" w:cs="Arial" w:eastAsia="Arial" w:hAnsi="Arial"/>
          <w:sz w:val="18"/>
          <w:szCs w:val="18"/>
          <w:color w:val="auto"/>
        </w:rPr>
      </w:pPr>
    </w:p>
    <w:p>
      <w:pPr>
        <w:jc w:val="both"/>
        <w:ind w:left="-8" w:firstLine="1953"/>
        <w:spacing w:after="0" w:line="276" w:lineRule="auto"/>
        <w:tabs>
          <w:tab w:leader="none" w:pos="2152" w:val="left"/>
        </w:tabs>
        <w:numPr>
          <w:ilvl w:val="2"/>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By Share Withholding. </w:t>
      </w:r>
      <w:r>
        <w:rPr>
          <w:rFonts w:ascii="Arial" w:cs="Arial" w:eastAsia="Arial" w:hAnsi="Arial"/>
          <w:sz w:val="17"/>
          <w:szCs w:val="17"/>
          <w:color w:val="auto"/>
        </w:rPr>
        <w:t>If permissible under applicable law, the Grantee authorizes the Company to, upon the exercise of its sole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withhold from those Shares otherwise issuable to the Grantee the whole number of Shares sufficient to satisfy the minimum applicable Tax Withholding Obligation. The Grantee acknowledges that the withheld Shares may not be sufficient to satisfy the Grantee’s minimum Tax Withholding Obligation. Accordingly, the Grantee agrees to pay to the Company or any Subsidiary as soon as practicable, including through additional payroll withholding, any amount of the Tax Withholding Obligation that is not satisfied by the withholding of Shares described above.</w:t>
      </w:r>
    </w:p>
    <w:p>
      <w:pPr>
        <w:spacing w:after="0" w:line="172" w:lineRule="exact"/>
        <w:rPr>
          <w:rFonts w:ascii="Arial" w:cs="Arial" w:eastAsia="Arial" w:hAnsi="Arial"/>
          <w:sz w:val="17"/>
          <w:szCs w:val="17"/>
          <w:color w:val="auto"/>
        </w:rPr>
      </w:pPr>
    </w:p>
    <w:p>
      <w:pPr>
        <w:jc w:val="both"/>
        <w:ind w:left="-8" w:firstLine="1953"/>
        <w:spacing w:after="0" w:line="287" w:lineRule="auto"/>
        <w:tabs>
          <w:tab w:leader="none" w:pos="2202" w:val="left"/>
        </w:tabs>
        <w:numPr>
          <w:ilvl w:val="2"/>
          <w:numId w:val="28"/>
        </w:numPr>
        <w:rPr>
          <w:rFonts w:ascii="Arial" w:cs="Arial" w:eastAsia="Arial" w:hAnsi="Arial"/>
          <w:sz w:val="16"/>
          <w:szCs w:val="16"/>
          <w:color w:val="auto"/>
        </w:rPr>
      </w:pPr>
      <w:r>
        <w:rPr>
          <w:rFonts w:ascii="Arial" w:cs="Arial" w:eastAsia="Arial" w:hAnsi="Arial"/>
          <w:sz w:val="16"/>
          <w:szCs w:val="16"/>
          <w:i w:val="1"/>
          <w:iCs w:val="1"/>
          <w:color w:val="auto"/>
        </w:rPr>
        <w:t>By Sale of Shares</w:t>
      </w:r>
      <w:r>
        <w:rPr>
          <w:rFonts w:ascii="Arial" w:cs="Arial" w:eastAsia="Arial" w:hAnsi="Arial"/>
          <w:sz w:val="16"/>
          <w:szCs w:val="16"/>
          <w:color w:val="auto"/>
        </w:rPr>
        <w:t>. Unless the Grantee determines to satisfy the Tax Withholding Obligation by some other means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clause (iii) below, the Grantee’s acceptance of this Award constitutes the Grantee’s instruction and authorization to the Company and any brokerage firm determined acceptable to the Company for such purpose to, upon the exercise of Company’s sole discretion, sell on the Grantee’s behalf a whole number of Shares from those Shares issuable to the Grantee as the Company determines to be appropriate to generate cash proceeds sufficient to satisfy the minimum applicable Tax Withholding Obligation. Such Shares will be sold on the day such Tax Withholding Obligation arises (e.g., a vesting date) or as soon thereafter as practicable. The Grantee will be responsible for all broker’s fees and other costs of sale, and the Grantee agrees to indemnify and hold the Company harmless from any losses, costs, damages, or expenses relating to any such sale. To the extent the proceeds of such sale exceed the Grantee’s minimum Tax Withholding Obligation, the Company agrees to pay such excess in cash to the Grantee. The Grantee acknowledges that the Company or its designee is under no obligation to arrange for such sale at any particular price, and that the proceeds of any such sale may not be sufficient to satisfy the Grantee’s minimum Tax Withholding Obligation. Accordingly, the Grantee agrees to pay to the Company or any Subsidiary as soon as practicable, including through additional payroll withholding, any amount of the Tax Withholding Obligation that is not satisfied by the sale of Shares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18097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34" w:lineRule="exact"/>
        <w:rPr>
          <w:sz w:val="20"/>
          <w:szCs w:val="20"/>
          <w:color w:val="auto"/>
        </w:rPr>
      </w:pPr>
    </w:p>
    <w:p>
      <w:pPr>
        <w:jc w:val="both"/>
        <w:ind w:left="-8" w:firstLine="8"/>
        <w:spacing w:after="0" w:line="218" w:lineRule="auto"/>
        <w:tabs>
          <w:tab w:leader="none" w:pos="118"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Note to Draft: The tax withholding language has been drafted to provide the Company with flexibility in determining how the Company would like to handle tax withholding. However, we would note that for Section 16 purposes, if the Company were to determine at the time of settlement that it wished to cover tax withholding via net settlement, the net settlement will constitute a disposition for Section 16 purposes and will need to be reapproved at that time for any Section 16 officers to ensure that the disposition is exempt for Section 16b-3 purposes.</w:t>
      </w: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36" w:name="page37"/>
    <w:bookmarkEnd w:id="36"/>
    <w:p>
      <w:pPr>
        <w:jc w:val="both"/>
        <w:ind w:firstLine="1953"/>
        <w:spacing w:after="0" w:line="288" w:lineRule="auto"/>
        <w:tabs>
          <w:tab w:leader="none" w:pos="2260"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By Check, Wire Transfer or Other Means</w:t>
      </w:r>
      <w:r>
        <w:rPr>
          <w:rFonts w:ascii="Arial" w:cs="Arial" w:eastAsia="Arial" w:hAnsi="Arial"/>
          <w:sz w:val="16"/>
          <w:szCs w:val="16"/>
          <w:color w:val="auto"/>
        </w:rPr>
        <w:t>. At any time not less than five (5) business days (or such fewer number of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days as determined by the Administrator) before any Tax Withholding Obligation arises (e.g., a vesting date), the Grantee may elect to satisfy the Grantee’s Tax Withholding Obligation by delivering to the Company an amount that the Company determines is sufficient to satisfy the Tax Withholding Obligation by</w:t>
      </w:r>
    </w:p>
    <w:p>
      <w:pPr>
        <w:ind w:firstLine="8"/>
        <w:spacing w:after="0" w:line="261" w:lineRule="auto"/>
        <w:tabs>
          <w:tab w:leader="none" w:pos="2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wire transfer to such account as the Company may direct, (y) delivery of a certified check payable to the Company, or (z) such other means as specified from time to time by the Administrator.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foregoing, the Company or a Subsidiary also may satisfy any Tax Withholding Obligation by offsetting any amounts (including, but not limited to, salary, bonus and severance payments) payable to the Grantee by the Company and/or a Subsidiary. Furthermore, in the event of any determination that the Company has failed to withhold a sum sufficient to pay all withholding taxes due in connection with the Award, the Grantee agrees to pay the Company the amount of such deficiency in cash within five (5) days after receiving a written demand from the Company to do so, whether or not the Grantee is an employee of the Company at that time.</w:t>
      </w:r>
    </w:p>
    <w:p>
      <w:pPr>
        <w:spacing w:after="0" w:line="188" w:lineRule="exact"/>
        <w:rPr>
          <w:sz w:val="20"/>
          <w:szCs w:val="20"/>
          <w:color w:val="auto"/>
        </w:rPr>
      </w:pPr>
    </w:p>
    <w:p>
      <w:pPr>
        <w:jc w:val="both"/>
        <w:ind w:firstLine="656"/>
        <w:spacing w:after="0" w:line="255" w:lineRule="auto"/>
        <w:tabs>
          <w:tab w:leader="none" w:pos="84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These agreements are to be construed in accordance with and governed by the internal laws of the State of California without giving effect to any choice of law rule that would cause the application of the laws of any jurisdiction other than the internal laws of the State of California to the rights and duties of the parties. Should any provision of the Notice or this Agreement be determined to be illegal or unenforceable, the other provisions shall nevertheless remain effective and shall remain enforceable.</w:t>
      </w:r>
    </w:p>
    <w:p>
      <w:pPr>
        <w:spacing w:after="0" w:line="189" w:lineRule="exact"/>
        <w:rPr>
          <w:rFonts w:ascii="Arial" w:cs="Arial" w:eastAsia="Arial" w:hAnsi="Arial"/>
          <w:sz w:val="18"/>
          <w:szCs w:val="18"/>
          <w:color w:val="auto"/>
        </w:rPr>
      </w:pPr>
    </w:p>
    <w:p>
      <w:pPr>
        <w:jc w:val="both"/>
        <w:ind w:firstLine="656"/>
        <w:spacing w:after="0" w:line="264" w:lineRule="auto"/>
        <w:tabs>
          <w:tab w:leader="none" w:pos="82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captions used in the Notice and this Agreement are inserted for convenience and shall not be deemed a part of the Award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ind w:firstLine="656"/>
        <w:spacing w:after="0" w:line="264" w:lineRule="auto"/>
        <w:tabs>
          <w:tab w:leader="none" w:pos="82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Administration and Interpretation</w:t>
      </w:r>
      <w:r>
        <w:rPr>
          <w:rFonts w:ascii="Arial" w:cs="Arial" w:eastAsia="Arial" w:hAnsi="Arial"/>
          <w:sz w:val="18"/>
          <w:szCs w:val="18"/>
          <w:color w:val="auto"/>
        </w:rPr>
        <w:t>. Any question or dispute regarding the administration or interpretation of the Notice, the Plan or this Agreement shall be submitted by the Grantee or by the Company to the Administrator. The resolution of such question or dispute by the Administrator shall be final and binding on all persons.</w:t>
      </w:r>
    </w:p>
    <w:p>
      <w:pPr>
        <w:spacing w:after="0" w:line="181" w:lineRule="exact"/>
        <w:rPr>
          <w:rFonts w:ascii="Arial" w:cs="Arial" w:eastAsia="Arial" w:hAnsi="Arial"/>
          <w:sz w:val="18"/>
          <w:szCs w:val="18"/>
          <w:color w:val="auto"/>
        </w:rPr>
      </w:pPr>
    </w:p>
    <w:p>
      <w:pPr>
        <w:jc w:val="both"/>
        <w:ind w:firstLine="656"/>
        <w:spacing w:after="0" w:line="273" w:lineRule="auto"/>
        <w:tabs>
          <w:tab w:leader="none" w:pos="828"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Venue and Jurisdiction</w:t>
      </w:r>
      <w:r>
        <w:rPr>
          <w:rFonts w:ascii="Arial" w:cs="Arial" w:eastAsia="Arial" w:hAnsi="Arial"/>
          <w:sz w:val="17"/>
          <w:szCs w:val="17"/>
          <w:color w:val="auto"/>
        </w:rPr>
        <w:t>. The parties agree that any suit, action, or proceeding arising out of or relating to the Notice, the Plan or this Agreement shall be brought exclusively in the United States District Court for the Southern District of California (or should such court lack jurisdiction to hear such action, suit or proceeding, in a California state court in the County of San Diego) and that the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9 shall for any reason be held invalid or unenforceable, it is the specific intent of the parties that such provisions shall be modified to the minimum extent necessary to make it or its application valid and enforceable.</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1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w:t>
      </w:r>
    </w:p>
    <w:p>
      <w:pPr>
        <w:spacing w:after="0" w:line="186" w:lineRule="exact"/>
        <w:rPr>
          <w:rFonts w:ascii="Arial" w:cs="Arial" w:eastAsia="Arial" w:hAnsi="Arial"/>
          <w:sz w:val="18"/>
          <w:szCs w:val="18"/>
          <w:color w:val="auto"/>
        </w:rPr>
      </w:pPr>
    </w:p>
    <w:p>
      <w:pPr>
        <w:ind w:firstLine="656"/>
        <w:spacing w:after="0" w:line="308" w:lineRule="auto"/>
        <w:tabs>
          <w:tab w:leader="none" w:pos="91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the Grantee has received this Agreement or any other document related to the Plan translated into a language other than English and if the translated version is different than the English version, the English version will control, unless otherwise prescribed by applicable law.</w:t>
      </w:r>
    </w:p>
    <w:p>
      <w:pPr>
        <w:spacing w:after="0" w:line="146" w:lineRule="exact"/>
        <w:rPr>
          <w:rFonts w:ascii="Arial" w:cs="Arial" w:eastAsia="Arial" w:hAnsi="Arial"/>
          <w:sz w:val="17"/>
          <w:szCs w:val="17"/>
          <w:color w:val="auto"/>
        </w:rPr>
      </w:pPr>
    </w:p>
    <w:p>
      <w:pPr>
        <w:jc w:val="both"/>
        <w:ind w:firstLine="656"/>
        <w:spacing w:after="0" w:line="255" w:lineRule="auto"/>
        <w:tabs>
          <w:tab w:leader="none" w:pos="93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Amendment and Delay to Meet the Requirements of Section 409A</w:t>
      </w:r>
      <w:r>
        <w:rPr>
          <w:rFonts w:ascii="Arial" w:cs="Arial" w:eastAsia="Arial" w:hAnsi="Arial"/>
          <w:sz w:val="18"/>
          <w:szCs w:val="18"/>
          <w:color w:val="auto"/>
        </w:rPr>
        <w:t>. The Grantee acknowledges that the Company, in the exercise of its sole discretion and without the consent of the Grantee, may amend or modify this Agreement in any manner and delay the issuance of any Shares issuable pursuant to this Agreement to the minimum extent necessary to meet the requirements of Section 409A of the Code as amplified by any Treasury regulations or guidance from the Internal Revenue Service as the Company deems appropriate or advisable. In addition, the Company makes no representation that the Award will comply with Section 409A of the Code and makes no undertaking to prevent Section 409A of the Code from applying to the Award or to mitigate its effects on any deferrals or payments made in respect of the Units. The Grantee is encouraged to consult a tax adviser regarding the potential impact of Section 409A of the Code.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 OF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5"/>
    </w:lvl>
  </w:abstractNum>
  <w:abstractNum w:abstractNumId="3">
    <w:nsid w:val="3F2DBA31"/>
    <w:multiLevelType w:val="hybridMultilevel"/>
    <w:lvl w:ilvl="0">
      <w:lvlJc w:val="left"/>
      <w:lvlText w:val="(%1)"/>
      <w:numFmt w:val="lowerLetter"/>
      <w:start w:val="1"/>
    </w:lvl>
  </w:abstractNum>
  <w:abstractNum w:abstractNumId="4">
    <w:nsid w:val="7C83E458"/>
    <w:multiLevelType w:val="hybridMultilevel"/>
    <w:lvl w:ilvl="0">
      <w:lvlJc w:val="left"/>
      <w:lvlText w:val="%1."/>
      <w:numFmt w:val="decimal"/>
      <w:start w:val="6"/>
    </w:lvl>
  </w:abstractNum>
  <w:abstractNum w:abstractNumId="5">
    <w:nsid w:val="257130A3"/>
    <w:multiLevelType w:val="hybridMultilevel"/>
    <w:lvl w:ilvl="0">
      <w:lvlJc w:val="left"/>
      <w:lvlText w:val="%1."/>
      <w:numFmt w:val="decimal"/>
      <w:start w:val="11"/>
    </w:lvl>
    <w:lvl w:ilvl="1">
      <w:lvlJc w:val="left"/>
      <w:lvlText w:val="(%2)"/>
      <w:numFmt w:val="lowerLetter"/>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4"/>
    </w:lvl>
  </w:abstractNum>
  <w:abstractNum w:abstractNumId="8">
    <w:nsid w:val="628C895D"/>
    <w:multiLevelType w:val="hybridMultilevel"/>
    <w:lvl w:ilvl="0">
      <w:lvlJc w:val="left"/>
      <w:lvlText w:val="%1."/>
      <w:numFmt w:val="decimal"/>
      <w:start w:val="5"/>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decimal"/>
      <w:start w:val="6"/>
    </w:lvl>
  </w:abstractNum>
  <w:abstractNum w:abstractNumId="11">
    <w:nsid w:val="2443A858"/>
    <w:multiLevelType w:val="hybridMultilevel"/>
    <w:lvl w:ilvl="0">
      <w:lvlJc w:val="left"/>
      <w:lvlText w:val="%1."/>
      <w:numFmt w:val="decimal"/>
      <w:start w:val="10"/>
    </w:lvl>
    <w:lvl w:ilvl="1">
      <w:lvlJc w:val="left"/>
      <w:lvlText w:val="(%2)"/>
      <w:numFmt w:val="lowerLetter"/>
      <w:start w:val="1"/>
    </w:lvl>
  </w:abstractNum>
  <w:abstractNum w:abstractNumId="12">
    <w:nsid w:val="2D1D5AE9"/>
    <w:multiLevelType w:val="hybridMultilevel"/>
    <w:lvl w:ilvl="0">
      <w:lvlJc w:val="left"/>
      <w:lvlText w:val="%1."/>
      <w:numFmt w:val="upperLetter"/>
      <w:start w:val="1"/>
    </w:lvl>
  </w:abstractNum>
  <w:abstractNum w:abstractNumId="13">
    <w:nsid w:val="6763845E"/>
    <w:multiLevelType w:val="hybridMultilevel"/>
    <w:lvl w:ilvl="0">
      <w:lvlJc w:val="left"/>
      <w:lvlText w:val="%1."/>
      <w:numFmt w:val="upperLetter"/>
      <w:start w:val="2"/>
    </w:lvl>
  </w:abstractNum>
  <w:abstractNum w:abstractNumId="14">
    <w:nsid w:val="75A2A8D4"/>
    <w:multiLevelType w:val="hybridMultilevel"/>
    <w:lvl w:ilvl="0">
      <w:lvlJc w:val="left"/>
      <w:lvlText w:val="%1."/>
      <w:numFmt w:val="upperLetter"/>
      <w:start w:val="3"/>
    </w:lvl>
  </w:abstractNum>
  <w:abstractNum w:abstractNumId="15">
    <w:nsid w:val="8EDBDAB"/>
    <w:multiLevelType w:val="hybridMultilevel"/>
    <w:lvl w:ilvl="0">
      <w:lvlJc w:val="left"/>
      <w:lvlText w:val="%1."/>
      <w:numFmt w:val="upperLetter"/>
      <w:start w:val="4"/>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4"/>
    </w:lvl>
    <w:lvl w:ilvl="1">
      <w:lvlJc w:val="left"/>
      <w:lvlText w:val="(%2)"/>
      <w:numFmt w:val="lowerLetter"/>
      <w:start w:val="1"/>
    </w:lvl>
  </w:abstractNum>
  <w:abstractNum w:abstractNumId="18">
    <w:nsid w:val="B03E0C6"/>
    <w:multiLevelType w:val="hybridMultilevel"/>
    <w:lvl w:ilvl="0">
      <w:lvlJc w:val="left"/>
      <w:lvlText w:val="%1"/>
      <w:numFmt w:val="lowerRoman"/>
      <w:start w:val="1"/>
    </w:lvl>
    <w:lvl w:ilvl="1">
      <w:lvlJc w:val="left"/>
      <w:lvlText w:val="(%2)"/>
      <w:numFmt w:val="lowerRoman"/>
      <w:start w:val="1"/>
    </w:lvl>
  </w:abstractNum>
  <w:abstractNum w:abstractNumId="19">
    <w:nsid w:val="189A769B"/>
    <w:multiLevelType w:val="hybridMultilevel"/>
    <w:lvl w:ilvl="0">
      <w:lvlJc w:val="left"/>
      <w:lvlText w:val="(%1)"/>
      <w:numFmt w:val="lowerRoman"/>
      <w:start w:val="10"/>
    </w:lvl>
    <w:lvl w:ilvl="1">
      <w:lvlJc w:val="left"/>
      <w:lvlText w:val="%2"/>
      <w:numFmt w:val="lowerRoman"/>
      <w:start w:val="1"/>
    </w:lvl>
  </w:abstractNum>
  <w:abstractNum w:abstractNumId="20">
    <w:nsid w:val="54E49EB4"/>
    <w:multiLevelType w:val="hybridMultilevel"/>
    <w:lvl w:ilvl="0">
      <w:lvlJc w:val="left"/>
      <w:lvlText w:val="%1."/>
      <w:numFmt w:val="decimal"/>
      <w:start w:val="6"/>
    </w:lvl>
  </w:abstractNum>
  <w:abstractNum w:abstractNumId="21">
    <w:nsid w:val="71F32454"/>
    <w:multiLevelType w:val="hybridMultilevel"/>
    <w:lvl w:ilvl="0">
      <w:lvlJc w:val="left"/>
      <w:lvlText w:val="%1."/>
      <w:numFmt w:val="decimal"/>
      <w:start w:val="7"/>
    </w:lvl>
  </w:abstractNum>
  <w:abstractNum w:abstractNumId="22">
    <w:nsid w:val="2CA88611"/>
    <w:multiLevelType w:val="hybridMultilevel"/>
    <w:lvl w:ilvl="0">
      <w:lvlJc w:val="left"/>
      <w:lvlText w:val="%1."/>
      <w:numFmt w:val="decimal"/>
      <w:start w:val="9"/>
    </w:lvl>
  </w:abstractNum>
  <w:abstractNum w:abstractNumId="23">
    <w:nsid w:val="836C40E"/>
    <w:multiLevelType w:val="hybridMultilevel"/>
    <w:lvl w:ilvl="0">
      <w:lvlJc w:val="left"/>
      <w:lvlText w:val="%1."/>
      <w:numFmt w:val="decimal"/>
      <w:start w:val="12"/>
    </w:lvl>
  </w:abstractNum>
  <w:abstractNum w:abstractNumId="24">
    <w:nsid w:val="2901D82"/>
    <w:multiLevelType w:val="hybridMultilevel"/>
    <w:lvl w:ilvl="0">
      <w:lvlJc w:val="left"/>
      <w:lvlText w:val="%1."/>
      <w:numFmt w:val="decimal"/>
      <w:start w:val="15"/>
    </w:lvl>
  </w:abstractNum>
  <w:abstractNum w:abstractNumId="25">
    <w:nsid w:val="3A95F874"/>
    <w:multiLevelType w:val="hybridMultilevel"/>
    <w:lvl w:ilvl="0">
      <w:lvlJc w:val="left"/>
      <w:lvlText w:val="(%1)"/>
      <w:numFmt w:val="lowerRoman"/>
      <w:start w:val="3"/>
    </w:lvl>
  </w:abstractNum>
  <w:abstractNum w:abstractNumId="26">
    <w:nsid w:val="8138641"/>
    <w:multiLevelType w:val="hybridMultilevel"/>
    <w:lvl w:ilvl="0">
      <w:lvlJc w:val="left"/>
      <w:lvlText w:val="%1."/>
      <w:numFmt w:val="decimal"/>
      <w:start w:val="1"/>
    </w:lvl>
    <w:lvl w:ilvl="1">
      <w:lvlJc w:val="left"/>
      <w:lvlText w:val="(%2)"/>
      <w:numFmt w:val="lowerLetter"/>
      <w:start w:val="1"/>
    </w:lvl>
  </w:abstractNum>
  <w:abstractNum w:abstractNumId="27">
    <w:nsid w:val="1E7FF52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
    <w:nsid w:val="7C3DBD3D"/>
    <w:multiLevelType w:val="hybridMultilevel"/>
    <w:lvl w:ilvl="0">
      <w:lvlJc w:val="left"/>
      <w:lvlText w:val="1"/>
      <w:numFmt w:val="bullet"/>
      <w:start w:val="1"/>
    </w:lvl>
  </w:abstractNum>
  <w:abstractNum w:abstractNumId="29">
    <w:nsid w:val="737B8DDC"/>
    <w:multiLevelType w:val="hybridMultilevel"/>
    <w:lvl w:ilvl="0">
      <w:lvlJc w:val="left"/>
      <w:lvlText w:val="%1"/>
      <w:numFmt w:val="lowerRoman"/>
      <w:start w:val="1"/>
    </w:lvl>
    <w:lvl w:ilvl="1">
      <w:lvlJc w:val="left"/>
      <w:lvlText w:val="(%2)"/>
      <w:numFmt w:val="lowerRoman"/>
      <w:start w:val="3"/>
    </w:lvl>
  </w:abstractNum>
  <w:abstractNum w:abstractNumId="30">
    <w:nsid w:val="6CEAF087"/>
    <w:multiLevelType w:val="hybridMultilevel"/>
    <w:lvl w:ilvl="0">
      <w:lvlJc w:val="left"/>
      <w:lvlText w:val="(%1)"/>
      <w:numFmt w:val="lowerRoman"/>
      <w:start w:val="10"/>
    </w:lvl>
    <w:lvl w:ilvl="1">
      <w:lvlJc w:val="left"/>
      <w:lvlText w:val="%2"/>
      <w:numFmt w:val="lowerRoman"/>
      <w:start w:val="1"/>
    </w:lvl>
  </w:abstractNum>
  <w:abstractNum w:abstractNumId="31">
    <w:nsid w:val="22221A70"/>
    <w:multiLevelType w:val="hybridMultilevel"/>
    <w:lvl w:ilvl="0">
      <w:lvlJc w:val="left"/>
      <w:lvlText w:val="%1."/>
      <w:numFmt w:val="decimal"/>
      <w:start w:val="6"/>
    </w:lvl>
  </w:abstractNum>
  <w:abstractNum w:abstractNumId="32">
    <w:nsid w:val="4516DDE9"/>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2020-01-17T14:33:15Z</dcterms:created>
  <dcterms:modified xsi:type="dcterms:W3CDTF">2020-01-17T14:33:15Z</dcterms:modified>
</cp:coreProperties>
</file>