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HARROW HEALTH,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HARROW HEALTH,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effected pursuant to a Rule 10b5-1 trading plan, as amended,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2020-01-09T12:52:31Z</dcterms:created>
  <dcterms:modified xsi:type="dcterms:W3CDTF">2020-01-09T12:52:31Z</dcterms:modified>
</cp:coreProperties>
</file>