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686"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8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1"/>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Opaleye Management Inc.</w:t>
              </w:r>
            </w:hyperlink>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HARROW,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HROW</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46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5"/>
                <w:szCs w:val="5"/>
                <w:color w:val="auto"/>
              </w:rPr>
            </w:pP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50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500" w:type="dxa"/>
            <w:vAlign w:val="bottom"/>
            <w:gridSpan w:val="5"/>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2900" w:type="dxa"/>
            <w:vAlign w:val="bottom"/>
            <w:tcBorders>
              <w:top w:val="single" w:sz="8" w:color="2C2C2C"/>
            </w:tcBorders>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Borders>
              <w:top w:val="single" w:sz="8" w:color="2C2C2C"/>
            </w:tcBorders>
          </w:tcPr>
          <w:p>
            <w:pPr>
              <w:spacing w:after="0"/>
              <w:rPr>
                <w:sz w:val="2"/>
                <w:szCs w:val="2"/>
                <w:color w:val="auto"/>
              </w:rPr>
            </w:pPr>
          </w:p>
        </w:tc>
        <w:tc>
          <w:tcPr>
            <w:tcW w:w="340" w:type="dxa"/>
            <w:vAlign w:val="bottom"/>
            <w:tcBorders>
              <w:top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gridSpan w:val="3"/>
            <w:vMerge w:val="continue"/>
          </w:tcPr>
          <w:p>
            <w:pPr>
              <w:spacing w:after="0"/>
              <w:rPr>
                <w:sz w:val="2"/>
                <w:szCs w:val="2"/>
                <w:color w:val="auto"/>
              </w:rPr>
            </w:pPr>
          </w:p>
        </w:tc>
        <w:tc>
          <w:tcPr>
            <w:tcW w:w="150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1"/>
                <w:szCs w:val="11"/>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4"/>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2900" w:type="dxa"/>
            <w:vAlign w:val="bottom"/>
            <w:gridSpan w:val="7"/>
            <w:vMerge w:val="continue"/>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320"/>
              <w:spacing w:after="0" w:line="132" w:lineRule="exact"/>
              <w:rPr>
                <w:sz w:val="20"/>
                <w:szCs w:val="20"/>
                <w:color w:val="auto"/>
              </w:rPr>
            </w:pPr>
            <w:r>
              <w:rPr>
                <w:rFonts w:ascii="Arial" w:cs="Arial" w:eastAsia="Arial" w:hAnsi="Arial"/>
                <w:sz w:val="13"/>
                <w:szCs w:val="13"/>
                <w:color w:val="auto"/>
              </w:rPr>
              <w:t>below)</w:t>
            </w:r>
          </w:p>
        </w:tc>
        <w:tc>
          <w:tcPr>
            <w:tcW w:w="460" w:type="dxa"/>
            <w:vAlign w:val="bottom"/>
          </w:tcPr>
          <w:p>
            <w:pPr>
              <w:spacing w:after="0"/>
              <w:rPr>
                <w:sz w:val="11"/>
                <w:szCs w:val="11"/>
                <w:color w:val="auto"/>
              </w:rPr>
            </w:pPr>
          </w:p>
        </w:tc>
        <w:tc>
          <w:tcPr>
            <w:tcW w:w="720" w:type="dxa"/>
            <w:vAlign w:val="bottom"/>
            <w:gridSpan w:val="2"/>
          </w:tcPr>
          <w:p>
            <w:pPr>
              <w:ind w:left="240"/>
              <w:spacing w:after="0" w:line="132" w:lineRule="exact"/>
              <w:rPr>
                <w:sz w:val="20"/>
                <w:szCs w:val="20"/>
                <w:color w:val="auto"/>
              </w:rPr>
            </w:pPr>
            <w:r>
              <w:rPr>
                <w:rFonts w:ascii="Arial" w:cs="Arial" w:eastAsia="Arial" w:hAnsi="Arial"/>
                <w:sz w:val="13"/>
                <w:szCs w:val="13"/>
                <w:color w:val="auto"/>
              </w:rPr>
              <w:t>below)</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13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03/18/2025</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ONE BOSTON PLACE,</w:t>
            </w: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26TH FLOOR</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1"/>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continue"/>
          </w:tcPr>
          <w:p>
            <w:pPr>
              <w:spacing w:after="0"/>
              <w:rPr>
                <w:sz w:val="6"/>
                <w:szCs w:val="6"/>
                <w:color w:val="auto"/>
              </w:rPr>
            </w:pPr>
          </w:p>
        </w:tc>
        <w:tc>
          <w:tcPr>
            <w:tcW w:w="340" w:type="dxa"/>
            <w:vAlign w:val="bottom"/>
          </w:tcPr>
          <w:p>
            <w:pPr>
              <w:spacing w:after="0"/>
              <w:rPr>
                <w:sz w:val="6"/>
                <w:szCs w:val="6"/>
                <w:color w:val="auto"/>
              </w:rPr>
            </w:pPr>
          </w:p>
        </w:tc>
        <w:tc>
          <w:tcPr>
            <w:tcW w:w="342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3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03/18/2025</w:t>
            </w:r>
          </w:p>
        </w:tc>
        <w:tc>
          <w:tcPr>
            <w:tcW w:w="80" w:type="dxa"/>
            <w:vAlign w:val="bottom"/>
            <w:vMerge w:val="restart"/>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vMerge w:val="restart"/>
          </w:tcPr>
          <w:p>
            <w:pPr>
              <w:spacing w:after="0"/>
              <w:rPr>
                <w:sz w:val="6"/>
                <w:szCs w:val="6"/>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1000" w:type="dxa"/>
            <w:vAlign w:val="bottom"/>
            <w:gridSpan w:val="4"/>
            <w:vMerge w:val="continue"/>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02108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230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21"/>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5"/>
                <w:szCs w:val="15"/>
                <w:color w:val="auto"/>
              </w:rPr>
            </w:pPr>
          </w:p>
        </w:tc>
        <w:tc>
          <w:tcPr>
            <w:tcW w:w="1140" w:type="dxa"/>
            <w:vAlign w:val="bottom"/>
            <w:gridSpan w:val="3"/>
          </w:tcPr>
          <w:p>
            <w:pPr>
              <w:ind w:left="3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gridSpan w:val="5"/>
          </w:tcPr>
          <w:p>
            <w:pPr>
              <w:ind w:left="3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6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4"/>
            <w:vMerge w:val="continue"/>
          </w:tcPr>
          <w:p>
            <w:pPr>
              <w:spacing w:after="0"/>
              <w:rPr>
                <w:sz w:val="8"/>
                <w:szCs w:val="8"/>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7"/>
            <w:vMerge w:val="continue"/>
          </w:tcPr>
          <w:p>
            <w:pPr>
              <w:spacing w:after="0"/>
              <w:rPr>
                <w:sz w:val="9"/>
                <w:szCs w:val="9"/>
                <w:color w:val="auto"/>
              </w:rPr>
            </w:pPr>
          </w:p>
        </w:tc>
        <w:tc>
          <w:tcPr>
            <w:tcW w:w="1440" w:type="dxa"/>
            <w:vAlign w:val="bottom"/>
            <w:gridSpan w:val="5"/>
            <w:vMerge w:val="restart"/>
          </w:tcPr>
          <w:p>
            <w:pPr>
              <w:ind w:left="440"/>
              <w:spacing w:after="0"/>
              <w:rPr>
                <w:sz w:val="20"/>
                <w:szCs w:val="20"/>
                <w:color w:val="auto"/>
              </w:rPr>
            </w:pPr>
            <w:r>
              <w:rPr>
                <w:rFonts w:ascii="Times New Roman" w:cs="Times New Roman" w:eastAsia="Times New Roman" w:hAnsi="Times New Roman"/>
                <w:sz w:val="17"/>
                <w:szCs w:val="17"/>
                <w:color w:val="0000FF"/>
              </w:rPr>
              <w:t>03/18/2025</w:t>
            </w: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5,000</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29.64</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145,000</w:t>
            </w:r>
          </w:p>
        </w:tc>
        <w:tc>
          <w:tcPr>
            <w:tcW w:w="4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spacing w:after="0"/>
              <w:rPr>
                <w:sz w:val="9"/>
                <w:szCs w:val="9"/>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40" w:type="dxa"/>
            <w:vAlign w:val="bottom"/>
            <w:gridSpan w:val="5"/>
            <w:vMerge w:val="continue"/>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Account</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80" w:type="dxa"/>
            <w:vAlign w:val="bottom"/>
            <w:tcBorders>
              <w:top w:val="single" w:sz="8" w:color="2C2C2C"/>
            </w:tcBorders>
            <w:gridSpan w:val="7"/>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0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By</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80" w:type="dxa"/>
            <w:vAlign w:val="bottom"/>
            <w:gridSpan w:val="7"/>
            <w:vMerge w:val="continue"/>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3,815,000</w:t>
            </w:r>
          </w:p>
        </w:tc>
        <w:tc>
          <w:tcPr>
            <w:tcW w:w="4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20" w:type="dxa"/>
            <w:vAlign w:val="bottom"/>
          </w:tcPr>
          <w:p>
            <w:pPr>
              <w:spacing w:after="0"/>
              <w:rPr>
                <w:sz w:val="9"/>
                <w:szCs w:val="9"/>
                <w:color w:val="auto"/>
              </w:rPr>
            </w:pPr>
          </w:p>
        </w:tc>
        <w:tc>
          <w:tcPr>
            <w:tcW w:w="108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Opaleye,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8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0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0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40" w:type="dxa"/>
            <w:vAlign w:val="bottom"/>
            <w:gridSpan w:val="16"/>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8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80" w:type="dxa"/>
            <w:vAlign w:val="bottom"/>
          </w:tcPr>
          <w:p>
            <w:pPr>
              <w:spacing w:after="0"/>
              <w:rPr>
                <w:sz w:val="15"/>
                <w:szCs w:val="15"/>
                <w:color w:val="auto"/>
              </w:rPr>
            </w:pP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46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w w:val="92"/>
              </w:rPr>
              <w:t>(Instr. 4)</w:t>
            </w: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Securities owned by a separately managed account (the "Managed Account"). As the portfolio manager of the Managed Account, Opaleye may be deemed to beneficially own the securities owned directly by the Managed Account.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securities owned directly by Opaleye, L.P. (the "Fund"). As the investment manager of the Fund, Opaleye Management Inc. may be deemed to beneficially own the securities owned directly by the Fund.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 transactions were effected by Opaleye, L.P. during the period covered by this Form 4.</w:t>
      </w:r>
    </w:p>
    <w:p>
      <w:pPr>
        <w:spacing w:after="0" w:line="5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This amendment to Form 4 is being filed to correct an inadvertent error in the Form 4 filed on March 20, 2025.</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Opaleye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By: /s/ James Silverman,</w:t>
      </w:r>
      <w:r>
        <w:rPr>
          <w:sz w:val="20"/>
          <w:szCs w:val="20"/>
          <w:color w:val="auto"/>
        </w:rPr>
        <w:tab/>
      </w:r>
      <w:r>
        <w:rPr>
          <w:rFonts w:ascii="Times New Roman" w:cs="Times New Roman" w:eastAsia="Times New Roman" w:hAnsi="Times New Roman"/>
          <w:sz w:val="17"/>
          <w:szCs w:val="17"/>
          <w:color w:val="0000FF"/>
        </w:rPr>
        <w:t>05/14/2025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095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0957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95855" TargetMode="External"/><Relationship Id="rId14"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2025-05-14T15:56:52Z</dcterms:created>
  <dcterms:modified xsi:type="dcterms:W3CDTF">2025-05-14T15:56:52Z</dcterms:modified>
</cp:coreProperties>
</file>