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15,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15, 2016, Imprimis Pharmaceuticals, Inc. (the “Company”) issued a press release announcing its financial results for the second quarter ended June 30, 2016.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15, 2016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August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 August 15, 2016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26895" cy="960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26895" cy="9607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Second Quarter 2016 Financial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San Diego, CA – August 15, 2016 — Imprimis Pharmaceuticals, Inc. (NASDAQ: IMMY), a pharmaceutical company dedicated to making drugs affordable again through its Branded Compounding™ business model, today reported financial results for the second quarter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2016 and Recent Financial Highlights:</w:t>
      </w:r>
    </w:p>
    <w:p>
      <w:pPr>
        <w:spacing w:after="0" w:line="229"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$4.9 million in the second quarter 2016, up nearly 150% year over year</w:t>
      </w:r>
    </w:p>
    <w:p>
      <w:pPr>
        <w:spacing w:after="0" w:line="225" w:lineRule="exact"/>
        <w:rPr>
          <w:rFonts w:ascii="Arial" w:cs="Arial" w:eastAsia="Arial" w:hAnsi="Arial"/>
          <w:sz w:val="18"/>
          <w:szCs w:val="18"/>
          <w:color w:val="auto"/>
        </w:rPr>
      </w:pPr>
    </w:p>
    <w:p>
      <w:pPr>
        <w:ind w:left="1140" w:hanging="286"/>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Ophthalmology-related revenue of $2.6 million in the second quarter 2016, up over 330% year over year</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56% for the second quarter 2016</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loss for the second quarter 2016 of $2.3 million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senior leadership team with four key additions in Operations, Quality, Manufacturing and Client Relations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Equipment sale and leaseback agreement with Essex Capital Corporation completed in August, providing $2.0 million of gross proceeds at closing</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pleased to report our seventh consecutive period of double digit revenue growth,” said Mark L. Baum, CEO of Imprimis. “We continue to make strides in establishing our model and positioning the company for scalable growth and leverage. We are extending the market reach for our Imprimis Cares® program by working with payers and pharmacy benefit managers to increase access and availability to our formulations, and in turn creating systems that make the claims adjudication process as efficient as possible. We continue to take market share in our core therapeutic areas – particularly in ophthalmology. We believe we are well-positioned to capitalize on the investments we have made in expanding our facilities, improving operational efficiencies, introducing new formulations in current and new therapeutic classes, and building a leadership team that drives continued innovation, sustainable growth and the creation of shareholder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Commercialization and Corporate Developments</w:t>
      </w:r>
    </w:p>
    <w:p>
      <w:pPr>
        <w:spacing w:after="0" w:line="225" w:lineRule="exact"/>
        <w:rPr>
          <w:sz w:val="20"/>
          <w:szCs w:val="20"/>
          <w:color w:val="auto"/>
        </w:rPr>
      </w:pPr>
    </w:p>
    <w:p>
      <w:pPr>
        <w:ind w:left="76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Publication of a peer-reviewed Dropless Therapy® clinical study in the Journal of Ophthalmology, comparing Dropless Cataract Surgery to post-surgical topical drops. Dropless demonstrated measurable benefits compared to drops:</w:t>
      </w:r>
    </w:p>
    <w:p>
      <w:pPr>
        <w:spacing w:after="0" w:line="170" w:lineRule="exact"/>
        <w:rPr>
          <w:rFonts w:ascii="Arial" w:cs="Arial" w:eastAsia="Arial" w:hAnsi="Arial"/>
          <w:sz w:val="18"/>
          <w:szCs w:val="18"/>
          <w:color w:val="auto"/>
        </w:rPr>
      </w:pPr>
    </w:p>
    <w:p>
      <w:pPr>
        <w:ind w:left="1000" w:hanging="236"/>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22 of 24 patients, or 92%, indicated they preferred Dropless over eye drops.</w:t>
      </w:r>
    </w:p>
    <w:p>
      <w:pPr>
        <w:spacing w:after="0" w:line="23" w:lineRule="exact"/>
        <w:rPr>
          <w:rFonts w:ascii="Arial" w:cs="Arial" w:eastAsia="Arial" w:hAnsi="Arial"/>
          <w:sz w:val="18"/>
          <w:szCs w:val="18"/>
          <w:color w:val="auto"/>
        </w:rPr>
      </w:pPr>
    </w:p>
    <w:p>
      <w:pPr>
        <w:ind w:left="1000" w:hanging="236"/>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Regarding the postoperative visual outcome, 21 of the 24 patients, or 88%, preferred Dropless.</w:t>
      </w:r>
    </w:p>
    <w:p>
      <w:pPr>
        <w:spacing w:after="0" w:line="210"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Presentation of positive findings of an investigator-initiated study demonstrating a significant reduction in cystoid macular edema (CME) in post-cataract surgery patients with the company’s injectable </w:t>
      </w:r>
      <w:r>
        <w:rPr>
          <w:rFonts w:ascii="Arial" w:cs="Arial" w:eastAsia="Arial" w:hAnsi="Arial"/>
          <w:sz w:val="18"/>
          <w:szCs w:val="18"/>
          <w:u w:val="single" w:color="auto"/>
          <w:color w:val="auto"/>
        </w:rPr>
        <w:t>Dropless Therapy®</w:t>
      </w:r>
      <w:r>
        <w:rPr>
          <w:rFonts w:ascii="Arial" w:cs="Arial" w:eastAsia="Arial" w:hAnsi="Arial"/>
          <w:sz w:val="18"/>
          <w:szCs w:val="18"/>
          <w:color w:val="auto"/>
        </w:rPr>
        <w:t xml:space="preserve"> (Tri-Moxi-Vanc) and an added NSAID topical eye drop compared to patients treated with traditional individual NSAID and steroid topical drops following cataract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left="760" w:hanging="374"/>
        <w:spacing w:after="0" w:line="25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adoption of Dropless Therapy and our LessDrops® combination topical drops as these formulations continue to capture market share from large eye drop companies.</w:t>
      </w:r>
    </w:p>
    <w:p>
      <w:pPr>
        <w:spacing w:after="0" w:line="1" w:lineRule="exact"/>
        <w:rPr>
          <w:rFonts w:ascii="Arial" w:cs="Arial" w:eastAsia="Arial" w:hAnsi="Arial"/>
          <w:sz w:val="18"/>
          <w:szCs w:val="18"/>
          <w:color w:val="auto"/>
        </w:rPr>
      </w:pPr>
    </w:p>
    <w:p>
      <w:pPr>
        <w:ind w:left="1100" w:hanging="336"/>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Estimated share of the cataract eye drop market is greater than 10%.</w:t>
      </w:r>
    </w:p>
    <w:p>
      <w:pPr>
        <w:spacing w:after="0" w:line="9" w:lineRule="exact"/>
        <w:rPr>
          <w:rFonts w:ascii="Arial" w:cs="Arial" w:eastAsia="Arial" w:hAnsi="Arial"/>
          <w:sz w:val="18"/>
          <w:szCs w:val="18"/>
          <w:color w:val="auto"/>
        </w:rPr>
      </w:pPr>
    </w:p>
    <w:p>
      <w:pPr>
        <w:ind w:left="1100" w:hanging="336"/>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Serviced over 300,000 cataract surgeries since launch in April 2014.</w:t>
      </w:r>
    </w:p>
    <w:p>
      <w:pPr>
        <w:spacing w:after="0" w:line="9" w:lineRule="exact"/>
        <w:rPr>
          <w:rFonts w:ascii="Arial" w:cs="Arial" w:eastAsia="Arial" w:hAnsi="Arial"/>
          <w:sz w:val="18"/>
          <w:szCs w:val="18"/>
          <w:color w:val="auto"/>
        </w:rPr>
      </w:pPr>
    </w:p>
    <w:p>
      <w:pPr>
        <w:ind w:left="1100" w:hanging="336"/>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Expanded customer base with over 500 ophthalmologists. `</w:t>
      </w:r>
    </w:p>
    <w:p>
      <w:pPr>
        <w:spacing w:after="0" w:line="9" w:lineRule="exact"/>
        <w:rPr>
          <w:rFonts w:ascii="Arial" w:cs="Arial" w:eastAsia="Arial" w:hAnsi="Arial"/>
          <w:sz w:val="18"/>
          <w:szCs w:val="18"/>
          <w:color w:val="auto"/>
        </w:rPr>
      </w:pPr>
    </w:p>
    <w:p>
      <w:pPr>
        <w:ind w:left="1100" w:hanging="336"/>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Provided formulations for approximately 10,000 cataract and other ocular surgeries per week.</w:t>
      </w:r>
    </w:p>
    <w:p>
      <w:pPr>
        <w:spacing w:after="0" w:line="21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Introduced patent-pending </w:t>
      </w:r>
      <w:r>
        <w:rPr>
          <w:rFonts w:ascii="Arial" w:cs="Arial" w:eastAsia="Arial" w:hAnsi="Arial"/>
          <w:sz w:val="18"/>
          <w:szCs w:val="18"/>
          <w:u w:val="single" w:color="auto"/>
          <w:color w:val="auto"/>
        </w:rPr>
        <w:t>IV Free MKO Melt™</w:t>
      </w:r>
      <w:r>
        <w:rPr>
          <w:rFonts w:ascii="Arial" w:cs="Arial" w:eastAsia="Arial" w:hAnsi="Arial"/>
          <w:sz w:val="18"/>
          <w:szCs w:val="18"/>
          <w:color w:val="auto"/>
        </w:rPr>
        <w:t xml:space="preserve"> (midazolam, ketamine and ondansetron) compounded conscious sedation formulations, an alternative option to IV anesthetic for patients undergoing ocular and other surgical procedures.</w:t>
      </w:r>
    </w:p>
    <w:p>
      <w:pPr>
        <w:spacing w:after="0" w:line="170" w:lineRule="exact"/>
        <w:rPr>
          <w:rFonts w:ascii="Arial" w:cs="Arial" w:eastAsia="Arial" w:hAnsi="Arial"/>
          <w:sz w:val="18"/>
          <w:szCs w:val="18"/>
          <w:color w:val="auto"/>
        </w:rPr>
      </w:pPr>
    </w:p>
    <w:p>
      <w:pPr>
        <w:jc w:val="both"/>
        <w:ind w:left="760" w:hanging="374"/>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Developed the new </w:t>
      </w:r>
      <w:r>
        <w:rPr>
          <w:rFonts w:ascii="Arial" w:cs="Arial" w:eastAsia="Arial" w:hAnsi="Arial"/>
          <w:sz w:val="18"/>
          <w:szCs w:val="18"/>
          <w:u w:val="single" w:color="auto"/>
          <w:color w:val="auto"/>
        </w:rPr>
        <w:t>MaxRx Prescriber Portal™,</w:t>
      </w:r>
      <w:r>
        <w:rPr>
          <w:rFonts w:ascii="Arial" w:cs="Arial" w:eastAsia="Arial" w:hAnsi="Arial"/>
          <w:sz w:val="18"/>
          <w:szCs w:val="18"/>
          <w:color w:val="auto"/>
        </w:rPr>
        <w:t xml:space="preserve"> which allows for customer ordering ease, provides maximum visibility into order workflow and improves accuracy of prescription information. Since its introduction on July 15, 2016, more than 300 physicians have begun ordering through the portal instead of by fax or phone. Imprimis expects to have all new customers order through the MaxRx portal and transition all existing customers to the new ordering platform.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 Pharmacy Operations</w:t>
      </w:r>
    </w:p>
    <w:p>
      <w:pPr>
        <w:spacing w:after="0" w:line="225" w:lineRule="exact"/>
        <w:rPr>
          <w:sz w:val="20"/>
          <w:szCs w:val="20"/>
          <w:color w:val="auto"/>
        </w:rPr>
      </w:pPr>
    </w:p>
    <w:p>
      <w:pPr>
        <w:ind w:left="760" w:right="2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Registered ImprimisRx TX with the U.S. Food and Drug Administration (FDA) as a 503B outsourcing facility with plans to begin dispensing certain ophthalmic formulations in November 2016.</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Completed construction of the ImprimisRx NJ 8,600 square foot facility in Roxbury, NJ, which will provide five additional cleanrooms, representing a tenfold increase in overall production levels.</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Strengthened senior leadership team with the addition of several key senior professionals with extensive experience and backgrounds in large pharmaceutical and healthcare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Selected highlights regarding operating results for the three and six months ended June 30, 2016 and for the same periods in 2015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For the three 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For the three months</w:t>
            </w:r>
          </w:p>
        </w:tc>
      </w:tr>
      <w:tr>
        <w:trPr>
          <w:trHeight w:val="241"/>
        </w:trPr>
        <w:tc>
          <w:tcPr>
            <w:tcW w:w="4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ended June 30, 2016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ended June 30, 2015</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2,172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4,397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2,743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(3,730)</w:t>
            </w:r>
          </w:p>
        </w:tc>
      </w:t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(0.35)</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(0.39)</w:t>
            </w:r>
          </w:p>
        </w:tc>
      </w:tr>
      <w:tr>
        <w:trPr>
          <w:trHeight w:val="448"/>
        </w:trPr>
        <w:tc>
          <w:tcPr>
            <w:tcW w:w="4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b w:val="1"/>
                <w:bCs w:val="1"/>
                <w:color w:val="auto"/>
                <w:w w:val="96"/>
              </w:rPr>
              <w:t>For the six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For the six months</w:t>
            </w:r>
          </w:p>
        </w:tc>
      </w:tr>
      <w:tr>
        <w:trPr>
          <w:trHeight w:val="241"/>
        </w:trPr>
        <w:tc>
          <w:tcPr>
            <w:tcW w:w="4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 2016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ended June 30, 2015</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4,421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8,337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5,223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520" w:type="dxa"/>
            <w:vAlign w:val="bottom"/>
            <w:gridSpan w:val="2"/>
            <w:shd w:val="clear" w:color="auto" w:fill="CCEEFF"/>
          </w:tcPr>
          <w:p>
            <w:pPr>
              <w:ind w:left="224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(6,823)</w:t>
            </w:r>
          </w:p>
        </w:tc>
      </w:t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2520" w:type="dxa"/>
            <w:vAlign w:val="bottom"/>
            <w:gridSpan w:val="2"/>
          </w:tcPr>
          <w:p>
            <w:pPr>
              <w:ind w:left="224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(0.77)</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(0.72)</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For the three months</w:t>
            </w:r>
          </w:p>
        </w:tc>
      </w:tr>
      <w:tr>
        <w:trPr>
          <w:trHeight w:val="241"/>
        </w:trPr>
        <w:tc>
          <w:tcPr>
            <w:tcW w:w="3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ended June 30, 2016</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Taxes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r>
      <w:tr>
        <w:trPr>
          <w:trHeight w:val="257"/>
        </w:trPr>
        <w:tc>
          <w:tcPr>
            <w:tcW w:w="36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Non-recurring expenses</w:t>
            </w:r>
            <w:r>
              <w:rPr>
                <w:rFonts w:ascii="Arial" w:cs="Arial" w:eastAsia="Arial" w:hAnsi="Arial"/>
                <w:sz w:val="29"/>
                <w:szCs w:val="29"/>
                <w:color w:val="auto"/>
                <w:vertAlign w:val="superscript"/>
              </w:rPr>
              <w:t>(1)</w:t>
            </w: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Other (income) loss, net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(2,302)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Non-recurring expense items included expenses related to litigation resolution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management team will host a conference call and audio-only webcast today at 4:30 p.m. EDT (1:30 p.m. PDT) to discuss the financial results and recent developments. To participate in the call, dial (877)-407-8035 for domestic callers or (201)-689-8035 for international callers. To listen to the webcast, please visit the investor relations section of the Imprimis website at </w:t>
      </w:r>
      <w:r>
        <w:rPr>
          <w:rFonts w:ascii="Arial" w:cs="Arial" w:eastAsia="Arial" w:hAnsi="Arial"/>
          <w:sz w:val="17"/>
          <w:szCs w:val="17"/>
          <w:u w:val="single" w:color="auto"/>
          <w:color w:val="auto"/>
        </w:rPr>
        <w:t>www.ImprimisRx.com</w:t>
      </w:r>
      <w:r>
        <w:rPr>
          <w:rFonts w:ascii="Arial" w:cs="Arial" w:eastAsia="Arial" w:hAnsi="Arial"/>
          <w:sz w:val="17"/>
          <w:szCs w:val="17"/>
          <w:color w:val="auto"/>
        </w:rPr>
        <w:t>. A replay of the call will be available until September 15, 2016. To access the replay, dial (877)-660-6853 domestically or (201)-612-7415 internationally and reference Conference ID: 13641964.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Imprimis Pharmaceuticals, Inc. (NASDAQ: IMMY) is a pharmaceutical company dedicated to making drugs affordable again through its Branded Compounding™ business model. The company is focused on patient outcomes and affordability and offers high quality lower-cost custom compounded drugs in all 50 states. Headquartered in San Diego, California, Imprimis owns and operates four dispensing facilities located in California, Texas, New Jersey and Pennsylvania. For more information about Imprimis, please visit the corporate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i w:val="1"/>
          <w:iCs w:val="1"/>
          <w:color w:val="auto"/>
        </w:rPr>
        <w:t>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Paul Rabin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paul@pascalecommunications.com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516.503.0271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2020-01-21T01:09:32Z</dcterms:created>
  <dcterms:modified xsi:type="dcterms:W3CDTF">2020-01-21T01:09:32Z</dcterms:modified>
</cp:coreProperties>
</file>