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255270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297180</wp:posOffset>
            </wp:positionV>
            <wp:extent cx="72726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397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September 17, 2014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IMPRIMIS PHARMACEUTICALS,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62" w:lineRule="exact"/>
        <w:rPr>
          <w:sz w:val="24"/>
          <w:szCs w:val="24"/>
          <w:color w:val="auto"/>
        </w:rPr>
      </w:pPr>
    </w:p>
    <w:tbl>
      <w:tblPr>
        <w:tblLayout w:type="fixed"/>
        <w:tblInd w:w="1080" w:type="dxa"/>
        <w:tblCellMar>
          <w:top w:w="0" w:type="dxa"/>
          <w:left w:w="0" w:type="dxa"/>
          <w:bottom w:w="0" w:type="dxa"/>
          <w:right w:w="0" w:type="dxa"/>
        </w:tblCellMar>
      </w:tblPr>
      <w:tr>
        <w:trPr>
          <w:trHeight w:val="179"/>
        </w:trPr>
        <w:tc>
          <w:tcPr>
            <w:tcW w:w="15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1"/>
              </w:rPr>
              <w:t>Delaware</w:t>
            </w:r>
          </w:p>
        </w:tc>
        <w:tc>
          <w:tcPr>
            <w:tcW w:w="5780" w:type="dxa"/>
            <w:vAlign w:val="bottom"/>
          </w:tcPr>
          <w:p>
            <w:pPr>
              <w:jc w:val="center"/>
              <w:ind w:left="387"/>
              <w:spacing w:after="0"/>
              <w:rPr>
                <w:sz w:val="20"/>
                <w:szCs w:val="20"/>
                <w:color w:val="auto"/>
              </w:rPr>
            </w:pPr>
            <w:r>
              <w:rPr>
                <w:rFonts w:ascii="Arial" w:cs="Arial" w:eastAsia="Arial" w:hAnsi="Arial"/>
                <w:sz w:val="15"/>
                <w:szCs w:val="15"/>
                <w:b w:val="1"/>
                <w:bCs w:val="1"/>
                <w:color w:val="auto"/>
                <w:w w:val="89"/>
              </w:rPr>
              <w:t>001-35814</w:t>
            </w:r>
          </w:p>
        </w:tc>
        <w:tc>
          <w:tcPr>
            <w:tcW w:w="1780" w:type="dxa"/>
            <w:vAlign w:val="bottom"/>
            <w:gridSpan w:val="2"/>
          </w:tcPr>
          <w:p>
            <w:pPr>
              <w:jc w:val="right"/>
              <w:ind w:right="127"/>
              <w:spacing w:after="0"/>
              <w:rPr>
                <w:sz w:val="20"/>
                <w:szCs w:val="20"/>
                <w:color w:val="auto"/>
              </w:rPr>
            </w:pPr>
            <w:r>
              <w:rPr>
                <w:rFonts w:ascii="Arial" w:cs="Arial" w:eastAsia="Arial" w:hAnsi="Arial"/>
                <w:sz w:val="15"/>
                <w:szCs w:val="15"/>
                <w:b w:val="1"/>
                <w:bCs w:val="1"/>
                <w:color w:val="auto"/>
              </w:rPr>
              <w:t>45-0567010</w:t>
            </w:r>
          </w:p>
        </w:tc>
      </w:tr>
      <w:tr>
        <w:trPr>
          <w:trHeight w:val="175"/>
        </w:trPr>
        <w:tc>
          <w:tcPr>
            <w:tcW w:w="1540" w:type="dxa"/>
            <w:vAlign w:val="bottom"/>
            <w:gridSpan w:val="2"/>
          </w:tcPr>
          <w:p>
            <w:pPr>
              <w:jc w:val="center"/>
              <w:spacing w:after="0"/>
              <w:rPr>
                <w:sz w:val="20"/>
                <w:szCs w:val="20"/>
                <w:color w:val="auto"/>
              </w:rPr>
            </w:pPr>
            <w:r>
              <w:rPr>
                <w:rFonts w:ascii="Arial" w:cs="Arial" w:eastAsia="Arial" w:hAnsi="Arial"/>
                <w:sz w:val="15"/>
                <w:szCs w:val="15"/>
                <w:color w:val="auto"/>
                <w:w w:val="90"/>
              </w:rPr>
              <w:t>(State or other jurisdiction</w:t>
            </w:r>
          </w:p>
        </w:tc>
        <w:tc>
          <w:tcPr>
            <w:tcW w:w="5780" w:type="dxa"/>
            <w:vAlign w:val="bottom"/>
          </w:tcPr>
          <w:p>
            <w:pPr>
              <w:jc w:val="center"/>
              <w:ind w:left="407"/>
              <w:spacing w:after="0"/>
              <w:rPr>
                <w:sz w:val="20"/>
                <w:szCs w:val="20"/>
                <w:color w:val="auto"/>
              </w:rPr>
            </w:pPr>
            <w:r>
              <w:rPr>
                <w:rFonts w:ascii="Arial" w:cs="Arial" w:eastAsia="Arial" w:hAnsi="Arial"/>
                <w:sz w:val="15"/>
                <w:szCs w:val="15"/>
                <w:color w:val="auto"/>
                <w:w w:val="89"/>
              </w:rPr>
              <w:t>(Commission</w:t>
            </w:r>
          </w:p>
        </w:tc>
        <w:tc>
          <w:tcPr>
            <w:tcW w:w="760" w:type="dxa"/>
            <w:vAlign w:val="bottom"/>
          </w:tcPr>
          <w:p>
            <w:pPr>
              <w:spacing w:after="0"/>
              <w:rPr>
                <w:sz w:val="15"/>
                <w:szCs w:val="15"/>
                <w:color w:val="auto"/>
              </w:rPr>
            </w:pPr>
          </w:p>
        </w:tc>
        <w:tc>
          <w:tcPr>
            <w:tcW w:w="1020" w:type="dxa"/>
            <w:vAlign w:val="bottom"/>
          </w:tcPr>
          <w:p>
            <w:pPr>
              <w:jc w:val="center"/>
              <w:ind w:right="7"/>
              <w:spacing w:after="0"/>
              <w:rPr>
                <w:sz w:val="20"/>
                <w:szCs w:val="20"/>
                <w:color w:val="auto"/>
              </w:rPr>
            </w:pPr>
            <w:r>
              <w:rPr>
                <w:rFonts w:ascii="Arial" w:cs="Arial" w:eastAsia="Arial" w:hAnsi="Arial"/>
                <w:sz w:val="15"/>
                <w:szCs w:val="15"/>
                <w:color w:val="auto"/>
                <w:w w:val="92"/>
              </w:rPr>
              <w:t>(IRS Employer</w:t>
            </w:r>
          </w:p>
        </w:tc>
      </w:tr>
      <w:tr>
        <w:trPr>
          <w:trHeight w:val="184"/>
        </w:trPr>
        <w:tc>
          <w:tcPr>
            <w:tcW w:w="154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of incorporation)</w:t>
            </w:r>
          </w:p>
        </w:tc>
        <w:tc>
          <w:tcPr>
            <w:tcW w:w="5780" w:type="dxa"/>
            <w:vAlign w:val="bottom"/>
          </w:tcPr>
          <w:p>
            <w:pPr>
              <w:jc w:val="center"/>
              <w:ind w:left="407"/>
              <w:spacing w:after="0"/>
              <w:rPr>
                <w:sz w:val="20"/>
                <w:szCs w:val="20"/>
                <w:color w:val="auto"/>
              </w:rPr>
            </w:pPr>
            <w:r>
              <w:rPr>
                <w:rFonts w:ascii="Arial" w:cs="Arial" w:eastAsia="Arial" w:hAnsi="Arial"/>
                <w:sz w:val="15"/>
                <w:szCs w:val="15"/>
                <w:color w:val="auto"/>
                <w:w w:val="89"/>
              </w:rPr>
              <w:t>File Number)</w:t>
            </w:r>
          </w:p>
        </w:tc>
        <w:tc>
          <w:tcPr>
            <w:tcW w:w="1780" w:type="dxa"/>
            <w:vAlign w:val="bottom"/>
            <w:gridSpan w:val="2"/>
          </w:tcPr>
          <w:p>
            <w:pPr>
              <w:jc w:val="center"/>
              <w:ind w:left="607"/>
              <w:spacing w:after="0"/>
              <w:rPr>
                <w:sz w:val="20"/>
                <w:szCs w:val="20"/>
                <w:color w:val="auto"/>
              </w:rPr>
            </w:pPr>
            <w:r>
              <w:rPr>
                <w:rFonts w:ascii="Arial" w:cs="Arial" w:eastAsia="Arial" w:hAnsi="Arial"/>
                <w:sz w:val="15"/>
                <w:szCs w:val="15"/>
                <w:color w:val="auto"/>
                <w:w w:val="94"/>
              </w:rPr>
              <w:t>Identification No.)</w:t>
            </w:r>
          </w:p>
        </w:tc>
      </w:tr>
      <w:tr>
        <w:trPr>
          <w:trHeight w:val="359"/>
        </w:trPr>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Pr>
          <w:p>
            <w:pPr>
              <w:jc w:val="center"/>
              <w:ind w:right="3367"/>
              <w:spacing w:after="0"/>
              <w:rPr>
                <w:sz w:val="20"/>
                <w:szCs w:val="20"/>
                <w:color w:val="auto"/>
              </w:rPr>
            </w:pPr>
            <w:r>
              <w:rPr>
                <w:rFonts w:ascii="Arial" w:cs="Arial" w:eastAsia="Arial" w:hAnsi="Arial"/>
                <w:sz w:val="15"/>
                <w:szCs w:val="15"/>
                <w:b w:val="1"/>
                <w:bCs w:val="1"/>
                <w:color w:val="auto"/>
                <w:w w:val="89"/>
              </w:rPr>
              <w:t>12626 High Bluff Dr. Ste 150</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80" w:type="dxa"/>
            <w:vAlign w:val="bottom"/>
          </w:tcPr>
          <w:p>
            <w:pPr>
              <w:jc w:val="center"/>
              <w:ind w:right="3367"/>
              <w:spacing w:after="0"/>
              <w:rPr>
                <w:sz w:val="20"/>
                <w:szCs w:val="20"/>
                <w:color w:val="auto"/>
              </w:rPr>
            </w:pPr>
            <w:r>
              <w:rPr>
                <w:rFonts w:ascii="Arial" w:cs="Arial" w:eastAsia="Arial" w:hAnsi="Arial"/>
                <w:sz w:val="15"/>
                <w:szCs w:val="15"/>
                <w:b w:val="1"/>
                <w:bCs w:val="1"/>
                <w:color w:val="auto"/>
                <w:w w:val="87"/>
              </w:rPr>
              <w:t>San Diego, CA</w:t>
            </w:r>
          </w:p>
        </w:tc>
        <w:tc>
          <w:tcPr>
            <w:tcW w:w="1780" w:type="dxa"/>
            <w:vAlign w:val="bottom"/>
            <w:gridSpan w:val="2"/>
          </w:tcPr>
          <w:p>
            <w:pPr>
              <w:jc w:val="right"/>
              <w:ind w:right="287"/>
              <w:spacing w:after="0"/>
              <w:rPr>
                <w:sz w:val="20"/>
                <w:szCs w:val="20"/>
                <w:color w:val="auto"/>
              </w:rPr>
            </w:pPr>
            <w:r>
              <w:rPr>
                <w:rFonts w:ascii="Arial" w:cs="Arial" w:eastAsia="Arial" w:hAnsi="Arial"/>
                <w:sz w:val="15"/>
                <w:szCs w:val="15"/>
                <w:b w:val="1"/>
                <w:bCs w:val="1"/>
                <w:color w:val="auto"/>
              </w:rPr>
              <w:t>92130</w:t>
            </w:r>
          </w:p>
        </w:tc>
      </w:tr>
      <w:tr>
        <w:trPr>
          <w:trHeight w:val="184"/>
        </w:trPr>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80" w:type="dxa"/>
            <w:vAlign w:val="bottom"/>
          </w:tcPr>
          <w:p>
            <w:pPr>
              <w:jc w:val="center"/>
              <w:ind w:right="3367"/>
              <w:spacing w:after="0"/>
              <w:rPr>
                <w:sz w:val="20"/>
                <w:szCs w:val="20"/>
                <w:color w:val="auto"/>
              </w:rPr>
            </w:pPr>
            <w:r>
              <w:rPr>
                <w:rFonts w:ascii="Arial" w:cs="Arial" w:eastAsia="Arial" w:hAnsi="Arial"/>
                <w:sz w:val="15"/>
                <w:szCs w:val="15"/>
                <w:color w:val="auto"/>
                <w:w w:val="89"/>
              </w:rPr>
              <w:t>(Address of principal executive offices)</w:t>
            </w:r>
          </w:p>
        </w:tc>
        <w:tc>
          <w:tcPr>
            <w:tcW w:w="760" w:type="dxa"/>
            <w:vAlign w:val="bottom"/>
          </w:tcPr>
          <w:p>
            <w:pPr>
              <w:spacing w:after="0"/>
              <w:rPr>
                <w:sz w:val="15"/>
                <w:szCs w:val="15"/>
                <w:color w:val="auto"/>
              </w:rPr>
            </w:pPr>
          </w:p>
        </w:tc>
        <w:tc>
          <w:tcPr>
            <w:tcW w:w="1020" w:type="dxa"/>
            <w:vAlign w:val="bottom"/>
          </w:tcPr>
          <w:p>
            <w:pPr>
              <w:jc w:val="center"/>
              <w:ind w:right="7"/>
              <w:spacing w:after="0"/>
              <w:rPr>
                <w:sz w:val="20"/>
                <w:szCs w:val="20"/>
                <w:color w:val="auto"/>
              </w:rPr>
            </w:pPr>
            <w:r>
              <w:rPr>
                <w:rFonts w:ascii="Arial" w:cs="Arial" w:eastAsia="Arial" w:hAnsi="Arial"/>
                <w:sz w:val="15"/>
                <w:szCs w:val="15"/>
                <w:color w:val="auto"/>
                <w:w w:val="93"/>
              </w:rPr>
              <w:t>(Zip Code)</w:t>
            </w:r>
          </w:p>
        </w:tc>
      </w:tr>
      <w:tr>
        <w:trPr>
          <w:trHeight w:val="372"/>
        </w:trPr>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Pr>
          <w:p>
            <w:pPr>
              <w:jc w:val="center"/>
              <w:ind w:left="367"/>
              <w:spacing w:after="0"/>
              <w:rPr>
                <w:sz w:val="20"/>
                <w:szCs w:val="20"/>
                <w:color w:val="auto"/>
              </w:rPr>
            </w:pPr>
            <w:r>
              <w:rPr>
                <w:rFonts w:ascii="Arial" w:cs="Arial" w:eastAsia="Arial" w:hAnsi="Arial"/>
                <w:sz w:val="15"/>
                <w:szCs w:val="15"/>
                <w:color w:val="auto"/>
                <w:w w:val="87"/>
              </w:rPr>
              <w:t xml:space="preserve">Registrant’s telephone number, including area code: </w:t>
            </w:r>
            <w:r>
              <w:rPr>
                <w:rFonts w:ascii="Arial" w:cs="Arial" w:eastAsia="Arial" w:hAnsi="Arial"/>
                <w:sz w:val="15"/>
                <w:szCs w:val="15"/>
                <w:b w:val="1"/>
                <w:bCs w:val="1"/>
                <w:color w:val="auto"/>
                <w:w w:val="87"/>
              </w:rPr>
              <w:t>(858) 704-4040</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3"/>
        </w:trPr>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jc w:val="center"/>
              <w:ind w:left="367"/>
              <w:spacing w:after="0"/>
              <w:rPr>
                <w:sz w:val="20"/>
                <w:szCs w:val="20"/>
                <w:color w:val="auto"/>
              </w:rPr>
            </w:pPr>
            <w:r>
              <w:rPr>
                <w:rFonts w:ascii="Arial" w:cs="Arial" w:eastAsia="Arial" w:hAnsi="Arial"/>
                <w:sz w:val="15"/>
                <w:szCs w:val="15"/>
                <w:b w:val="1"/>
                <w:bCs w:val="1"/>
                <w:color w:val="auto"/>
              </w:rPr>
              <w:t>N/A</w:t>
            </w:r>
          </w:p>
        </w:tc>
        <w:tc>
          <w:tcPr>
            <w:tcW w:w="7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184"/>
        </w:trPr>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80" w:type="dxa"/>
            <w:vAlign w:val="bottom"/>
          </w:tcPr>
          <w:p>
            <w:pPr>
              <w:jc w:val="center"/>
              <w:ind w:left="367"/>
              <w:spacing w:after="0"/>
              <w:rPr>
                <w:sz w:val="20"/>
                <w:szCs w:val="20"/>
                <w:color w:val="auto"/>
              </w:rPr>
            </w:pPr>
            <w:r>
              <w:rPr>
                <w:rFonts w:ascii="Arial" w:cs="Arial" w:eastAsia="Arial" w:hAnsi="Arial"/>
                <w:sz w:val="15"/>
                <w:szCs w:val="15"/>
                <w:color w:val="auto"/>
                <w:w w:val="87"/>
              </w:rPr>
              <w:t>(Former name or former address if changed since last report.)</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20" w:type="dxa"/>
            <w:vAlign w:val="bottom"/>
          </w:tcPr>
          <w:p>
            <w:pPr>
              <w:ind w:left="40"/>
              <w:spacing w:after="0"/>
              <w:rPr>
                <w:sz w:val="20"/>
                <w:szCs w:val="20"/>
                <w:color w:val="auto"/>
              </w:rPr>
            </w:pPr>
            <w:r>
              <w:rPr>
                <w:rFonts w:ascii="Arial" w:cs="Arial" w:eastAsia="Arial" w:hAnsi="Arial"/>
                <w:sz w:val="15"/>
                <w:szCs w:val="15"/>
                <w:color w:val="auto"/>
              </w:rPr>
              <w:t>Written communications pursuant to Rule 425 under the Securities Act (17 CFR 230.425)</w:t>
            </w:r>
          </w:p>
        </w:tc>
      </w:tr>
      <w:tr>
        <w:trPr>
          <w:trHeight w:val="350"/>
        </w:trPr>
        <w:tc>
          <w:tcPr>
            <w:tcW w:w="10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20" w:type="dxa"/>
            <w:vAlign w:val="bottom"/>
          </w:tcPr>
          <w:p>
            <w:pPr>
              <w:ind w:left="40"/>
              <w:spacing w:after="0"/>
              <w:rPr>
                <w:sz w:val="20"/>
                <w:szCs w:val="20"/>
                <w:color w:val="auto"/>
              </w:rPr>
            </w:pPr>
            <w:r>
              <w:rPr>
                <w:rFonts w:ascii="Arial" w:cs="Arial" w:eastAsia="Arial" w:hAnsi="Arial"/>
                <w:sz w:val="15"/>
                <w:szCs w:val="15"/>
                <w:color w:val="auto"/>
              </w:rPr>
              <w:t>Soliciting material pursuant to Rule 14a-12 under the Exchange Act (17 CFR 240.14a-12)</w:t>
            </w:r>
          </w:p>
        </w:tc>
      </w:tr>
      <w:tr>
        <w:trPr>
          <w:trHeight w:val="350"/>
        </w:trPr>
        <w:tc>
          <w:tcPr>
            <w:tcW w:w="2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1220" w:type="dxa"/>
            <w:vAlign w:val="bottom"/>
          </w:tcPr>
          <w:p>
            <w:pPr>
              <w:ind w:left="40"/>
              <w:spacing w:after="0"/>
              <w:rPr>
                <w:sz w:val="20"/>
                <w:szCs w:val="20"/>
                <w:color w:val="auto"/>
              </w:rPr>
            </w:pPr>
            <w:r>
              <w:rPr>
                <w:rFonts w:ascii="Arial" w:cs="Arial" w:eastAsia="Arial" w:hAnsi="Arial"/>
                <w:sz w:val="15"/>
                <w:szCs w:val="15"/>
                <w:color w:val="auto"/>
              </w:rPr>
              <w:t>Pre-commencement communications pursuant to Rule 14d-2(b) under the Exchange Act (17 CFR 240.14d-2(b))</w:t>
            </w:r>
          </w:p>
        </w:tc>
      </w:tr>
      <w:tr>
        <w:trPr>
          <w:trHeight w:val="350"/>
        </w:trPr>
        <w:tc>
          <w:tcPr>
            <w:tcW w:w="2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1220" w:type="dxa"/>
            <w:vAlign w:val="bottom"/>
          </w:tcPr>
          <w:p>
            <w:pPr>
              <w:ind w:left="40"/>
              <w:spacing w:after="0"/>
              <w:rPr>
                <w:sz w:val="20"/>
                <w:szCs w:val="20"/>
                <w:color w:val="auto"/>
              </w:rPr>
            </w:pPr>
            <w:r>
              <w:rPr>
                <w:rFonts w:ascii="Arial" w:cs="Arial" w:eastAsia="Arial" w:hAnsi="Arial"/>
                <w:sz w:val="15"/>
                <w:szCs w:val="15"/>
                <w:color w:val="auto"/>
              </w:rPr>
              <w:t>Pre-commencement communications pursuant to Rule 13e-4(c) under the Exchange Act (17 CFR 240.13e-4(c))</w:t>
            </w:r>
          </w:p>
        </w:tc>
      </w:tr>
      <w:tr>
        <w:trPr>
          <w:trHeight w:val="178"/>
        </w:trPr>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20" w:type="dxa"/>
            <w:vAlign w:val="bottom"/>
            <w:tcBorders>
              <w:bottom w:val="single" w:sz="8" w:color="auto"/>
            </w:tcBorders>
          </w:tcPr>
          <w:p>
            <w:pPr>
              <w:spacing w:after="0"/>
              <w:rPr>
                <w:sz w:val="15"/>
                <w:szCs w:val="15"/>
                <w:color w:val="auto"/>
              </w:rPr>
            </w:pPr>
          </w:p>
        </w:tc>
      </w:tr>
      <w:tr>
        <w:trPr>
          <w:trHeight w:val="57"/>
        </w:trPr>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20" w:type="dxa"/>
            <w:vAlign w:val="bottom"/>
            <w:tcBorders>
              <w:bottom w:val="single" w:sz="8" w:color="auto"/>
            </w:tcBorders>
          </w:tcPr>
          <w:p>
            <w:pPr>
              <w:spacing w:after="0"/>
              <w:rPr>
                <w:sz w:val="4"/>
                <w:szCs w:val="4"/>
                <w:color w:val="auto"/>
              </w:rPr>
            </w:pPr>
          </w:p>
        </w:tc>
      </w:tr>
      <w:tr>
        <w:trPr>
          <w:trHeight w:val="352"/>
        </w:trPr>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630" w:right="2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Attached as Exhibit 99.1 to this Item 7.01 is a presentation that is being used by the management of Imprimis Pharmaceuticals, Inc. (the “Company”) in meetings describing the Company.</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77" w:lineRule="exact"/>
        <w:rPr>
          <w:sz w:val="20"/>
          <w:szCs w:val="20"/>
          <w:color w:val="auto"/>
        </w:rPr>
      </w:pPr>
    </w:p>
    <w:p>
      <w:pPr>
        <w:ind w:left="540" w:hanging="533"/>
        <w:spacing w:after="0"/>
        <w:tabs>
          <w:tab w:leader="none" w:pos="54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Presentation dated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727265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7780" w:type="dxa"/>
            <w:vAlign w:val="bottom"/>
            <w:gridSpan w:val="2"/>
          </w:tcPr>
          <w:p>
            <w:pPr>
              <w:ind w:left="2060"/>
              <w:spacing w:after="0"/>
              <w:rPr>
                <w:sz w:val="20"/>
                <w:szCs w:val="20"/>
                <w:color w:val="auto"/>
              </w:rPr>
            </w:pPr>
            <w:r>
              <w:rPr>
                <w:rFonts w:ascii="Arial" w:cs="Arial" w:eastAsia="Arial" w:hAnsi="Arial"/>
                <w:sz w:val="15"/>
                <w:szCs w:val="15"/>
                <w:b w:val="1"/>
                <w:bCs w:val="1"/>
                <w:color w:val="auto"/>
              </w:rPr>
              <w:t>IMPRIMIS PHARMACEUTICALS, INC.</w:t>
            </w:r>
          </w:p>
        </w:tc>
      </w:tr>
      <w:tr>
        <w:trPr>
          <w:trHeight w:val="364"/>
        </w:trPr>
        <w:tc>
          <w:tcPr>
            <w:tcW w:w="3680" w:type="dxa"/>
            <w:vAlign w:val="bottom"/>
          </w:tcPr>
          <w:p>
            <w:pPr>
              <w:spacing w:after="0"/>
              <w:rPr>
                <w:sz w:val="20"/>
                <w:szCs w:val="20"/>
                <w:color w:val="auto"/>
              </w:rPr>
            </w:pPr>
            <w:r>
              <w:rPr>
                <w:rFonts w:ascii="Arial" w:cs="Arial" w:eastAsia="Arial" w:hAnsi="Arial"/>
                <w:sz w:val="15"/>
                <w:szCs w:val="15"/>
                <w:color w:val="auto"/>
              </w:rPr>
              <w:t>Dated: September 17, 2014</w:t>
            </w:r>
          </w:p>
        </w:tc>
        <w:tc>
          <w:tcPr>
            <w:tcW w:w="2640" w:type="dxa"/>
            <w:vAlign w:val="bottom"/>
          </w:tcPr>
          <w:p>
            <w:pPr>
              <w:ind w:left="206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Andrew R. Boll</w:t>
            </w:r>
          </w:p>
        </w:tc>
      </w:tr>
      <w:tr>
        <w:trPr>
          <w:trHeight w:val="164"/>
        </w:trPr>
        <w:tc>
          <w:tcPr>
            <w:tcW w:w="3680" w:type="dxa"/>
            <w:vAlign w:val="bottom"/>
          </w:tcPr>
          <w:p>
            <w:pPr>
              <w:spacing w:after="0"/>
              <w:rPr>
                <w:sz w:val="14"/>
                <w:szCs w:val="14"/>
                <w:color w:val="auto"/>
              </w:rPr>
            </w:pPr>
          </w:p>
        </w:tc>
        <w:tc>
          <w:tcPr>
            <w:tcW w:w="2640" w:type="dxa"/>
            <w:vAlign w:val="bottom"/>
          </w:tcPr>
          <w:p>
            <w:pPr>
              <w:ind w:left="206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Andrew R. Boll</w:t>
            </w:r>
          </w:p>
        </w:tc>
      </w:tr>
      <w:tr>
        <w:trPr>
          <w:trHeight w:val="184"/>
        </w:trPr>
        <w:tc>
          <w:tcPr>
            <w:tcW w:w="3680" w:type="dxa"/>
            <w:vAlign w:val="bottom"/>
          </w:tcPr>
          <w:p>
            <w:pPr>
              <w:spacing w:after="0"/>
              <w:rPr>
                <w:sz w:val="15"/>
                <w:szCs w:val="15"/>
                <w:color w:val="auto"/>
              </w:rPr>
            </w:pPr>
          </w:p>
        </w:tc>
        <w:tc>
          <w:tcPr>
            <w:tcW w:w="2640" w:type="dxa"/>
            <w:vAlign w:val="bottom"/>
          </w:tcPr>
          <w:p>
            <w:pPr>
              <w:ind w:left="206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Vice President, Accounting and Public Reporting</w:t>
            </w:r>
          </w:p>
        </w:tc>
      </w:tr>
      <w:tr>
        <w:trPr>
          <w:trHeight w:val="375"/>
        </w:trPr>
        <w:tc>
          <w:tcPr>
            <w:tcW w:w="36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2" w:right="219" w:bottom="1440" w:gutter="0" w:footer="0" w:header="0"/>
        </w:sectPr>
      </w:pPr>
    </w:p>
    <w:bookmarkStart w:id="3" w:name="page4"/>
    <w:bookmarkEnd w:id="3"/>
    <w:p>
      <w:pPr>
        <w:jc w:val="right"/>
        <w:ind w:right="3939"/>
        <w:spacing w:after="0"/>
        <w:rPr>
          <w:sz w:val="20"/>
          <w:szCs w:val="20"/>
          <w:color w:val="auto"/>
        </w:rPr>
      </w:pPr>
      <w:r>
        <w:rPr>
          <w:rFonts w:ascii="Arial" w:cs="Arial" w:eastAsia="Arial" w:hAnsi="Arial"/>
          <w:sz w:val="15"/>
          <w:szCs w:val="15"/>
          <w:b w:val="1"/>
          <w:bCs w:val="1"/>
          <w:color w:val="auto"/>
        </w:rPr>
        <w:t>EXHIBIT INDEX</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Presentation dated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562"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7323455" cy="591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2020-01-28T14:36:24Z</dcterms:created>
  <dcterms:modified xsi:type="dcterms:W3CDTF">2020-01-28T14:36:24Z</dcterms:modified>
</cp:coreProperties>
</file>