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9,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w:t>
      </w:r>
      <w:r>
        <w:rPr>
          <w:rFonts w:ascii="Arial" w:cs="Arial" w:eastAsia="Arial" w:hAnsi="Arial"/>
          <w:sz w:val="18"/>
          <w:szCs w:val="18"/>
          <w:color w:val="auto"/>
        </w:rPr>
        <w:t xml:space="preserve">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Title of each class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18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9, 2020, Harrow Health, Inc. (the “Company”) issued a press release and a letter to stockholders announcing its financial results for the period ended September 30, 2020 and an update on recent corporate events. The press release and letter to stockholders are being furnished as Exhibits 99.1 and 99.2, respectively, to this Current Report on Form 8-K.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Harrow Health, Inc. on November 9, 2020</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6">
        <w:r>
          <w:rPr>
            <w:rFonts w:ascii="Arial" w:cs="Arial" w:eastAsia="Arial" w:hAnsi="Arial"/>
            <w:sz w:val="16"/>
            <w:szCs w:val="16"/>
            <w:u w:val="single" w:color="auto"/>
            <w:color w:val="0000EE"/>
          </w:rPr>
          <w:t>Letter to Stockholders by Harrow Health, Inc. dated November 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143125" cy="763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Harrow Health Publishes Third Quarter 2020 </w:t>
      </w:r>
      <w:r>
        <w:rPr>
          <w:rFonts w:ascii="Arial" w:cs="Arial" w:eastAsia="Arial" w:hAnsi="Arial"/>
          <w:sz w:val="18"/>
          <w:szCs w:val="18"/>
          <w:b w:val="1"/>
          <w:bCs w:val="1"/>
          <w:i w:val="1"/>
          <w:iCs w:val="1"/>
          <w:color w:val="auto"/>
        </w:rPr>
        <w:t>Letter to Stockholders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Nashville, TN – November 9, 2020 – Harrow Health, Inc. (NASDAQ: HROW) today reported results for the third quarter 2020. Please </w:t>
      </w:r>
      <w:r>
        <w:rPr>
          <w:rFonts w:ascii="Arial" w:cs="Arial" w:eastAsia="Arial" w:hAnsi="Arial"/>
          <w:sz w:val="18"/>
          <w:szCs w:val="18"/>
          <w:u w:val="single" w:color="auto"/>
          <w:color w:val="auto"/>
        </w:rPr>
        <w:t>click here</w:t>
      </w:r>
      <w:r>
        <w:rPr>
          <w:rFonts w:ascii="Arial" w:cs="Arial" w:eastAsia="Arial" w:hAnsi="Arial"/>
          <w:sz w:val="18"/>
          <w:szCs w:val="18"/>
          <w:color w:val="auto"/>
        </w:rPr>
        <w:t xml:space="preserve"> to review Harrow Health’s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for the third quarter 2020.</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Mark L. Baum, CEO of Harrow Health, commented, “The third quarter of 2020 was the best financial quarter in the history of the Company. Our team delivered on revenues, gross margins, and nearly every other internal financial metric that we chart. Revenues in July were better than June; and each subsequent month continued to improve, resulting in a company record revenues, gross margins and adjusted EBITDA. As we move into the fourth quarter and set our sights on 2021, we are hopeful our revenue trend, which currently looks V-shaped, will quickly transition into a </w:t>
      </w:r>
      <w:r>
        <w:rPr>
          <w:rFonts w:ascii="Arial" w:cs="Arial" w:eastAsia="Arial" w:hAnsi="Arial"/>
          <w:sz w:val="18"/>
          <w:szCs w:val="18"/>
          <w:i w:val="1"/>
          <w:iCs w:val="1"/>
          <w:color w:val="auto"/>
        </w:rPr>
        <w:t>checkmark-shaped</w:t>
      </w:r>
      <w:r>
        <w:rPr>
          <w:rFonts w:ascii="Arial" w:cs="Arial" w:eastAsia="Arial" w:hAnsi="Arial"/>
          <w:sz w:val="18"/>
          <w:szCs w:val="18"/>
          <w:color w:val="auto"/>
        </w:rPr>
        <w:t xml:space="preserve"> trend line into 2021. In addition to the outstanding performance of ImprimisRx, other Harrow businesses continued to hit new and major milestones, and we expect to see more value inflection events in the coming quarterly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management team will host a question and answer conference call with analysts and an audio-only webcast today at 4:45 p.m. Eastern Standard Time / 1:45 p.m. Pacific Standard Time. To participate, please use the dial in or click on the link below:</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U.S. callers</w:t>
      </w:r>
      <w:r>
        <w:rPr>
          <w:rFonts w:ascii="Arial" w:cs="Arial" w:eastAsia="Arial" w:hAnsi="Arial"/>
          <w:sz w:val="18"/>
          <w:szCs w:val="18"/>
          <w:color w:val="auto"/>
        </w:rPr>
        <w:t>: (844) 602-0380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International callers</w:t>
      </w:r>
      <w:r>
        <w:rPr>
          <w:rFonts w:ascii="Arial" w:cs="Arial" w:eastAsia="Arial" w:hAnsi="Arial"/>
          <w:sz w:val="18"/>
          <w:szCs w:val="18"/>
          <w:color w:val="auto"/>
        </w:rPr>
        <w:t>: (862) 298-0970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Audio-only webcast</w:t>
      </w:r>
      <w:r>
        <w:rPr>
          <w:rFonts w:ascii="Arial" w:cs="Arial" w:eastAsia="Arial" w:hAnsi="Arial"/>
          <w:sz w:val="18"/>
          <w:szCs w:val="18"/>
          <w:color w:val="auto"/>
        </w:rPr>
        <w:t xml:space="preserve">: please </w:t>
      </w:r>
      <w:r>
        <w:rPr>
          <w:rFonts w:ascii="Arial" w:cs="Arial" w:eastAsia="Arial" w:hAnsi="Arial"/>
          <w:sz w:val="18"/>
          <w:szCs w:val="18"/>
          <w:u w:val="single" w:color="auto"/>
          <w:color w:val="auto"/>
        </w:rPr>
        <w:t>click 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Replay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dial in replay of the call will be available until December 09, 2020. The webcast replay will be available until February 09, 2021.</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U.S. callers</w:t>
      </w:r>
      <w:r>
        <w:rPr>
          <w:rFonts w:ascii="Arial" w:cs="Arial" w:eastAsia="Arial" w:hAnsi="Arial"/>
          <w:sz w:val="18"/>
          <w:szCs w:val="18"/>
          <w:color w:val="auto"/>
        </w:rPr>
        <w:t>: (877) 481-4010, Replay ID: 38433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International callers</w:t>
      </w:r>
      <w:r>
        <w:rPr>
          <w:rFonts w:ascii="Arial" w:cs="Arial" w:eastAsia="Arial" w:hAnsi="Arial"/>
          <w:sz w:val="18"/>
          <w:szCs w:val="18"/>
          <w:color w:val="auto"/>
        </w:rPr>
        <w:t>: (919) 882-2331, Replay ID: 38433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Webcast</w:t>
      </w:r>
      <w:r>
        <w:rPr>
          <w:rFonts w:ascii="Arial" w:cs="Arial" w:eastAsia="Arial" w:hAnsi="Arial"/>
          <w:sz w:val="18"/>
          <w:szCs w:val="18"/>
          <w:color w:val="auto"/>
        </w:rPr>
        <w:t xml:space="preserve">: please </w:t>
      </w:r>
      <w:r>
        <w:rPr>
          <w:rFonts w:ascii="Arial" w:cs="Arial" w:eastAsia="Arial" w:hAnsi="Arial"/>
          <w:sz w:val="18"/>
          <w:szCs w:val="18"/>
          <w:u w:val="single" w:color="auto"/>
          <w:color w:val="auto"/>
        </w:rPr>
        <w:t>click 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Harrow Health, Inc. (NASDAQ: HROW) owns a portfolio of healthcare businesses, including </w:t>
      </w:r>
      <w:r>
        <w:rPr>
          <w:rFonts w:ascii="Arial" w:cs="Arial" w:eastAsia="Arial" w:hAnsi="Arial"/>
          <w:sz w:val="18"/>
          <w:szCs w:val="18"/>
          <w:u w:val="single" w:color="auto"/>
          <w:color w:val="auto"/>
        </w:rPr>
        <w:t>ImprimisRx</w:t>
      </w:r>
      <w:r>
        <w:rPr>
          <w:rFonts w:ascii="Arial" w:cs="Arial" w:eastAsia="Arial" w:hAnsi="Arial"/>
          <w:sz w:val="18"/>
          <w:szCs w:val="18"/>
          <w:color w:val="auto"/>
        </w:rPr>
        <w:t xml:space="preserve">, the nation’s leading ophthalmology outsourcing facility and pharmaceutical compounding business. The company holds large equity positions in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Surface Ophthalmics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Melt</w:t>
      </w:r>
      <w:r>
        <w:rPr>
          <w:rFonts w:ascii="Arial" w:cs="Arial" w:eastAsia="Arial" w:hAnsi="Arial"/>
          <w:sz w:val="18"/>
          <w:szCs w:val="18"/>
          <w:color w:val="auto"/>
        </w:rPr>
        <w:t xml:space="preserve"> </w:t>
      </w:r>
      <w:r>
        <w:rPr>
          <w:rFonts w:ascii="Arial" w:cs="Arial" w:eastAsia="Arial" w:hAnsi="Arial"/>
          <w:sz w:val="18"/>
          <w:szCs w:val="18"/>
          <w:u w:val="single" w:color="auto"/>
          <w:color w:val="auto"/>
        </w:rPr>
        <w:t>Pharmaceuticals</w:t>
      </w:r>
      <w:r>
        <w:rPr>
          <w:rFonts w:ascii="Arial" w:cs="Arial" w:eastAsia="Arial" w:hAnsi="Arial"/>
          <w:sz w:val="18"/>
          <w:szCs w:val="18"/>
          <w:color w:val="auto"/>
        </w:rPr>
        <w:t xml:space="preserve">. Harrow also owns Mayfield Pharmaceuticals, Stowe Pharmaceuticals, and Visionology, all companies founded as subsidiaries of Harrow Health. The Company also owns royalty rights in certain drug candidates being developed by Surface, Melt, and Mayfield. Harrow intends to create, invest in and grow paradigm shifting healthcare businesses that put patients first. For more information about Harrow Health, please visit the Investor Relations section of the corporate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ir@harrowinc.com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Harrow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third quarter of 2020 was the best financial quarter in the history of the Company. Our team delivered on revenues, gross margins, and nearly every other internal metric that we chart. Revenues in July were better than June; and each subsequent month continued to improve. We were also pleased that while we achieved Q3 record revenues, we also hit an Adjusted EBITDA record, an important correlative trend we expect to continue as revenues grow. Finally, from a financial perspective, we expect that an increasing percentage of each incremental dollar of additive revenue will improve our Adjusted EBITDA figure.</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we move into the fourth quarter and set our sights on 2021, we are hopeful our revenue trend, which currently looks V-shaped, will quickly transition into a “checkmark-shaped” trend line into 2021. We believe this trend of growth will be driven by expanding our core business through new customer growth, continuing to expand within the many thousands of accounts we currently serve, launching new products in our development pipeline, and adding new revenue sources - such as Dexycu® commissions and those from other strategic initiatives we’ve been working on.</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record performance of ImprimisRx, as discussed below, other Harrow businesses continued to hit new and major milestones, and we expect to see more value inflection events in the coming quarterly periods.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Lastly, once we complete the deconsolidation of Mayfield Pharmaceuticals, we intend to leverage our position in eyecare and from a strategic perspective, exclusively focus on investing in and developing eyecare-related healthcare goods and services. We believe that Harrow’s focus on eyecare will better serve our stockholders.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Consolidated Financial Highlights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revenues were $14.4 million for the third quarter of 2020, compared to $12.8 million for the same period last year, and up nearly 80% from second quarter of 2020, when we recorded $8.1 million in revenues. Based on the revenues we recorded in the month of October, we expect that our revenue trend will be stable into the fourth quarter and grow further in 2021.</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margins rapidly rebounded in the third quarter of 2020, up to a new high of 74%, compared to 68% in the third quarter of 2019, and 60% in the second quarter of 2020. This increase in gross margins was primarily related to the increase in unit volumes sold, increased production efficiencies and capacity utilization during the period. Adjusted EBITDA for the third quarter of 2020 was $3.0 million compared to $1.5 million in the third quarter of 2019. A reconciliation of all non-GAAP financial results in this letter appears beginning on page 5.</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firstLine="648"/>
        <w:spacing w:after="0" w:line="263" w:lineRule="auto"/>
        <w:rPr>
          <w:sz w:val="20"/>
          <w:szCs w:val="20"/>
          <w:color w:val="auto"/>
        </w:rPr>
      </w:pPr>
      <w:r>
        <w:rPr>
          <w:rFonts w:ascii="Arial" w:cs="Arial" w:eastAsia="Arial" w:hAnsi="Arial"/>
          <w:sz w:val="18"/>
          <w:szCs w:val="18"/>
          <w:color w:val="auto"/>
        </w:rPr>
        <w:t>Operating income during the third quarter of 2020 was $1.6 million, compared to an operating loss of $4.4 million during the same period last year. We recorded a non-cash gain related to our Eton Pharmaceuticals ownership position of $8.6 million, which pushed other income to $7.0 million and resulted in net income attributable to Harrow Health, Inc. of $8.6 million during the third quarter of 2020.</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One additional metric we track is the ImprimisRx segment contribution. In the third quarter of 2020, segment contribution from ImprimisRx was $4.7 million, which includes non-cash expenses related to depreciation, amortization and stock-based compensation of $528,000. This important metric demonstrates the earnings power of the ImprimisRx business separately from other Harrow businesses, assets and liabilities.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Selected highlights regarding operating results for the three and nine months ended September 30, 2020 and for the same periods in 2019 are as follows (in thousands, except per share data):</w:t>
      </w:r>
    </w:p>
    <w:p>
      <w:pPr>
        <w:spacing w:after="0" w:line="166"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For the Three Months Ended September</w:t>
      </w:r>
    </w:p>
    <w:p>
      <w:pPr>
        <w:spacing w:after="0" w:line="27"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40" w:type="dxa"/>
            <w:vAlign w:val="bottom"/>
            <w:tcBorders>
              <w:bottom w:val="single" w:sz="8" w:color="CCEEFF"/>
            </w:tcBorders>
          </w:tcPr>
          <w:p>
            <w:pPr>
              <w:spacing w:after="0"/>
              <w:rPr>
                <w:sz w:val="21"/>
                <w:szCs w:val="21"/>
                <w:color w:val="auto"/>
              </w:rPr>
            </w:pPr>
          </w:p>
        </w:tc>
        <w:tc>
          <w:tcPr>
            <w:tcW w:w="184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14,399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Cost of Sales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(3,696)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(4,061)</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10,703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8,694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(8,436)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(8,608)</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(4,040)</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(13,092)</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b w:val="1"/>
                <w:bCs w:val="1"/>
                <w:color w:val="auto"/>
              </w:rPr>
              <w:t>Operating Income (Loss)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1,597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(4,398)</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7,026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(7,232)</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2760" w:type="dxa"/>
            <w:vAlign w:val="bottom"/>
            <w:gridSpan w:val="2"/>
          </w:tcPr>
          <w:p>
            <w:pPr>
              <w:jc w:val="right"/>
              <w:ind w:right="757"/>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8,623</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(11,630)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Net Income (Loss) attributable to Harrow Health, Inc.</w:t>
            </w:r>
          </w:p>
        </w:tc>
        <w:tc>
          <w:tcPr>
            <w:tcW w:w="2760" w:type="dxa"/>
            <w:vAlign w:val="bottom"/>
            <w:gridSpan w:val="2"/>
          </w:tcPr>
          <w:p>
            <w:pPr>
              <w:jc w:val="right"/>
              <w:ind w:right="757"/>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8,638</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(11,469)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of common stock, basic</w:t>
            </w:r>
          </w:p>
        </w:tc>
        <w:tc>
          <w:tcPr>
            <w:tcW w:w="2760" w:type="dxa"/>
            <w:vAlign w:val="bottom"/>
            <w:gridSpan w:val="2"/>
            <w:shd w:val="clear" w:color="auto" w:fill="CCEEFF"/>
          </w:tcPr>
          <w:p>
            <w:pPr>
              <w:jc w:val="right"/>
              <w:ind w:right="757"/>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0.33</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(0.45)</w:t>
            </w:r>
          </w:p>
        </w:tc>
      </w:t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Net Income (Loss) per share of common stock, diluted</w:t>
            </w:r>
          </w:p>
        </w:tc>
        <w:tc>
          <w:tcPr>
            <w:tcW w:w="2760" w:type="dxa"/>
            <w:vAlign w:val="bottom"/>
            <w:gridSpan w:val="2"/>
          </w:tcPr>
          <w:p>
            <w:pPr>
              <w:jc w:val="right"/>
              <w:ind w:right="757"/>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0.32</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(0.45)</w:t>
            </w:r>
          </w:p>
        </w:tc>
      </w:tr>
      <w:tr>
        <w:trPr>
          <w:trHeight w:val="395"/>
        </w:trPr>
        <w:tc>
          <w:tcPr>
            <w:tcW w:w="6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36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3"/>
              </w:rPr>
              <w:t>For the Nine Months Ended September</w:t>
            </w:r>
          </w:p>
        </w:tc>
      </w:tr>
      <w:tr>
        <w:trPr>
          <w:trHeight w:val="241"/>
        </w:trPr>
        <w:tc>
          <w:tcPr>
            <w:tcW w:w="6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04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34,276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Cost of Sales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(10,526)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(13,184)</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23,750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25,377</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(23,806)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(25,399)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(1,659)</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(4,040)</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(25,991)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(31,098)</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(2,241)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(5,721)</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2760" w:type="dxa"/>
            <w:vAlign w:val="bottom"/>
            <w:gridSpan w:val="2"/>
          </w:tcPr>
          <w:p>
            <w:pPr>
              <w:jc w:val="right"/>
              <w:ind w:right="757"/>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(4,560)</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(2,717)</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Net Loss attributable to Harrow Health, Inc.</w:t>
            </w:r>
          </w:p>
        </w:tc>
        <w:tc>
          <w:tcPr>
            <w:tcW w:w="2760" w:type="dxa"/>
            <w:vAlign w:val="bottom"/>
            <w:gridSpan w:val="2"/>
          </w:tcPr>
          <w:p>
            <w:pPr>
              <w:jc w:val="right"/>
              <w:ind w:right="757"/>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(4,506)</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(2,489)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2760" w:type="dxa"/>
            <w:vAlign w:val="bottom"/>
            <w:gridSpan w:val="2"/>
            <w:shd w:val="clear" w:color="auto" w:fill="CCEEFF"/>
          </w:tcPr>
          <w:p>
            <w:pPr>
              <w:jc w:val="right"/>
              <w:ind w:right="757"/>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(0.17)</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(0.10)</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i w:val="1"/>
          <w:iCs w:val="1"/>
          <w:u w:val="single" w:color="auto"/>
          <w:color w:val="auto"/>
        </w:rPr>
        <w:t>ImprimisRx, a wholly owned subsidiary founded in 2014</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ImprimisRx is an ophthalmic-focused pharmaceutical company with capabilities that include formulation development, scalable production, quality systems required by the highest federal manufacturing standards, U.S. and state-specific licensure to dispense direct-to-prescriber/institution or direct-to-patient, and a national commercial team that sells to and services prescribers, institutions, and patients in all 50 states</w:t>
      </w:r>
      <w:r>
        <w:rPr>
          <w:rFonts w:ascii="Arial" w:cs="Arial" w:eastAsia="Arial" w:hAnsi="Arial"/>
          <w:sz w:val="17"/>
          <w:szCs w:val="17"/>
          <w:i w:val="1"/>
          <w:iCs w:val="1"/>
          <w:color w:val="auto"/>
        </w:rPr>
        <w:t>.</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The third quarter was the most successful operational quarter in the history of ImprimisRx. New pharmaceutical production automation equipment came online, the team successfully launched new software systems to enhance customer experience and create additional visibility into the business, and our quality systems continued to improve. However, my favorite statistic is our Net Promoter Score – which is a measure of our customers’ willingness to recommend our business to others. After conducting over 4,000 customer surveys during the third quarter of 2020, our NPS has remained steady at 92 – </w:t>
      </w:r>
      <w:r>
        <w:rPr>
          <w:rFonts w:ascii="Arial" w:cs="Arial" w:eastAsia="Arial" w:hAnsi="Arial"/>
          <w:sz w:val="16"/>
          <w:szCs w:val="16"/>
          <w:i w:val="1"/>
          <w:iCs w:val="1"/>
          <w:color w:val="auto"/>
        </w:rPr>
        <w:t>an</w:t>
      </w:r>
      <w:r>
        <w:rPr>
          <w:rFonts w:ascii="Arial" w:cs="Arial" w:eastAsia="Arial" w:hAnsi="Arial"/>
          <w:sz w:val="16"/>
          <w:szCs w:val="16"/>
          <w:color w:val="auto"/>
        </w:rPr>
        <w:t xml:space="preserve"> </w:t>
      </w:r>
      <w:r>
        <w:rPr>
          <w:rFonts w:ascii="Arial" w:cs="Arial" w:eastAsia="Arial" w:hAnsi="Arial"/>
          <w:sz w:val="16"/>
          <w:szCs w:val="16"/>
          <w:i w:val="1"/>
          <w:iCs w:val="1"/>
          <w:color w:val="auto"/>
        </w:rPr>
        <w:t>incredible achievement</w:t>
      </w:r>
      <w:r>
        <w:rPr>
          <w:rFonts w:ascii="Arial" w:cs="Arial" w:eastAsia="Arial" w:hAnsi="Arial"/>
          <w:sz w:val="16"/>
          <w:szCs w:val="16"/>
          <w:color w:val="auto"/>
        </w:rPr>
        <w:t>. This score shows the affinity between ImprimisRx and its customers –</w:t>
      </w:r>
      <w:r>
        <w:rPr>
          <w:rFonts w:ascii="Arial" w:cs="Arial" w:eastAsia="Arial" w:hAnsi="Arial"/>
          <w:sz w:val="16"/>
          <w:szCs w:val="16"/>
          <w:i w:val="1"/>
          <w:iCs w:val="1"/>
          <w:color w:val="auto"/>
        </w:rPr>
        <w:t xml:space="preserve"> which is a key directional indicator of the true value of the business</w:t>
      </w:r>
      <w:r>
        <w:rPr>
          <w:rFonts w:ascii="Arial" w:cs="Arial" w:eastAsia="Arial" w:hAnsi="Arial"/>
          <w:sz w:val="16"/>
          <w:szCs w:val="16"/>
          <w:color w:val="auto"/>
        </w:rPr>
        <w:t>. We also saw net revenue per 503B order increase to $1,900 per order in the third quarter of 2020 compared to $1,770 per order in the third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2019. ImprimisRx’s President, John Saharek, and the ImprimisRx team, deserve great credit for this success. I am convinced that the ImprimisRx business can and will continue to improve and deliver more value to our customers, driving meaningful financial value to Harrow stockholders.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Late last year, we began a process to leverage the ImprimisRx platform to add new FDA-approved and soon-to-be-FDA-approved ophthalmic products to the ImprimisRx platform. Our agreement with EyePoint Pharmaceuticals (NASDAQ: EYPT) to sell Dexycu® was the first achievement in the execution of this strategy. However, we have several other revenue-expanding deals in the pipeline and our team is looking forward to making announcements on these new initiatives in the near term. The ImprimisRx commercial team has successfully initiated new customer trials of Dexycu® with some of its largest Tri-Moxi customers, and this success has led to an early expansion of the EyePoint agreement to accelerate our outreach in terms of the number of ImprimisRx customers we’re able to bring the exciting Dexycu® offering to.</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summary, our efforts to leverage the ImprimisRx platform are underway. We continue to believe ImprimisRx is at the start of a growth run that we expect to last for many years, leading to ImprimisRx achieving our goal of becoming one of the largest ophthalmic pharmaceutical companies in the U.S.</w:t>
      </w:r>
    </w:p>
    <w:p>
      <w:pPr>
        <w:spacing w:after="0" w:line="184"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ind w:left="3668"/>
        <w:spacing w:after="0"/>
        <w:rPr>
          <w:sz w:val="20"/>
          <w:szCs w:val="20"/>
          <w:color w:val="auto"/>
        </w:rPr>
      </w:pPr>
      <w:r>
        <w:rPr>
          <w:rFonts w:ascii="Arial" w:cs="Arial" w:eastAsia="Arial" w:hAnsi="Arial"/>
          <w:sz w:val="18"/>
          <w:szCs w:val="18"/>
          <w:i w:val="1"/>
          <w:iCs w:val="1"/>
          <w:u w:val="single" w:color="auto"/>
          <w:color w:val="auto"/>
        </w:rPr>
        <w:t>Deconsolidated Companies and Subsidiaries</w:t>
      </w:r>
    </w:p>
    <w:p>
      <w:pPr>
        <w:spacing w:after="0" w:line="22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Deconsolidated Companies (Non-Controlled Investments)</w:t>
      </w:r>
    </w:p>
    <w:p>
      <w:pPr>
        <w:spacing w:after="0" w:line="229" w:lineRule="exact"/>
        <w:rPr>
          <w:sz w:val="20"/>
          <w:szCs w:val="20"/>
          <w:color w:val="auto"/>
        </w:rPr>
      </w:pPr>
    </w:p>
    <w:p>
      <w:pPr>
        <w:jc w:val="both"/>
        <w:ind w:left="328" w:hanging="328"/>
        <w:spacing w:after="0" w:line="272"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Eton Pharmaceuticals</w:t>
      </w:r>
      <w:r>
        <w:rPr>
          <w:rFonts w:ascii="Arial" w:cs="Arial" w:eastAsia="Arial" w:hAnsi="Arial"/>
          <w:sz w:val="17"/>
          <w:szCs w:val="17"/>
          <w:color w:val="auto"/>
        </w:rPr>
        <w:t xml:space="preserve"> (NASDAQ: ETON), founded by Harrow in 2017, delivered with two recent FDA approvals, EM-100 ($600 million potential addressable market) and Alkindi® Sprinkle (an Orphan Drug Designated product with a $100 million potential addressable market). Eton was recently assigned a May 2021 PDUFA date for its Orphan Drug Designated dehydrated alcohol program, which Eton estimates is a greater than $100 million market with one competitor, and another May 2021 PDUFA action date for its zonisamide oral suspension. In October 2020, Eton submitted a New Drug Application (or NDA) for its third neurology product candidate, ET-101 (topiramate oral solution), while completing a $22.5 million “above-market price” capital raise to help fund the launch of these exciting products and product candidates. Harrow maintains a 3,500,000 common share position in Eton representing approximately 15% of the outstanding equity of Eton.</w:t>
      </w:r>
    </w:p>
    <w:p>
      <w:pPr>
        <w:spacing w:after="0" w:line="177" w:lineRule="exact"/>
        <w:rPr>
          <w:rFonts w:ascii="Arial" w:cs="Arial" w:eastAsia="Arial" w:hAnsi="Arial"/>
          <w:sz w:val="17"/>
          <w:szCs w:val="17"/>
          <w:color w:val="auto"/>
        </w:rPr>
      </w:pPr>
    </w:p>
    <w:p>
      <w:pPr>
        <w:jc w:val="both"/>
        <w:ind w:left="328" w:hanging="328"/>
        <w:spacing w:after="0" w:line="275"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Surface Ophthalmics (formerly Surface Pharmaceuticals)</w:t>
      </w:r>
      <w:r>
        <w:rPr>
          <w:rFonts w:ascii="Arial" w:cs="Arial" w:eastAsia="Arial" w:hAnsi="Arial"/>
          <w:sz w:val="17"/>
          <w:szCs w:val="17"/>
          <w:color w:val="auto"/>
        </w:rPr>
        <w:t>, founded by Harrow in 2017, continues to make clinical progress in its ocular surface disease programs, with three active INDs on file. Phase 2 data on SURF-201 is expected in the next couple of months. In addition, SURF-100 is expected to generate Phase 2 data within the next 12 months and the SURF-200 clinical development program is underway. We believe that Surface is well positioned to seek and complete a Series B funding in the first part of 2021. Harrow holds approximately 30% of the equity interests in Surface along with royalty rights on all drug candidates Surface is developing.</w:t>
      </w:r>
    </w:p>
    <w:p>
      <w:pPr>
        <w:spacing w:after="0" w:line="176" w:lineRule="exact"/>
        <w:rPr>
          <w:rFonts w:ascii="Arial" w:cs="Arial" w:eastAsia="Arial" w:hAnsi="Arial"/>
          <w:sz w:val="17"/>
          <w:szCs w:val="17"/>
          <w:color w:val="auto"/>
        </w:rPr>
      </w:pPr>
    </w:p>
    <w:p>
      <w:pPr>
        <w:jc w:val="both"/>
        <w:ind w:left="328" w:hanging="328"/>
        <w:spacing w:after="0" w:line="25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Melt Pharmaceuticals</w:t>
      </w:r>
      <w:r>
        <w:rPr>
          <w:rFonts w:ascii="Arial" w:cs="Arial" w:eastAsia="Arial" w:hAnsi="Arial"/>
          <w:sz w:val="18"/>
          <w:szCs w:val="18"/>
          <w:color w:val="auto"/>
        </w:rPr>
        <w:t xml:space="preserve">, founded by Harrow in 2018, began enrolling patients in its Phase 1 study during the third quarter of 2020. Melt management has indicated that it hopes to have topline data available from this study in the coming months. Here is a </w:t>
      </w:r>
      <w:r>
        <w:rPr>
          <w:rFonts w:ascii="Arial" w:cs="Arial" w:eastAsia="Arial" w:hAnsi="Arial"/>
          <w:sz w:val="18"/>
          <w:szCs w:val="18"/>
          <w:u w:val="single" w:color="auto"/>
          <w:color w:val="auto"/>
        </w:rPr>
        <w:t>link</w:t>
      </w:r>
      <w:r>
        <w:rPr>
          <w:rFonts w:ascii="Arial" w:cs="Arial" w:eastAsia="Arial" w:hAnsi="Arial"/>
          <w:sz w:val="18"/>
          <w:szCs w:val="18"/>
          <w:color w:val="auto"/>
        </w:rPr>
        <w:t xml:space="preserve"> to a video that depicts the promise of Melt’s pharmaceutical drug candidates, if FDA-approved. We continue to expect Melt to complete a Series B financing within the next six months. Harrow holds approximately 44% of the common stock in Melt along with royalty rights on all drug candidates Melt is currently developing.</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Subsidiary Companies (Controlling Interests)</w:t>
      </w:r>
    </w:p>
    <w:p>
      <w:pPr>
        <w:spacing w:after="0" w:line="229" w:lineRule="exact"/>
        <w:rPr>
          <w:sz w:val="20"/>
          <w:szCs w:val="20"/>
          <w:color w:val="auto"/>
        </w:rPr>
      </w:pPr>
    </w:p>
    <w:p>
      <w:pPr>
        <w:jc w:val="both"/>
        <w:ind w:left="328" w:hanging="328"/>
        <w:spacing w:after="0" w:line="273" w:lineRule="auto"/>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Visionology</w:t>
      </w:r>
      <w:r>
        <w:rPr>
          <w:rFonts w:ascii="Arial" w:cs="Arial" w:eastAsia="Arial" w:hAnsi="Arial"/>
          <w:sz w:val="17"/>
          <w:szCs w:val="17"/>
          <w:color w:val="auto"/>
        </w:rPr>
        <w:t xml:space="preserve"> has begun the process of pitching to potential investment partners and we hope to announce the closing of its Series A financing within the next few months. While telemedicine is a “hot” space, we believe that Visionology is much more than telemedicine, and therefore is a much more interesting business. Visionology takes advantage of everything we know about ophthalmology and eyecare along with the expertise of Drew Livingston, the co-founder and former CEO of Doxy.me, the world’s largest and fastest growing SaaS-based telemedicine business. I look forward to sharing more about how we expect Visionology to change the game for chronic eyecare health management, and how Visionology will help drive what we believe is the coming revolution in patient-driven healthcare access and transparency.</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92" w:right="339" w:bottom="1440" w:gutter="0" w:footer="0" w:header="0"/>
        </w:sectPr>
      </w:pPr>
    </w:p>
    <w:bookmarkStart w:id="9" w:name="page10"/>
    <w:bookmarkEnd w:id="9"/>
    <w:p>
      <w:pPr>
        <w:jc w:val="both"/>
        <w:ind w:left="660" w:hanging="328"/>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On behalf of </w:t>
      </w:r>
      <w:r>
        <w:rPr>
          <w:rFonts w:ascii="Arial" w:cs="Arial" w:eastAsia="Arial" w:hAnsi="Arial"/>
          <w:sz w:val="17"/>
          <w:szCs w:val="17"/>
          <w:u w:val="single" w:color="auto"/>
          <w:color w:val="auto"/>
        </w:rPr>
        <w:t>Stowe Pharmaceuticals</w:t>
      </w:r>
      <w:r>
        <w:rPr>
          <w:rFonts w:ascii="Arial" w:cs="Arial" w:eastAsia="Arial" w:hAnsi="Arial"/>
          <w:sz w:val="17"/>
          <w:szCs w:val="17"/>
          <w:color w:val="auto"/>
        </w:rPr>
        <w:t>, Harrow recently completed in vitro and in vivo studies on STE-006 (formerly known as MUL-1867) and a second Harrow-owned topical formulation (DS-007), at a leading U.S. academic research institution which focuses on ocular-specific investigations. The objective of these studies was to determine whether the active test articles had in vitro killing power against relevant ophthalmic isolates of bacteria, viruses, and fungi; in vivo killing power against adenovirus-5; and if they were tolerable as surface-acting agents using the Draize scale. Past anti-bacterial data for STE-006 was strong; and while our initial read on anti-viral data from these studies was positive, we were not able to replicate prior data conducted on STE-006. Therefore, while we remain keenly interested in pathogen-agnostic topical agents to treat non-specific conjunctivitis (such as DS-007), we do not intend to invest further in STE-006. We intend to update our stockholders on further progress with DS-007 and other Harrow formulations in the anti-infective category in the coming quarters.</w:t>
      </w:r>
    </w:p>
    <w:p>
      <w:pPr>
        <w:spacing w:after="0" w:line="17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Mayfield Pharmaceuticals</w:t>
      </w:r>
      <w:r>
        <w:rPr>
          <w:rFonts w:ascii="Arial" w:cs="Arial" w:eastAsia="Arial" w:hAnsi="Arial"/>
          <w:sz w:val="18"/>
          <w:szCs w:val="18"/>
          <w:color w:val="auto"/>
        </w:rPr>
        <w:t xml:space="preserve"> is continuing to advance its drug pipeline and programs. We expect to have more to discuss about Mayfield at the time of our next quarterly stockholder update.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Financial Outlook</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pleased with the strength of our underlying eyecare businesses and the momentum we have established with our customers and business partners. Importantly, during the third quarter, our business produced $2.6 million of cash from operations, helping push our cash balance to a level we have not seen since December 31, 2018. We do not believe the third quarter revenues and financial performance were a fluke and expect revenues and our cash balance to grow throughout next year. We continue to remain highly optimistic about the prospects of our business.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Even though we have hit our previous target of 70% gross margins, we are pressing the team to continue to find new efficiencies that can drive gross margins higher. As we start to see more contribution from sales of Dexycu® to our topline, there should be a corresponding expansion of our gross and operating margins even further in the near term. ImprimisRx is a powerful pharmaceutical platform that in the third quarter demonstrated the earnings capability of incremental revenue growth in the business. As we execute on our operational plan, we will continue to build upon our strategic objectives, including inorganic growth opportunities and enhancing the profitability profile of the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Closing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 want to thank the employees of Harrow, ImprimisRx, and every Harrow-connected business for delivering exceptional results. Business is good, and we believe it will continue to get even better. Our pipeline of deal-flow is strong, and we are working on transactions that are potentially transformative. I am confident that the work we are doing to bring in new ophthalmic products and other opportunities will change the profile of our company in a positive way. Much work is left to do. We look forward to reporting on continued execution and action in the next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in March of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Founder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The Company’s remarks in this stockholder letter include forward-looking statements within the meaning of federal securities laws. Forward-looking statements are subject to numerous risks and uncertainties, many of which are beyond Harrow Health’s control, including risks and uncertainties described from time to time in its SEC filings, such as the risks and uncertainties related to the Company’s ability to make commercially available its compounded formulations and technologies, and FDA approval of certain drug candidates in a timely manner or at all.</w:t>
      </w:r>
    </w:p>
    <w:p>
      <w:pPr>
        <w:spacing w:after="0" w:line="171"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For a list and description of those risks and uncertainties, please see the “Risk Factors” section of the Company’s Annual Report on Form 10-K, Quarterly Reports on Form 10-Q, and other filings with the SEC.</w:t>
      </w:r>
    </w:p>
    <w:p>
      <w:pPr>
        <w:spacing w:after="0" w:line="17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Harrow Health’s results may differ materially from those projected. Harrow disclaims any intention or obligation to update or revise any financial projections or forward-looking statements whether because of new information, future events or otherwise. This stockholder letter contains time- sensitive information and is accurate only as of today.</w:t>
      </w:r>
    </w:p>
    <w:p>
      <w:pPr>
        <w:spacing w:after="0" w:line="184"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Additionally, Harrow Health refers to non-GAAP financial metrics, specifically Adjusted EBITDA and/or adjusted earnings. A reconciliation of any non-GAAP measures with the most directly comparable GAAP measures is included in this letter.</w:t>
      </w:r>
    </w:p>
    <w:p>
      <w:pPr>
        <w:spacing w:after="0" w:line="17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i w:val="1"/>
          <w:iCs w:val="1"/>
          <w:color w:val="auto"/>
        </w:rPr>
        <w:t>No ImprimisRx compounded formulation is FDA-approved. All ImprimisRx formulations are customizable. Other than drugs compounded at a registered outsourcing facility, all ImprimisRx compounded formulations require a prescription for an individually identified patient consistent with federal and state laws.</w:t>
      </w:r>
    </w:p>
    <w:p>
      <w:pPr>
        <w:spacing w:after="0" w:line="184" w:lineRule="exact"/>
        <w:rPr>
          <w:sz w:val="20"/>
          <w:szCs w:val="20"/>
          <w:color w:val="auto"/>
        </w:rPr>
      </w:pPr>
    </w:p>
    <w:p>
      <w:pPr>
        <w:jc w:val="center"/>
        <w:ind w:right="340"/>
        <w:spacing w:after="0" w:line="277" w:lineRule="auto"/>
        <w:rPr>
          <w:sz w:val="20"/>
          <w:szCs w:val="20"/>
          <w:color w:val="auto"/>
        </w:rPr>
      </w:pPr>
      <w:r>
        <w:rPr>
          <w:rFonts w:ascii="Arial" w:cs="Arial" w:eastAsia="Arial" w:hAnsi="Arial"/>
          <w:sz w:val="18"/>
          <w:szCs w:val="18"/>
          <w:i w:val="1"/>
          <w:iCs w:val="1"/>
          <w:color w:val="auto"/>
        </w:rPr>
        <w:t xml:space="preserve">All trademarks, service marks and trade names included or referenced in this publication are the property of their respective owners. </w:t>
      </w:r>
      <w:r>
        <w:rPr>
          <w:rFonts w:ascii="Arial" w:cs="Arial" w:eastAsia="Arial" w:hAnsi="Arial"/>
          <w:sz w:val="18"/>
          <w:szCs w:val="18"/>
          <w:b w:val="1"/>
          <w:bCs w:val="1"/>
          <w:color w:val="auto"/>
        </w:rPr>
        <w:t>Adjusted EBITDA</w:t>
      </w:r>
    </w:p>
    <w:p>
      <w:pPr>
        <w:spacing w:after="0" w:line="170"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47"/>
        <w:spacing w:after="0" w:line="275" w:lineRule="auto"/>
        <w:rPr>
          <w:sz w:val="20"/>
          <w:szCs w:val="20"/>
          <w:color w:val="auto"/>
        </w:rPr>
      </w:pPr>
      <w:r>
        <w:rPr>
          <w:rFonts w:ascii="Arial" w:cs="Arial" w:eastAsia="Arial" w:hAnsi="Arial"/>
          <w:sz w:val="17"/>
          <w:szCs w:val="17"/>
          <w:color w:val="auto"/>
        </w:rPr>
        <w:t>The Company defines Adjusted EBITDA as net income (loss) excluding the effects of interest, taxes, depreciation, amortization, stock-based compensation, other income (expense)</w:t>
      </w:r>
      <w:r>
        <w:rPr>
          <w:rFonts w:ascii="Arial" w:cs="Arial" w:eastAsia="Arial" w:hAnsi="Arial"/>
          <w:sz w:val="17"/>
          <w:szCs w:val="17"/>
          <w:b w:val="1"/>
          <w:bCs w:val="1"/>
          <w:color w:val="auto"/>
        </w:rPr>
        <w:t>,</w:t>
      </w:r>
      <w:r>
        <w:rPr>
          <w:rFonts w:ascii="Arial" w:cs="Arial" w:eastAsia="Arial" w:hAnsi="Arial"/>
          <w:sz w:val="17"/>
          <w:szCs w:val="17"/>
          <w:color w:val="auto"/>
        </w:rPr>
        <w:t xml:space="preserve"> investment (gains)/ losses, net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income (loss) as a measure of operating performance or to net cash provided by (used in) operating, investing or financing activities as a measure of ability to meet cash needs.</w:t>
      </w:r>
    </w:p>
    <w:p>
      <w:pPr>
        <w:spacing w:after="0" w:line="176"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 following is a reconciliation of Adjusted EBITDA, a non-GAAP measure, to the most comparable GAAP measure, net income (loss), for the three months ended September 30, 2020 and for the same period in 2019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For the Three Months Ended</w:t>
            </w:r>
          </w:p>
        </w:tc>
        <w:tc>
          <w:tcPr>
            <w:tcW w:w="10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September 30, 2020</w:t>
            </w:r>
          </w:p>
        </w:tc>
        <w:tc>
          <w:tcPr>
            <w:tcW w:w="100" w:type="dxa"/>
            <w:vAlign w:val="bottom"/>
          </w:tcPr>
          <w:p>
            <w:pPr>
              <w:spacing w:after="0"/>
              <w:rPr>
                <w:sz w:val="20"/>
                <w:szCs w:val="20"/>
                <w:color w:val="auto"/>
              </w:rPr>
            </w:pPr>
          </w:p>
        </w:tc>
        <w:tc>
          <w:tcPr>
            <w:tcW w:w="2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 2019</w:t>
            </w:r>
          </w:p>
        </w:tc>
      </w:tr>
      <w:tr>
        <w:trPr>
          <w:trHeight w:val="216"/>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8,638</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Stock-based compensation and payments</w:t>
            </w:r>
          </w:p>
        </w:tc>
        <w:tc>
          <w:tcPr>
            <w:tcW w:w="120" w:type="dxa"/>
            <w:vAlign w:val="bottom"/>
          </w:tcPr>
          <w:p>
            <w:pPr>
              <w:spacing w:after="0"/>
              <w:rPr>
                <w:sz w:val="18"/>
                <w:szCs w:val="18"/>
                <w:color w:val="auto"/>
              </w:rPr>
            </w:pPr>
          </w:p>
        </w:tc>
        <w:tc>
          <w:tcPr>
            <w:tcW w:w="2700" w:type="dxa"/>
            <w:vAlign w:val="bottom"/>
            <w:gridSpan w:val="2"/>
          </w:tcPr>
          <w:p>
            <w:pPr>
              <w:jc w:val="right"/>
              <w:ind w:right="32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Taxes</w:t>
            </w:r>
          </w:p>
        </w:tc>
        <w:tc>
          <w:tcPr>
            <w:tcW w:w="120" w:type="dxa"/>
            <w:vAlign w:val="bottom"/>
          </w:tcPr>
          <w:p>
            <w:pPr>
              <w:spacing w:after="0"/>
              <w:rPr>
                <w:sz w:val="18"/>
                <w:szCs w:val="18"/>
                <w:color w:val="auto"/>
              </w:rPr>
            </w:pPr>
          </w:p>
        </w:tc>
        <w:tc>
          <w:tcPr>
            <w:tcW w:w="2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270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Investment (gains)/losses, net</w:t>
            </w:r>
          </w:p>
        </w:tc>
        <w:tc>
          <w:tcPr>
            <w:tcW w:w="1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(7,519)</w:t>
            </w:r>
          </w:p>
        </w:tc>
        <w:tc>
          <w:tcPr>
            <w:tcW w:w="1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6,612</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27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5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Non-recurring expenses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4,845</w:t>
            </w:r>
          </w:p>
        </w:tc>
      </w:t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7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3,032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1" w:lineRule="exact"/>
        <w:rPr>
          <w:sz w:val="20"/>
          <w:szCs w:val="20"/>
          <w:color w:val="auto"/>
        </w:rPr>
      </w:pPr>
    </w:p>
    <w:p>
      <w:pPr>
        <w:ind w:firstLine="59"/>
        <w:spacing w:after="0" w:line="221" w:lineRule="auto"/>
        <w:tabs>
          <w:tab w:leader="none" w:pos="277"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2019 non-recurring expenses includes costs accrued in connection with litigation settlements, impairment of long-lived assets and wind-down costs (including severance) associated with the restructuring of our Irvine, California pharmacy business.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i w:val="1"/>
                <w:iCs w:val="1"/>
                <w:color w:val="auto"/>
              </w:rPr>
              <w:t>Equity Portfolio</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180" w:type="dxa"/>
            <w:vAlign w:val="bottom"/>
            <w:tcBorders>
              <w:top w:val="single" w:sz="8" w:color="auto"/>
            </w:tcBorders>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Number of Shares of</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Estimated Value at</w:t>
            </w:r>
          </w:p>
        </w:tc>
      </w:tr>
      <w:tr>
        <w:trPr>
          <w:trHeight w:val="241"/>
        </w:trPr>
        <w:tc>
          <w:tcPr>
            <w:tcW w:w="1180" w:type="dxa"/>
            <w:vAlign w:val="bottom"/>
          </w:tcPr>
          <w:p>
            <w:pPr>
              <w:spacing w:after="0"/>
              <w:rPr>
                <w:sz w:val="20"/>
                <w:szCs w:val="20"/>
                <w:color w:val="auto"/>
              </w:rPr>
            </w:pPr>
          </w:p>
        </w:tc>
        <w:tc>
          <w:tcPr>
            <w:tcW w:w="5340" w:type="dxa"/>
            <w:vAlign w:val="bottom"/>
            <w:gridSpan w:val="2"/>
          </w:tcPr>
          <w:p>
            <w:pPr>
              <w:ind w:left="1600"/>
              <w:spacing w:after="0"/>
              <w:rPr>
                <w:sz w:val="20"/>
                <w:szCs w:val="20"/>
                <w:color w:val="auto"/>
              </w:rPr>
            </w:pPr>
            <w:r>
              <w:rPr>
                <w:rFonts w:ascii="Arial" w:cs="Arial" w:eastAsia="Arial" w:hAnsi="Arial"/>
                <w:sz w:val="18"/>
                <w:szCs w:val="18"/>
                <w:b w:val="1"/>
                <w:bCs w:val="1"/>
                <w:color w:val="auto"/>
              </w:rPr>
              <w:t>Company</w:t>
            </w: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Common Stock</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2020</w:t>
            </w:r>
          </w:p>
        </w:tc>
      </w:tr>
      <w:tr>
        <w:trPr>
          <w:trHeight w:val="216"/>
        </w:trPr>
        <w:tc>
          <w:tcPr>
            <w:tcW w:w="6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Eton Pharmaceuticals</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gridSpan w:val="3"/>
          </w:tcPr>
          <w:p>
            <w:pPr>
              <w:spacing w:after="0"/>
              <w:rPr>
                <w:sz w:val="20"/>
                <w:szCs w:val="20"/>
                <w:color w:val="auto"/>
              </w:rPr>
            </w:pPr>
            <w:r>
              <w:rPr>
                <w:rFonts w:ascii="Arial" w:cs="Arial" w:eastAsia="Arial" w:hAnsi="Arial"/>
                <w:sz w:val="18"/>
                <w:szCs w:val="18"/>
                <w:color w:val="auto"/>
              </w:rPr>
              <w:t>Surface Ophthalmics</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3,500,000</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11,550,0001</w:t>
            </w:r>
          </w:p>
        </w:tc>
      </w:tr>
      <w:tr>
        <w:trPr>
          <w:trHeight w:val="250"/>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Melt Pharmaceuticals</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3,500,000</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17,500,0001</w:t>
            </w:r>
          </w:p>
        </w:tc>
      </w:tr>
      <w:tr>
        <w:trPr>
          <w:trHeight w:val="221"/>
        </w:trPr>
        <w:tc>
          <w:tcPr>
            <w:tcW w:w="6520" w:type="dxa"/>
            <w:vAlign w:val="bottom"/>
            <w:tcBorders>
              <w:top w:val="single" w:sz="8" w:color="CCEEFF"/>
            </w:tcBorders>
            <w:gridSpan w:val="3"/>
          </w:tcPr>
          <w:p>
            <w:pPr>
              <w:ind w:left="360"/>
              <w:spacing w:after="0"/>
              <w:rPr>
                <w:sz w:val="20"/>
                <w:szCs w:val="20"/>
                <w:color w:val="auto"/>
              </w:rPr>
            </w:pPr>
            <w:r>
              <w:rPr>
                <w:rFonts w:ascii="Arial" w:cs="Arial" w:eastAsia="Arial" w:hAnsi="Arial"/>
                <w:sz w:val="18"/>
                <w:szCs w:val="18"/>
                <w:b w:val="1"/>
                <w:bCs w:val="1"/>
                <w:color w:val="auto"/>
              </w:rPr>
              <w:t>Estimated Total Value</w:t>
            </w:r>
          </w:p>
        </w:tc>
        <w:tc>
          <w:tcPr>
            <w:tcW w:w="2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56,700,000</w:t>
            </w:r>
          </w:p>
        </w:tc>
        <w:tc>
          <w:tcPr>
            <w:tcW w:w="100" w:type="dxa"/>
            <w:vAlign w:val="bottom"/>
            <w:tcBorders>
              <w:top w:val="single" w:sz="8" w:color="CCEEFF"/>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4" w:lineRule="exact"/>
        <w:rPr>
          <w:sz w:val="20"/>
          <w:szCs w:val="20"/>
          <w:color w:val="auto"/>
        </w:rPr>
      </w:pPr>
    </w:p>
    <w:p>
      <w:pPr>
        <w:ind w:firstLine="80"/>
        <w:spacing w:after="0" w:line="194" w:lineRule="auto"/>
        <w:tabs>
          <w:tab w:leader="none" w:pos="211"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which is calculated as the conversion price of the Series A Preferred Stock (from the most recent offering of the applicable company) multiplied by the number of shares owned by Harrow.</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2020-11-09T15:49:31Z</dcterms:created>
  <dcterms:modified xsi:type="dcterms:W3CDTF">2020-11-09T15:49:31Z</dcterms:modified>
</cp:coreProperties>
</file>