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32385</wp:posOffset>
            </wp:positionH>
            <wp:positionV relativeFrom="paragraph">
              <wp:posOffset>-226060</wp:posOffset>
            </wp:positionV>
            <wp:extent cx="120015" cy="12001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" cy="120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340"/>
        <w:spacing w:after="0" w:line="24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32385</wp:posOffset>
            </wp:positionH>
            <wp:positionV relativeFrom="paragraph">
              <wp:posOffset>-565785</wp:posOffset>
            </wp:positionV>
            <wp:extent cx="120015" cy="1200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" cy="120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6"/>
        </w:trPr>
        <w:tc>
          <w:tcPr>
            <w:tcW w:w="6220" w:type="dxa"/>
            <w:vAlign w:val="bottom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18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18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5218430</wp:posOffset>
            </wp:positionH>
            <wp:positionV relativeFrom="paragraph">
              <wp:posOffset>-612775</wp:posOffset>
            </wp:positionV>
            <wp:extent cx="57150" cy="6261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3936365</wp:posOffset>
            </wp:positionH>
            <wp:positionV relativeFrom="paragraph">
              <wp:posOffset>-612775</wp:posOffset>
            </wp:positionV>
            <wp:extent cx="57150" cy="6261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-1687830</wp:posOffset>
            </wp:positionH>
            <wp:positionV relativeFrom="paragraph">
              <wp:posOffset>725805</wp:posOffset>
            </wp:positionV>
            <wp:extent cx="6996430" cy="46405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6430" cy="46405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360"/>
            <w:col w:w="8440"/>
          </w:cols>
          <w:pgMar w:left="460" w:top="215" w:right="359" w:bottom="1440" w:gutter="0" w:footer="0" w:header="0"/>
        </w:sectPr>
      </w:pP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BOLL ANDREW R.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HARROW, INC.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1A BURTON HILLS BLVD., STE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HARROW,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HROW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5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04/03/2025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-3" w:right="700" w:firstLine="3"/>
        <w:spacing w:after="0" w:line="249" w:lineRule="auto"/>
        <w:tabs>
          <w:tab w:leader="none" w:pos="137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37"/>
        <w:spacing w:after="0"/>
        <w:tabs>
          <w:tab w:leader="none" w:pos="209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37"/>
        <w:spacing w:after="0"/>
        <w:tabs>
          <w:tab w:leader="none" w:pos="209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81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Chief Financial Officer</w:t>
      </w:r>
    </w:p>
    <w:p>
      <w:pPr>
        <w:spacing w:after="0" w:line="3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3" w:space="720"/>
            <w:col w:w="3357"/>
          </w:cols>
          <w:pgMar w:left="460" w:top="215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80" w:type="dxa"/>
            <w:vAlign w:val="bottom"/>
            <w:gridSpan w:val="7"/>
          </w:tcPr>
          <w:p>
            <w:pPr>
              <w:jc w:val="center"/>
              <w:ind w:righ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9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NASHVILLE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TN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37205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1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04/03/2025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346,500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914,589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04/07/2025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136,745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23.09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777,844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 Derivative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Performance</w:t>
            </w:r>
          </w:p>
        </w:tc>
        <w:tc>
          <w:tcPr>
            <w:tcW w:w="5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jc w:val="right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04/03/2025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346,500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right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346,500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-1638935</wp:posOffset>
            </wp:positionV>
            <wp:extent cx="28575" cy="164401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1644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160" w:hanging="121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346,500 shares of Harrow, Inc. ("Harrow") common stock listed in Table I as "Acquired" represent shares upon vesting of performance stock units ("PSUs") granted to Mr. Boll under Harrow's 2017 Stock</w:t>
      </w:r>
    </w:p>
    <w:p>
      <w:pPr>
        <w:spacing w:after="0" w:line="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40"/>
        <w:spacing w:after="0" w:line="227" w:lineRule="auto"/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Incentive and Awards Plan (the "Incentive Plan") on April 3, 2023. The PSUs vested on April 3, 2025 and were settled in full in shares of Harrow common stock (on a one-for-one basis) on April 7, 2025, following attainment of (i) a two-year service period, and (ii) the achievement of Harrow common stock price targets ranging from $25 - $50. The 136,745 shares of Harrow common stock listed in Table I as "Disposed" were not sold by Mr. Boll in any market transaction; rather, they were shares of Harrow common stock withheld by the Company for payroll tax purposes from the same aforementioned 346,500 shares pursuant to the terms of the Incentive Plan.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1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/s/ Andrew R. Boll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8"/>
              </w:rPr>
              <w:t>04/07/2025</w:t>
            </w:r>
          </w:p>
        </w:tc>
      </w:tr>
      <w:tr>
        <w:trPr>
          <w:trHeight w:val="20"/>
        </w:trPr>
        <w:tc>
          <w:tcPr>
            <w:tcW w:w="1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both"/>
        <w:ind w:left="40" w:right="3760" w:hanging="1"/>
        <w:spacing w:after="0" w:line="329" w:lineRule="auto"/>
        <w:tabs>
          <w:tab w:leader="none" w:pos="17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542150" TargetMode="External"/><Relationship Id="rId14" Type="http://schemas.openxmlformats.org/officeDocument/2006/relationships/hyperlink" Target="http://www.sec.gov/cgi-bin/browse-edgar?action=getcompany&amp;CIK=000136021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2025-04-07T21:01:04Z</dcterms:created>
  <dcterms:modified xsi:type="dcterms:W3CDTF">2025-04-07T21:01:04Z</dcterms:modified>
</cp:coreProperties>
</file>