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8,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HARROW,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62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92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001-35814</w:t>
            </w:r>
          </w:p>
        </w:tc>
        <w:tc>
          <w:tcPr>
            <w:tcW w:w="220" w:type="dxa"/>
            <w:vAlign w:val="bottom"/>
          </w:tcPr>
          <w:p>
            <w:pPr>
              <w:spacing w:after="0"/>
              <w:rPr>
                <w:sz w:val="19"/>
                <w:szCs w:val="19"/>
                <w:color w:val="auto"/>
              </w:rPr>
            </w:pPr>
          </w:p>
        </w:tc>
        <w:tc>
          <w:tcPr>
            <w:tcW w:w="448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45-0567010</w:t>
            </w:r>
          </w:p>
        </w:tc>
      </w:tr>
      <w:tr>
        <w:trPr>
          <w:trHeight w:val="216"/>
        </w:trPr>
        <w:tc>
          <w:tcPr>
            <w:tcW w:w="462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(Commission</w:t>
            </w:r>
          </w:p>
        </w:tc>
        <w:tc>
          <w:tcPr>
            <w:tcW w:w="448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620" w:type="dxa"/>
            <w:vAlign w:val="bottom"/>
            <w:gridSpan w:val="4"/>
          </w:tcPr>
          <w:p>
            <w:pPr>
              <w:jc w:val="center"/>
              <w:ind w:right="10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File Number)</w:t>
            </w:r>
          </w:p>
        </w:tc>
        <w:tc>
          <w:tcPr>
            <w:tcW w:w="4480" w:type="dxa"/>
            <w:vAlign w:val="bottom"/>
            <w:gridSpan w:val="2"/>
          </w:tcPr>
          <w:p>
            <w:pPr>
              <w:jc w:val="center"/>
              <w:ind w:left="8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2260" w:type="dxa"/>
            <w:vAlign w:val="bottom"/>
          </w:tcPr>
          <w:p>
            <w:pPr>
              <w:spacing w:after="0"/>
              <w:rPr>
                <w:sz w:val="24"/>
                <w:szCs w:val="24"/>
                <w:color w:val="auto"/>
              </w:rPr>
            </w:pPr>
          </w:p>
        </w:tc>
        <w:tc>
          <w:tcPr>
            <w:tcW w:w="4500" w:type="dxa"/>
            <w:vAlign w:val="bottom"/>
            <w:gridSpan w:val="5"/>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1A Burton Hills Blvd., Suite 200</w:t>
            </w: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20"/>
        </w:trPr>
        <w:tc>
          <w:tcPr>
            <w:tcW w:w="2260" w:type="dxa"/>
            <w:vAlign w:val="bottom"/>
          </w:tcPr>
          <w:p>
            <w:pPr>
              <w:spacing w:after="0"/>
              <w:rPr>
                <w:sz w:val="19"/>
                <w:szCs w:val="19"/>
                <w:color w:val="auto"/>
              </w:rPr>
            </w:pPr>
          </w:p>
        </w:tc>
        <w:tc>
          <w:tcPr>
            <w:tcW w:w="236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Nashville, Tennessee</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8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37215</w:t>
            </w:r>
          </w:p>
        </w:tc>
      </w:tr>
      <w:tr>
        <w:trPr>
          <w:trHeight w:val="234"/>
        </w:trPr>
        <w:tc>
          <w:tcPr>
            <w:tcW w:w="2260" w:type="dxa"/>
            <w:vAlign w:val="bottom"/>
          </w:tcPr>
          <w:p>
            <w:pPr>
              <w:spacing w:after="0"/>
              <w:rPr>
                <w:sz w:val="20"/>
                <w:szCs w:val="20"/>
                <w:color w:val="auto"/>
              </w:rPr>
            </w:pPr>
          </w:p>
        </w:tc>
        <w:tc>
          <w:tcPr>
            <w:tcW w:w="4500" w:type="dxa"/>
            <w:vAlign w:val="bottom"/>
            <w:gridSpan w:val="5"/>
          </w:tcPr>
          <w:p>
            <w:pPr>
              <w:jc w:val="center"/>
              <w:ind w:right="158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40" w:type="dxa"/>
            <w:vAlign w:val="bottom"/>
          </w:tcPr>
          <w:p>
            <w:pPr>
              <w:spacing w:after="0"/>
              <w:rPr>
                <w:sz w:val="20"/>
                <w:szCs w:val="20"/>
                <w:color w:val="auto"/>
              </w:rPr>
            </w:pPr>
          </w:p>
        </w:tc>
        <w:tc>
          <w:tcPr>
            <w:tcW w:w="2240" w:type="dxa"/>
            <w:vAlign w:val="bottom"/>
          </w:tcPr>
          <w:p>
            <w:pPr>
              <w:jc w:val="center"/>
              <w:ind w:right="127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2260" w:type="dxa"/>
            <w:vAlign w:val="bottom"/>
          </w:tcPr>
          <w:p>
            <w:pPr>
              <w:spacing w:after="0"/>
              <w:rPr>
                <w:sz w:val="24"/>
                <w:szCs w:val="24"/>
                <w:color w:val="auto"/>
              </w:rPr>
            </w:pPr>
          </w:p>
        </w:tc>
        <w:tc>
          <w:tcPr>
            <w:tcW w:w="8980" w:type="dxa"/>
            <w:vAlign w:val="bottom"/>
            <w:gridSpan w:val="7"/>
          </w:tcPr>
          <w:p>
            <w:pPr>
              <w:jc w:val="center"/>
              <w:ind w:right="217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(615) 733-4730</w:t>
            </w:r>
          </w:p>
        </w:tc>
      </w:tr>
      <w:tr>
        <w:trPr>
          <w:trHeight w:val="432"/>
        </w:trPr>
        <w:tc>
          <w:tcPr>
            <w:tcW w:w="2260" w:type="dxa"/>
            <w:vAlign w:val="bottom"/>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c>
          <w:tcPr>
            <w:tcW w:w="2240" w:type="dxa"/>
            <w:vAlign w:val="bottom"/>
            <w:tcBorders>
              <w:bottom w:val="single" w:sz="8" w:color="auto"/>
            </w:tcBorders>
          </w:tcPr>
          <w:p>
            <w:pPr>
              <w:spacing w:after="0"/>
              <w:rPr>
                <w:sz w:val="24"/>
                <w:szCs w:val="24"/>
                <w:color w:val="auto"/>
              </w:rPr>
            </w:pPr>
          </w:p>
        </w:tc>
        <w:tc>
          <w:tcPr>
            <w:tcW w:w="2240" w:type="dxa"/>
            <w:vAlign w:val="bottom"/>
          </w:tcPr>
          <w:p>
            <w:pPr>
              <w:spacing w:after="0"/>
              <w:rPr>
                <w:sz w:val="24"/>
                <w:szCs w:val="24"/>
                <w:color w:val="auto"/>
              </w:rPr>
            </w:pPr>
          </w:p>
        </w:tc>
      </w:tr>
      <w:tr>
        <w:trPr>
          <w:trHeight w:val="228"/>
        </w:trPr>
        <w:tc>
          <w:tcPr>
            <w:tcW w:w="2260" w:type="dxa"/>
            <w:vAlign w:val="bottom"/>
          </w:tcPr>
          <w:p>
            <w:pPr>
              <w:spacing w:after="0"/>
              <w:rPr>
                <w:sz w:val="19"/>
                <w:szCs w:val="19"/>
                <w:color w:val="auto"/>
              </w:rPr>
            </w:pPr>
          </w:p>
        </w:tc>
        <w:tc>
          <w:tcPr>
            <w:tcW w:w="674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2240" w:type="dxa"/>
            <w:vAlign w:val="bottom"/>
          </w:tcPr>
          <w:p>
            <w:pPr>
              <w:spacing w:after="0"/>
              <w:rPr>
                <w:sz w:val="19"/>
                <w:szCs w:val="19"/>
                <w:color w:val="auto"/>
              </w:rPr>
            </w:pPr>
          </w:p>
        </w:tc>
      </w:tr>
      <w:tr>
        <w:trPr>
          <w:trHeight w:val="414"/>
        </w:trPr>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39"/>
        </w:trPr>
        <w:tc>
          <w:tcPr>
            <w:tcW w:w="462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Name on exchange on which registered</w:t>
            </w:r>
          </w:p>
        </w:tc>
      </w:tr>
      <w:tr>
        <w:trPr>
          <w:trHeight w:val="198"/>
        </w:trPr>
        <w:tc>
          <w:tcPr>
            <w:tcW w:w="4060" w:type="dxa"/>
            <w:vAlign w:val="bottom"/>
            <w:tcBorders>
              <w:top w:val="single" w:sz="8" w:color="auto"/>
            </w:tcBorders>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920" w:type="dxa"/>
            <w:vAlign w:val="bottom"/>
            <w:tcBorders>
              <w:top w:val="single" w:sz="8" w:color="auto"/>
            </w:tcBorders>
          </w:tcPr>
          <w:p>
            <w:pPr>
              <w:jc w:val="center"/>
              <w:ind w:right="250"/>
              <w:spacing w:after="0" w:line="198" w:lineRule="exact"/>
              <w:rPr>
                <w:sz w:val="20"/>
                <w:szCs w:val="20"/>
                <w:color w:val="auto"/>
              </w:rPr>
            </w:pPr>
            <w:r>
              <w:rPr>
                <w:rFonts w:ascii="Times New Roman" w:cs="Times New Roman" w:eastAsia="Times New Roman" w:hAnsi="Times New Roman"/>
                <w:sz w:val="18"/>
                <w:szCs w:val="18"/>
                <w:color w:val="auto"/>
                <w:w w:val="98"/>
              </w:rPr>
              <w:t>HROW</w:t>
            </w:r>
          </w:p>
        </w:tc>
        <w:tc>
          <w:tcPr>
            <w:tcW w:w="220" w:type="dxa"/>
            <w:vAlign w:val="bottom"/>
          </w:tcPr>
          <w:p>
            <w:pPr>
              <w:spacing w:after="0"/>
              <w:rPr>
                <w:sz w:val="17"/>
                <w:szCs w:val="17"/>
                <w:color w:val="auto"/>
              </w:rPr>
            </w:pPr>
          </w:p>
        </w:tc>
        <w:tc>
          <w:tcPr>
            <w:tcW w:w="4480" w:type="dxa"/>
            <w:vAlign w:val="bottom"/>
            <w:tcBorders>
              <w:top w:val="single" w:sz="8" w:color="auto"/>
            </w:tcBorders>
            <w:gridSpan w:val="2"/>
          </w:tcPr>
          <w:p>
            <w:pPr>
              <w:jc w:val="center"/>
              <w:spacing w:after="0" w:line="198"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16"/>
        </w:trPr>
        <w:tc>
          <w:tcPr>
            <w:tcW w:w="4620" w:type="dxa"/>
            <w:vAlign w:val="bottom"/>
            <w:gridSpan w:val="4"/>
          </w:tcPr>
          <w:p>
            <w:pPr>
              <w:jc w:val="center"/>
              <w:ind w:right="540"/>
              <w:spacing w:after="0"/>
              <w:rPr>
                <w:sz w:val="20"/>
                <w:szCs w:val="20"/>
                <w:color w:val="auto"/>
              </w:rPr>
            </w:pPr>
            <w:r>
              <w:rPr>
                <w:rFonts w:ascii="Times New Roman" w:cs="Times New Roman" w:eastAsia="Times New Roman" w:hAnsi="Times New Roman"/>
                <w:sz w:val="18"/>
                <w:szCs w:val="18"/>
                <w:color w:val="auto"/>
                <w:w w:val="99"/>
              </w:rPr>
              <w:t>8.625% Senior Notes due 2026</w:t>
            </w:r>
          </w:p>
        </w:tc>
        <w:tc>
          <w:tcPr>
            <w:tcW w:w="21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HROWL</w:t>
            </w:r>
          </w:p>
        </w:tc>
        <w:tc>
          <w:tcPr>
            <w:tcW w:w="4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620" w:type="dxa"/>
            <w:vAlign w:val="bottom"/>
            <w:gridSpan w:val="4"/>
          </w:tcPr>
          <w:p>
            <w:pPr>
              <w:jc w:val="center"/>
              <w:ind w:right="560"/>
              <w:spacing w:after="0"/>
              <w:rPr>
                <w:sz w:val="20"/>
                <w:szCs w:val="20"/>
                <w:color w:val="auto"/>
              </w:rPr>
            </w:pPr>
            <w:r>
              <w:rPr>
                <w:rFonts w:ascii="Times New Roman" w:cs="Times New Roman" w:eastAsia="Times New Roman" w:hAnsi="Times New Roman"/>
                <w:sz w:val="18"/>
                <w:szCs w:val="18"/>
                <w:color w:val="auto"/>
              </w:rPr>
              <w:t>11.875% Senior Notes due 2027</w:t>
            </w:r>
          </w:p>
        </w:tc>
        <w:tc>
          <w:tcPr>
            <w:tcW w:w="21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8"/>
              </w:rPr>
              <w:t>HROWM</w:t>
            </w:r>
          </w:p>
        </w:tc>
        <w:tc>
          <w:tcPr>
            <w:tcW w:w="44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Agreement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8, 2025, Harrow, Inc. (the “Company”) entered into the a purchase agreement, dated September 8, 2025 (the “Purchase Agreement”) with BTIG, LLC, as representative of the several initial purchasers named therein (collectively, the “Initial Purchasers”), in connection with its offer and sale of $250.0 million aggregate principal amount of 8.625% senior notes due 2030 (the “2030 Notes”). The terms of the 2030 Notes sold pursuant to the Purchase Agreement are summarized below. The Purchase Agreement contains customary representations, warranties and covenants by the Company, together with customary closing conditions. Under the terms of the Purchase Agreement, the Company agreed to indemnify the Initial Purchasers against certain liabilities.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foregoing description of the Purchase Agreement does not purport to be complete and is qualified in its entirety by reference to the full text of the Purchase Agreement, a copy of which is filed hereto, as </w:t>
      </w:r>
      <w:r>
        <w:rPr>
          <w:rFonts w:ascii="Times New Roman" w:cs="Times New Roman" w:eastAsia="Times New Roman" w:hAnsi="Times New Roman"/>
          <w:sz w:val="18"/>
          <w:szCs w:val="18"/>
          <w:u w:val="single" w:color="auto"/>
          <w:color w:val="auto"/>
        </w:rPr>
        <w:t>Exhibit 10.1</w:t>
      </w:r>
      <w:r>
        <w:rPr>
          <w:rFonts w:ascii="Times New Roman" w:cs="Times New Roman" w:eastAsia="Times New Roman" w:hAnsi="Times New Roman"/>
          <w:sz w:val="18"/>
          <w:szCs w:val="18"/>
          <w:color w:val="auto"/>
        </w:rPr>
        <w:t xml:space="preserve"> and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Indenture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12, 2025, the Company, the subsidiary guarantors named therein (the “Guarantors”) and U.S. Bank Trust Company, National Association, as trustee (the “Trustee”) entered into an Indenture, dated September 12, 2025 (the “Indenture”) pursuant to which the Company issued the 2030 Notes.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2030 Notes will bear interest at a rate of 8.625% per annum and will mature on September 15, 2030. Interest will accrue on the 2030 Notes from September 12, 2025. Interest on the 2030 Notes will be payable, in cash, semi-annually in arrears on March 15 and September 15 of each year, commencing on March 15, 2026.</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may redeem all or part of the 2030 Notes prior to September 15, 2027, at a price equal to 100% of the principal amount of the 2030 Notes redeemed, plus accrued and unpaid interest, if any, to, but not including, the redemption date, plus a “make-whole” premium, as described in the Indenture. The Company may redeem all or part of the 2030 Notes on or after September 15, 2027 at the applicable redemption prices described in the Indenture. The Company may also redeem up to 40% of the aggregate principal amount of the 2030 Notes at any time prior to September 15, 2027, at a redemption price equal to 108.625% of the principal amount of the 2030 Notes redeemed, plus accrued and unpaid interest, if any, to, but excluding, the redemption date, with the net cash proceeds from certain equity offerings. If a change in control triggering event occurs, unless the Company has previously exercised or substantially concurrently exercise its optional redemption right, the Company will be required to offer to repurchase the 2030 Notes from holders at 101% of the principal amount thereof, plus accrued and unpaid interest, if any, to, but excluding, the redemption date.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2030 Notes will be the Company’s general senior unsecured obligations and will be equal in right of payment with any of the Company’s existing and future senior indebtedness, and senior in right of payment to any of the Company’s subordinated indebtedness. The 2030 Notes will be effectively subordinated to any of the Company’s secured indebtedness to the extent of the value of the assets securing such indebtedness. The 2030 Notes will be guaranteed on a senior unsecured basis by the Company’s existing and future wholly-owned domestic restricted subsidiaries and any of its other restricted subsidiaries that guarantees or co-issues any of its indebtedness or any indebtedness of any of its subsidiaries that guarantees the 2030 Notes, subject to certain exceptions. The 2030 Notes and the related guarantees will be structurally subordinated to the indebtedness and other liabilities, including preferred stock, of the Company’s subsidiaries that are not guarantors.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both"/>
        <w:spacing w:after="0" w:line="255" w:lineRule="auto"/>
        <w:rPr>
          <w:sz w:val="20"/>
          <w:szCs w:val="20"/>
          <w:color w:val="auto"/>
        </w:rPr>
      </w:pPr>
      <w:r>
        <w:rPr>
          <w:rFonts w:ascii="Times New Roman" w:cs="Times New Roman" w:eastAsia="Times New Roman" w:hAnsi="Times New Roman"/>
          <w:sz w:val="18"/>
          <w:szCs w:val="18"/>
          <w:color w:val="auto"/>
        </w:rPr>
        <w:t>The Indenture contains certain covenants, including, among others, covenants that restrict the ability of the Company and its restricted subsidiaries to incur or guarantee additional indebtedness or issue disqualified stock or certain preferred stock, pay dividends and make other distributions or repurchase stock, make certain investments, create or incur liens, sell assets, enter into restrictions affecting the ability of restricted subsidiaries to make distributions, loans or advances or transfer assets to the issuer or the guarantors, enter into certain transactions with the issuer’s affiliates, designate restricted subsidiaries as unrestricted subsidiaries, and merge, consolidate or transfer or sell all or substantially all of the issuer’s or the guarantors’ assets. These covenants are subject to a number of important limitations and exceptions. Most of these covenants will not apply to the Company and its restricted subsidiaries during any period in which the 2030 Notes are rated investment grade by any two of Moody’s Investors Service, Inc., S&amp;P Global Inc. and Fitch Inc.</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 also contains customary provisions for events of default including, but not limited to, for failure to pay principal or interest when due and payable, failure to comply with covenants or agreements in the Indenture or the 2030 Notes and failure to cure or obtain a waiver of such default upon notice, and events of bankruptcy, insolvency or reorganization affecting the Company and certain of its subsidiaries. In the case of an event of default, the principal amount of the 2030 Notes plus accrued and unpaid interest may be accelerated.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the Initial Purchasers and their respective affiliates have engaged in, and may in the future engage in, investment banking, advisory roles and other commercial dealings in the ordinary course of business with the Company or its affiliates. They have received, or may in the future receive, customary fees and commissions for these transactions. Furthermore, certain of the Initial Purchasers or their affiliates may be lenders under the previously announced new revolving credit facility that the Company expects to enter into, and have received, or may in the future receive, customary fees and commissions for transactions under the new revolving credit facility.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foregoing description of the Indenture and the 2030 Notes does not purport to be complete and is qualified in its entirety by reference to the full text of the Indenture and the 2030 Notes, a copy of which is filed hereto, as </w:t>
      </w:r>
      <w:r>
        <w:rPr>
          <w:rFonts w:ascii="Times New Roman" w:cs="Times New Roman" w:eastAsia="Times New Roman" w:hAnsi="Times New Roman"/>
          <w:sz w:val="18"/>
          <w:szCs w:val="18"/>
          <w:u w:val="single" w:color="auto"/>
          <w:color w:val="auto"/>
        </w:rPr>
        <w:t>Exhibit 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4.2</w:t>
      </w:r>
      <w:r>
        <w:rPr>
          <w:rFonts w:ascii="Times New Roman" w:cs="Times New Roman" w:eastAsia="Times New Roman" w:hAnsi="Times New Roman"/>
          <w:sz w:val="18"/>
          <w:szCs w:val="18"/>
          <w:color w:val="auto"/>
        </w:rPr>
        <w:t>, respectively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and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on Form 8-K is incorporated herein by reference to the extent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September 12, 2025, the Company completed the sale of the 2030 Notes in a private offering (the “Offering”) to persons reasonably believed to be “qualified institutional buyers” in the United States, as defined in Rule 144A under the Securities Act of 1933, as amended (the “Securities Act”), and to certain non-U.S. persons outside the United States in offshore transactions pursuant to Regulation S under the Securities Act.</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received net proceeds from the Offering, after deducting the Initial Purchasers’ discounts and estimated offering expenses and fees payable by the Company, of approximately $244 million. The Company intends to use the net proceeds from the Offering to prepay outstanding borrowings under that certain Credit Agreement and Guaranty dated as of March 27, 2023, by and among the Company, the lenders from time to time party thereto and Oaktree Fund Administration, LLC, as administrative agent for the lenders (as amended and restated to date), the 2026 Notes (as defined below) and the 11.875% Senior Notes due 2027, to pay certain exit costs related thereto and for general corporate purposes, which may include funding future strategic business development opportunities and related investments.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on September 12, 2025, the Company delivered a notice of full redemption to the Trustee for the Company’s outstanding 8.625% Senior Notes due 2026 (the “2026 Notes”), to redeem all of the outstanding 2026 Notes on October 13, 2025 (the “2026 Note Redemption Date”) pursuant to the optional redemption provisions of the Indenture dated as of April 20, 2021, as supplemented by the First Supplemental Indenture dated as of April 20, 2021, governing the 2026 Notes. The 2026 Notes are listed on The Nasdaq Stock Market under the symbol “HROWL” and will be delisted following redemption.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2026 Notes will be redeemed at a redemption price equal to 100% of the principal amount of the 2026 Notes redeemed, plus a make-whole amount and accrued and unpaid interest to, but not including, the 2026 Note Redemption Date.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a solicitation of an offer to buy or an offer to purchase or sell any securities. No offer, solicitation, purchase or sale will be made in any jurisdiction in which such offer, solicitation or sale would be unlawful. Any offer or solicitation will be made only by means of a confidential offering memorandum. This Current Report on Form 8-K does not constitute a notice of repayment or notice of redemption of outstanding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Current Report on Form 8-K contains forward-looking statements within the meaning of the Private Securities Litigation Reform Act, including statements regarding the use of proceeds of the 2030 Notes and the redemption of the 2026 Notes. These statements are based on currently available operating, financial, economic and other information, and are subject to a number of significant risks and uncertainties. A variety of factors, many of which are beyond our control, could cause actual future results to differ materially from those projected in the forward-looking statements. Specific factors that might cause such a difference include, but are not limited to: changes in operations, business, financial or other conditions relevant to the planned transactions, and other execution risks related to the completion of the transactions described herein, as well as other risks detailed in our most recent annual report on Form 10-K and other filings with the Securities and Exchange Commission. We believe these forward-looking statements are reasonable; however, you should not place undue reliance on any forward-looking statements, which are based on current expectations. Furthermore, forward-looking statements speak only as of the date they are made. If any of these risks or uncertainties materialize, or if any of our underlying assumptions are incorrect, we may not be able to complete the potential transactions on terms expected or at all, and our actual results may differ significantly from those expected or implied by our forward-looking statements. These and other risks are detailed in our filings with the Securities and Exchange Commission. We do not undertake any obligation to publicly update or revise these forward-looking statements after the date of this Current Report on Form 8-K to reflect future events or circumstances, except as required by applicable law. We qualify any and all of our forward-looking statements by these cautionary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780" w:hanging="772"/>
        <w:spacing w:after="0"/>
        <w:tabs>
          <w:tab w:leader="none" w:pos="7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ind w:left="780" w:hanging="768"/>
        <w:spacing w:after="0" w:line="282" w:lineRule="auto"/>
        <w:tabs>
          <w:tab w:leader="none" w:pos="76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0000EE"/>
        </w:rPr>
        <w:t>Indenture, dated September 12, 2025, by and among the Company, the guarantors named therein and U.S. Bank Trust Company, National Association, as trustee</w:t>
      </w:r>
    </w:p>
    <w:p>
      <w:pPr>
        <w:spacing w:after="0" w:line="16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0000EE"/>
        </w:rPr>
        <w:t>Form of 8.625% Senior Note due 2030 (included in Exhibit 4.1)</w:t>
      </w:r>
    </w:p>
    <w:p>
      <w:pPr>
        <w:spacing w:after="0" w:line="225" w:lineRule="exact"/>
        <w:rPr>
          <w:sz w:val="20"/>
          <w:szCs w:val="20"/>
          <w:color w:val="auto"/>
        </w:rPr>
      </w:pPr>
    </w:p>
    <w:p>
      <w:pPr>
        <w:ind w:left="780" w:hanging="768"/>
        <w:spacing w:after="0" w:line="282" w:lineRule="auto"/>
        <w:tabs>
          <w:tab w:leader="none" w:pos="7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EE"/>
        </w:rPr>
        <w:t>Purchase Agreement, dated September 8, 2025, by and among the Company, the guarantors named therein and BTIG, LLC, as representative of the several initial purchasers named therein</w:t>
      </w:r>
    </w:p>
    <w:p>
      <w:pPr>
        <w:spacing w:after="0" w:line="162"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744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HARROW, INC.</w:t>
            </w:r>
          </w:p>
        </w:tc>
      </w:tr>
      <w:tr>
        <w:trPr>
          <w:trHeight w:val="432"/>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Dated: September 12, 2025</w:t>
            </w:r>
          </w:p>
        </w:tc>
        <w:tc>
          <w:tcPr>
            <w:tcW w:w="240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Andrew R. Boll</w:t>
            </w:r>
          </w:p>
        </w:tc>
      </w:tr>
      <w:tr>
        <w:trPr>
          <w:trHeight w:val="191"/>
        </w:trPr>
        <w:tc>
          <w:tcPr>
            <w:tcW w:w="38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Andrew R. Boll</w:t>
            </w:r>
          </w:p>
        </w:tc>
      </w:tr>
      <w:tr>
        <w:trPr>
          <w:trHeight w:val="234"/>
        </w:trPr>
        <w:tc>
          <w:tcPr>
            <w:tcW w:w="38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432"/>
        </w:trPr>
        <w:tc>
          <w:tcPr>
            <w:tcW w:w="38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HARROW, INC.</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23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Trustee</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8.625% Senior Notes due 2030</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Dated as of September 12,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308610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9140" w:type="dxa"/>
            <w:vAlign w:val="bottom"/>
          </w:tcPr>
          <w:p>
            <w:pPr>
              <w:ind w:left="3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46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 DEFINITIONS AND INCORPORATION BY REFERENCE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1.1</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1.2</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Definitions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1.3</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Rules of Construction.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 THE NOTES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2.1</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Form, Dating and Terms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2.2</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Execution and Authentication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2.3</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Registrar and Paying Agent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2.4</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Paying Agent to Hold Money in Trust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2.5</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Holder Lists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2.6</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Transfer and Exchange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2.7</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2.8</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2.9</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Form of Certificate to be Delivered in Connection with Transfers Pursuant to Regulation 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2.10</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2.11</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Mutilated, Destroyed, Lost or Stolen Notes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2.12</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Outstanding Notes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2.13</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Temporary Notes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2.14</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Cancellation</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2.15</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 of Interest; Defaulted Interest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2.16</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CUSIP and ISIN Numbers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III COVENANTS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3.1</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 of Notes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3.2</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Limitation on Indebtedness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3.3</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Limitation on Restricted Payments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3.4</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Limitation on Restrictions on Distributions from Restricted Subsidiaries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3.5</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Limitation on Sales of Assets and Subsidiary Stock</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3.6</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Limitation on Liens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3.7</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Limitation on Guarantees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3.8</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Limitation on Affiliate Transactions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3.9</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of Control Triggering Event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3.10</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Reports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3.11</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3.12</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3.13</w:t>
            </w:r>
          </w:p>
        </w:tc>
        <w:tc>
          <w:tcPr>
            <w:tcW w:w="9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1">
            <w:col w:w="11240"/>
          </w:cols>
          <w:pgMar w:left="320" w:top="684" w:right="339" w:bottom="0" w:gutter="0" w:footer="0" w:header="0"/>
        </w:sectPr>
      </w:pPr>
    </w:p>
    <w:bookmarkStart w:id="7" w:name="page8"/>
    <w:bookmarkEnd w:id="7"/>
    <w:p>
      <w:pPr>
        <w:spacing w:after="0"/>
        <w:tabs>
          <w:tab w:leader="none" w:pos="1320" w:val="left"/>
          <w:tab w:leader="none" w:pos="10820" w:val="left"/>
        </w:tabs>
        <w:rPr>
          <w:sz w:val="20"/>
          <w:szCs w:val="20"/>
          <w:color w:val="auto"/>
        </w:rPr>
      </w:pPr>
      <w:r>
        <w:rPr>
          <w:rFonts w:ascii="Times New Roman" w:cs="Times New Roman" w:eastAsia="Times New Roman" w:hAnsi="Times New Roman"/>
          <w:sz w:val="18"/>
          <w:szCs w:val="18"/>
          <w:color w:val="auto"/>
        </w:rPr>
        <w:t>SECTION 3.14</w:t>
        <w:tab/>
        <w:t>[Reserved]</w:t>
      </w:r>
      <w:r>
        <w:rPr>
          <w:sz w:val="20"/>
          <w:szCs w:val="20"/>
          <w:color w:val="auto"/>
        </w:rPr>
        <w:tab/>
      </w: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020"/>
          </w:cols>
          <w:pgMar w:left="540" w:top="121" w:right="339" w:bottom="1440" w:gutter="0" w:footer="0" w:header="0"/>
        </w:sectPr>
      </w:pPr>
    </w:p>
    <w:p>
      <w:pPr>
        <w:spacing w:after="0" w:line="25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540" w:top="121" w:right="33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3.15</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3.16</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Compliance Certificate</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3.17</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Further Instruments and Acts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3.18</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3.19</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Statement by Officers as to Default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3.20</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Designation of Restricted and Unrestricted Subsidiaries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3.21</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Suspension of Certain Covenants on Achievement of Investment Grade Status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3.22</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Limitation on Dispositions and Other Transfers of Material Intellectual Property</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IV SUCCESSOR COMPANY; SUCCESSOR PERSON</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4.1</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Merger, Amalgamation and Consolidation of the Company</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4.2</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Merger, Amalgamation and Consolidation of the Guarantors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4.3</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References to Merger, Amalgamation and Consolidation</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 REDEMPTION OF SECURITIES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5.1</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Notices to Trustee</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5.2</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Selection of Notes to Be Redeemed</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5.3</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Notice of Redemption</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5.4</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5.5</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Deposit of Redemption or Purchase Price</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5.6</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Notes Redeemed or Purchased in Part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5.7</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Optional Redemption</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5.8</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Mandatory Redemption</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 DEFAULTS AND REMEDIES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6.1</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Events of Default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6.2</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Acceleration</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6.3</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Remedies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6.4</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Waiver of Past Defaults;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6.5</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Control by Majority</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6.6</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Limitation on Suits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6.7</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Rights of Holders to Receive Payment</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6.8</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Collection Suit by Trustee</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6.9</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6.10</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Priorities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6.11</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Undertaking for Costs</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 TRUSTEE</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7.1</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Duties of Trustee</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7.2</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Rights of Trustee</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7.3</w:t>
            </w:r>
          </w:p>
        </w:tc>
        <w:tc>
          <w:tcPr>
            <w:tcW w:w="7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Individual Rights of Trustee</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33" w:right="3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SECTION 7.4</w:t>
            </w:r>
          </w:p>
        </w:tc>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Trustee’s Disclaimer</w:t>
            </w:r>
          </w:p>
        </w:tc>
        <w:tc>
          <w:tcPr>
            <w:tcW w:w="6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SECTION 7.5</w:t>
            </w:r>
          </w:p>
        </w:tc>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Notice of Defaults</w:t>
            </w:r>
          </w:p>
        </w:tc>
        <w:tc>
          <w:tcPr>
            <w:tcW w:w="6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14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692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7.6</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Monies to Be Held in Trust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7.7</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Compensation and Indemnity</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7.8</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Replacement of Trustee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7.9</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Successor Trustee by Merger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7.10</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7.11</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Trustee’s Application for Instruction from the Issuer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VIII LEGAL DEFEASANCE AND COVENANT DEFEASANCE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8.1</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Option to Effect Legal Defeasance or Covenant Defeasance; Defeasance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8.2</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Legal Defeasance and Discharge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8.3</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Covenant Defeasance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8.4</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Conditions to Legal or Covenant Defeasance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8.5</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Deposited Money and U.S. Government Obligations to be Held in Trust; Other Miscellaneous Provisions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8.6</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Repayment to the Issuer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8.7</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Reinstatement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IX AMENDMENTS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9.1</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Without Consent of Holders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9.2</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With Consent of Holders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9.3</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9.4</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Revocation and Effect of Consents and Waivers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9.5</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Notation on or Exchange of Notes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SECTION 9.6</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Trustee to Sign Amendments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 NOTE GUARANTEES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10.1</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Note Guarantees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10.2</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Limitation on Liability; Termination, Release and Discharge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10.3</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Right of Contribution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10.4</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 Subrogation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 SATISFACTION AND DISCHARGE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11.1</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Satisfaction and Discharge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11.2</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Application of Trust Money</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XII [Reserved.]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2"/>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XIII MISCELLANEOUS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13.1</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13.2</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Certificate and Opinion as to Conditions Precedent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13.3</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Statements Required in Certificate or Opinion</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13.4</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When Notes Disregarded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13.5</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Rules by Trustee, Paying Agent and Registrar</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SECTION 13.6</w:t>
            </w:r>
          </w:p>
        </w:tc>
        <w:tc>
          <w:tcPr>
            <w:tcW w:w="8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Legal Holidays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34" w:right="339" w:bottom="0" w:gutter="0" w:footer="0" w:header="0"/>
        </w:sectPr>
      </w:pPr>
    </w:p>
    <w:bookmarkStart w:id="11" w:name="page12"/>
    <w:bookmarkEnd w:id="11"/>
    <w:p>
      <w:pPr>
        <w:spacing w:after="0"/>
        <w:tabs>
          <w:tab w:leader="none" w:pos="1320" w:val="left"/>
          <w:tab w:leader="none" w:pos="10740" w:val="left"/>
        </w:tabs>
        <w:rPr>
          <w:sz w:val="20"/>
          <w:szCs w:val="20"/>
          <w:color w:val="auto"/>
        </w:rPr>
      </w:pPr>
      <w:r>
        <w:rPr>
          <w:rFonts w:ascii="Times New Roman" w:cs="Times New Roman" w:eastAsia="Times New Roman" w:hAnsi="Times New Roman"/>
          <w:sz w:val="18"/>
          <w:szCs w:val="18"/>
          <w:color w:val="auto"/>
        </w:rPr>
        <w:t>SECTION 13.7</w:t>
        <w:tab/>
        <w:t>Governing Law</w:t>
      </w:r>
      <w:r>
        <w:rPr>
          <w:sz w:val="20"/>
          <w:szCs w:val="20"/>
          <w:color w:val="auto"/>
        </w:rPr>
        <w:tab/>
      </w: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020"/>
          </w:cols>
          <w:pgMar w:left="540" w:top="121" w:right="339" w:bottom="1440" w:gutter="0" w:footer="0" w:header="0"/>
        </w:sectPr>
      </w:pPr>
    </w:p>
    <w:p>
      <w:pPr>
        <w:spacing w:after="0" w:line="25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20"/>
          </w:cols>
          <w:pgMar w:left="540" w:top="121"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SECTION 13.8</w:t>
            </w:r>
          </w:p>
        </w:tc>
        <w:tc>
          <w:tcPr>
            <w:tcW w:w="3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Jurisdiction</w:t>
            </w:r>
          </w:p>
        </w:tc>
        <w:tc>
          <w:tcPr>
            <w:tcW w:w="6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SECTION 13.9</w:t>
            </w:r>
          </w:p>
        </w:tc>
        <w:tc>
          <w:tcPr>
            <w:tcW w:w="3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Waivers of Jury Trial</w:t>
            </w:r>
          </w:p>
        </w:tc>
        <w:tc>
          <w:tcPr>
            <w:tcW w:w="6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SECTION 13.10</w:t>
            </w:r>
          </w:p>
        </w:tc>
        <w:tc>
          <w:tcPr>
            <w:tcW w:w="3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USA PATRIOT Act</w:t>
            </w:r>
          </w:p>
        </w:tc>
        <w:tc>
          <w:tcPr>
            <w:tcW w:w="6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SECTION 13.11</w:t>
            </w:r>
          </w:p>
        </w:tc>
        <w:tc>
          <w:tcPr>
            <w:tcW w:w="3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 Recourse Against Others</w:t>
            </w:r>
          </w:p>
        </w:tc>
        <w:tc>
          <w:tcPr>
            <w:tcW w:w="6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SECTION 13.12</w:t>
            </w:r>
          </w:p>
        </w:tc>
        <w:tc>
          <w:tcPr>
            <w:tcW w:w="3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Successors</w:t>
            </w:r>
          </w:p>
        </w:tc>
        <w:tc>
          <w:tcPr>
            <w:tcW w:w="6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SECTION 13.13</w:t>
            </w:r>
          </w:p>
        </w:tc>
        <w:tc>
          <w:tcPr>
            <w:tcW w:w="3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Counterparts; Electronic Signatures</w:t>
            </w:r>
          </w:p>
        </w:tc>
        <w:tc>
          <w:tcPr>
            <w:tcW w:w="6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SECTION 13.14</w:t>
            </w:r>
          </w:p>
        </w:tc>
        <w:tc>
          <w:tcPr>
            <w:tcW w:w="3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Table of Contents; Headings</w:t>
            </w:r>
          </w:p>
        </w:tc>
        <w:tc>
          <w:tcPr>
            <w:tcW w:w="6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SECTION 13.15</w:t>
            </w:r>
          </w:p>
        </w:tc>
        <w:tc>
          <w:tcPr>
            <w:tcW w:w="3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Force Majeure</w:t>
            </w:r>
          </w:p>
        </w:tc>
        <w:tc>
          <w:tcPr>
            <w:tcW w:w="6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SECTION 13.16</w:t>
            </w:r>
          </w:p>
        </w:tc>
        <w:tc>
          <w:tcPr>
            <w:tcW w:w="3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6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SECTION 13.17</w:t>
            </w:r>
          </w:p>
        </w:tc>
        <w:tc>
          <w:tcPr>
            <w:tcW w:w="3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Waiver of Immunities</w:t>
            </w:r>
          </w:p>
        </w:tc>
        <w:tc>
          <w:tcPr>
            <w:tcW w:w="6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SECTION 13.18</w:t>
            </w:r>
          </w:p>
        </w:tc>
        <w:tc>
          <w:tcPr>
            <w:tcW w:w="3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Judgment Currency</w:t>
            </w:r>
          </w:p>
        </w:tc>
        <w:tc>
          <w:tcPr>
            <w:tcW w:w="6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48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jc w:val="right"/>
              <w:ind w:right="549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34"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INDENTURE dated as of September 12, 2025, by and among HARROW, INC.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Delaware corporation, each of the Guarantors (as defined herein) listed on the signature pages hereto, and U.S. BANK TRUST COMPANY, NATIONAL ASSOCIATION, a national banking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Issuer has duly authorized the execution and delivery of this Indenture to provide for the issuance of (i) its 8.625% Senior Notes due 2030 issued on the date hereof (the “</w:t>
      </w:r>
      <w:r>
        <w:rPr>
          <w:rFonts w:ascii="Times New Roman" w:cs="Times New Roman" w:eastAsia="Times New Roman" w:hAnsi="Times New Roman"/>
          <w:sz w:val="18"/>
          <w:szCs w:val="18"/>
          <w:u w:val="single" w:color="auto"/>
          <w:color w:val="auto"/>
        </w:rPr>
        <w:t>Initial Notes</w:t>
      </w:r>
      <w:r>
        <w:rPr>
          <w:rFonts w:ascii="Times New Roman" w:cs="Times New Roman" w:eastAsia="Times New Roman" w:hAnsi="Times New Roman"/>
          <w:sz w:val="18"/>
          <w:szCs w:val="18"/>
          <w:color w:val="auto"/>
        </w:rPr>
        <w:t>”) and (ii) any additional 8.625% Senior Notes due 2030 (the “</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and, together with the Initial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that may be issued after the Issue Date (as defined herein);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on the Issue Date, the Notes will be guaranteed on a senior unsecured basis by each Initial Guarantor (as defined herein), pursuant to this Indenture;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all things necessary (i) to make the Notes, when executed and duly issued by the Issuer and authenticated and delivered hereunder, the valid obligations of the Issuer, and (ii) to make this Indenture a valid agreement of the Issuer and the Guarantors have been done; and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purchase of the Notes by the Holders (as defined herein) thereof, it is mutually covenanted and agreed, for the equal and proportionate benefit of all Holders,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 AND INCORPORATION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Indebtedness</w:t>
      </w:r>
      <w:r>
        <w:rPr>
          <w:rFonts w:ascii="Times New Roman" w:cs="Times New Roman" w:eastAsia="Times New Roman" w:hAnsi="Times New Roman"/>
          <w:sz w:val="18"/>
          <w:szCs w:val="18"/>
          <w:color w:val="auto"/>
        </w:rPr>
        <w:t>” means with respect to any Person (x) Indebtedness of any other Person or any of its Subsidiaries existing at the time such other Person becomes a Restricted Subsidiary or merges or amalgamates with or into or consolidates or otherwise combines with the Company or any Restricted Subsidiary and (y) Indebtedness secured by a Lien encumbering any asset acquired by such Person. Acquired Indebtedness shall be deemed to have been Incurred, with respect to clause (x) of the preceding sentence, on the date such Person becomes a Restricted Subsidiary or on the date of the relevant merger, amalgamation, consolidation, acquisition or other combination.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Assets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656"/>
        <w:spacing w:after="0" w:line="266" w:lineRule="auto"/>
        <w:tabs>
          <w:tab w:leader="none" w:pos="90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property or assets (other than Capital Stock) used or to be used by the Company, a Restricted Subsidiary or otherwise useful in a Similar Business (it being understood that capital expenditures on property or assets already used in a Similar Business or to replace any property or assets that are the subject of such Asset Disposition shall be deemed an investment in Additional Assets);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1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Stock of a Person that is engaged in a Similar Business and becomes a Restricted Subsidiary as a result of the acquisition of such Capital Stock by the Company or a Restricted Subsidiary; or</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Stock constituting a minority interest in any Person that at such time is a Restricted Subsidiary.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 w:name="page15"/>
    <w:bookmarkEnd w:id="14"/>
    <w:p>
      <w:pPr>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w:t>
      </w:r>
      <w:r>
        <w:rPr>
          <w:rFonts w:ascii="Times New Roman" w:cs="Times New Roman" w:eastAsia="Times New Roman" w:hAnsi="Times New Roman"/>
          <w:sz w:val="18"/>
          <w:szCs w:val="18"/>
          <w:color w:val="auto"/>
        </w:rPr>
        <w:t>” means any currency (other than U.S. Dollars) that is a lawful currency (other than U.S. Dollars) that is readily available and freely transferable and convertible into U.S. Dollars (as determined in good faith by the Company).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Premium</w:t>
      </w:r>
      <w:r>
        <w:rPr>
          <w:rFonts w:ascii="Times New Roman" w:cs="Times New Roman" w:eastAsia="Times New Roman" w:hAnsi="Times New Roman"/>
          <w:sz w:val="18"/>
          <w:szCs w:val="18"/>
          <w:color w:val="auto"/>
        </w:rPr>
        <w:t>” means the greater of (A) 1.0% of the principal amount of such Note and (B) on any Redemption Date, the excess (to the extent positive) of:</w:t>
      </w:r>
    </w:p>
    <w:p>
      <w:pPr>
        <w:spacing w:after="0" w:line="162" w:lineRule="exact"/>
        <w:rPr>
          <w:sz w:val="20"/>
          <w:szCs w:val="20"/>
          <w:color w:val="auto"/>
        </w:rPr>
      </w:pPr>
    </w:p>
    <w:p>
      <w:pPr>
        <w:jc w:val="both"/>
        <w:ind w:firstLine="1304"/>
        <w:spacing w:after="0" w:line="261" w:lineRule="auto"/>
        <w:tabs>
          <w:tab w:leader="none" w:pos="156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present value at such Redemption Date of (i) the redemption price of such Note at September 15, 2027 (such redemption price (expressed in percentage of principal amount) being set forth in the table under </w:t>
      </w:r>
      <w:r>
        <w:rPr>
          <w:rFonts w:ascii="Times New Roman" w:cs="Times New Roman" w:eastAsia="Times New Roman" w:hAnsi="Times New Roman"/>
          <w:sz w:val="18"/>
          <w:szCs w:val="18"/>
          <w:u w:val="single" w:color="auto"/>
          <w:color w:val="auto"/>
        </w:rPr>
        <w:t>Section 5.7(d)</w:t>
      </w:r>
      <w:r>
        <w:rPr>
          <w:rFonts w:ascii="Times New Roman" w:cs="Times New Roman" w:eastAsia="Times New Roman" w:hAnsi="Times New Roman"/>
          <w:sz w:val="18"/>
          <w:szCs w:val="18"/>
          <w:color w:val="auto"/>
        </w:rPr>
        <w:t xml:space="preserve"> (excluding accrued but unpaid interest, if any)), plus (ii) all required interest payments due on such Note to and including such date set forth in clause (i) (excluding accrued but unpaid interest, if any), computed upon the Redemption Date using a discount rate equal to the Applicable Treasury Rate at such Redemption Date plus 50 basis points; over</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principal amount of such Note;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each case, as calculated by the Company or on behalf of the Company by such Person as the Company shall designate. The Trustee shall have no duty to calculate or verify the calculations of the Applicable Premium or any component thereof.</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Treasury Rate</w:t>
      </w:r>
      <w:r>
        <w:rPr>
          <w:rFonts w:ascii="Times New Roman" w:cs="Times New Roman" w:eastAsia="Times New Roman" w:hAnsi="Times New Roman"/>
          <w:sz w:val="18"/>
          <w:szCs w:val="18"/>
          <w:color w:val="auto"/>
        </w:rPr>
        <w:t>” means the weekly average rounded to the nearest 1/100th of a percentage point (for the most recently completed week for which such information is available as of the date that is two Business Days prior to the Redemption Date) of the yield to maturity at the time of computation of United States Treasury securities with a constant maturity (as compiled and published in the Federal Reserve Statistical Release H.15 with respect to each applicable day during such week (or, if such statistical release is not so published or available, any publicly available source of similar market data selected by the Company in good faith)) most nearly equal to the period from the Redemption Date to September 15, 2027; provided, however, that if the period from the Redemption Date to September 15, 2027 is not equal to the constant maturity of a United States Treasury security for which such yield is given, the Applicable Treasury Rate shall be obtained by linear interpolation (calculated to the nearest one-twelfth of a year) from the weekly average yields of United States Treasury securities for which such yields are given, except that if the period from the Redemption Date to such applicable date is less than one year, the weekly average yield on actually traded United States Treasury securities adjusted to a constant maturity of one year shall be used.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Disposition</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656"/>
        <w:spacing w:after="0" w:line="266" w:lineRule="auto"/>
        <w:tabs>
          <w:tab w:leader="none" w:pos="9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voluntary sale, conveyance, transfer or other disposition, whether in a single transaction or a series of related transactions, of property or assets (including by way of a Sale and Leaseback Transaction) of the Company or any of its Restricted Subsidiaries (in each case other than Capital Stock of the Company) (each referred to in this definition as a “disposition”); or</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issuance or sale of Capital Stock of any Restricted Subsidiary (other than Preferred Stock or Disqualified Stock of Restricted Subsidiaries issued in compliance with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hereof or directors’ qualifying shares and shares issued to foreign nationals as required under applicable law), whether in a single transaction or a series of related transactions;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each case, other than:</w:t>
      </w:r>
    </w:p>
    <w:p>
      <w:pPr>
        <w:spacing w:after="0" w:line="225" w:lineRule="exact"/>
        <w:rPr>
          <w:sz w:val="20"/>
          <w:szCs w:val="20"/>
          <w:color w:val="auto"/>
        </w:rPr>
      </w:pPr>
    </w:p>
    <w:p>
      <w:pPr>
        <w:ind w:firstLine="1304"/>
        <w:spacing w:after="0" w:line="282" w:lineRule="auto"/>
        <w:tabs>
          <w:tab w:leader="none" w:pos="158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by the Company or a Restricted Subsidiary to the Company or a Restricted Subsidiary, including pursuant to any Intercompany License Agreement;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of cash, Cash Equivalents or Investment Grade Securities, including any marketable securities portfolio owned by the Company and its Subsidiaries on the Issue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ind w:firstLine="1304"/>
        <w:spacing w:after="0" w:line="266" w:lineRule="auto"/>
        <w:tabs>
          <w:tab w:leader="none" w:pos="15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of inventory, goods or other assets (including Settlement Assets) in the ordinary course of business or consistent with past practice or held for sale or no longer used in the ordinary course of business, including any disposition of disposed, abandoned or discontinued operations;</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of obsolete, worn out, uneconomic, damaged or surplus property, equipment or other assets or property, equipment or other assets that are no longer economically practical or commercially desirable to maintain or used or useful in the business of the Company and its Restricted Subsidiaries whether now or hereafter owned or leased or acquired in connection with an acquisition or used or useful in the conduct of the business of the Company and its Restricted Subsidiaries (including by ceasing to enforce, allowing the lapse, abandonment or invalidation of or discontinuing the use or maintenance of or putting into the public domain any intellectual property that is, in the reasonable judgment of the Company or the Restricted Subsidiaries, no longer used or useful, or economically practicable to maintain, or in respect of which the Company or any Restricted Subsidiary determines in its reasonable business judgment that such action or inaction is desirable);</w:t>
      </w:r>
    </w:p>
    <w:p>
      <w:pPr>
        <w:spacing w:after="0" w:line="18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permitted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hereof or a transaction that constitutes a Change of Control;</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issuance of Capital Stock by a Restricted Subsidiary to the Company or to another Restricted Subsidiary or as part of or pursuant to an equity incentive or compensation plan approved by the Board of Directors;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dispositions of Capital Stock, properties or assets in a single transaction or series of related transactions with a fair market value (as determined in good faith by the Company) of less than the greater of $7.5 million and 15.0% of LTM EBITDA;</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Payment that is permitted to be made, and is made, under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the making of any Permitted Payment or Permitted Investment or, solely for purposes of </w:t>
      </w:r>
      <w:r>
        <w:rPr>
          <w:rFonts w:ascii="Times New Roman" w:cs="Times New Roman" w:eastAsia="Times New Roman" w:hAnsi="Times New Roman"/>
          <w:sz w:val="18"/>
          <w:szCs w:val="18"/>
          <w:u w:val="single" w:color="auto"/>
          <w:color w:val="auto"/>
        </w:rPr>
        <w:t>Section 3.5(a)(3)</w:t>
      </w:r>
      <w:r>
        <w:rPr>
          <w:rFonts w:ascii="Times New Roman" w:cs="Times New Roman" w:eastAsia="Times New Roman" w:hAnsi="Times New Roman"/>
          <w:sz w:val="18"/>
          <w:szCs w:val="18"/>
          <w:color w:val="auto"/>
        </w:rPr>
        <w:t>, asset sales, the proceeds of which are used to make such Restricted Payments or Permitted Investments;</w:t>
      </w:r>
    </w:p>
    <w:p>
      <w:pPr>
        <w:spacing w:after="0" w:line="17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in connection with Permitted Liens, Permitted Intercompany Activities, Permitted Tax Restructuring and related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6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receivables in connection with the compromise, settlement or collection thereof in the ordinary course of business or consistent with past practice or in bankruptcy or similar proceedings and exclusive of factoring or similar arrangements;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5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conveyances, sales, transfers, licenses, sub-licenses, cross-licenses or other dispositions of intellectual property, software or other general intangibles and licenses, sub-licenses, cross-licenses, leases or subleases of other property, in each case, in the ordinary course of business or consistent with past practice or pursuant to a research or development agreement in which the counterparty to such agreement receives a license in the intellectual property or software that results from such agreement;</w:t>
      </w:r>
    </w:p>
    <w:p>
      <w:pPr>
        <w:spacing w:after="0" w:line="179"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assignment, license, sub-lease or cross-license of any real or personal property in the ordinary course of business;</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foreclosure, condemnation, expropriation, forced disposition or any similar action with respect to any property or other assets;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discount or other disposition (with or without recourse, and on customary or commercially reasonable terms and for credit management purposes) of inventory, accounts receivable or notes receivable arising in the ordinary course of business or consistent with past practice, or the conversion or exchange of accounts receivable for notes receivable;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ind w:right="20" w:firstLine="1304"/>
        <w:spacing w:after="0" w:line="282" w:lineRule="auto"/>
        <w:tabs>
          <w:tab w:leader="none" w:pos="16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or sale of Capital Stock in, or Indebtedness or other securities of, an Unrestricted Subsidiary or any other disposition of Capital Stock, Indebtedness or other securities of an Unrestricted Subsidiary;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Capital Stock of a Restricted Subsidiary pursuant to an agreement or other obligation with or to a Person (other than the Company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or acquisition;</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4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dispositions of property to the extent that such property is exchanged for credit against the purchase price of similar replacement property that is promptly purchased, (ii) dispositions of property to the extent that the proceeds of such disposition are promptly applied to the purchase price of such replacement property (which replacement property is actually promptly purchased), and (iii) to the extent allowable under Section 1031 of the Code, any exchange of like property (excluding any boot thereon) for use in a Similar Business;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Securitization Assets or Receivables Assets, or participations therein, in connection with any Qualified Securitization Financing or Receivables Facility not prohibited by this Indenture, or the disposition of an account receivable in connection with the collection or compromise thereof in the ordinary course of business or consistent with past practice;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4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financing transaction with respect to property constructed, acquired, leased, renewed, relocated, expanded, maintained, upgraded replaced, repaired or improved (including any reconstruction, refurbishment, renovation and/or development of real property) by the Company or any Restricted Subsidiary after the Issue Date, including Sale and Leaseback Transactions and asset securitizations, not prohibited by this Indenture;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transfers or other dispositions of Investments in joint ventures or similar entities to the extent required by, or made pursuant to customary buy/sell arrangements between, the parties to such joint venture set forth in joint venture arrangements and similar binding arrangements;</w:t>
      </w:r>
    </w:p>
    <w:p>
      <w:pPr>
        <w:spacing w:after="0" w:line="161"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surrender or waiver of contractual rights or the settlement, release, surrender or waiver of contractual, tort, litigation or other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of any kind;</w:t>
      </w:r>
    </w:p>
    <w:p>
      <w:pPr>
        <w:spacing w:after="0" w:line="206"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unwinding of any Cash Management Services or Hedging Obligations;</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non-core assets acquired in a transaction after the Issue Date and not prohibited by this Indenture;</w:t>
      </w:r>
    </w:p>
    <w:p>
      <w:pPr>
        <w:spacing w:after="0" w:line="223" w:lineRule="exact"/>
        <w:rPr>
          <w:rFonts w:ascii="Times New Roman" w:cs="Times New Roman" w:eastAsia="Times New Roman" w:hAnsi="Times New Roman"/>
          <w:sz w:val="18"/>
          <w:szCs w:val="18"/>
          <w:color w:val="auto"/>
        </w:rPr>
      </w:pPr>
    </w:p>
    <w:p>
      <w:pPr>
        <w:jc w:val="both"/>
        <w:ind w:firstLine="1304"/>
        <w:spacing w:after="0" w:line="267" w:lineRule="auto"/>
        <w:tabs>
          <w:tab w:leader="none" w:pos="16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property or assets subject to Casualty Events upon receipt of the Net Proceeds of such Casualty Event;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Cash Equivalents received by the Company or any of its Restricted Subsidiaries in respect of such Casualty Event shall be deemed to be Net Available Cash of an Asset Disposition, and such Net Available Cash shall be applied in accordance with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sale of property or assets, if the acquisition of such property or assets was financed with Excluded Contributions and the Net Cash Proceeds of such sale are used to make a Restricted Payment pursuant to </w:t>
      </w:r>
      <w:r>
        <w:rPr>
          <w:rFonts w:ascii="Times New Roman" w:cs="Times New Roman" w:eastAsia="Times New Roman" w:hAnsi="Times New Roman"/>
          <w:sz w:val="18"/>
          <w:szCs w:val="18"/>
          <w:u w:val="single" w:color="auto"/>
          <w:color w:val="auto"/>
        </w:rPr>
        <w:t>Section 3.3(b)(12)(b)</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4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of any assets (including Capital Stock) (i) acquired in a transaction after the Issue Date, which assets are not useful in the core or principal business of the Company and its Restricted Subsidiaries, or (ii) made in connection with the approval of any applicable antitrust authority or otherwise necessary or advisable in the reasonable determination of the Company to consummate any acquisition;</w:t>
      </w:r>
    </w:p>
    <w:p>
      <w:pPr>
        <w:spacing w:after="0" w:line="173" w:lineRule="exact"/>
        <w:rPr>
          <w:rFonts w:ascii="Times New Roman" w:cs="Times New Roman" w:eastAsia="Times New Roman" w:hAnsi="Times New Roman"/>
          <w:sz w:val="18"/>
          <w:szCs w:val="18"/>
          <w:color w:val="auto"/>
        </w:rPr>
      </w:pPr>
    </w:p>
    <w:p>
      <w:pPr>
        <w:jc w:val="both"/>
        <w:ind w:firstLine="1304"/>
        <w:spacing w:after="0" w:line="267" w:lineRule="auto"/>
        <w:tabs>
          <w:tab w:leader="none" w:pos="164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sale, transfer or other disposition to affect the formation of any Subsidiary that is a Delaware Divided LLC;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upon formation of such Delaware Divided LLC, such Delaware Divided LLC shall be a Restricted Subsidiary; provided further that any such assets or properties so sold, transferred or otherwise disposed shall be held by such Restricted Subsidiary, the Company or another Restricted Subsidiary; and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ind w:firstLine="1304"/>
        <w:spacing w:after="0" w:line="282" w:lineRule="auto"/>
        <w:tabs>
          <w:tab w:leader="none" w:pos="16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non-revenue producing assets to a Person who is providing services related to such assets, the provision of which have been or are to be outsourced by the Company or any Restricted Subsidiary to such Person.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In the event that a transaction (or any portion thereof) meets the criteria of a permitted Asset Disposition and would also be a Permitted Investment or an Investment permitted under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the Company, in its sole discretion, will be entitled to divide and classify such transaction (or a portion thereof) as an Asset Disposition and/or one or more of the types of Permitted Investments or Investments permitted under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Associate</w:t>
      </w:r>
      <w:r>
        <w:rPr>
          <w:rFonts w:ascii="Times New Roman" w:cs="Times New Roman" w:eastAsia="Times New Roman" w:hAnsi="Times New Roman"/>
          <w:sz w:val="17"/>
          <w:szCs w:val="17"/>
          <w:color w:val="auto"/>
        </w:rPr>
        <w:t>” means (i) any Person engaged in a Similar Business of which the Company or its Restricted Subsidiaries are the legal and beneficial owners of between 20% and 50% of all outstanding Voting Stock and (ii) any joint venture entered into by the Company or any Restricted Subsidiary of the Company.</w:t>
      </w:r>
    </w:p>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Below Investment Grade Rating Event</w:t>
      </w:r>
      <w:r>
        <w:rPr>
          <w:rFonts w:ascii="Times New Roman" w:cs="Times New Roman" w:eastAsia="Times New Roman" w:hAnsi="Times New Roman"/>
          <w:sz w:val="18"/>
          <w:szCs w:val="18"/>
          <w:color w:val="auto"/>
        </w:rPr>
        <w:t>” shall be deemed to occur with respect to the Notes, if such Notes are not rated Investment Grade by at least two Rating Agencies on the 60th day following the occurrence of a Change of Control (which date will be extended following consummation of a Change of Control for so long as any Rating Agency that rates the Notes Investment Grade as of such 60th day has publicly announced that it is considering a possible ratings change to the rating of the Notes in a manner that the Notes may not be rated Investment Grade by such Rating Agency); provided that no such extension shall occur if on such 60th day such Notes are rated Investment Grade by at least two Rating Agencies and are not subject to any such publicly announced review for possible downgrade by such Rating Agencies.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means Title 11 of the United States Code or similar federal or state law for the relief of debtors.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(i) with respect to the Company or any corporation, the board of directors or managers, as applicable, of the corporation, or any duly authorized committee thereof; (ii) with respect to any partnership, the board of directors or other governing body of the general partner, as applicable, of the partnership or any duly authorized committee thereof; (iii) with respect to a limited liability company, the managing member or members or any duly authorized controlling committee thereof; and (iv) with respect to any other Person, the board or any duly authorized committee of such Person serving a similar function. Whenever any provision requires any action or determination to be made by, or any approval of, a Board of Directors, such action, determination or approval shall be deemed to have been taken or made if approved by a majority of the directors on any such Board of Directors (whether or not such action or approval is taken as part of a formal board meeting or as a formal board approval). Unless the context requires otherwise, Board of Directors means the Board of Directors of the Company.</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each day that is not a Saturday, Sunday or other day on which banking institutions in New York, New York, United States or in the jurisdiction of the place of payment are authorized or required by law to close. When the payment of any obligation or the performance of any covenant, duty or obligation is stated to be due or performance required on a day which is not a Business Day, the date of such payment or performance shall extend to the immediately succeeding Business Day and such extension of time shall not be reflected in computing interest or fees, as the case may be.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Successor</w:t>
      </w:r>
      <w:r>
        <w:rPr>
          <w:rFonts w:ascii="Times New Roman" w:cs="Times New Roman" w:eastAsia="Times New Roman" w:hAnsi="Times New Roman"/>
          <w:sz w:val="18"/>
          <w:szCs w:val="18"/>
          <w:color w:val="auto"/>
        </w:rPr>
        <w:t>” means (i) any former Subsidiary of the Company and (ii) any Person that, after the Issue Date, has acquired, merged or consolidated with a Subsidiary of the Company (that results in such Subsidiary ceasing to be a Subsidiary of the Company), or acquired (in one transaction or a series of transactions) all or substantially all of the property and assets or business of a Subsidiary or assets constituting a business unit, line of business or division of a Subsidiary of the Company.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of any Person means any and all shares of, rights to purchase or acquire, warrants, options or depositary receipts for, or other equivalents of or partnership or other interests in (however designated), equity of such Person, including any Preferred Stock, but excluding any debt securities convertible into or exchangeable for such equity.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Software Expenditures</w:t>
      </w:r>
      <w:r>
        <w:rPr>
          <w:rFonts w:ascii="Times New Roman" w:cs="Times New Roman" w:eastAsia="Times New Roman" w:hAnsi="Times New Roman"/>
          <w:sz w:val="18"/>
          <w:szCs w:val="18"/>
          <w:color w:val="auto"/>
        </w:rPr>
        <w:t>” means, for any period, the aggregate of all expenditures (whether paid in cash or accrued as liabilities) by a Person and its Restricted Subsidiaries during such period in respect of licensed or purchased software or internally developed software and software enhancements that, in conformity with GAAP, are or are required to be reflected as capitalized costs on the consolidated balance sheet of a Person and its Restricted Subsidiaries.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1304"/>
        <w:spacing w:after="0" w:line="266" w:lineRule="auto"/>
        <w:tabs>
          <w:tab w:leader="none" w:pos="15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Dollars, Canadian dollars, Swiss Francs, United Kingdom pounds, Euro or any national currency of any member state of the European Union on the Issue Date; or (b) any other foreign currency held by the Company and the Restricted Subsidiaries in the ordinary course of business;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Guaranteed or insured by the United States, Canadian, Swiss or United Kingdom governments, a member state of the European Union or, in each case, or any agency or instrumentality thereof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full faith and credit of such country or such member state is pledged in support thereof), having maturities of not more than two years from the date of acquisition;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time deposits, eurodollar time deposits, overnight bank deposits, or bankers’ acceptances having maturities of not more than one year from the date of acquisition thereof issued by any lender or by any bank or trust company (a) whose commercial paper is rated at least “A-2” or the equivalent thereof by S&amp;P or at least “P-2” or the equivalent thereof by Moody’s (or if at the time neither is issuing comparable ratings, then a comparable rating of another Nationally Recognized Statistical Rating Organization) or (b) (in the event that the bank or trust company does not have commercial paper which is rated) having combined capital and surplus in excess of $100 million;</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obligations for underlying securities of the types described in clauses (2), (3) and (7) entered into with any bank meeting the qualifications specified in clause (3) above;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with maturities of one year or less from the date of acquisition backed by standby letters of credit issued by any Person referenced in clause (3) above;</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and variable or fixed rate notes issued by a bank meeting the qualifications specified in clause (3) above (or by the parent company thereof) maturing within one year after the date of creation thereof or any commercial paper and variable or fixed rate note issued by, or guaranteed by a corporation rated at least (A) “A-1” or higher by S&amp;P or “P-1” or higher by Moody’s (or, if at the time, neither is issuing comparable ratings, then a comparable rating of another Nationally Recognized Statistical Rating Organization selected by the Company) maturing within two years after the date of creation thereof or (B) “A-2” or higher by S&amp;P or “P-2” or higher by Moody’s (or, if at the time, neither is issuing comparable ratings, then a comparable rating of another Nationally Recognized Statistical Rating Organization selected by the Company) maturing within one year after the date of creation thereof or, in each case, if no rating is available in respect of the commercial paper or fixed rate notes, the issue of which has an equivalent rating in respect of its long-term debt;</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short-term money market and similar securities having a rating of at least “P-2” or “A-2” from either S&amp;P or Moody’s, respectively (or, if at the time, neither is issuing comparable ratings, then a comparable rating of another Nationally Recognized Statistical Rating Organization selected by the Company), and in each case maturing within 24 months after the date of creation or acquisition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readily marketable direct obligations issued by any state, province, commonwealth or territory of the United States of America, Canada, Switzerland, the United Kingdom, any member state of the European Union or any political subdivision, taxing authority or public instrumentality thereof, in each case, having one of the two highest ratings categories obtainable from either Moody’s or S&amp;P (or, if at the time, neither is issuing comparable ratings, then a comparable rating of another Nationally Recognized Statistical Rating Organization selected by the Company) with maturities of not more than two years from the date of creation or acquisition;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ind w:firstLine="1304"/>
        <w:spacing w:after="0" w:line="261" w:lineRule="auto"/>
        <w:tabs>
          <w:tab w:leader="none" w:pos="158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readily marketable direct obligations issued by any foreign government or any political subdivision, taxing authority or public instrumentality thereof, in each case, having one of the two highest ratings categories obtainable by S&amp;P or Moody’s (or, if at the time, neither is issuing comparable ratings, then a comparable rating of another Nationally Recognized Statistical Rating Organization selected by the Company) with maturities of not more than two years from the date of acquisition;</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with average maturities of 12 months or less from the date of acquisition in money market funds rated within the three highest ratings categories by S&amp;P or Moody’s (or, if at the time, neither is issuing comparable ratings, then a comparable rating of another Nationally Recognized Statistical Rating Organization selected by the Company);</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4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Foreign Subsidiary: (i) obligations of the national government of the country in which such Foreign Subsidiary maintains its chief executive office and principal place of business provided such country is a member of the Organization for Economic Cooperation and Development, in each case maturing within one year after the date of investment therein, (ii) certificates of deposit of, bankers’ acceptance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“A-2” or the equivalent thereof or from Moody’s is at least “P-2” or the equivalent thereof (any such bank being an “</w:t>
      </w:r>
      <w:r>
        <w:rPr>
          <w:rFonts w:ascii="Times New Roman" w:cs="Times New Roman" w:eastAsia="Times New Roman" w:hAnsi="Times New Roman"/>
          <w:sz w:val="18"/>
          <w:szCs w:val="18"/>
          <w:u w:val="single" w:color="auto"/>
          <w:color w:val="auto"/>
        </w:rPr>
        <w:t>Approved Foreign Bank</w:t>
      </w:r>
      <w:r>
        <w:rPr>
          <w:rFonts w:ascii="Times New Roman" w:cs="Times New Roman" w:eastAsia="Times New Roman" w:hAnsi="Times New Roman"/>
          <w:sz w:val="18"/>
          <w:szCs w:val="18"/>
          <w:color w:val="auto"/>
        </w:rPr>
        <w:t>”), and in each case with maturities of not more than 270 days from the date of acquisition and (iii) the equivalent of demand deposit accounts which are maintained with an Approved Foreign Bank;</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or Preferred Stock issued by Persons with a rating of “BBB-” or higher from S&amp;P or “Baa3” or higher from Moody’s (or, if at the time, neither is issuing comparable ratings, then a comparable rating of another Nationally Recognized Statistical Rating Organization selected by the Company) with maturities of 24 months or less from the date of acquisition;</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bills of exchange issued in the United States, Canada, Switzerland, the United Kingdom, a member state of the European Union or Japan eligible for rediscount at the relevant central bank and accepted by a bank (or any dematerialized equivalent);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4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money market funds access to which is provided as part of “sweep” accounts maintained with any bank meeting the qualifications specified in clause (3) above;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4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industrial development revenue bonds that (i) “re-set” interest rates not less frequently than quarterly, (ii) are entitled to the benefit of a remarketing arrangement with an established broker dealer and (iii) are supported by a direct pay letter of credit covering principal and accrued interest that is issued by any bank meeting the qualifications specified in clause (3) above;</w:t>
      </w:r>
    </w:p>
    <w:p>
      <w:pPr>
        <w:spacing w:after="0" w:line="17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pooled funds or investment accounts consisting of investments in the nature described in the foregoing clause (15);</w:t>
      </w:r>
    </w:p>
    <w:p>
      <w:pPr>
        <w:spacing w:after="0" w:line="22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or instruments similar to those referred to in clauses (1) through (16) above denominated in U.S. Dollars or any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 Currency;</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6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any investment company, money market, enhanced high yield fund or other investment fund which invests 90% or more of its assets in instruments of the types specified in clauses (1) through (17) above;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4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clause (2) of the definition of “Asset Disposition,” any marketable securities portfolio owned by the Company and its Subsidiaries on the Issue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case of Investments by any Foreign Subsidiary that is a Restricted Subsidiary or Investments made in a country outside the United States of America, Cash Equivalents shall also include (i) investments of the type and maturity described in clauses (1) through (9) and clauses (11) through (14) above of foreign obligors, which Investments or obligors (or the parents of such obligors) have ratings described in such clauses or equivalent ratings from comparable foreign rating agencies and (ii) other short-term investments utilized by Foreign Subsidiaries that are Restricted Subsidiaries in accordance with normal investment practices for cash management in investments analogous to the foregoing investments in clauses (1) through (14) and in this paragraph.</w:t>
      </w:r>
    </w:p>
    <w:p>
      <w:pPr>
        <w:spacing w:after="0" w:line="187"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the foregoing, Cash Equivalents shall include amounts denominated in currencies other than those set forth in clause (1) above, </w:t>
      </w: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such amounts are converted into any currency listed in clause (1) as promptly as practicable and in any event within 10 Business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receipt of such amounts. For the avoidance of doubt, any items identified as Cash Equivalents under this definition (other than clause (16) above) will be deemed to be Cash Equivalents for all purposes under this Indenture regardless of the treatment of such items under GAAP.</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Obligations</w:t>
      </w:r>
      <w:r>
        <w:rPr>
          <w:rFonts w:ascii="Times New Roman" w:cs="Times New Roman" w:eastAsia="Times New Roman" w:hAnsi="Times New Roman"/>
          <w:sz w:val="18"/>
          <w:szCs w:val="18"/>
          <w:color w:val="auto"/>
        </w:rPr>
        <w:t>” means (1) obligations in respect of any overdraft and related liabilities arising from treasury, depository, cash pooling arrangements, electronic fund transfer, treasury services and cash management services, including controlled disbursement services, working capital lines, lines of credit, overdraft facilities, foreign exchange facilities, deposit and other accounts and merchant services, or other cash management arrangements or any automated clearing house arrangements, (2) other obligations in respect of netting or setting off arrangements, credit, debit or purchase card programs, stored value card and similar arrangements and (3) obligations in respect of any other services related, ancillary or complementary to the foregoing (including any overdraft and related liabilities arising from treasury, depository, cash pooling arrangements and cash management services, corporate credit and purchasing cards and related programs or any automated clearing house transfers of funds).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Services</w:t>
      </w:r>
      <w:r>
        <w:rPr>
          <w:rFonts w:ascii="Times New Roman" w:cs="Times New Roman" w:eastAsia="Times New Roman" w:hAnsi="Times New Roman"/>
          <w:sz w:val="18"/>
          <w:szCs w:val="18"/>
          <w:color w:val="auto"/>
        </w:rPr>
        <w:t>” means any of the following to the extent not constituting a line of credit (other than an overnight draft facility that is not in default): automated clearing house transactions, treasury, depository, credit or debit card, purchasing card, stored value card, electronic fund transfer services and/or cash management services, including, without limitation, controlled disbursement services, overdraft facilities, foreign exchange facilities, deposit and other accounts and merchant services or other cash management arrangements in the ordinary course of business or consistent with past practice.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Casualty Event</w:t>
      </w:r>
      <w:r>
        <w:rPr>
          <w:rFonts w:ascii="Times New Roman" w:cs="Times New Roman" w:eastAsia="Times New Roman" w:hAnsi="Times New Roman"/>
          <w:sz w:val="18"/>
          <w:szCs w:val="18"/>
          <w:color w:val="auto"/>
        </w:rPr>
        <w:t>” means any event that gives rise to the receipt by the Company or any Restricted Subsidiary of any insurance proceeds or condemnation awards in respect of any equipment, assets or real property (including any improvements thereon) to replace or repair such equipment, assets or real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any Foreign Subsidiary that is a “controlled foreign corporation” within the meaning of Section 957 of the Code.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 Holding Company</w:t>
      </w:r>
      <w:r>
        <w:rPr>
          <w:rFonts w:ascii="Times New Roman" w:cs="Times New Roman" w:eastAsia="Times New Roman" w:hAnsi="Times New Roman"/>
          <w:sz w:val="18"/>
          <w:szCs w:val="18"/>
          <w:color w:val="auto"/>
        </w:rPr>
        <w:t>” means any domestic Subsidiary of the Company substantially all the assets of which consist (directly or indirectly through disregarded entities or partnerships) of equity interests (including, for this purpose, any debt or other instrument treated as equity for U.S. federal income Tax purposes) in, and/or indebtedness (as determined for U.S. Tax purposes) issued by, one or more CFCs or CFC Holding Companies, and cash and cash equivalents and other assets being held on a temporary basis incidental to the holding of such equity interests or indebtedness.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1304"/>
        <w:spacing w:after="0" w:line="258" w:lineRule="auto"/>
        <w:tabs>
          <w:tab w:leader="none" w:pos="156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becomes aware of (by way of a report or any other filing pursuant to Section 13(d) of the Exchange Act, proxy, vote, written notice or otherwise) any “person” (as such term is used in Sections 13(d) and 14(d) of the Exchange Act as in effect on the Issue Date), other than one or more Permitted Holders, that is or becomes the “beneficial owner” (as defined in Rules 13d-3 and 13d-5 of the Exchange Act as in effect on the Issue Date) of more than 50% of the total voting power of the Voting Stock of the Company;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Voting Stock of which any Permitted Holder is the beneficial owner shall not in any case be included in any Voting Stock of which any such person is the beneficial owner;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1" w:name="page22"/>
    <w:bookmarkEnd w:id="21"/>
    <w:p>
      <w:pPr>
        <w:ind w:firstLine="1304"/>
        <w:spacing w:after="0" w:line="282" w:lineRule="auto"/>
        <w:tabs>
          <w:tab w:leader="none" w:pos="15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transfer, in one or a series of related transactions, of all or substantially all of the assets of the Company and its Restricted Subsidiaries, taken as a whole, to a Person (other than the Company or any of its Restricted Subsidiaries or one or more Permitted Holders); or</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by the shareholders of the Company of a plan or proposal for the liquidation or dissolution of the Company.</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Notwithstanding the preceding or any provision of Section 13d-3 of the Exchange Act, (i)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and (ii) the right to acquire Voting Stock (so long as such Person does not have the right to direct the voting of the Voting Stock subject to such right) or any veto power in connection with the acquisition or disposition of Voting Stock will not cause a party to be a beneficial owner.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Triggering Event</w:t>
      </w:r>
      <w:r>
        <w:rPr>
          <w:rFonts w:ascii="Times New Roman" w:cs="Times New Roman" w:eastAsia="Times New Roman" w:hAnsi="Times New Roman"/>
          <w:sz w:val="18"/>
          <w:szCs w:val="18"/>
          <w:color w:val="auto"/>
        </w:rPr>
        <w:t>” with respect to the Notes means the occurrence of both a Change of Control and a Below Investment Grade Rating Event with respect to the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assigned to it in the recitals of this Indenture.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Depreciation and Amortization Expense</w:t>
      </w:r>
      <w:r>
        <w:rPr>
          <w:rFonts w:ascii="Times New Roman" w:cs="Times New Roman" w:eastAsia="Times New Roman" w:hAnsi="Times New Roman"/>
          <w:sz w:val="18"/>
          <w:szCs w:val="18"/>
          <w:color w:val="auto"/>
        </w:rPr>
        <w:t>” means, with respect to any Person for any period, the total amount of depreciation and amortization expense and capitalized fees, including amortization or write-off of (i) intangible assets and non-cash organization costs, (ii) deferred financing and debt issuance fees, costs and expenses, (iii) capitalized expenditures (including Capitalized Software Expenditures), customer acquisition costs and incentive payments, media development costs, conversion costs and contract acquisition costs, the amortization of original issue discount resulting from the issuance of Indebtedness at less than par and amortization of favorable or unfavorable lease assets or liabilities and (iv) capitalized fees related to any Qualified Securitization Financing or Receivables Facility, of such Person and its Restricted Subsidiaries for such period on a consolidated basis and otherwise determined in accordance with GAAP and any write down of assets or asset value carried on the balance sheet.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means, with respect to any Person for any period, the Consolidated Net Income of such Person for such period:</w:t>
      </w:r>
    </w:p>
    <w:p>
      <w:pPr>
        <w:spacing w:after="0" w:line="225" w:lineRule="exact"/>
        <w:rPr>
          <w:sz w:val="20"/>
          <w:szCs w:val="20"/>
          <w:color w:val="auto"/>
        </w:rPr>
      </w:pPr>
    </w:p>
    <w:p>
      <w:pPr>
        <w:ind w:left="1560" w:hanging="256"/>
        <w:spacing w:after="0"/>
        <w:tabs>
          <w:tab w:leader="none" w:pos="1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(without duplication) by:</w:t>
      </w:r>
    </w:p>
    <w:p>
      <w:pPr>
        <w:spacing w:after="0" w:line="225" w:lineRule="exact"/>
        <w:rPr>
          <w:rFonts w:ascii="Times New Roman" w:cs="Times New Roman" w:eastAsia="Times New Roman" w:hAnsi="Times New Roman"/>
          <w:sz w:val="18"/>
          <w:szCs w:val="18"/>
          <w:color w:val="auto"/>
        </w:rPr>
      </w:pPr>
    </w:p>
    <w:p>
      <w:pPr>
        <w:jc w:val="both"/>
        <w:ind w:left="2600" w:hanging="648"/>
        <w:spacing w:after="0" w:line="258" w:lineRule="auto"/>
        <w:tabs>
          <w:tab w:leader="none" w:pos="26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Fixed Charges of such Person for such period (including (w) non-cash rent expense, (x) net payments and losses or any obligations on any Hedging Obligations or other derivative instruments, (y) bank, letter of credit and other financing fees and (z) costs of surety bonds in connection with financing activities, plus amounts excluded from the definition of “Consolidated Interest Expense” and any non-cash interest expense), to the extent deducted (and not added back) in computing Consolidated Net Income; </w:t>
      </w:r>
      <w:r>
        <w:rPr>
          <w:rFonts w:ascii="Times New Roman" w:cs="Times New Roman" w:eastAsia="Times New Roman" w:hAnsi="Times New Roman"/>
          <w:sz w:val="18"/>
          <w:szCs w:val="18"/>
          <w:i w:val="1"/>
          <w:iCs w:val="1"/>
          <w:color w:val="auto"/>
        </w:rPr>
        <w:t>plus</w:t>
      </w:r>
    </w:p>
    <w:p>
      <w:pPr>
        <w:spacing w:after="0" w:line="183" w:lineRule="exact"/>
        <w:rPr>
          <w:rFonts w:ascii="Times New Roman" w:cs="Times New Roman" w:eastAsia="Times New Roman" w:hAnsi="Times New Roman"/>
          <w:sz w:val="18"/>
          <w:szCs w:val="18"/>
          <w:color w:val="auto"/>
        </w:rPr>
      </w:pPr>
    </w:p>
    <w:p>
      <w:pPr>
        <w:jc w:val="both"/>
        <w:ind w:left="2600" w:hanging="648"/>
        <w:spacing w:after="0" w:line="254" w:lineRule="auto"/>
        <w:tabs>
          <w:tab w:leader="none" w:pos="26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provision for Taxes based on income, profits, revenue or capital, including federal, foreign, state, provincial, territorial, local, unitary, excise, property, franchise, value added and similar Taxes and withholding Taxes (including any future Taxes or other levies which replace or are intended to be in lieu of such Taxes and any penalties, additions to Tax and interest related to such Taxes or arising from Tax examinations) and similar Taxes of such Person paid or accrued during such period (including in respect of repatriated funds), (y) any distributions made to a Parent Entity with respect to the foregoing and (z) the net tax expense associated with any adjustments made pursuant to the definition of “Consolidated Net Income” in each case, to the extent deducted (and not added back) in computing Consolidated Net Income; </w:t>
      </w:r>
      <w:r>
        <w:rPr>
          <w:rFonts w:ascii="Times New Roman" w:cs="Times New Roman" w:eastAsia="Times New Roman" w:hAnsi="Times New Roman"/>
          <w:sz w:val="18"/>
          <w:szCs w:val="18"/>
          <w:i w:val="1"/>
          <w:iCs w:val="1"/>
          <w:color w:val="auto"/>
        </w:rPr>
        <w:t>plus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2" w:name="page23"/>
    <w:bookmarkEnd w:id="22"/>
    <w:p>
      <w:pPr>
        <w:ind w:left="1480" w:hanging="648"/>
        <w:spacing w:after="0" w:line="282" w:lineRule="auto"/>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Depreciation and Amortization Expense of such Person for such period to the extent deducted (and not added back) in computing Consolidated Net Income; </w:t>
      </w:r>
      <w:r>
        <w:rPr>
          <w:rFonts w:ascii="Times New Roman" w:cs="Times New Roman" w:eastAsia="Times New Roman" w:hAnsi="Times New Roman"/>
          <w:sz w:val="18"/>
          <w:szCs w:val="18"/>
          <w:i w:val="1"/>
          <w:iCs w:val="1"/>
          <w:color w:val="auto"/>
        </w:rPr>
        <w:t>plus</w:t>
      </w:r>
    </w:p>
    <w:p>
      <w:pPr>
        <w:spacing w:after="0" w:line="161" w:lineRule="exact"/>
        <w:rPr>
          <w:rFonts w:ascii="Times New Roman" w:cs="Times New Roman" w:eastAsia="Times New Roman" w:hAnsi="Times New Roman"/>
          <w:sz w:val="18"/>
          <w:szCs w:val="18"/>
          <w:color w:val="auto"/>
        </w:rPr>
      </w:pPr>
    </w:p>
    <w:p>
      <w:pPr>
        <w:jc w:val="both"/>
        <w:ind w:left="1480" w:hanging="648"/>
        <w:spacing w:after="0" w:line="253" w:lineRule="auto"/>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fees, costs, expenses or charges (other than Consolidated Depreciation and Amortization Expense) related to any actual, proposed or contemplated Equity Offering (including any expense relating to enhanced accounting functions), Permitted Investment, Restricted Payment, acquisition, disposition, recapitalization or the incurrence of Indebtedness permitted to be incurred by this Indenture (including a refinancing thereof) (whether or not successful and including any such transaction consummated prior to the Issue Date), including (i) such fees, expenses or charges (including rating agency fees, consulting fees and other related expenses and/or letter of credit or similar fees) related to the offering or incurrence of, or ongoing administration of the Notes, the New Revolving Credit Facility, any other Credit Facilities, any Securitization Fees and the Transactions, including Transaction Expenses, and (ii) any amendment, waiver or other modification of the Notes, the New Revolving Credit Facility, Receivables Facilities, Securitization Facilities, any other Credit Facilities, any Securitization Fees, any other Indebtedness or any Equity Offering, in each case, whether or not consummated, to the extent deducted (and not added back) in computing Consolidated Net Income; </w:t>
      </w:r>
      <w:r>
        <w:rPr>
          <w:rFonts w:ascii="Times New Roman" w:cs="Times New Roman" w:eastAsia="Times New Roman" w:hAnsi="Times New Roman"/>
          <w:sz w:val="18"/>
          <w:szCs w:val="18"/>
          <w:i w:val="1"/>
          <w:iCs w:val="1"/>
          <w:color w:val="auto"/>
        </w:rPr>
        <w:t>plus</w:t>
      </w:r>
    </w:p>
    <w:p>
      <w:pPr>
        <w:spacing w:after="0" w:line="189" w:lineRule="exact"/>
        <w:rPr>
          <w:rFonts w:ascii="Times New Roman" w:cs="Times New Roman" w:eastAsia="Times New Roman" w:hAnsi="Times New Roman"/>
          <w:sz w:val="18"/>
          <w:szCs w:val="18"/>
          <w:color w:val="auto"/>
        </w:rPr>
      </w:pPr>
    </w:p>
    <w:p>
      <w:pPr>
        <w:jc w:val="both"/>
        <w:ind w:left="1480" w:hanging="648"/>
        <w:spacing w:after="0" w:line="253" w:lineRule="auto"/>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amount of any restructuring charge, accrual, reserve (and adjustments to existing reserves) or expense, integration cost, inventory optimization programs or other business optimization expense or cost (including charges directly related to the implementation of cost-savings initiatives and tax restructurings) that is deducted (and not added back) in such period in computing Consolidated Net Income, including any costs incurred in connection with acquisitions or divestitures after the Issue Date, any severance, retention, signing bonuses, relocation, recruiting and other employee related costs, costs in respect of strategic initiatives and curtailments or modifications to pension and post-retirement employment benefit plans (including any settlement of pension liabilities), costs related to entry into new markets (including unused warehouse space costs) and new product introductions (including labor costs and scrap costs), systems development and establishment costs, operational and reporting systems, technology initiatives, contract termination costs, future lease commitments and costs related to the opening and closure and/or consolidation of facilities (including severance, rent termination, moving and legal costs) and to exiting lines of business and consulting fees incurred with any of the foregoing and (ii) fees, costs and expenses associated with acquisition related litigation and settlement thereof; </w:t>
      </w:r>
      <w:r>
        <w:rPr>
          <w:rFonts w:ascii="Times New Roman" w:cs="Times New Roman" w:eastAsia="Times New Roman" w:hAnsi="Times New Roman"/>
          <w:sz w:val="18"/>
          <w:szCs w:val="18"/>
          <w:i w:val="1"/>
          <w:iCs w:val="1"/>
          <w:color w:val="auto"/>
        </w:rPr>
        <w:t>plus</w:t>
      </w:r>
    </w:p>
    <w:p>
      <w:pPr>
        <w:spacing w:after="0" w:line="187" w:lineRule="exact"/>
        <w:rPr>
          <w:rFonts w:ascii="Times New Roman" w:cs="Times New Roman" w:eastAsia="Times New Roman" w:hAnsi="Times New Roman"/>
          <w:sz w:val="18"/>
          <w:szCs w:val="18"/>
          <w:color w:val="auto"/>
        </w:rPr>
      </w:pPr>
    </w:p>
    <w:p>
      <w:pPr>
        <w:jc w:val="both"/>
        <w:ind w:left="1480" w:hanging="648"/>
        <w:spacing w:after="0" w:line="252" w:lineRule="auto"/>
        <w:tabs>
          <w:tab w:leader="none" w:pos="14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non-cash charges, write-downs, expenses, losses or items reducing Consolidated Net Income for such period including (i) non-cash losses on the sale of assets and any write-offs or write-downs, deferred revenue or impairment charges, (ii) impairment charges, amortization (or write offs) of financing costs (including debt discount, debt issuance costs and commissions and other fees associated with Indebtedness, including the Notes and the New Revolving Credit Facility) of such Person and its Subsidiaries and/or (iii) the impact of acquisition method accounting adjustment and any non-cash write-up, write-down or write-off with respect to re-valuing assets and liabilities in connection with any Investment, deferred revenue or any effects of adjustments resulting from the application of purchase accounting, purchase price accounting (including any step-up in inventory and loss of profit on the acquired inventory)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that </w:t>
      </w:r>
      <w:r>
        <w:rPr>
          <w:rFonts w:ascii="Times New Roman" w:cs="Times New Roman" w:eastAsia="Times New Roman" w:hAnsi="Times New Roman"/>
          <w:sz w:val="18"/>
          <w:szCs w:val="18"/>
          <w:color w:val="auto"/>
        </w:rPr>
        <w:t>if any such non-cash charge, write-down, expense, loss or item represents an accrual or reserve for potential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items in any future period, (A) the Company may elect not to add back such non-cash charge, expense or loss in the current period and (B) to the extent the Company elects to add back such non-cash charge, the cash payment in respect thereof in such future period shall be subtracted from Consolidated EBITDA when paid), or other items classified by the Company as special items less other non-cash items of income increasing Consolidated Net Income (excluding any amortization of a prepaid cash item that was paid in a prior period or such non-cash item of income to the extent it represents a receipt of cash in any future period); </w:t>
      </w:r>
      <w:r>
        <w:rPr>
          <w:rFonts w:ascii="Times New Roman" w:cs="Times New Roman" w:eastAsia="Times New Roman" w:hAnsi="Times New Roman"/>
          <w:sz w:val="18"/>
          <w:szCs w:val="18"/>
          <w:i w:val="1"/>
          <w:iCs w:val="1"/>
          <w:color w:val="auto"/>
        </w:rPr>
        <w:t>plus</w:t>
      </w:r>
    </w:p>
    <w:p>
      <w:pPr>
        <w:spacing w:after="0" w:line="2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3" w:name="page24"/>
    <w:bookmarkEnd w:id="23"/>
    <w:p>
      <w:pPr>
        <w:jc w:val="both"/>
        <w:ind w:left="1480" w:hanging="648"/>
        <w:spacing w:after="0" w:line="252" w:lineRule="auto"/>
        <w:tabs>
          <w:tab w:leader="none" w:pos="1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pro forma “run rate” cost savings (including cost savings with respect to salary, benefit and other direct savings resulting from workforce reductions and facility, benefit and insurance savings and any savings expected to result from the reduction of a public target’s Public Company Costs), operating expense reductions, other operating improvements, and cost savings initiatives and cost synergies (it is understood and agreed that “run rate” means the full recurring benefit for a period that is associated with any action taken, committed to be taken or expected to be taken, net of the amount of actual benefits realized during such period from such actions) projected by the Company in good faith to be reasonably anticipated to be realizable within 12 months of the date thereof (including from any actions taken in whole or in part prior to such date), which will be added to Consolidated EBITDA as so projected until fully realized and calculated on a pro forma basis as though such cost savings (including cost savings with respect to salary, benefit and other direct savings resulting from workforce reductions and facility, benefit and insurance savings and any savings expected to result from the reduction of a public target’s Public Company Costs), operating expense reductions, other operating improvements and cost savings initiatives and cost synergies had been realized on the first day of such period, net of the amount of actual benefits realized prior to or during such period from such actions;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 such costs savings are reasonably identifiable and factually supportable (in the good faith determination of the Company) and (ii) the aggregate increase to Consolidated EBITDA for any period pursuant to this clause (g) shall not exceed 20.0% of Consolidated EBITDA for such period (calculated before giving effect to any increase pursuant to this clause (g)); </w:t>
      </w:r>
      <w:r>
        <w:rPr>
          <w:rFonts w:ascii="Times New Roman" w:cs="Times New Roman" w:eastAsia="Times New Roman" w:hAnsi="Times New Roman"/>
          <w:sz w:val="18"/>
          <w:szCs w:val="18"/>
          <w:i w:val="1"/>
          <w:iCs w:val="1"/>
          <w:color w:val="auto"/>
        </w:rPr>
        <w:t>plus</w:t>
      </w:r>
    </w:p>
    <w:p>
      <w:pPr>
        <w:spacing w:after="0" w:line="193" w:lineRule="exact"/>
        <w:rPr>
          <w:rFonts w:ascii="Times New Roman" w:cs="Times New Roman" w:eastAsia="Times New Roman" w:hAnsi="Times New Roman"/>
          <w:sz w:val="18"/>
          <w:szCs w:val="18"/>
          <w:color w:val="auto"/>
        </w:rPr>
      </w:pPr>
    </w:p>
    <w:p>
      <w:pPr>
        <w:jc w:val="both"/>
        <w:ind w:left="1480" w:hanging="648"/>
        <w:spacing w:after="0" w:line="255" w:lineRule="auto"/>
        <w:tabs>
          <w:tab w:leader="none" w:pos="1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costs or expenses incurred by the Company or a Restricted Subsidiary or a Parent Entity pursuant to any management equity plan, stock option plan, phantom equity plan, profits interests or any other management, employee benefit or other compensatory plan or agreement (and any successor plans or arrangements thereto), employment, termination or severance agreement, or any stock subscription or equityholder agreement, and any costs or expenses in connection with the roll-over, acceleration or payout of Capital Stock held by management, to the extent that such costs or expenses are non-cash or otherwise funded with cash proceeds contributed to the capital of the Company or Net Cash Proceeds of an issuance of Capital Stock (other than Disqualified Stock) of the Company; </w:t>
      </w:r>
      <w:r>
        <w:rPr>
          <w:rFonts w:ascii="Times New Roman" w:cs="Times New Roman" w:eastAsia="Times New Roman" w:hAnsi="Times New Roman"/>
          <w:sz w:val="18"/>
          <w:szCs w:val="18"/>
          <w:i w:val="1"/>
          <w:iCs w:val="1"/>
          <w:color w:val="auto"/>
        </w:rPr>
        <w:t>plus</w:t>
      </w:r>
    </w:p>
    <w:p>
      <w:pPr>
        <w:spacing w:after="0" w:line="188" w:lineRule="exact"/>
        <w:rPr>
          <w:rFonts w:ascii="Times New Roman" w:cs="Times New Roman" w:eastAsia="Times New Roman" w:hAnsi="Times New Roman"/>
          <w:sz w:val="18"/>
          <w:szCs w:val="18"/>
          <w:color w:val="auto"/>
        </w:rPr>
      </w:pPr>
    </w:p>
    <w:p>
      <w:pPr>
        <w:jc w:val="both"/>
        <w:ind w:left="1480" w:hanging="648"/>
        <w:spacing w:after="0" w:line="261" w:lineRule="auto"/>
        <w:tabs>
          <w:tab w:leader="none" w:pos="1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receipts (or any netting arrangements resulting in reduced cash expenditures) not representing Consolidated EBITDA or Consolidated Net Income in any period to the extent non-cash gains relating to such income were deducted in the calculation of Consolidated EBITDA pursuant to clause (2) below for any previous period and not added back; </w:t>
      </w:r>
      <w:r>
        <w:rPr>
          <w:rFonts w:ascii="Times New Roman" w:cs="Times New Roman" w:eastAsia="Times New Roman" w:hAnsi="Times New Roman"/>
          <w:sz w:val="18"/>
          <w:szCs w:val="18"/>
          <w:i w:val="1"/>
          <w:iCs w:val="1"/>
          <w:color w:val="auto"/>
        </w:rPr>
        <w:t>plus</w:t>
      </w: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4" w:name="page25"/>
    <w:bookmarkEnd w:id="24"/>
    <w:p>
      <w:pPr>
        <w:jc w:val="both"/>
        <w:ind w:left="1480" w:hanging="648"/>
        <w:spacing w:after="0" w:line="266" w:lineRule="auto"/>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net loss included in the Consolidated Net Income attributable to non-controlling or minority interests pursuant to the application of Accounting Standards Codification Topic 810-10-45 (or any successor provision or other financial accounting standard having a similar result or effect); </w:t>
      </w:r>
      <w:r>
        <w:rPr>
          <w:rFonts w:ascii="Times New Roman" w:cs="Times New Roman" w:eastAsia="Times New Roman" w:hAnsi="Times New Roman"/>
          <w:sz w:val="18"/>
          <w:szCs w:val="18"/>
          <w:i w:val="1"/>
          <w:iCs w:val="1"/>
          <w:color w:val="auto"/>
        </w:rPr>
        <w:t>plus</w:t>
      </w:r>
    </w:p>
    <w:p>
      <w:pPr>
        <w:spacing w:after="0" w:line="175" w:lineRule="exact"/>
        <w:rPr>
          <w:rFonts w:ascii="Times New Roman" w:cs="Times New Roman" w:eastAsia="Times New Roman" w:hAnsi="Times New Roman"/>
          <w:sz w:val="18"/>
          <w:szCs w:val="18"/>
          <w:color w:val="auto"/>
        </w:rPr>
      </w:pPr>
    </w:p>
    <w:p>
      <w:pPr>
        <w:ind w:left="1480" w:hanging="648"/>
        <w:spacing w:after="0" w:line="282" w:lineRule="auto"/>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non-controlling or minority interest expense consisting of Subsidiary income attributable to non-controlling or minority equity interests of third parties in any non-Wholly Owned Subsidiary of the Company; </w:t>
      </w:r>
      <w:r>
        <w:rPr>
          <w:rFonts w:ascii="Times New Roman" w:cs="Times New Roman" w:eastAsia="Times New Roman" w:hAnsi="Times New Roman"/>
          <w:sz w:val="18"/>
          <w:szCs w:val="18"/>
          <w:i w:val="1"/>
          <w:iCs w:val="1"/>
          <w:color w:val="auto"/>
        </w:rPr>
        <w:t>plus</w:t>
      </w:r>
    </w:p>
    <w:p>
      <w:pPr>
        <w:spacing w:after="0" w:line="161" w:lineRule="exact"/>
        <w:rPr>
          <w:rFonts w:ascii="Times New Roman" w:cs="Times New Roman" w:eastAsia="Times New Roman" w:hAnsi="Times New Roman"/>
          <w:sz w:val="18"/>
          <w:szCs w:val="18"/>
          <w:color w:val="auto"/>
        </w:rPr>
      </w:pPr>
    </w:p>
    <w:p>
      <w:pPr>
        <w:ind w:left="1480" w:hanging="648"/>
        <w:spacing w:after="0" w:line="282" w:lineRule="auto"/>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unrealized or realized foreign exchange losses resulting from the impact of foreign currency changes and (ii) gains and losses due to fluctuations in currency values and related Tax effects determined in accordance with GAAP; </w:t>
      </w:r>
      <w:r>
        <w:rPr>
          <w:rFonts w:ascii="Times New Roman" w:cs="Times New Roman" w:eastAsia="Times New Roman" w:hAnsi="Times New Roman"/>
          <w:sz w:val="18"/>
          <w:szCs w:val="18"/>
          <w:i w:val="1"/>
          <w:iCs w:val="1"/>
          <w:color w:val="auto"/>
        </w:rPr>
        <w:t>plus</w:t>
      </w:r>
    </w:p>
    <w:p>
      <w:pPr>
        <w:spacing w:after="0" w:line="161" w:lineRule="exact"/>
        <w:rPr>
          <w:rFonts w:ascii="Times New Roman" w:cs="Times New Roman" w:eastAsia="Times New Roman" w:hAnsi="Times New Roman"/>
          <w:sz w:val="18"/>
          <w:szCs w:val="18"/>
          <w:color w:val="auto"/>
        </w:rPr>
      </w:pPr>
    </w:p>
    <w:p>
      <w:pPr>
        <w:jc w:val="both"/>
        <w:ind w:left="1480" w:hanging="648"/>
        <w:spacing w:after="0" w:line="261" w:lineRule="auto"/>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joint venture, an amount equal to the proportion of those items described in clauses (a), (b) and (c) above relating to such joint venture corresponding to the Company’s and its Restricted Subsidiaries’ proportionate share of such joint venture’s Consolidated Net Income (determined as if such joint venture were a Restricted Subsidiary) to the extent deducted (and not added back) in computing Consolidated Net Income; </w:t>
      </w:r>
      <w:r>
        <w:rPr>
          <w:rFonts w:ascii="Times New Roman" w:cs="Times New Roman" w:eastAsia="Times New Roman" w:hAnsi="Times New Roman"/>
          <w:sz w:val="18"/>
          <w:szCs w:val="18"/>
          <w:i w:val="1"/>
          <w:iCs w:val="1"/>
          <w:color w:val="auto"/>
        </w:rPr>
        <w:t>plus</w:t>
      </w:r>
    </w:p>
    <w:p>
      <w:pPr>
        <w:spacing w:after="0" w:line="179" w:lineRule="exact"/>
        <w:rPr>
          <w:rFonts w:ascii="Times New Roman" w:cs="Times New Roman" w:eastAsia="Times New Roman" w:hAnsi="Times New Roman"/>
          <w:sz w:val="18"/>
          <w:szCs w:val="18"/>
          <w:color w:val="auto"/>
        </w:rPr>
      </w:pPr>
    </w:p>
    <w:p>
      <w:pPr>
        <w:jc w:val="both"/>
        <w:ind w:left="1480" w:hanging="648"/>
        <w:spacing w:after="0" w:line="258" w:lineRule="auto"/>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costs, charges or expenses relating to payments made to stock appreciation or similar rights, stock option, restricted stock, phantom equity, profits interests or other interests or rights holders of the Company or any of its Subsidiaries or any Parent Entity in connection with, or as a result of, any distribution being made to equityholders of such Person or any of its Subsidiaries or any Parent Entities, which payments are being made to compensate such holders as though they were equityholders at the time of, and entitled to share in, such distribution; </w:t>
      </w:r>
      <w:r>
        <w:rPr>
          <w:rFonts w:ascii="Times New Roman" w:cs="Times New Roman" w:eastAsia="Times New Roman" w:hAnsi="Times New Roman"/>
          <w:sz w:val="18"/>
          <w:szCs w:val="18"/>
          <w:i w:val="1"/>
          <w:iCs w:val="1"/>
          <w:color w:val="auto"/>
        </w:rPr>
        <w:t>plus</w:t>
      </w:r>
    </w:p>
    <w:p>
      <w:pPr>
        <w:spacing w:after="0" w:line="183" w:lineRule="exact"/>
        <w:rPr>
          <w:rFonts w:ascii="Times New Roman" w:cs="Times New Roman" w:eastAsia="Times New Roman" w:hAnsi="Times New Roman"/>
          <w:sz w:val="18"/>
          <w:szCs w:val="18"/>
          <w:color w:val="auto"/>
        </w:rPr>
      </w:pPr>
    </w:p>
    <w:p>
      <w:pPr>
        <w:jc w:val="both"/>
        <w:ind w:left="1480" w:hanging="648"/>
        <w:spacing w:after="0" w:line="266" w:lineRule="auto"/>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adjustments of the nature or type used in connection with the calculation of “Pro Forma Adjusted EBITDA” as set forth under “Summary Historical Condensed Consolidated Financial Data” contained in the Offering Memorandum and other adjustments of a similar nature to the foregoing; </w:t>
      </w:r>
      <w:r>
        <w:rPr>
          <w:rFonts w:ascii="Times New Roman" w:cs="Times New Roman" w:eastAsia="Times New Roman" w:hAnsi="Times New Roman"/>
          <w:sz w:val="18"/>
          <w:szCs w:val="18"/>
          <w:i w:val="1"/>
          <w:iCs w:val="1"/>
          <w:color w:val="auto"/>
        </w:rPr>
        <w:t>plus</w:t>
      </w:r>
    </w:p>
    <w:p>
      <w:pPr>
        <w:spacing w:after="0" w:line="175" w:lineRule="exact"/>
        <w:rPr>
          <w:rFonts w:ascii="Times New Roman" w:cs="Times New Roman" w:eastAsia="Times New Roman" w:hAnsi="Times New Roman"/>
          <w:sz w:val="18"/>
          <w:szCs w:val="18"/>
          <w:color w:val="auto"/>
        </w:rPr>
      </w:pPr>
    </w:p>
    <w:p>
      <w:pPr>
        <w:ind w:left="1480" w:right="20" w:hanging="648"/>
        <w:spacing w:after="0" w:line="282" w:lineRule="auto"/>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losses, charges and expenses related to the pre-opening and opening of new locations, and start-up period prior to opening, that are operated, or to be operated, by the Company or any Restricted Subsidiary; </w:t>
      </w:r>
      <w:r>
        <w:rPr>
          <w:rFonts w:ascii="Times New Roman" w:cs="Times New Roman" w:eastAsia="Times New Roman" w:hAnsi="Times New Roman"/>
          <w:sz w:val="18"/>
          <w:szCs w:val="18"/>
          <w:i w:val="1"/>
          <w:iCs w:val="1"/>
          <w:color w:val="auto"/>
        </w:rPr>
        <w:t>plus</w:t>
      </w:r>
    </w:p>
    <w:p>
      <w:pPr>
        <w:spacing w:after="0" w:line="161" w:lineRule="exact"/>
        <w:rPr>
          <w:rFonts w:ascii="Times New Roman" w:cs="Times New Roman" w:eastAsia="Times New Roman" w:hAnsi="Times New Roman"/>
          <w:sz w:val="18"/>
          <w:szCs w:val="18"/>
          <w:color w:val="auto"/>
        </w:rPr>
      </w:pPr>
    </w:p>
    <w:p>
      <w:pPr>
        <w:ind w:left="1480" w:right="20" w:hanging="648"/>
        <w:spacing w:after="0" w:line="282" w:lineRule="auto"/>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rent expense as determined in accordance with GAAP not actually paid in cash during such period (net of rent expense paid in case during such period over and above rent expense as determined in accordance with GAAP); </w:t>
      </w:r>
      <w:r>
        <w:rPr>
          <w:rFonts w:ascii="Times New Roman" w:cs="Times New Roman" w:eastAsia="Times New Roman" w:hAnsi="Times New Roman"/>
          <w:sz w:val="18"/>
          <w:szCs w:val="18"/>
          <w:i w:val="1"/>
          <w:iCs w:val="1"/>
          <w:color w:val="auto"/>
        </w:rPr>
        <w:t>plus</w:t>
      </w:r>
    </w:p>
    <w:p>
      <w:pPr>
        <w:spacing w:after="0" w:line="161" w:lineRule="exact"/>
        <w:rPr>
          <w:rFonts w:ascii="Times New Roman" w:cs="Times New Roman" w:eastAsia="Times New Roman" w:hAnsi="Times New Roman"/>
          <w:sz w:val="18"/>
          <w:szCs w:val="18"/>
          <w:color w:val="auto"/>
        </w:rPr>
      </w:pPr>
    </w:p>
    <w:p>
      <w:pPr>
        <w:ind w:left="1480" w:right="20" w:hanging="648"/>
        <w:spacing w:after="0" w:line="282" w:lineRule="auto"/>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losses, charges and expenses related to a new location, plant or facility until the date that is 24 months after the date of commencement of construction or the date of acquisition thereof, as the case may be; </w:t>
      </w:r>
      <w:r>
        <w:rPr>
          <w:rFonts w:ascii="Times New Roman" w:cs="Times New Roman" w:eastAsia="Times New Roman" w:hAnsi="Times New Roman"/>
          <w:sz w:val="18"/>
          <w:szCs w:val="18"/>
          <w:i w:val="1"/>
          <w:iCs w:val="1"/>
          <w:color w:val="auto"/>
        </w:rPr>
        <w:t>plus</w:t>
      </w:r>
    </w:p>
    <w:p>
      <w:pPr>
        <w:spacing w:after="0" w:line="161" w:lineRule="exact"/>
        <w:rPr>
          <w:rFonts w:ascii="Times New Roman" w:cs="Times New Roman" w:eastAsia="Times New Roman" w:hAnsi="Times New Roman"/>
          <w:sz w:val="18"/>
          <w:szCs w:val="18"/>
          <w:color w:val="auto"/>
        </w:rPr>
      </w:pPr>
    </w:p>
    <w:p>
      <w:pPr>
        <w:jc w:val="both"/>
        <w:ind w:left="1480" w:hanging="648"/>
        <w:spacing w:after="0" w:line="266" w:lineRule="auto"/>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non-cash increase in expense resulting from the revaluation of inventory (including any impact of changes to inventory valuation policy methods including changes in capitalization of variances) or other inventory adjustments; </w:t>
      </w:r>
      <w:r>
        <w:rPr>
          <w:rFonts w:ascii="Times New Roman" w:cs="Times New Roman" w:eastAsia="Times New Roman" w:hAnsi="Times New Roman"/>
          <w:sz w:val="18"/>
          <w:szCs w:val="18"/>
          <w:i w:val="1"/>
          <w:iCs w:val="1"/>
          <w:color w:val="auto"/>
        </w:rPr>
        <w:t>plus</w:t>
      </w:r>
    </w:p>
    <w:p>
      <w:pPr>
        <w:spacing w:after="0" w:line="175" w:lineRule="exact"/>
        <w:rPr>
          <w:rFonts w:ascii="Times New Roman" w:cs="Times New Roman" w:eastAsia="Times New Roman" w:hAnsi="Times New Roman"/>
          <w:sz w:val="18"/>
          <w:szCs w:val="18"/>
          <w:color w:val="auto"/>
        </w:rPr>
      </w:pPr>
    </w:p>
    <w:p>
      <w:pPr>
        <w:jc w:val="both"/>
        <w:ind w:left="1480" w:hanging="648"/>
        <w:spacing w:after="0" w:line="261" w:lineRule="auto"/>
        <w:tabs>
          <w:tab w:leader="none" w:pos="14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increase (which, for the avoidance of doubt, shall not be negative), if any, of the difference between: (i) the deferred revenue of such Person and its Restricted Subsidiaries, as of the last day of such period (the “Determination Date”) and (ii) the deferred revenue of such Person and its Restricted Subsidiaries as of the date that is 12 months prior to the Determination Date; </w:t>
      </w:r>
      <w:r>
        <w:rPr>
          <w:rFonts w:ascii="Times New Roman" w:cs="Times New Roman" w:eastAsia="Times New Roman" w:hAnsi="Times New Roman"/>
          <w:sz w:val="18"/>
          <w:szCs w:val="18"/>
          <w:i w:val="1"/>
          <w:iCs w:val="1"/>
          <w:color w:val="auto"/>
        </w:rPr>
        <w:t>plus</w:t>
      </w: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25" w:name="page26"/>
    <w:bookmarkEnd w:id="25"/>
    <w:p>
      <w:pPr>
        <w:jc w:val="both"/>
        <w:ind w:left="2600" w:hanging="648"/>
        <w:spacing w:after="0" w:line="258" w:lineRule="auto"/>
        <w:tabs>
          <w:tab w:leader="none" w:pos="2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fees, costs and expenses incurred in connection with the adoption or implementation of Accounting Standards Codification Topic 606—Revenue from Contracts with Customers (or any successor provision or other financial accounting standard having a similar result or effect), and any non-cash losses or charges resulting from the application of Accounting Standards Codification Topic 606—Revenue from Contracts with Customers (or any successor provision or other financial accounting standard having a similar result or effect); </w:t>
      </w:r>
      <w:r>
        <w:rPr>
          <w:rFonts w:ascii="Times New Roman" w:cs="Times New Roman" w:eastAsia="Times New Roman" w:hAnsi="Times New Roman"/>
          <w:sz w:val="18"/>
          <w:szCs w:val="18"/>
          <w:i w:val="1"/>
          <w:iCs w:val="1"/>
          <w:color w:val="auto"/>
        </w:rPr>
        <w:t>plus</w:t>
      </w:r>
    </w:p>
    <w:p>
      <w:pPr>
        <w:spacing w:after="0" w:line="183" w:lineRule="exact"/>
        <w:rPr>
          <w:rFonts w:ascii="Times New Roman" w:cs="Times New Roman" w:eastAsia="Times New Roman" w:hAnsi="Times New Roman"/>
          <w:sz w:val="18"/>
          <w:szCs w:val="18"/>
          <w:color w:val="auto"/>
        </w:rPr>
      </w:pPr>
    </w:p>
    <w:p>
      <w:pPr>
        <w:jc w:val="both"/>
        <w:ind w:left="2600" w:hanging="648"/>
        <w:spacing w:after="0" w:line="258" w:lineRule="auto"/>
        <w:tabs>
          <w:tab w:leader="none" w:pos="2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the Company, (i) any other adjustments, exclusions and add-backs that are consistent with Regulation S-X or (ii) other exclusions and addbacks (together with any corresponding offsetting deductions which are reasonably linked to specific exclusions and addbacks elected by the Company to be taken into account in the calculation of Consolidated EBITDA) that are of the type contained in a quality of earnings analysis or report from time to time prepared by financial advisors (which financial advisors are nationally recognized); or</w:t>
      </w:r>
    </w:p>
    <w:p>
      <w:pPr>
        <w:spacing w:after="0" w:line="183"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costs, expenses or charges related to or recorded in cost of sales to recognize cost on a last-in-first-out basis; and</w:t>
      </w:r>
    </w:p>
    <w:p>
      <w:pPr>
        <w:spacing w:after="0" w:line="162" w:lineRule="exact"/>
        <w:rPr>
          <w:sz w:val="20"/>
          <w:szCs w:val="20"/>
          <w:color w:val="auto"/>
        </w:rPr>
      </w:pPr>
    </w:p>
    <w:p>
      <w:pPr>
        <w:jc w:val="both"/>
        <w:ind w:firstLine="1304"/>
        <w:spacing w:after="0" w:line="266" w:lineRule="auto"/>
        <w:tabs>
          <w:tab w:leader="none" w:pos="16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(without duplication) by extraordinary or other non-recurring, income tax credits or non-cash income increasing Consolidated Net Income of such Person for such period, excluding any non-cash gains to the extent they represent the reversal of an accrual or reserve for a potential cash item that reduced Consolidated EBITDA in any prior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means, with respect to any Person for any period, without duplication, the sum of:</w:t>
      </w:r>
    </w:p>
    <w:p>
      <w:pPr>
        <w:spacing w:after="0" w:line="225" w:lineRule="exact"/>
        <w:rPr>
          <w:sz w:val="20"/>
          <w:szCs w:val="20"/>
          <w:color w:val="auto"/>
        </w:rPr>
      </w:pPr>
    </w:p>
    <w:p>
      <w:pPr>
        <w:jc w:val="both"/>
        <w:ind w:firstLine="1304"/>
        <w:spacing w:after="0" w:line="252" w:lineRule="auto"/>
        <w:tabs>
          <w:tab w:leader="none" w:pos="160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cash interest expense (including that attributable to Finance Lease Obligations) with respect to all outstanding Indebtedness of such Person and its Restricted Subsidiaries, including all commissions, discounts and other fees and charges owed with respect to letters of credit and bankers’ acceptance financing and net payments made (less net payments received) under Hedging Obligations but excluding, for the avoidance of doubt (i) Securitization Fees, (ii) penalties, additions to Tax and interest relating to Taxes, (iii) annual agency or similar fees paid to the administrative agents, collateral agents and other agents under any Credit Facility, (iv) any additional interest or liquidated damages owing pursuant to any registration rights obligations, (v) costs associated with obtaining Hedging Obligations, (vi) accretion or accrual of discounted liabilities other than Indebtedness, (vii) any expense resulting from the discounting of any Indebtedness in connection with the application of recapitalization accounting or purchase accounting in connection with any acquisition, (viii) amortization, expensing or write-off of deferred financing fees, amendment and consent fees, debt issuance costs, debt discount or premium, terminated Hedging Obligations and other commissions, fees and expenses, discounted liabilities, original issue discount and any other amounts of non-cash interest and, adjusted to the extent included, to exclude any refunds or similar credits received in connection with the purchasing or procurement of goods or services under any purchasing card or similar program, (ix) any expensing of bridge, arrangement, structuring, commitment, agency, consent and other financing fees and any other fees related to the Transactions or any acquisitions after the Issue Date, (x) any accretion of accrued interest on discounted liabilities and any prepayment, make-whole or breakage premium, penalty or cost, (xi) interest expense with respect to Indebtedness of any direct or indirect parent of such Person resulting from push-down accounting and (xii) any lease, rental or other expense in connection with a Non-Financing Lease Obligations; </w:t>
      </w:r>
      <w:r>
        <w:rPr>
          <w:rFonts w:ascii="Times New Roman" w:cs="Times New Roman" w:eastAsia="Times New Roman" w:hAnsi="Times New Roman"/>
          <w:sz w:val="18"/>
          <w:szCs w:val="18"/>
          <w:i w:val="1"/>
          <w:iCs w:val="1"/>
          <w:color w:val="auto"/>
        </w:rPr>
        <w:t>less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6" w:name="page27"/>
    <w:bookmarkEnd w:id="26"/>
    <w:p>
      <w:pPr>
        <w:ind w:left="1300"/>
        <w:spacing w:after="0"/>
        <w:rPr>
          <w:sz w:val="20"/>
          <w:szCs w:val="20"/>
          <w:color w:val="auto"/>
        </w:rPr>
      </w:pPr>
      <w:r>
        <w:rPr>
          <w:rFonts w:ascii="Times New Roman" w:cs="Times New Roman" w:eastAsia="Times New Roman" w:hAnsi="Times New Roman"/>
          <w:sz w:val="18"/>
          <w:szCs w:val="18"/>
          <w:color w:val="auto"/>
        </w:rPr>
        <w:t>(2) consolidated interest income for such period.</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this definition, interest on a Finance Lease Obligation shall be deemed to accrue at an interest rate reasonably determined by such Person to be the rate of interest implicit in such Finance Lease Obligation in accordance with GAAP.</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xml:space="preserve">” means, with respect to any Person for any period, the net income (loss) of such Person and its Restricted Subsidiaries for such period determined on a consolidated basis in accordance with GAAP and before any reduction in respect of Preferred Stock dividends;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there will not be included in such Consolidated Net Income:</w:t>
      </w:r>
    </w:p>
    <w:p>
      <w:pPr>
        <w:spacing w:after="0" w:line="176" w:lineRule="exact"/>
        <w:rPr>
          <w:sz w:val="20"/>
          <w:szCs w:val="20"/>
          <w:color w:val="auto"/>
        </w:rPr>
      </w:pPr>
    </w:p>
    <w:p>
      <w:pPr>
        <w:jc w:val="both"/>
        <w:ind w:firstLine="1304"/>
        <w:spacing w:after="0" w:line="261" w:lineRule="auto"/>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income (loss) of any Person if such Person is not a Restricted Subsidiary (including any net income (loss) from investments recorded in such Person under the equity method of accounting), except that the Company’s equity in the net income of any such Person for such period will be included in such Consolidated Net Income up to the aggregate amount of cash or Cash Equivalents actually distributed (or to the extent converted into cash or Cash Equivalents);</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for the purpose of determining the amount available for Restricted Payments under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(a)(4)(iii)(B) hereof, any net income (loss) of any Restricted Subsidiary (other than the Guarantors) if such Subsidiary is subject to restrictions, directly or indirectly, on the payment of dividends or the making of distributions by such Restricted Subsidiary, directly or indirectly, to the Company or a Guarantor by operation of the terms of such Restricted Subsidiary’s articles, charter or any agreement, instrument, judgment, decree, order, statute or governmental rule or regulation applicable to such Restricted Subsidiary or its stockholders (other than (a) restrictions that have been waived or otherwise released (or such Person reasonably believes such restriction could be waived or released and is using commercially reasonable efforts to pursue such waiver or release), and (b) restrictions under the New Revolving Credit Facility, the Notes, this Indenture or other similar indebtedness containing substantially similar restrictions, except that the Company’s equity in the net income of any such Restricted Subsidiary for such period will be included in such Consolidated Net Income up to the aggregate amount of cash or Cash Equivalents actually distributed (or to the extent converted, or having the ability to be converted, into cash or Cash Equivalents) or that could have been distributed by such Restricted Subsidiary during such period to the Company or another Restricted Subsidiary as a dividend or other distribution (subject, in the case of a dividend to another Restricted Subsidiary, to the limitation contained in this clause);</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loss) (a) in respect of facilities no longer used or useful in the conduct of the business of the Company or its Restricted Subsidiaries, abandoned, transferred, closed, disposed or discontinued operations, (b) on disposal, abandonment or discontinuance of disposed, abandoned, transferred, closed or discontinued operations, and (c) attributable to asset dispositions, abandonments, sales or other dispositions of any asset (including pursuant to any Sale and Leaseback Transaction) or the designation of an Unrestricted Subsidiary other than in the ordinary course of business;</w:t>
      </w:r>
    </w:p>
    <w:p>
      <w:pPr>
        <w:spacing w:after="0" w:line="179" w:lineRule="exact"/>
        <w:rPr>
          <w:rFonts w:ascii="Times New Roman" w:cs="Times New Roman" w:eastAsia="Times New Roman" w:hAnsi="Times New Roman"/>
          <w:sz w:val="18"/>
          <w:szCs w:val="18"/>
          <w:color w:val="auto"/>
        </w:rPr>
      </w:pPr>
    </w:p>
    <w:p>
      <w:pPr>
        <w:jc w:val="both"/>
        <w:ind w:firstLine="1304"/>
        <w:spacing w:after="0" w:line="252" w:lineRule="auto"/>
        <w:tabs>
          <w:tab w:leader="none" w:pos="16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extraordinary, exceptional, unusual or nonrecurring loss, charge or expense, Transaction Expenses, restructuring and duplicative running costs, restructuring charges or reserves (whether or not classified as restructuring expense on the consolidated financial statements), relocation costs, start-up or initial costs for any project or new production line, division or new line of business, integration and facilities’ or bases’ opening costs, facility consolidation and closing costs, severance costs and expenses, one-time charges (including compensation charges), payments made pursuant to the terms of change in control agreements that the Company or a Subsidiary or a Parent Entity had entered into with employees of the Company, a Subsidiary or a Parent Entity, costs relating to pre-opening, opening and conversion costs for facilities, losses, costs or cost inefficiencies related to project terminations, facility or property disruptions or shutdowns (including due to work stoppages, natural disasters and epidemics), signing, retention and completion bonuses (including management bonus pools), recruiting costs, costs incurred in connection with any strategic or cost savings initiatives, transition costs, contract terminations, litigation and arbitration fees, costs and charges, expenses in connection with one-time rate changes, costs incurred with acquisitions, investments and dispositions (including travel and out-of-pocket costs, human resources costs (including relocation bonuses), litigation and arbitration costs, charges, fees and expenses (including settlements), management transition costs, advertising costs, losses associated with temporary decreases in work volume and expenses related to maintain underutilized personnel) and non-recurring product and intellectual property development, other business optimization expenses or reserves (including costs and expenses relating to business optimization programs and new systems design and costs or reserves associated with improvements to IT and accounting functions), retention charges (including charges or expenses in respect of incentive plans), system establishment costs and implementation costs and operating expenses attributable to the implementation of strategic or cost-savings initiatives, and curtailments or modifications to pension and post-retirement employee benefit plans (including any settlement of pension liabilities and charges resulting from changes in estimates, valuations and judgments) and professional, legal, accounting, consulting and other service fees incurred with any of the foregoing and (b) any charge, expense, cost, accrual or reserve of any kind associated with acquisition related litigation and settlements thereof;</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ind w:left="-8" w:firstLine="1304"/>
        <w:spacing w:after="0" w:line="255" w:lineRule="auto"/>
        <w:tabs>
          <w:tab w:leader="none" w:pos="155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at the election of the Company with respect to any quarterly period, the cumulative effect (including charges, accruals, expenses and reserves) of a change in law, regulation or accounting principles and changes as a result of the adoption, implementation or modification of accounting policies, including the adoption or implementation of last-in-first-out basis accounting standards, (b) subject to the last paragraph of the definition of “GAAP,” the cumulative effect of a change in accounting principles and changes as a result of the adoption or modification of accounting policies during such period (including any impact resulting from an election by the Company to apply IFRS or other Accounting Changes), and (c) any costs, charges, losses, fees or expenses in connection with the implementation or tracking of such changes or modifications specified in the foregoing clauses (a) and (b), in each case as reasonably determined by the Company;</w:t>
      </w:r>
    </w:p>
    <w:p>
      <w:pPr>
        <w:spacing w:after="0" w:line="188" w:lineRule="exact"/>
        <w:rPr>
          <w:rFonts w:ascii="Times New Roman" w:cs="Times New Roman" w:eastAsia="Times New Roman" w:hAnsi="Times New Roman"/>
          <w:sz w:val="18"/>
          <w:szCs w:val="18"/>
          <w:color w:val="auto"/>
        </w:rPr>
      </w:pPr>
    </w:p>
    <w:p>
      <w:pPr>
        <w:jc w:val="both"/>
        <w:ind w:left="-8" w:firstLine="1304"/>
        <w:spacing w:after="0" w:line="252" w:lineRule="auto"/>
        <w:tabs>
          <w:tab w:leader="none" w:pos="154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equity-based or non-cash compensation or similar charge, cost or expense or reduction of revenue, including any such charge, cost, expense or reduction arising from any grant of stock, stock appreciation or similar rights, stock options, restricted stock, phantom equity, profits interests or other interests, or other rights or equity- or equity-based incentive programs (“</w:t>
      </w:r>
      <w:r>
        <w:rPr>
          <w:rFonts w:ascii="Times New Roman" w:cs="Times New Roman" w:eastAsia="Times New Roman" w:hAnsi="Times New Roman"/>
          <w:sz w:val="18"/>
          <w:szCs w:val="18"/>
          <w:u w:val="single" w:color="auto"/>
          <w:color w:val="auto"/>
        </w:rPr>
        <w:t>equity incentives</w:t>
      </w:r>
      <w:r>
        <w:rPr>
          <w:rFonts w:ascii="Times New Roman" w:cs="Times New Roman" w:eastAsia="Times New Roman" w:hAnsi="Times New Roman"/>
          <w:sz w:val="18"/>
          <w:szCs w:val="18"/>
          <w:color w:val="auto"/>
        </w:rPr>
        <w:t>”), any income (loss) associated with the equity incentives or other long-term incentive compensation plans (including under deferred compensation arrangements of the Company or any Parent Entity or Subsidiary and any positive investment income with respect to funded deferred compensation account balances), roll-over, acceleration or payout of Capital Stock by employees, directors, officers, managers, contractors, consultants, advisors or business partners (or their respective Controlled Investment Affiliates or Immediate Family Members) of the Company or any Parent Entity or Subsidiary, and any cash awards granted to employees of the Company and its Subsidiaries in replacement for forfeited awards, (b) any non-cash losses attributable to deferred compensation plans or trusts or realized in such period in connection with adjustments to any employee benefit plan due to changes in estimates, actuarial assumptions, valuations, studies or judgments,</w:t>
      </w:r>
    </w:p>
    <w:p>
      <w:pPr>
        <w:spacing w:after="0" w:line="6" w:lineRule="exact"/>
        <w:rPr>
          <w:rFonts w:ascii="Times New Roman" w:cs="Times New Roman" w:eastAsia="Times New Roman" w:hAnsi="Times New Roman"/>
          <w:sz w:val="18"/>
          <w:szCs w:val="18"/>
          <w:color w:val="auto"/>
        </w:rPr>
      </w:pPr>
    </w:p>
    <w:p>
      <w:pPr>
        <w:jc w:val="both"/>
        <w:ind w:left="-8" w:firstLine="8"/>
        <w:spacing w:after="0" w:line="252" w:lineRule="auto"/>
        <w:tabs>
          <w:tab w:leader="none" w:pos="24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compensation expense resulting from the application of Accounting Standards Codification Topic 718, Compensation—Stock Compensation or Accounting Standards Codification Topics 505-50 Equity-Based Payments to Non-Employees (or any successor provision or other financial accounting standard having a similar result or effect), and (d) any net pension or post-employment benefit costs representing amortization of unrecognized prior service costs, actuarial losses, amortization of such amounts arising in prior periods, amortization of the unrecognized obligation (and loss or cost) existing at the date of initial application of Statement of Financial Accounting Standards No. 87, 106 and 112 (or any successor provision or other financial accounting standard having a similar result or effect), and any other item of a similar nature;</w:t>
      </w:r>
    </w:p>
    <w:p>
      <w:pPr>
        <w:spacing w:after="0" w:line="189" w:lineRule="exact"/>
        <w:rPr>
          <w:rFonts w:ascii="Times New Roman" w:cs="Times New Roman" w:eastAsia="Times New Roman" w:hAnsi="Times New Roman"/>
          <w:sz w:val="18"/>
          <w:szCs w:val="18"/>
          <w:color w:val="auto"/>
        </w:rPr>
      </w:pPr>
    </w:p>
    <w:p>
      <w:pPr>
        <w:ind w:left="-8" w:firstLine="1304"/>
        <w:spacing w:after="0" w:line="282" w:lineRule="auto"/>
        <w:tabs>
          <w:tab w:leader="none" w:pos="157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(loss) from the extinguishment, conversion or cancellation of Indebtedness, Hedging Obligations or other derivative instruments (including deferred financing costs written off, premiums paid or other expenses incurred);</w:t>
      </w:r>
    </w:p>
    <w:p>
      <w:pPr>
        <w:spacing w:after="0" w:line="161" w:lineRule="exact"/>
        <w:rPr>
          <w:rFonts w:ascii="Times New Roman" w:cs="Times New Roman" w:eastAsia="Times New Roman" w:hAnsi="Times New Roman"/>
          <w:sz w:val="18"/>
          <w:szCs w:val="18"/>
          <w:color w:val="auto"/>
        </w:rPr>
      </w:pPr>
    </w:p>
    <w:p>
      <w:pPr>
        <w:ind w:left="-8" w:right="20" w:firstLine="1304"/>
        <w:spacing w:after="0" w:line="282" w:lineRule="auto"/>
        <w:tabs>
          <w:tab w:leader="none" w:pos="154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unrealized or realized gains or losses in respect of any Hedging Obligations or any ineffectiveness recognized in earnings related to hedge transactions or the fair value of changes therein recognized in earnings for derivatives that do not qualify as hedge transactions;</w:t>
      </w:r>
    </w:p>
    <w:p>
      <w:pPr>
        <w:spacing w:after="0" w:line="161" w:lineRule="exact"/>
        <w:rPr>
          <w:rFonts w:ascii="Times New Roman" w:cs="Times New Roman" w:eastAsia="Times New Roman" w:hAnsi="Times New Roman"/>
          <w:sz w:val="18"/>
          <w:szCs w:val="18"/>
          <w:color w:val="auto"/>
        </w:rPr>
      </w:pPr>
    </w:p>
    <w:p>
      <w:pPr>
        <w:jc w:val="both"/>
        <w:ind w:left="-8" w:firstLine="1304"/>
        <w:spacing w:after="0" w:line="253" w:lineRule="auto"/>
        <w:tabs>
          <w:tab w:leader="none" w:pos="15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losses, costs, expenses or charges incurred during such period (including any transaction, retention bonus or similar payment), or any amortization thereof for such period, in connection with (a) any acquisition, recapitalization, Investment, Asset Disposition, disposition, issuance or repayment of Indebtedness (including such fees, expense or charges related to the offering, issuance and rating of the Notes, other securities and any Credit Facilities), issuance of Capital Stock, refinancing transaction or amendment or modification of any debt instrument (including any amendment or other modification of the Notes, other securities and any Credit Facilities), in each case, including the Transactions, any such transaction consummated prior to, on or after the Issue Date and any such transaction undertaken but not completed, and any charges or non-recurring merger costs incurred during such period as a result of any such transaction, in each case whether or not successful (including, for the avoidance of doubt, the effects of expensing all transaction-related expenses in accordance with Accounting Standards Codification Topic 805—Business Combinations (or any successor provision or other financial accounting standard having a similar result or effect) and any adjustments resulting from the application of Accounting Standards Codification Topic 460—Guarantees (or any successor provision or other financial accounting standard having a similar result or effect) or any related pronouncements) and (b) complying with the requirements under, or making elections permitted by, the documentation governing any Indebtedness;</w:t>
      </w:r>
    </w:p>
    <w:p>
      <w:pPr>
        <w:spacing w:after="0" w:line="19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28" w:name="page29"/>
    <w:bookmarkEnd w:id="28"/>
    <w:p>
      <w:pPr>
        <w:jc w:val="both"/>
        <w:ind w:firstLine="1304"/>
        <w:spacing w:after="0" w:line="258" w:lineRule="auto"/>
        <w:tabs>
          <w:tab w:leader="none" w:pos="16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unrealized or realized gain or loss resulting in such period from currency translation increases or decreases or transaction gains or losses, including those related to currency remeasurements of Indebtedness (including any net loss or gain resulting from Hedging Obligations for currency risk), intercompany loans, accounts receivables, accounts payable, intercompany balances, other balance sheet items, Hedging Obligations or other obligations of the Company or any Restricted Subsidiary owing to the Company or any Restricted Subsidiary and any other realized or unrealized foreign exchange gains or losses relating to the translation of assets and liabilities denominated in foreign currencies;</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6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unrealized or realized income (loss) or non-cash expense attributable to movement in mark-to-market valuation of foreign currencies, Indebtedness or derivative instruments pursuant to GAAP;</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4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adjustments (including the effects of such adjustments pushed down to such Person and its Restricted Subsidiaries) in such Person’s consolidated financial statements pursuant to GAAP (including those required or permitted by Accounting Standards Codification Topic 805– Business Combinations and Accounting Standards Codification 350–Intangibles-Goodwill and Other (or any successor provision or other financial accounting standard having a similar result or effect)) and related pronouncements, including in the inventory (including any impact of changes to inventory valuation policy methods, including changes in capitalization of variances), property and equipment, software, loans, leases, goodwill, intangible assets, in-process research and development, deferred revenue (including deferred costs related thereto and deferred rent) and debt line items thereof, resulting from the application of acquisition method accounting, recapitalization accounting or purchase accounting, as the case may be, in relation to any consummated acquisition (by merger, consolidation, amalgamation or otherwise), joint venture investment or other Investment or the amortization or write-off or write-down of any amounts thereof;</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7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impairment charge, write-off or write-down, including impairment charges, write-offs or write-downs related to intangible assets, long-lived assets, goodwill, investments in debt or equity securities (including any losses with respect to the foregoing in bankruptcy, insolvency or similar proceedings) and investments recorded using the equity method or as a result of a change in law or regulation, in connection with any disposition of assets and the amortization of intangibles arising pursuant to GAAP;</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5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accruals and reserves (including contingent liabilities) that are established or adjusted within 18 months after the closing of any acquisition or disposition that are so required to be established or adjusted as a result of such acquisition or disposition in accordance with GAAP, or changes as a result of adoption or modification of accounting policies, (b) charges, accruals, expenses and reserves as a result of adoption or modification of accounting policies, shall be excluded, and (c) earn-out, non-compete and contingent consideration obligations (including to the extent accounted for as bonuses, compensation or otherwise (and including deferred performance incentives in connection with any acquisition (by merger, consolidation, amalgamation or otherwise), joint venture investment or other Investment whether or not a service component is required from the transferor or its related party)) and adjustments thereof and purchase price adjustments;</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4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(loss) related to any realized or unrealized gains and losses resulting from Hedging Obligations or embedded derivatives that require similar accounting treatment (including embedded derivatives in customer contracts), and the application of Accounting Standards Codification Topic 815—Derivatives and Hedging (or any successor provision or other financial accounting standard having a similar result or effect) and its related pronouncements or mark to market movement of non-U.S. currencies, Indebtedness, derivatives instruments or other financial instruments pursuant to GAAP, including Accounting Standards Codification Topic 825—Financial Instruments (or any successor provision or other financial accounting standard having a similar result or effect) or an alternative basis of accounting applied in lieu of GAAP;</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9" w:name="page30"/>
    <w:bookmarkEnd w:id="29"/>
    <w:p>
      <w:pPr>
        <w:ind w:left="1640" w:hanging="336"/>
        <w:spacing w:after="0"/>
        <w:tabs>
          <w:tab w:leader="none" w:pos="1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expenses, accruals or reserves related to adjustments to historical Tax exposures;</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(x) Board of Director (or equivalent thereof) fees, refinancing, transaction, advisory and other fees (including exit and termination fees) and indemnities, costs and expenses paid or accrued in such period to (or on behalf of) any member of the Board of Directors (or the equivalent thereof) of the Company, any of its Subsidiaries or any Parent Entity, and (y) payments made to option holders of the Company or any Parent Entity in connection with, or as a result of, any distribution being made to equityholders of such Person or its Parent Entity, which payments are being made to compensate such option holders as though they were equityholders at the time of, and entitled to share in, such distribution, including any cash consideration for any repurchase of equity;</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64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loss or discount on sale of Securitization Assets, Receivables Assets and related assets in connection with a Qualified Securitization Financing or Receivables Facility;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payments to third parties in respect of research and development, including amounts paid upon signing, success, completion and other milestones and other progress payments, to the extent expensed, (ii) at the election of the Company with respect to any quarterly period, effects of adjustments to accruals and reserves during a period relating to any change in the methodology of calculating reserves for returns, rebates and other chargebacks (including government program rebates), and (iii) at the election of the Company with respect to any quarterly period, an amount equal to the net change in deferred revenue at the end of such period from the deferred revenue at the end of the previous period.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addition, to the extent not already excluded (or included, as applicable) in the Consolidated Net Income of such Person and its Restricted Subsidiaries, notwithstanding anything to the contrary in the foregoing, Consolidated Net Income shall be increased by the amount of: (i) any expenses, charges or losses that are reimbursed by indemnification or other reimbursement provisions in connection with any investment or any sale, conveyance, transfer or other disposition of assets permitted hereunder, or, so long as the Company has made a determination that there exists reasonable evidence that such amount will in fact be reimbursed within 365 days of the date of such evidence (net of any amount so added back in a prior period to the extent not so reimbursed within the applicable 365-day period) and (ii) to the extent covered by insurance (including business interruption insurance) and actually reimbursed, or, so long as the Company has made a determination that there exists reasonable evidence that such amount will in fact be reimbursed by the insurer and only to the extent that such amount is in fact reimbursed within 365 days of the date of such evidence (net of any amount so added back in a prior period to the extent not so reimbursed within the applicable 365-day period), expenses, charges or losses with respect to liability or Casualty Events or business interruption. Consolidated Net Income shall be reduced by the amount of distributions actually made to any Parent Entity of such Person in respect of such period in accordance with </w:t>
      </w:r>
      <w:r>
        <w:rPr>
          <w:rFonts w:ascii="Times New Roman" w:cs="Times New Roman" w:eastAsia="Times New Roman" w:hAnsi="Times New Roman"/>
          <w:sz w:val="18"/>
          <w:szCs w:val="18"/>
          <w:u w:val="single" w:color="auto"/>
          <w:color w:val="auto"/>
        </w:rPr>
        <w:t>Section 3.3(b)(9)(i)</w:t>
      </w:r>
      <w:r>
        <w:rPr>
          <w:rFonts w:ascii="Times New Roman" w:cs="Times New Roman" w:eastAsia="Times New Roman" w:hAnsi="Times New Roman"/>
          <w:sz w:val="18"/>
          <w:szCs w:val="18"/>
          <w:color w:val="auto"/>
        </w:rPr>
        <w:t xml:space="preserve"> as though such amounts had been paid as Taxes directly by such Person for such periods.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Secured Leverage Ratio</w:t>
      </w:r>
      <w:r>
        <w:rPr>
          <w:rFonts w:ascii="Times New Roman" w:cs="Times New Roman" w:eastAsia="Times New Roman" w:hAnsi="Times New Roman"/>
          <w:sz w:val="18"/>
          <w:szCs w:val="18"/>
          <w:color w:val="auto"/>
        </w:rPr>
        <w:t>” means, as of any date of determination, the ratio of (x) Consolidated Total Indebtedness secured by a Lien as of such date to (y) LTM EBITDA.</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Indebtedness</w:t>
      </w:r>
      <w:r>
        <w:rPr>
          <w:rFonts w:ascii="Times New Roman" w:cs="Times New Roman" w:eastAsia="Times New Roman" w:hAnsi="Times New Roman"/>
          <w:sz w:val="18"/>
          <w:szCs w:val="18"/>
          <w:color w:val="auto"/>
        </w:rPr>
        <w:t>” means, as of any date of determination, an amount equal to (a) the aggregate principal amount of outstanding Indebtedness for borrowed money (excluding Indebtedness with respect to Cash Management Obligations and intercompany Indebtedness), plus (b) the aggregate principal amount of Finance Lease Obligations, Purchase Money Obligations and unreimbursed drawings under letters of credit of the Company and its Restricted Subsidiaries outstanding on such date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unreimbursed amount under commercial letters of credit shall not be counted as Consolidated Total Indebtedness until five Business Days after such amount is drawn), minus (c) the aggregate amount of cash and Cash Equivalents included on the consolidated balance sheet of the Company and its Restricted Subsidiaries as of the end of the most recent fiscal period for which consolidated financial statements are available (which may, at the Company’s election, be internal financial statements)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cash proceeds of any proposed incurrence of Indebtedness shall not be included in this clause (c) for purposes of calculating the Consolidated Total Leverage Ratio or the Consolidated Secured Leverage Ratio, as applicable), with such pro forma adjustments as are consistent with the pro forma adjustments set forth in the definition of “Fixed Charge Coverage Ratio.” For the avoidance of doubt, Consolidated Total Indebtedness shall exclude Indebtedness in respect of any Receivables Facility or Securitization Facility but shall include the Reserved Indebtedness Amount, if any.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0" w:name="page31"/>
    <w:bookmarkEnd w:id="3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Leverage Ratio</w:t>
      </w:r>
      <w:r>
        <w:rPr>
          <w:rFonts w:ascii="Times New Roman" w:cs="Times New Roman" w:eastAsia="Times New Roman" w:hAnsi="Times New Roman"/>
          <w:sz w:val="18"/>
          <w:szCs w:val="18"/>
          <w:color w:val="auto"/>
        </w:rPr>
        <w:t>” means, as of any date of determination, the ratio of (x) Consolidated Total Indebtedness as of such date to (y) LTM EBITDA.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Contingent Obligations</w:t>
      </w:r>
      <w:r>
        <w:rPr>
          <w:rFonts w:ascii="Times New Roman" w:cs="Times New Roman" w:eastAsia="Times New Roman" w:hAnsi="Times New Roman"/>
          <w:sz w:val="18"/>
          <w:szCs w:val="18"/>
          <w:color w:val="auto"/>
        </w:rPr>
        <w:t>” means, with respect to any Person, any obligation of such Person guaranteeing in any manner, whether directly or indirectly, any operating lease, dividend or other obligation that does not constitute Indebtedness (“</w:t>
      </w:r>
      <w:r>
        <w:rPr>
          <w:rFonts w:ascii="Times New Roman" w:cs="Times New Roman" w:eastAsia="Times New Roman" w:hAnsi="Times New Roman"/>
          <w:sz w:val="18"/>
          <w:szCs w:val="18"/>
          <w:u w:val="single" w:color="auto"/>
          <w:color w:val="auto"/>
        </w:rPr>
        <w:t>primary obligations</w:t>
      </w:r>
      <w:r>
        <w:rPr>
          <w:rFonts w:ascii="Times New Roman" w:cs="Times New Roman" w:eastAsia="Times New Roman" w:hAnsi="Times New Roman"/>
          <w:sz w:val="18"/>
          <w:szCs w:val="18"/>
          <w:color w:val="auto"/>
        </w:rPr>
        <w:t>”)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including any obligation of such Person, whether or not contingent:</w:t>
      </w:r>
    </w:p>
    <w:p>
      <w:pPr>
        <w:spacing w:after="0" w:line="176" w:lineRule="exact"/>
        <w:rPr>
          <w:sz w:val="20"/>
          <w:szCs w:val="20"/>
          <w:color w:val="auto"/>
        </w:rPr>
      </w:pPr>
    </w:p>
    <w:p>
      <w:pPr>
        <w:ind w:left="1560" w:hanging="256"/>
        <w:spacing w:after="0"/>
        <w:tabs>
          <w:tab w:leader="none" w:pos="1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any such primary obligation or any property constituting direct or indirect security therefor;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advance or supply funds:</w:t>
      </w:r>
    </w:p>
    <w:p>
      <w:pPr>
        <w:spacing w:after="0" w:line="22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purchase or payment of any such primary obligation; or</w:t>
      </w:r>
    </w:p>
    <w:p>
      <w:pPr>
        <w:spacing w:after="0" w:line="225"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6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the working capital or equity capital of the primary obligor or otherwise to maintain the net worth or solvency of the primary obligor; or</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7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Investment Affiliate</w:t>
      </w:r>
      <w:r>
        <w:rPr>
          <w:rFonts w:ascii="Times New Roman" w:cs="Times New Roman" w:eastAsia="Times New Roman" w:hAnsi="Times New Roman"/>
          <w:sz w:val="18"/>
          <w:szCs w:val="18"/>
          <w:color w:val="auto"/>
        </w:rPr>
        <w:t>” means, as to any Person, any other Person, which directly or indirectly is in control of, is controlled by, or is under common control with such Person and is organized by such Person (or any Person controlling such Person) primarily for making direct or indirect equity or debt investments in the Company and/or other companies.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Trust Office</w:t>
      </w:r>
      <w:r>
        <w:rPr>
          <w:rFonts w:ascii="Times New Roman" w:cs="Times New Roman" w:eastAsia="Times New Roman" w:hAnsi="Times New Roman"/>
          <w:sz w:val="18"/>
          <w:szCs w:val="18"/>
          <w:color w:val="auto"/>
        </w:rPr>
        <w:t>” means the designated corporate trust office of the Trustee at which at any time its corporate trust business will be administered (which office at the date of this Indenture is located at U.S. Bank Trust Company, National Association, Corporate Trust Services, 333 Commerce Street, Suite 800, Nashville, Tennessee 37201, Attention: Wally Jones, or such other address as the Trustee may designate from time to time by notice to the Holders and the Company, or the designated corporate trust office of any successor Trustee (or such other address as such successor Trustee may designate from time to time by notice to the Holders and the Company).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Facility</w:t>
      </w:r>
      <w:r>
        <w:rPr>
          <w:rFonts w:ascii="Times New Roman" w:cs="Times New Roman" w:eastAsia="Times New Roman" w:hAnsi="Times New Roman"/>
          <w:sz w:val="18"/>
          <w:szCs w:val="18"/>
          <w:color w:val="auto"/>
        </w:rPr>
        <w:t>” means, with respect to the Company or any of its Subsidiaries, one or more debt facilities (including the New Revolving Credit Facility), indentures or other arrangements, commercial paper facilities and overdraft facilities with banks, other financial institutions or investors providing for revolving credit loans, term loans, notes, receivables financing (including through the sale of receivables to such institutions or to special purpose entities formed to borrow from such institutions against such receivables), letters of credit or other Indebtedness, in each case, as amended, restated, modified, renewed, refunded, replaced, restructured, refinanced, repaid, increased or extended in whole or in part from time to time (and whether in whole or in part and whether or not with the original administrative agent and lenders or another administrative agent or agents or other banks or institutions and whether provided under the New Revolving Credit Facility or one or more other credit or other agreements, indentures, financing agreements or otherwise) and in each case including all agreements, instruments and documents executed and delivered pursuant to or in connection with the foregoing (including any notes and letters of credit issued pursuant thereto and any Guarantee and collateral agreement, patent and trademark security agreement, mortgages or letter of credit applications and other Guarantees, pledges, agreements, security agreements and collateral documents). Without limiting the generality of the foregoing, the term “Credit Facility” shall include any agreement or instrument (i) changing the maturity of any Indebtedness Incurred thereunder or contemplated thereby, (ii) adding Subsidiaries of the Company as additional borrowers or guarantors thereunder, (iii) increasing the amount of Indebtedness Incurred thereunder or available to be borrowed thereunder or (iv) otherwise altering the terms and conditions thereof.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means any receiver, trustee, assignee, liquidator, custodian or similar official under any Bankruptcy Law.</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1" w:name="page32"/>
    <w:bookmarkEnd w:id="31"/>
    <w:p>
      <w:pPr>
        <w:jc w:val="both"/>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w:t>
      </w:r>
      <w:r>
        <w:rPr>
          <w:rFonts w:ascii="Times New Roman" w:cs="Times New Roman" w:eastAsia="Times New Roman" w:hAnsi="Times New Roman"/>
          <w:sz w:val="18"/>
          <w:szCs w:val="18"/>
          <w:color w:val="auto"/>
        </w:rPr>
        <w:t xml:space="preserve">t” means any event that is, or with the passage of time or the giving of notice or both would be, an Event of Default;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Default that results solely from the taking of an action that would have been permitted but for the continuation of a previous Default will be deemed to be cured if such previous Default is cured prior to becoming an Event of Default.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Definitive Notes</w:t>
      </w:r>
      <w:r>
        <w:rPr>
          <w:rFonts w:ascii="Times New Roman" w:cs="Times New Roman" w:eastAsia="Times New Roman" w:hAnsi="Times New Roman"/>
          <w:sz w:val="18"/>
          <w:szCs w:val="18"/>
          <w:color w:val="auto"/>
        </w:rPr>
        <w:t>” means certificated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Delaware Divided LLC</w:t>
      </w:r>
      <w:r>
        <w:rPr>
          <w:rFonts w:ascii="Times New Roman" w:cs="Times New Roman" w:eastAsia="Times New Roman" w:hAnsi="Times New Roman"/>
          <w:sz w:val="18"/>
          <w:szCs w:val="18"/>
          <w:color w:val="auto"/>
        </w:rPr>
        <w:t>” means any Delaware LLC which has been formed upon the consummation of a Delaware LLC Division.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Delaware LLC</w:t>
      </w:r>
      <w:r>
        <w:rPr>
          <w:rFonts w:ascii="Times New Roman" w:cs="Times New Roman" w:eastAsia="Times New Roman" w:hAnsi="Times New Roman"/>
          <w:sz w:val="18"/>
          <w:szCs w:val="18"/>
          <w:color w:val="auto"/>
        </w:rPr>
        <w:t>” means any limited liability company organized or formed under the laws of the State of Delaware.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Delaware LLC Division</w:t>
      </w:r>
      <w:r>
        <w:rPr>
          <w:rFonts w:ascii="Times New Roman" w:cs="Times New Roman" w:eastAsia="Times New Roman" w:hAnsi="Times New Roman"/>
          <w:sz w:val="18"/>
          <w:szCs w:val="18"/>
          <w:color w:val="auto"/>
        </w:rPr>
        <w:t>” means the statutory division of any Delaware LLC into two or more Delaware LLCs pursuant to Section 18-217 of the Delaware Limited Liability Company Act.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xml:space="preserve">” means, with respect to the Notes issuable or issued in whole or in part in global form, the Person specified in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hereof as the Depositary with respect to the Notes, and any and all successors thereto appointed as depositary hereunder and having become such pursuant to the applicable provisions of this Indenture.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Derivative Instrument</w:t>
      </w:r>
      <w:r>
        <w:rPr>
          <w:rFonts w:ascii="Times New Roman" w:cs="Times New Roman" w:eastAsia="Times New Roman" w:hAnsi="Times New Roman"/>
          <w:sz w:val="18"/>
          <w:szCs w:val="18"/>
          <w:color w:val="auto"/>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Screened Affiliate) is a party (whether or not requiring further performance by such Person), the value and/or cash flows of which (or any material portion thereof) are materially affected by the value and/or performance of the Notes and/or the creditworthiness of the Company and/or any one or more of the Guarantors (the “</w:t>
      </w:r>
      <w:r>
        <w:rPr>
          <w:rFonts w:ascii="Times New Roman" w:cs="Times New Roman" w:eastAsia="Times New Roman" w:hAnsi="Times New Roman"/>
          <w:sz w:val="18"/>
          <w:szCs w:val="18"/>
          <w:u w:val="single" w:color="auto"/>
          <w:color w:val="auto"/>
        </w:rPr>
        <w:t>Performance References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Non-Cash Consideration</w:t>
      </w:r>
      <w:r>
        <w:rPr>
          <w:rFonts w:ascii="Times New Roman" w:cs="Times New Roman" w:eastAsia="Times New Roman" w:hAnsi="Times New Roman"/>
          <w:sz w:val="18"/>
          <w:szCs w:val="18"/>
          <w:color w:val="auto"/>
        </w:rPr>
        <w:t xml:space="preserve">” means the fair market value (as determined in good faith by the Company) of non-cash consideration received by the Company or one of its Restricted Subsidiaries in connection with an Asset Disposition that is so designated as Designated Non-Cash Consideration pursuant to an Officer’s Certificate, setting forth the basis of such valuation, less the amount of cash or Cash Equivalents received in connection with a subsequent payment, redemption, retirement, sale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hereof.</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u w:val="single" w:color="auto"/>
          <w:color w:val="auto"/>
        </w:rPr>
        <w:t>Designated Preferred Stock</w:t>
      </w:r>
      <w:r>
        <w:rPr>
          <w:rFonts w:ascii="Times New Roman" w:cs="Times New Roman" w:eastAsia="Times New Roman" w:hAnsi="Times New Roman"/>
          <w:sz w:val="18"/>
          <w:szCs w:val="18"/>
          <w:color w:val="auto"/>
        </w:rPr>
        <w:t>” means Preferred Stock of the Company or a Parent Entity (other than Disqualified Stock) that is issued for cash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the Company or a Subsidiary of the Company or an employee stock ownership plan or trust established by the Company or any such Subsidiary for the benefit of their employees to the extent funded by the Company or such Subsidiary) and that is designated as “Designated Preferred Stock” pursuant to an Officer’s Certificate of the Company at or prior to the issuance thereof, the Net Cash Proceeds of which are excluded from the calculation set forth in </w:t>
      </w:r>
      <w:r>
        <w:rPr>
          <w:rFonts w:ascii="Times New Roman" w:cs="Times New Roman" w:eastAsia="Times New Roman" w:hAnsi="Times New Roman"/>
          <w:sz w:val="18"/>
          <w:szCs w:val="18"/>
          <w:u w:val="single" w:color="auto"/>
          <w:color w:val="auto"/>
        </w:rPr>
        <w:t>Section 3.3(a)(4)(iii)(C)</w:t>
      </w:r>
      <w:r>
        <w:rPr>
          <w:rFonts w:ascii="Times New Roman" w:cs="Times New Roman" w:eastAsia="Times New Roman" w:hAnsi="Times New Roman"/>
          <w:sz w:val="18"/>
          <w:szCs w:val="18"/>
          <w:color w:val="auto"/>
        </w:rPr>
        <w:t xml:space="preserve"> hereof.</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Disinterested Director</w:t>
      </w:r>
      <w:r>
        <w:rPr>
          <w:rFonts w:ascii="Times New Roman" w:cs="Times New Roman" w:eastAsia="Times New Roman" w:hAnsi="Times New Roman"/>
          <w:sz w:val="18"/>
          <w:szCs w:val="18"/>
          <w:color w:val="auto"/>
        </w:rPr>
        <w:t>” means, with respect to any Affiliate Transaction, a member of the Board of Directors of the Company having no material direct or indirect financial interest in or with respect to such Affiliate Transaction. A member of the Board of Directors of the Company shall be deemed not to have such a financial interest by reason of such member’s holding Capital Stock of the Company or any options, warrants or other rights in respect of such Capital Stock.</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Stock</w:t>
      </w:r>
      <w:r>
        <w:rPr>
          <w:rFonts w:ascii="Times New Roman" w:cs="Times New Roman" w:eastAsia="Times New Roman" w:hAnsi="Times New Roman"/>
          <w:sz w:val="18"/>
          <w:szCs w:val="18"/>
          <w:color w:val="auto"/>
        </w:rPr>
        <w:t>” means, with respect to any Person, any Capital Stock of such Person which by its terms (or by the terms of any security into which it is convertible or for which it is exchangeable) or upon the happening of any event:</w:t>
      </w:r>
    </w:p>
    <w:p>
      <w:pPr>
        <w:spacing w:after="0" w:line="162" w:lineRule="exact"/>
        <w:rPr>
          <w:sz w:val="20"/>
          <w:szCs w:val="20"/>
          <w:color w:val="auto"/>
        </w:rPr>
      </w:pPr>
    </w:p>
    <w:p>
      <w:pPr>
        <w:ind w:left="5540" w:right="120" w:hanging="4236"/>
        <w:spacing w:after="0" w:line="532" w:lineRule="auto"/>
        <w:tabs>
          <w:tab w:leader="none" w:pos="156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matures or is mandatorily redeemable for cash or in exchange for Indebtedness pursuant to a sinking fund obligation or otherwise; or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32" w:name="page33"/>
    <w:bookmarkEnd w:id="32"/>
    <w:p>
      <w:pPr>
        <w:ind w:firstLine="1304"/>
        <w:spacing w:after="0" w:line="282" w:lineRule="auto"/>
        <w:tabs>
          <w:tab w:leader="none" w:pos="15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may become (in accordance with its terms) upon the occurrence of certain events or otherwise redeemable or repurchasable for cash or in exchange for Indebtedness at the option of the holder of the Capital Stock in whole or in part,</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each case on or prior to the earlier of (a) the Stated Maturity of the Notes or (b) the date on which there are no Notes outstanding;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only the portion of Capital Stock which so matures or is mandatorily redeemable, is so convertible or exchangeable or is so redeemable at the option of the holder thereof prior to such date will be deemed to be Disqualified Stock and (ii) any Capital Stock that would constitute Disqualified Stock solely because the holders thereof have the right to require the Company to repurchase such Capital Stock upon the occurrence of a change of control or asset sale (howsoever defined or referred to) shall not constitute Disqualified Stock if any such redemption or repurchase obligation is subject to compliance by the relevant Person with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such Capital Stock is issued to any future, current or former employee, director, officer, manager or consultant (or their respective Controlled Investment Affiliates or Immediate Family Members), of the Company, any of its Subsidiaries, any Parent Entity or any other entity in which the Company or a Restricted Subsidiary has an Investment and is designated in good faith as an “affiliate” by the Board of Directors (or the compensation committee thereof) or any other plan for the benefit of current, former or future employees (or their respective Controlled Investment Affiliates or Immediate Family Members) of the Company or its Subsidiaries or by any such plan to such employees (or their respective Controlled Investment Affiliates or Immediate Family Members), such Capital Stock shall not constitute Disqualified Stock solely because it may be required to be repurchased by the Company or its Subsidiaries in order to satisfy applicable statutory or regulatory obligations.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means the lawful currency of the United States of America.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with respect to any Person, any Restricted Subsidiary of such Person other than a Foreign Subsidiary.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 or any successor securities clearing agency.</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Offering</w:t>
      </w:r>
      <w:r>
        <w:rPr>
          <w:rFonts w:ascii="Times New Roman" w:cs="Times New Roman" w:eastAsia="Times New Roman" w:hAnsi="Times New Roman"/>
          <w:sz w:val="18"/>
          <w:szCs w:val="18"/>
          <w:color w:val="auto"/>
        </w:rPr>
        <w:t>” means a sale of Capital Stock (other than through the issuance of Disqualified Stock or Designated Preferred Stock or through an Excluded Contribution) other than (a) offerings registered on Form S-8 (or any successor form) under the Securities Act or any similar offering in other jurisdictions or other securities of the Company or any Parent Entity and (b) issuances of Capital Stock to any Subsidiary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means the single currency of participating member states of the economic and monetary union as contemplated in the Treaty on European Union.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 and the rules and regulations of the SEC promulgated thereunder, as amended.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Contribution</w:t>
      </w:r>
      <w:r>
        <w:rPr>
          <w:rFonts w:ascii="Times New Roman" w:cs="Times New Roman" w:eastAsia="Times New Roman" w:hAnsi="Times New Roman"/>
          <w:sz w:val="18"/>
          <w:szCs w:val="18"/>
          <w:color w:val="auto"/>
        </w:rPr>
        <w:t>” means Net Cash Proceeds or property or assets received by the Company as capital contributions to the equity (other than through the issuance of Disqualified Stock or Designated Preferred Stock) of the Company after the Issue Date or from the issuance or sale (other than to a Restricted Subsidiary or an employee stock ownership plan or trust established by the Company or any Subsidiary of the Company for the benefit of their employees to the extent funded by the Company or any Restricted Subsidiary) of Capital Stock (other than Disqualified Stock or Designated Preferred Stock) of the Company, in each case, for the avoidance of doubt to the extent designated as an Excluded Contribution by the Company.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may be conclusively established by means of an Officer’s Certificate or resolutions of the Board of Directors of the Company setting out such fair market value as determined by such Officer or such Board of Directors in good faith.</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Finance Lease Obligations</w:t>
      </w:r>
      <w:r>
        <w:rPr>
          <w:rFonts w:ascii="Times New Roman" w:cs="Times New Roman" w:eastAsia="Times New Roman" w:hAnsi="Times New Roman"/>
          <w:sz w:val="18"/>
          <w:szCs w:val="18"/>
          <w:color w:val="auto"/>
        </w:rPr>
        <w:t xml:space="preserve">” means an obligation that is required to be classified and accounted for as a finance lease for financial reporting purposes on the basis of GAAP;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all leases of any Person that are or would be characterized as operating leases in accordance with GAAP immediately prior to December 31, 2018 (whether or not such operating leases were in effect on such date) shall continue to be accounted for as operating leases (and not as Finance Lease Obligations) for purposes of this Indenture regardless of any change in GAAP thereafter that would otherwise require such leases to be recharacterized as Finance Lease Obligations. The amount of Indebtedness represented by such obligation will be the capitalized amount of such obligation at the time any determination thereof is to be made as determined on the basis of GAAP, and the Stated Maturity thereof will be the date of the last payment of rent or any other amount due under such lease prior to the first date such lease may be terminated without penalty.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Inc. or any of its successors or assigns that is a Nationally Recognized Statistical Rating Organization.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Charge Coverage Ratio</w:t>
      </w:r>
      <w:r>
        <w:rPr>
          <w:rFonts w:ascii="Times New Roman" w:cs="Times New Roman" w:eastAsia="Times New Roman" w:hAnsi="Times New Roman"/>
          <w:sz w:val="18"/>
          <w:szCs w:val="18"/>
          <w:color w:val="auto"/>
        </w:rPr>
        <w:t>” means, with respect to any Person on any determination date, the ratio of Consolidated EBITDA of such Person for the most recent four consecutive fiscal quarters ending immediately prior to such determination date (the “reference period”) for which consolidated financial statements are available (which may, at the Company’s option, be internal consolidated financial statements) to the Fixed Charges of such Person for the reference period. In the event that the Company or any Restricted Subsidiary incurs, assumes, guarantees, redeems, defeases, retires or extinguishes any Indebtedness (other than Indebtedness incurred under any revolving credit facility unless such Indebtedness has been permanently repaid and has not been replaced), has caused any Reserved Indebtedness Amount to be deemed to be incurred during such period or issues or redeems Disqualified Stock or Preferred Stock subsequent to the commencement of the reference period but prior to or simultaneously with the event for which the calculation of the Fixed Charge Coverage Ratio is made (the “</w:t>
      </w:r>
      <w:r>
        <w:rPr>
          <w:rFonts w:ascii="Times New Roman" w:cs="Times New Roman" w:eastAsia="Times New Roman" w:hAnsi="Times New Roman"/>
          <w:sz w:val="18"/>
          <w:szCs w:val="18"/>
          <w:u w:val="single" w:color="auto"/>
          <w:color w:val="auto"/>
        </w:rPr>
        <w:t>Fixed Charge Coverage Ratio Calculation Date</w:t>
      </w:r>
      <w:r>
        <w:rPr>
          <w:rFonts w:ascii="Times New Roman" w:cs="Times New Roman" w:eastAsia="Times New Roman" w:hAnsi="Times New Roman"/>
          <w:sz w:val="18"/>
          <w:szCs w:val="18"/>
          <w:color w:val="auto"/>
        </w:rPr>
        <w:t>”), then the Fixed Charge Coverage Ratio shall be calculated giving pro forma effect to such incurrence, deemed incurrence, assumption, guarantee, redemption, defeasance, retirement or extinguishment of Indebtedness, or such issuance or redemption of Disqualified Stock or Preferred Stock, as if the same had occurred at the beginning of the applicable four-quarter period.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purposes of making the computation referred to above, any Investments, acquisitions, dispositions, mergers, amalgamations, consolidations and disposed operations that have been made by the Company or any of its Restricted Subsidiaries, during the reference period or subsequent to the reference period and on or prior to or simultaneously with the Fixed Charge Coverage Ratio Calculation Date shall be calculated on a pro forma basis assuming that all such Investments, acquisitions, dispositions, mergers, amalgamations, consolidations and disposed operations (and the change in any associated fixed charge obligations and the change in Consolidated EBITDA resulting therefrom) had occurred on the first day of the reference period. If since the beginning of such period any Person that subsequently became a Restricted Subsidiary or was merged or amalgamated with or into the Company or any of its Restricted Subsidiaries since the beginning of such period shall have made any Investment, acquisition, disposition, merger, amalgamation, consolidation or disposed operation that would have required adjustment pursuant to this definition, then the Fixed Charge Coverage Ratio shall be calculated giving pro forma effect thereto for such period as if such Investment, acquisition, disposition, merger, amalgamation, consolidation or disposed operation had occurred at the beginning of the reference period.</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purposes of this definition, whenever pro forma effect is to be given to a transaction (including the Transactions), the pro forma calculations shall be made in good faith by a responsible financial or chief accounting officer of the Company (and may include, for the avoidance of doubt, cost savings, operating expenses reductions and synergies resulting from such transactions which is being given pro forma effect. If any Indebtedness bears a floating rate of interest and is being given pro forma effect, the interest on such Indebtedness shall be calculated as if the rate in effect on the Fixed Charge Coverage Ratio Calculation Date had been the applicable rate for the entire reference period (taking into account any Hedging Obligations applicable to such Indebtedness). Interest on a Finance Lease Obligation shall be deemed to accrue at an interest rate reasonably determined by a responsible financial or accounting officer of the Company to be the rate of interest implicit in such Finance Lease Obligation in accordance with GAAP. For purposes of making the computation referred to above, interest on any Indebtedness under a revolving credit facility computed with a pro forma basis shall be computed based upon the average daily balance of such Indebtedness during the reference period except as set forth in the first paragraph of this definition.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the Company may designate.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Charges</w:t>
      </w:r>
      <w:r>
        <w:rPr>
          <w:rFonts w:ascii="Times New Roman" w:cs="Times New Roman" w:eastAsia="Times New Roman" w:hAnsi="Times New Roman"/>
          <w:sz w:val="18"/>
          <w:szCs w:val="18"/>
          <w:color w:val="auto"/>
        </w:rPr>
        <w:t>” means, with respect to any Person for any period, the sum of:</w:t>
      </w:r>
    </w:p>
    <w:p>
      <w:pPr>
        <w:spacing w:after="0" w:line="225" w:lineRule="exact"/>
        <w:rPr>
          <w:sz w:val="20"/>
          <w:szCs w:val="20"/>
          <w:color w:val="auto"/>
        </w:rPr>
      </w:pPr>
    </w:p>
    <w:p>
      <w:pPr>
        <w:ind w:left="1560" w:hanging="256"/>
        <w:spacing w:after="0"/>
        <w:tabs>
          <w:tab w:leader="none" w:pos="15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of such Person for such period;</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6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dividends or other distributions paid (excluding items eliminated in consolidation) on any series of Preferred Stock of any Restricted Subsidiary of such Person during such period;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dividends or other distributions paid (excluding items eliminated in consolidation) on any series of Disqualified Stock of such Person during such period.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with respect to any Person, any Subsidiary of such Person that is not organized or existing under the laws of the United States, any state thereof or the District of Columbia.</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all terms of an accounting or financial nature used in this Indenture shall be construed, and all computations of amounts and ratios referred to in this Indenture shall be made (a) without giving effect to any election under Accounting Standards Codification Topic 825— Financial Instruments, or any successor thereto or comparable accounting principle (including pursuant to the Accounting Standards Codification), to value any Indebtedness of the Company or any Subsidiary at “fair value,” as defined therein and (b) the amount of any Indebtedness under GAAP with respect to Finance Lease Obligations shall be determined in accordance with the definition of Finance Lease Obligations. At any time after the Issue Date, the Company may elect to apply IFRS accounting principles in lieu of GAAP and, upon any such election, references herein to GAAP shall thereafter be construed to mean IFRS (except as otherwise provided in this Indenture);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such election, once made, shall be irrevocable; provided, further, that any calculation or determination in this Indenture that requires the application of GAAP for periods that include fiscal quarters ended prior to the Company’s election to apply IFRS shall remain as previously calculated or determined in accordance with GAAP. The Company shall give notice of any such election made in accordance with this definition to the Trustee. For the avoidance of doubt, solely making an election (without any other action) referred to in this definition will not be treated as an incurrence of Indebtedness.</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there occurs a change in IFRS or GAAP, as the case may be, and such change would cause a change in the method of calculation of any standards, terms or measures used in this Indenture (an “</w:t>
      </w:r>
      <w:r>
        <w:rPr>
          <w:rFonts w:ascii="Times New Roman" w:cs="Times New Roman" w:eastAsia="Times New Roman" w:hAnsi="Times New Roman"/>
          <w:sz w:val="18"/>
          <w:szCs w:val="18"/>
          <w:u w:val="single" w:color="auto"/>
          <w:color w:val="auto"/>
        </w:rPr>
        <w:t>Accounting Change</w:t>
      </w:r>
      <w:r>
        <w:rPr>
          <w:rFonts w:ascii="Times New Roman" w:cs="Times New Roman" w:eastAsia="Times New Roman" w:hAnsi="Times New Roman"/>
          <w:sz w:val="18"/>
          <w:szCs w:val="18"/>
          <w:color w:val="auto"/>
        </w:rPr>
        <w:t>”), then the Company may elect, as evidenced by a written notice of the Company to the Trustee, that such standards, terms or measures shall be calculated as if such Accounting Change had not occurred.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any obligation, contingent or otherwise, of any Person directly or indirectly guaranteeing any Indebtedness of any other Person, including any such obligation, direct or indirect, contingent or otherwise, of such Person:</w:t>
      </w:r>
    </w:p>
    <w:p>
      <w:pPr>
        <w:spacing w:after="0" w:line="162" w:lineRule="exact"/>
        <w:rPr>
          <w:sz w:val="20"/>
          <w:szCs w:val="20"/>
          <w:color w:val="auto"/>
        </w:rPr>
      </w:pPr>
    </w:p>
    <w:p>
      <w:pPr>
        <w:jc w:val="both"/>
        <w:ind w:firstLine="1304"/>
        <w:spacing w:after="0" w:line="266" w:lineRule="auto"/>
        <w:tabs>
          <w:tab w:leader="none" w:pos="157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entered into primarily for purposes of assuring in any other manner the obligee of such Indebtedness of the payment thereof or to protect such obligee against loss in respect thereof (in whole or in part),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term “Guarantee” will not include (x) endorsements for collection or deposit in the ordinary course of business or consistent with past practice and (y) standard contractual indemnities or product warranties provided in the ordinary course of business,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amount of any Guarantee shall be deemed to be the lower of (i) an amount equal to the stated or determinable amount of the primary obligation in respect of which such Guarantee is made and (ii) the maximum amount for which such guaranteeing Person may be liable pursuant to the terms of the instrument embodying such Guarantee or, if such Guarantee is not an unconditional guarantee of the entire amount of the primary obligation and such maximum amount is not stated or determinable, the amount of such guaranteeing Person’s maximum reasonably anticipated liability in respect thereof as determined by such Person in good faith. The term “Guarantee” used as a verb has a corresponding meaning.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 any Restricted Subsidiary that provides a Note Guarantee, until such Note Guarantee is released in accordance with the terms of this Indenture.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Obligations</w:t>
      </w:r>
      <w:r>
        <w:rPr>
          <w:rFonts w:ascii="Times New Roman" w:cs="Times New Roman" w:eastAsia="Times New Roman" w:hAnsi="Times New Roman"/>
          <w:sz w:val="18"/>
          <w:szCs w:val="18"/>
          <w:color w:val="auto"/>
        </w:rPr>
        <w:t>” means, with respect to any Person, the obligations of such Person under any interest rate swap agreement, interest rate cap agreement, interest rate collar agreement, commodity swap agreement, commodity cap agreement, commodity collar agreement, foreign exchange contracts, currency swap agreement or similar agreement providing for the transfer or mitigation of interest rate, commodity price or currency risks either generally or under specific contingencies.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each Person in whose name the Notes are registered on the Notes Register maintained by the Registrar, which shall initially be the nominee of DTC.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means the International Financial Reporting Standards as issued by the International Accounting Standards Board as in effect from time to time.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means, at any date of determination, each Restricted Subsidiary of the Company that (i) has not Guaranteed any other Indebtedness of the Company and (ii) has Total Assets and revenues of less than 5.0% of Total Assets and, together with all other Immaterial Subsidiaries (as determined in accordance with GAAP), has Total Assets and revenues of less than 10.0% of Total Assets, in each case, measured at the end of the most recent fiscal period for which internal financial statements are available and revenues on a pro forma basis giving effect to any acquisitions or dispositions of companies, division or lines of business since such balance sheet date or the start of such four quarter period, as applicable, and on or prior to the date of acquisition of such Subsidiary.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Immediate Family Members</w:t>
      </w:r>
      <w:r>
        <w:rPr>
          <w:rFonts w:ascii="Times New Roman" w:cs="Times New Roman" w:eastAsia="Times New Roman" w:hAnsi="Times New Roman"/>
          <w:sz w:val="18"/>
          <w:szCs w:val="18"/>
          <w:color w:val="auto"/>
        </w:rPr>
        <w:t>” means, with respect to any individual, such individual’s child, stepchild, grandchild or more remote descendant, parent, stepparent, grandparent, spouse, former spouse, qualified domestic partner, sibling, mother-in-law, father-in-law, son-in-law and daughter-in-law (including adoptive relationships, the estate of such individual and such other individuals above)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8"/>
          <w:szCs w:val="18"/>
          <w:u w:val="single" w:color="auto"/>
          <w:color w:val="auto"/>
        </w:rPr>
        <w:t>ncur</w:t>
      </w:r>
      <w:r>
        <w:rPr>
          <w:rFonts w:ascii="Times New Roman" w:cs="Times New Roman" w:eastAsia="Times New Roman" w:hAnsi="Times New Roman"/>
          <w:sz w:val="18"/>
          <w:szCs w:val="18"/>
          <w:color w:val="auto"/>
        </w:rPr>
        <w:t xml:space="preserve">” means issue, create, assume, enter into any Guarantee of, incur, extend or otherwise become liable 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Indebtedness or Capital Stock of a Person existing at the time such Person becomes a Restricted Subsidiary (whether by merger, amalgamation, consolidation, acquisition or otherwise) will be deemed to be Incurred by such Restricted Subsidiary at the time it becomes a Restricted Subsidiary and the terms “Incurred” and “Incurrence” have meanings correlative to the foregoing and any Indebtedness pursuant to any revolving credit or similar facility shall only be “Incurred” at the time any funds are borrowed thereunder.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on any date of determination (without duplication):</w:t>
      </w:r>
    </w:p>
    <w:p>
      <w:pPr>
        <w:spacing w:after="0" w:line="225" w:lineRule="exact"/>
        <w:rPr>
          <w:sz w:val="20"/>
          <w:szCs w:val="20"/>
          <w:color w:val="auto"/>
        </w:rPr>
      </w:pPr>
    </w:p>
    <w:p>
      <w:pPr>
        <w:ind w:left="1560" w:hanging="256"/>
        <w:spacing w:after="0"/>
        <w:tabs>
          <w:tab w:leader="none" w:pos="1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Indebtedness of such Person for borrowed money;</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obligations of such Person evidenced by bonds, debentures, notes or other similar instruments;</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reimbursement obligations of such Person in respect of letters of credit, bankers’ acceptances or other similar instruments (the amount of such obligations being equal at any time to the aggregate then undrawn and unexpired amount of such letters of credit or other instruments plus the aggregate amount of drawings thereunder that have not been reimbursed) (except to the extent such reimbursement obligations relate to trade payables and such obligations are satisfied within 30 days of Incurrence);</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component of all obligations of such Person to pay the deferred and unpaid purchase price of property (except trade payables or similar obligations to trade creditors), which purchase price is due more than one year after the date of placing such property in service or taking final delivery and title thereto;</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Lease Obligations of such Person;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6" w:name="page37"/>
    <w:bookmarkEnd w:id="36"/>
    <w:p>
      <w:pPr>
        <w:ind w:right="20" w:firstLine="1304"/>
        <w:spacing w:after="0" w:line="282" w:lineRule="auto"/>
        <w:tabs>
          <w:tab w:leader="none" w:pos="156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component of all obligations, or liquidation preference, of such Person with respect to any Disqualified Stock or, with respect to any Restricted Subsidiary of such Person, any Preferred Stock (but excluding, in each case, any accrued dividends);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principal component of all Indebtedness of other Persons secured by a Lien on any asset of such Person, whether or not such Indebtedness is assumed by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amount of such Indebtedness will be the lesser of (a) the fair market value of such asset at such date of determination (as determined in good faith by the Company) and (b) the amount of such Indebtedness of such other Persons;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by such Person of the principal component of Indebtedness of the type referred to in clauses (1), (2), (3), (4), (5) and (9) of other Persons to the extent Guaranteed by such Person;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included in this definition, net obligations of such Person under Hedging Obligations (the amount of any such obligations to be equal at any time to the net payments under such agreement or arrangement giving rise to such obligation that would be payable by such Person at the termination of such agreement or arrangement);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clauses (1), (2), (4) and (5) above, if and to the extent that any of the foregoing Indebtedness (other than letters of credit and Hedging Obligations) would appear as a liability upon a balance sheet (excluding the footnotes thereto) of such Person prepared in accordance with GAAP.</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amount of Indebtedness of any Person at any time in the case of a revolving credit or similar facility shall be the total amount of funds borrowed and then outstanding. The amount of any Indebtedness outstanding as of any date shall be (a) the accreted value thereof in the case of any Indebtedness issued with original issue discount and (b) the principal amount of Indebtedness, or liquidation preference thereof, in the case of any other Indebtedness. Indebtedness shall be calculated without giving effect to the effects of Accounting Standards Codification Topic No. 815 and related interpretations to the extent such effects would otherwise increase or decrease an amount of Indebtedness for any purpose under this Indenture as a result of accounting for any embedded derivatives created by the terms of such Indebtedness.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above provisions, in no event shall the following constitute Indebtedness:</w:t>
      </w:r>
    </w:p>
    <w:p>
      <w:pPr>
        <w:spacing w:after="0" w:line="225" w:lineRule="exact"/>
        <w:rPr>
          <w:sz w:val="20"/>
          <w:szCs w:val="20"/>
          <w:color w:val="auto"/>
        </w:rPr>
      </w:pPr>
    </w:p>
    <w:p>
      <w:pPr>
        <w:ind w:left="1300" w:firstLine="1300"/>
        <w:spacing w:after="0" w:line="282" w:lineRule="auto"/>
        <w:tabs>
          <w:tab w:leader="none" w:pos="28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Incurred in the ordinary course of business or consistent with past practice, other than Guarantees or other assumptions of Indebtedness;</w:t>
      </w:r>
    </w:p>
    <w:p>
      <w:pPr>
        <w:spacing w:after="0" w:line="161" w:lineRule="exact"/>
        <w:rPr>
          <w:rFonts w:ascii="Times New Roman" w:cs="Times New Roman" w:eastAsia="Times New Roman" w:hAnsi="Times New Roman"/>
          <w:sz w:val="18"/>
          <w:szCs w:val="18"/>
          <w:color w:val="auto"/>
        </w:rPr>
      </w:pPr>
    </w:p>
    <w:p>
      <w:pPr>
        <w:ind w:left="2860" w:hanging="260"/>
        <w:spacing w:after="0"/>
        <w:tabs>
          <w:tab w:leader="none" w:pos="28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or in respect of Qualified Securitization Financings or Receivables Facilities;</w:t>
      </w:r>
    </w:p>
    <w:p>
      <w:pPr>
        <w:spacing w:after="0" w:line="225" w:lineRule="exact"/>
        <w:rPr>
          <w:rFonts w:ascii="Times New Roman" w:cs="Times New Roman" w:eastAsia="Times New Roman" w:hAnsi="Times New Roman"/>
          <w:sz w:val="18"/>
          <w:szCs w:val="18"/>
          <w:color w:val="auto"/>
        </w:rPr>
      </w:pPr>
    </w:p>
    <w:p>
      <w:pPr>
        <w:ind w:left="2920" w:hanging="320"/>
        <w:spacing w:after="0"/>
        <w:tabs>
          <w:tab w:leader="none" w:pos="29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Management Services;</w:t>
      </w:r>
    </w:p>
    <w:p>
      <w:pPr>
        <w:spacing w:after="0" w:line="225" w:lineRule="exact"/>
        <w:rPr>
          <w:rFonts w:ascii="Times New Roman" w:cs="Times New Roman" w:eastAsia="Times New Roman" w:hAnsi="Times New Roman"/>
          <w:sz w:val="18"/>
          <w:szCs w:val="18"/>
          <w:color w:val="auto"/>
        </w:rPr>
      </w:pPr>
    </w:p>
    <w:p>
      <w:pPr>
        <w:jc w:val="both"/>
        <w:ind w:left="1300" w:right="20" w:firstLine="1300"/>
        <w:spacing w:after="0" w:line="266" w:lineRule="auto"/>
        <w:tabs>
          <w:tab w:leader="none" w:pos="291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concession or license of property (or Guarantee thereof) which would be considered an operating lease under GAAP or any prepayments of deposits received from clients or customers in the ordinary course of business or consistent with past practice;</w:t>
      </w:r>
    </w:p>
    <w:p>
      <w:pPr>
        <w:spacing w:after="0" w:line="175" w:lineRule="exact"/>
        <w:rPr>
          <w:rFonts w:ascii="Times New Roman" w:cs="Times New Roman" w:eastAsia="Times New Roman" w:hAnsi="Times New Roman"/>
          <w:sz w:val="18"/>
          <w:szCs w:val="18"/>
          <w:color w:val="auto"/>
        </w:rPr>
      </w:pPr>
    </w:p>
    <w:p>
      <w:pPr>
        <w:ind w:left="1300" w:right="20" w:firstLine="1300"/>
        <w:spacing w:after="0" w:line="282" w:lineRule="auto"/>
        <w:tabs>
          <w:tab w:leader="none" w:pos="285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any license, permit or other approval (or Guarantees given in respect of such obligations) incurred prior to the Issue Date or in the ordinary course of business or consistent with past practice;</w:t>
      </w:r>
    </w:p>
    <w:p>
      <w:pPr>
        <w:spacing w:after="0" w:line="161" w:lineRule="exact"/>
        <w:rPr>
          <w:rFonts w:ascii="Times New Roman" w:cs="Times New Roman" w:eastAsia="Times New Roman" w:hAnsi="Times New Roman"/>
          <w:sz w:val="18"/>
          <w:szCs w:val="18"/>
          <w:color w:val="auto"/>
        </w:rPr>
      </w:pPr>
    </w:p>
    <w:p>
      <w:pPr>
        <w:jc w:val="both"/>
        <w:ind w:left="1300" w:firstLine="1300"/>
        <w:spacing w:after="0" w:line="258" w:lineRule="auto"/>
        <w:tabs>
          <w:tab w:leader="none" w:pos="291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purchase by the Company or any Restricted Subsidiary of any business, any post-closing payment adjustments to which the seller may become entitled to the extent such payment is determined by a final closing balance sheet or such payment depends on the performance of such business after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the time of closing, the amount of any such payment is not determinable and, to the extent such payment thereafter becomes fixed and determined, the amount is paid in a timely manner;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7" w:name="page38"/>
    <w:bookmarkEnd w:id="37"/>
    <w:p>
      <w:pPr>
        <w:jc w:val="both"/>
        <w:ind w:left="1300" w:firstLine="1300"/>
        <w:spacing w:after="0" w:line="266" w:lineRule="auto"/>
        <w:tabs>
          <w:tab w:leader="none" w:pos="298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any obligations in respect of workers’ compensation claims, early retirement or termination obligations, pension fund obligations or contributions or similar claims, obligations or contributions or social security or wage Taxes;</w:t>
      </w:r>
    </w:p>
    <w:p>
      <w:pPr>
        <w:spacing w:after="0" w:line="175" w:lineRule="exact"/>
        <w:rPr>
          <w:rFonts w:ascii="Times New Roman" w:cs="Times New Roman" w:eastAsia="Times New Roman" w:hAnsi="Times New Roman"/>
          <w:sz w:val="18"/>
          <w:szCs w:val="18"/>
          <w:color w:val="auto"/>
        </w:rPr>
      </w:pPr>
    </w:p>
    <w:p>
      <w:pPr>
        <w:ind w:left="1300" w:firstLine="1300"/>
        <w:spacing w:after="0" w:line="282" w:lineRule="auto"/>
        <w:tabs>
          <w:tab w:leader="none" w:pos="30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Parent Entity appearing on the balance sheet of the Company solely by reason of push down accounting under GAAP;</w:t>
      </w:r>
    </w:p>
    <w:p>
      <w:pPr>
        <w:spacing w:after="0" w:line="161" w:lineRule="exact"/>
        <w:rPr>
          <w:rFonts w:ascii="Times New Roman" w:cs="Times New Roman" w:eastAsia="Times New Roman" w:hAnsi="Times New Roman"/>
          <w:sz w:val="18"/>
          <w:szCs w:val="18"/>
          <w:color w:val="auto"/>
        </w:rPr>
      </w:pPr>
    </w:p>
    <w:p>
      <w:pPr>
        <w:ind w:left="2900" w:hanging="300"/>
        <w:spacing w:after="0"/>
        <w:tabs>
          <w:tab w:leader="none" w:pos="2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Stock (other than Disqualified Stock or, with respect to any Restricted Subsidiary, any Preferred Stock); or</w:t>
      </w:r>
    </w:p>
    <w:p>
      <w:pPr>
        <w:spacing w:after="0" w:line="225" w:lineRule="exact"/>
        <w:rPr>
          <w:rFonts w:ascii="Times New Roman" w:cs="Times New Roman" w:eastAsia="Times New Roman" w:hAnsi="Times New Roman"/>
          <w:sz w:val="18"/>
          <w:szCs w:val="18"/>
          <w:color w:val="auto"/>
        </w:rPr>
      </w:pPr>
    </w:p>
    <w:p>
      <w:pPr>
        <w:ind w:left="1300" w:firstLine="1300"/>
        <w:spacing w:after="0" w:line="282" w:lineRule="auto"/>
        <w:tabs>
          <w:tab w:leader="none" w:pos="285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owed to dissenting stockholders in connection with, or as a result of, their exercise of appraisal rights and the settlement of any claims or action (whether actual, contingent or potential) with respect thereto (including any accrued interest).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means this Indenture as amended or supplemented from time to time.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Financial Advisor</w:t>
      </w:r>
      <w:r>
        <w:rPr>
          <w:rFonts w:ascii="Times New Roman" w:cs="Times New Roman" w:eastAsia="Times New Roman" w:hAnsi="Times New Roman"/>
          <w:sz w:val="18"/>
          <w:szCs w:val="18"/>
          <w:color w:val="auto"/>
        </w:rPr>
        <w:t xml:space="preserve">” means an accounting, appraisal, investment banking firm or consultant to Persons engaged in Similar Businesses of nationally recognized standing;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firm or appraiser is not an Affiliate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Guarantors</w:t>
      </w:r>
      <w:r>
        <w:rPr>
          <w:rFonts w:ascii="Times New Roman" w:cs="Times New Roman" w:eastAsia="Times New Roman" w:hAnsi="Times New Roman"/>
          <w:sz w:val="18"/>
          <w:szCs w:val="18"/>
          <w:color w:val="auto"/>
        </w:rPr>
        <w:t>” means the entities listed on the signature pages hereof as “Guarantors.”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Notes</w:t>
      </w:r>
      <w:r>
        <w:rPr>
          <w:rFonts w:ascii="Times New Roman" w:cs="Times New Roman" w:eastAsia="Times New Roman" w:hAnsi="Times New Roman"/>
          <w:sz w:val="18"/>
          <w:szCs w:val="18"/>
          <w:color w:val="auto"/>
        </w:rPr>
        <w:t>” has the meaning ascribed to it in the recitals of this Indenture.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Intercompany License Agreement</w:t>
      </w:r>
      <w:r>
        <w:rPr>
          <w:rFonts w:ascii="Times New Roman" w:cs="Times New Roman" w:eastAsia="Times New Roman" w:hAnsi="Times New Roman"/>
          <w:sz w:val="18"/>
          <w:szCs w:val="18"/>
          <w:color w:val="auto"/>
        </w:rPr>
        <w:t>” means any cost sharing agreement, commission or royalty agreement, license or sublicense agreement, distribution agreement, services agreement, intellectual property rights transfer agreement, any related agreements or similar agreements, in each case where all parties to such agreement are one or more of the Company or a Restricted Subsidiary.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with respect to any Person, all investments by such Person in other Persons (including Affiliates) in the form of advances, loans or other extensions of credit (other than advances or extensions of credit to customers, suppliers, directors, officers or employees of any Person in the ordinary course of business or consistent with past practice, and excluding any debt or extension of credit represented by a bank deposit other than a time deposit) or capital contribution to (by means of any transfer of cash or other property to others or any payment for property or services for the account or use of others), or the Incurrence of a Guarantee of any obligation of, or any purchase or acquisition of Capital Stock, Indebtedness or other similar instruments issued by, such other Persons and all other items that are or would be classified as investments on a balance sheet prepared on the basis of GAAP; provided, however, that endorsements of negotiable instruments and documents in the ordinary course of business or consistent with past practice will not be deemed to be an Investment.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both"/>
        <w:ind w:firstLine="1304"/>
        <w:spacing w:after="0" w:line="256" w:lineRule="auto"/>
        <w:tabs>
          <w:tab w:leader="none" w:pos="1551"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will include the portion (proportionate to the Company’s equity interest in a Restricted Subsidiary to be designated as an Unrestricted Subsidiary) of the fair market value of the net assets of such Restricted Subsidiary of the Company at the time that such Restricted Subsidiary is designated an Unrestricted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upon a redesignation of such Subsidiary as a Restricted Subsidiary, the Company will be deemed to continue to have a permanent “Investment” in an Unrestricted Subsidiary in an amount (if positive) equal to (a) the Company’s “Investment” in such Subsidiary at the time of such redesignation less (b) the portion (proportionate to the Company’s equity interest in such Subsidiary) of the fair market value of the net assets (as determined by the Company) of such Subsidiary at the time that such Subsidiary is so re-designated a Restricted Subsidiary;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ind w:firstLine="1304"/>
        <w:spacing w:after="0" w:line="282" w:lineRule="auto"/>
        <w:tabs>
          <w:tab w:leader="none" w:pos="156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property transferred to or from an Unrestricted Subsidiary will be valued at its fair market value at the time of such transfer, in each case as determined in good faith by the Company;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Restricted Subsidiary issues, sells or otherwise disposes of Capital Stock of a Person that is a Restricted Subsidiary such that, after giving effect thereto, such Person is no longer a Restricted Subsidiary, any investment by the Company or any Restricted Subsidiary in such Person remaining after giving effect thereto shall not be deemed to be an Investment at such time.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 of any Investment outstanding at any time shall be the original cost of such Investment, reduced by any dividend, distribution, interest payment, return of capital, repayment or other amount received in cash and Cash Equivalents by the Company or a Restricted Subsidiary in respect of such Investment to the extent such amounts do not increase any other baskets under this Indenture.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w:t>
      </w:r>
      <w:r>
        <w:rPr>
          <w:rFonts w:ascii="Times New Roman" w:cs="Times New Roman" w:eastAsia="Times New Roman" w:hAnsi="Times New Roman"/>
          <w:sz w:val="18"/>
          <w:szCs w:val="18"/>
          <w:color w:val="auto"/>
        </w:rPr>
        <w:t>” means a rating equal to or higher than (1) “BBB-” (or the equivalent) in the case of S&amp;P, (2) “Baa3” (or the equivalent) in the case of Moody’s, (3) “BBB-” (or the equivalent) in the case of Fitch or (4) if no rating of S&amp;P, Moody’s or Fitch then exists, the equivalent of such rating by any other Nationally Recognized Statistical Ratings Organization.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 Securities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right="20" w:firstLine="1304"/>
        <w:spacing w:after="0" w:line="282" w:lineRule="auto"/>
        <w:tabs>
          <w:tab w:leader="none" w:pos="155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Guaranteed or insured by the United States, Canadian, Swiss or United Kingdom government or any agency or instrumentality thereof (other than Cash Equivalents);</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6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guaranteed or insured by a member of the European Union, or any agency or instrumentality thereof (other than Cash Equivalents);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or debt instruments with a rating of “A-” or higher from S&amp;P or “A3” or higher by Moody’s or the equivalent of such rating by such rating organization or, if no rating of Moody’s or S&amp;P then exists, the equivalent of such rating by any other Nationally Recognized Statistical Ratings Organization, but excluding any debt securities or instruments constituting loans or advances among the Company and its Subsidiaries; and</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any fund that invests exclusively in investments of the type described in clauses (1), (2) and (3) above which fund may also hold cash and Cash Equivalents pending investment or distribution.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 Status</w:t>
      </w:r>
      <w:r>
        <w:rPr>
          <w:rFonts w:ascii="Times New Roman" w:cs="Times New Roman" w:eastAsia="Times New Roman" w:hAnsi="Times New Roman"/>
          <w:sz w:val="18"/>
          <w:szCs w:val="18"/>
          <w:color w:val="auto"/>
        </w:rPr>
        <w:t>” shall occur when the Notes receive two of the following:</w:t>
      </w:r>
    </w:p>
    <w:p>
      <w:pPr>
        <w:spacing w:after="0" w:line="225" w:lineRule="exact"/>
        <w:rPr>
          <w:sz w:val="20"/>
          <w:szCs w:val="20"/>
          <w:color w:val="auto"/>
        </w:rPr>
      </w:pPr>
    </w:p>
    <w:p>
      <w:pPr>
        <w:ind w:left="1560" w:hanging="256"/>
        <w:spacing w:after="0"/>
        <w:tabs>
          <w:tab w:leader="none" w:pos="15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“BBB-” or higher from S&amp;P;</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“Baa3” or higher from Moody’s;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“BBB-” or higher from Fitch;</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or the equivalent of such rating by such rating organization or, if no rating of Moody’s, Fitch or S&amp;P then exists, the equivalent of such rating by any other Nationally Recognized Statistical Ratings Organization.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 Date</w:t>
      </w:r>
      <w:r>
        <w:rPr>
          <w:rFonts w:ascii="Times New Roman" w:cs="Times New Roman" w:eastAsia="Times New Roman" w:hAnsi="Times New Roman"/>
          <w:sz w:val="18"/>
          <w:szCs w:val="18"/>
          <w:color w:val="auto"/>
        </w:rPr>
        <w:t>” means September 12,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has the meaning assigned to it in the recitals of this Indenture.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pledge, security interest, encumbrance, lien, hypothecation or charge of any kind (including any conditional sale or other title retention agreement or lease in the nature thereof); provided, that in no event shall Non-Financing Lease Obligations be deemed to constitute a Lien.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Transaction</w:t>
      </w:r>
      <w:r>
        <w:rPr>
          <w:rFonts w:ascii="Times New Roman" w:cs="Times New Roman" w:eastAsia="Times New Roman" w:hAnsi="Times New Roman"/>
          <w:sz w:val="18"/>
          <w:szCs w:val="18"/>
          <w:color w:val="auto"/>
        </w:rPr>
        <w:t>” means (1) any Investment or acquisition (whether by merger, amalgamation, consolidation or other business combination or the acquisition of Capital Stock or otherwise and which may include, for the avoidance of doubt, a transaction that may constitute a Change of Control), whose consummation is not conditioned on the availability of, or on obtaining, third party financing, (2) any redemption, repurchase, defeasance, satisfaction and discharge or repayment of Indebtedness, Disqualified Stock or Preferred Stock requiring irrevocable notice in advance of such redemption, repurchase, defeasance, satisfaction and discharge or repayment, (3) any Restricted Payment requiring irrevocable notice in advance thereof; (4) any merger, consolidation, amalgamation, liquidation, dissolution or similar “fundamental change” transaction, in each case, whose consummation is not conditioned on the availability of, or on obtaining, third-party financing; and (5) any asset sale or a disposition excluded from the definition of “Asset Disposition.”</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Long Derivative Instrument</w:t>
      </w:r>
      <w:r>
        <w:rPr>
          <w:rFonts w:ascii="Times New Roman" w:cs="Times New Roman" w:eastAsia="Times New Roman" w:hAnsi="Times New Roman"/>
          <w:sz w:val="18"/>
          <w:szCs w:val="18"/>
          <w:color w:val="auto"/>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LTM EBITDA</w:t>
      </w:r>
      <w:r>
        <w:rPr>
          <w:rFonts w:ascii="Times New Roman" w:cs="Times New Roman" w:eastAsia="Times New Roman" w:hAnsi="Times New Roman"/>
          <w:sz w:val="18"/>
          <w:szCs w:val="18"/>
          <w:color w:val="auto"/>
        </w:rPr>
        <w:t>” means Consolidated EBITDA of the Company measured for the period of the most recent four consecutive fiscal quarters ending prior to the date of such determination for which consolidated financial statements of the Company are available (which may, at the Company’s election, be internal financial statements), in each case with such pro forma adjustments giving effect to such Indebtedness, acquisition or Investment, as applicable, since the start of such four quarter period and as are consistent with the pro forma adjustments set forth in the definition of “Fixed Charge Coverage Ratio.”</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Advances</w:t>
      </w:r>
      <w:r>
        <w:rPr>
          <w:rFonts w:ascii="Times New Roman" w:cs="Times New Roman" w:eastAsia="Times New Roman" w:hAnsi="Times New Roman"/>
          <w:sz w:val="18"/>
          <w:szCs w:val="18"/>
          <w:color w:val="auto"/>
        </w:rPr>
        <w:t>” means loans or advances made to, or Guarantees with respect to loans or advances made to, directors, officers, employees or consultants (or their respective Controlled Investment Affiliates or Immediate Family Members) of any Parent Entity, the Company or any Restricted Subsidiary:</w:t>
      </w:r>
    </w:p>
    <w:p>
      <w:pPr>
        <w:spacing w:after="0" w:line="176" w:lineRule="exact"/>
        <w:rPr>
          <w:sz w:val="20"/>
          <w:szCs w:val="20"/>
          <w:color w:val="auto"/>
        </w:rPr>
      </w:pPr>
    </w:p>
    <w:p>
      <w:pPr>
        <w:jc w:val="both"/>
        <w:ind w:firstLine="1304"/>
        <w:spacing w:after="0" w:line="261" w:lineRule="auto"/>
        <w:tabs>
          <w:tab w:leader="none" w:pos="158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respect of travel, entertainment, relocation or moving related expenses, payroll advances and other analogous or similar expenses or payroll expenses, in each case Incurred in the ordinary course of business or consistent with past practice or (b) for purposes of funding any such person’s purchase of Capital Stock (or similar obligations) of the Company, its Subsidiaries or any Parent Entity with (in the case of this sub-clause (b)) the approval of the Board of Directors;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relocation or moving related expenses, payroll advances and other analogous or similar expenses or payroll expenses, in each case Incurred in connection with any closing or consolidation of any facility or office; or</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exceeding $5.0 million in the aggregate outstanding at the time of Incurrence.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Market Capitalization</w:t>
      </w:r>
      <w:r>
        <w:rPr>
          <w:rFonts w:ascii="Times New Roman" w:cs="Times New Roman" w:eastAsia="Times New Roman" w:hAnsi="Times New Roman"/>
          <w:sz w:val="18"/>
          <w:szCs w:val="18"/>
          <w:color w:val="auto"/>
        </w:rPr>
        <w:t xml:space="preserve">” means an amount equal to (i) the total number of issued and outstanding shares of common Capital Stock of the Company or any Parent Entity on the date of the declaration of a Restricted Payment permitted pursuant to </w:t>
      </w:r>
      <w:r>
        <w:rPr>
          <w:rFonts w:ascii="Times New Roman" w:cs="Times New Roman" w:eastAsia="Times New Roman" w:hAnsi="Times New Roman"/>
          <w:sz w:val="18"/>
          <w:szCs w:val="18"/>
          <w:u w:val="single" w:color="auto"/>
          <w:color w:val="auto"/>
        </w:rPr>
        <w:t>Section 3.3(b)(10)</w:t>
      </w:r>
      <w:r>
        <w:rPr>
          <w:rFonts w:ascii="Times New Roman" w:cs="Times New Roman" w:eastAsia="Times New Roman" w:hAnsi="Times New Roman"/>
          <w:sz w:val="18"/>
          <w:szCs w:val="18"/>
          <w:color w:val="auto"/>
        </w:rPr>
        <w:t xml:space="preserve"> multiplied by (ii) the arithmetic mean of the closing prices per share of such common Capital Stock on the principal securities exchange on which such common Capital Stock are traded for the 30 consecutive trading days immediately preceding the date of declaration of such Restricted Payment.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Intellectual Property</w:t>
      </w:r>
      <w:r>
        <w:rPr>
          <w:rFonts w:ascii="Times New Roman" w:cs="Times New Roman" w:eastAsia="Times New Roman" w:hAnsi="Times New Roman"/>
          <w:sz w:val="18"/>
          <w:szCs w:val="18"/>
          <w:color w:val="auto"/>
        </w:rPr>
        <w:t>” means Intellectual Property that is material to the business of the Company and the Guarantors, taken as a whole, as determined by the Company in good faith.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or any of its successors or assigns that is a Nationally Recognized Statistical Rating Organization.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Nationally Recognized Statistical Rating Organization</w:t>
      </w:r>
      <w:r>
        <w:rPr>
          <w:rFonts w:ascii="Times New Roman" w:cs="Times New Roman" w:eastAsia="Times New Roman" w:hAnsi="Times New Roman"/>
          <w:sz w:val="18"/>
          <w:szCs w:val="18"/>
          <w:color w:val="auto"/>
        </w:rPr>
        <w:t>” means a nationally recognized statistical rating organization within the meaning of Rule 436 under the Securities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Available Cash</w:t>
      </w:r>
      <w:r>
        <w:rPr>
          <w:rFonts w:ascii="Times New Roman" w:cs="Times New Roman" w:eastAsia="Times New Roman" w:hAnsi="Times New Roman"/>
          <w:sz w:val="18"/>
          <w:szCs w:val="18"/>
          <w:color w:val="auto"/>
        </w:rPr>
        <w:t>” from an Asset Disposition means cash payments received (including any cash payments received by way of deferred payment of principal pursuant to a note or installment receivable or otherwise and net proceeds from the sale or other disposition of any securities or Designated Non-Cash Consideration received as consideration, but only as and when received, but excluding any other consideration received in the form of assumption by the acquiring person of Indebtedness or other obligations relating to the properties or assets that are the subject of such Asset Disposition or received in any other non-cash form) therefrom, in each case net of:</w:t>
      </w:r>
    </w:p>
    <w:p>
      <w:pPr>
        <w:spacing w:after="0" w:line="183" w:lineRule="exact"/>
        <w:rPr>
          <w:sz w:val="20"/>
          <w:szCs w:val="20"/>
          <w:color w:val="auto"/>
        </w:rPr>
      </w:pPr>
    </w:p>
    <w:p>
      <w:pPr>
        <w:jc w:val="both"/>
        <w:ind w:firstLine="1304"/>
        <w:spacing w:after="0" w:line="256" w:lineRule="auto"/>
        <w:tabs>
          <w:tab w:leader="none" w:pos="155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legal, accounting, investment banking, title and recording tax expenses, commissions and other fees and expenses Incurred, and all Taxes paid, reasonably estimated to be actually payable or accrued as a liability under GAAP (including, for the avoidance of doubt, any income, withholding and other Taxes payable as a result of the distribution of such proceeds to the Company or any of its Subsidiaries, transfer taxes, deed or mortgage recording taxes and Taxes that would be payable in connection with any deemed or actual repatriation of such proceeds and after taking into account any available tax credits or deductions and any tax sharing agreements), as a consequence of such Asset Disposition, including distributions for Related Taxes;</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57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made on any Indebtedness which is secured by any assets subject to such Asset Disposition, in accordance with the terms of any Lien upon such assets, or which by applicable law be repaid out of the proceeds from such Asset Disposition;</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distributions and other payments required to be made to minority interest holders (other than any Parent Entity, the Company or any of its respective Subsidiaries) in Subsidiaries or joint ventures as a result of such Asset Disposition;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deduction of appropriate amounts required to be provided by the seller as a reserve, on the basis of GAAP, against any liabilities associated with the assets disposed of in such Asset Disposition and retained by the Company or any Restricted Subsidiary after such Asset Disposition;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funded escrow established pursuant to the documents evidencing such sale or disposition to secure an indemnification obligation on adjustments to the purchase price associated with any such Asset Disposition; provided that the amount of any subsequent reduction of such escrow (other than in connection with a payment in respect of any such indemnification obligation) shall be deemed to be Net Available Cash of such Asset Disposition occurring on the date of the reduction solely to the extent an amount of cash is received equal to the amount of such reduction.</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Cash Proceeds</w:t>
      </w:r>
      <w:r>
        <w:rPr>
          <w:rFonts w:ascii="Times New Roman" w:cs="Times New Roman" w:eastAsia="Times New Roman" w:hAnsi="Times New Roman"/>
          <w:sz w:val="18"/>
          <w:szCs w:val="18"/>
          <w:color w:val="auto"/>
        </w:rPr>
        <w:t>,” with respect to any issuance or sale of Capital Stock, means the cash proceeds of such issuance or sale net of attorneys’ fees, accountants’ fees, underwriters’ or placement agents’ fees, listing fees, discounts or commissions and brokerage, consultant and other fees and charges actually Incurred in connection with such issuance or sale and net of Taxes paid or reasonably estimated to be actually payable as a result of such issuance or sale (including, for the avoidance of doubt, any income, withholding and other Taxes payable as a result of the distribution of such proceeds to the Company or any of its Subsidiaries, transfer taxes, deed or mortgage recording taxes and Taxes that would be payable in connection with any deemed or actual repatriation of such proceeds and after taking into account any available tax credit or deductions and any tax sharing agreements, and including distributions for Related Taxes).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Short</w:t>
      </w:r>
      <w:r>
        <w:rPr>
          <w:rFonts w:ascii="Times New Roman" w:cs="Times New Roman" w:eastAsia="Times New Roman" w:hAnsi="Times New Roman"/>
          <w:sz w:val="18"/>
          <w:szCs w:val="18"/>
          <w:color w:val="auto"/>
        </w:rPr>
        <w:t>” means, with respect to a Holder or beneficial owner, as of a date of determination, either (i) the value of its Short Derivative Instruments exceeds the sum of the (x) the value of its Notes plus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the Company or any Guarantor immediately prior to such date of determination.</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Revolving Credit Facility</w:t>
      </w:r>
      <w:r>
        <w:rPr>
          <w:rFonts w:ascii="Times New Roman" w:cs="Times New Roman" w:eastAsia="Times New Roman" w:hAnsi="Times New Roman"/>
          <w:sz w:val="18"/>
          <w:szCs w:val="18"/>
          <w:color w:val="auto"/>
        </w:rPr>
        <w:t>” means the new secured revolving credit facility expected to be entered into on or about the Issue Date, by and among the Company, the borrowers and guarantors from time to time party thereto, Fifth Third Bank, National Association, as lender and agent, together with the related documents thereto (including any Guarantees and security documents), as amended, extended, renewed, restated, refunded, replaced, refinanced, supplemented, modified or otherwise changed (in whole or in part, and without limitation as to amount, terms, conditions, covenants and other provisions) from time to time, and any one or more agreements (and related documents) governing Indebtedness, including indentures, incurred to refinance, substitute, supplement, replace or add to (including increasing the amount available for borrowing or adding or removing any Person as a borrower, issuer or guarantor thereunder, in whole or in part), the borrowings and commitments then outstanding or permitted to be outstanding under such New Revolving Credit Facility or one or more successors to the New Revolving Credit Facility or one or more new credit agreements.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1" w:name="page42"/>
    <w:bookmarkEnd w:id="41"/>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Non-Financing Lease Obligation</w:t>
      </w:r>
      <w:r>
        <w:rPr>
          <w:rFonts w:ascii="Times New Roman" w:cs="Times New Roman" w:eastAsia="Times New Roman" w:hAnsi="Times New Roman"/>
          <w:sz w:val="18"/>
          <w:szCs w:val="18"/>
          <w:color w:val="auto"/>
        </w:rPr>
        <w:t>” means a lease obligation that is not required to be accounted for as a financing or capital lease in accordance with GAAP. For the avoidance of doubt, an operating lease shall be considered a Non-Financing Lease Obligation.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Non-Guarantor Subsidiary</w:t>
      </w:r>
      <w:r>
        <w:rPr>
          <w:rFonts w:ascii="Times New Roman" w:cs="Times New Roman" w:eastAsia="Times New Roman" w:hAnsi="Times New Roman"/>
          <w:sz w:val="18"/>
          <w:szCs w:val="18"/>
          <w:color w:val="auto"/>
        </w:rPr>
        <w:t>” means any Restricted Subsidiary of the Company that is not a Guarantor.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Person</w:t>
      </w:r>
      <w:r>
        <w:rPr>
          <w:rFonts w:ascii="Times New Roman" w:cs="Times New Roman" w:eastAsia="Times New Roman" w:hAnsi="Times New Roman"/>
          <w:sz w:val="18"/>
          <w:szCs w:val="18"/>
          <w:color w:val="auto"/>
        </w:rPr>
        <w:t>” means a Person who is not a U.S. Person (as defined in Regulation 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Documents</w:t>
      </w:r>
      <w:r>
        <w:rPr>
          <w:rFonts w:ascii="Times New Roman" w:cs="Times New Roman" w:eastAsia="Times New Roman" w:hAnsi="Times New Roman"/>
          <w:sz w:val="18"/>
          <w:szCs w:val="18"/>
          <w:color w:val="auto"/>
        </w:rPr>
        <w:t>” means the Notes (including Additional Notes), the Note Guarantees and this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Guarantees</w:t>
      </w:r>
      <w:r>
        <w:rPr>
          <w:rFonts w:ascii="Times New Roman" w:cs="Times New Roman" w:eastAsia="Times New Roman" w:hAnsi="Times New Roman"/>
          <w:sz w:val="18"/>
          <w:szCs w:val="18"/>
          <w:color w:val="auto"/>
        </w:rPr>
        <w:t>” means the Guarantees of the Notes by the Guarantors.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has the meaning ascribed to it in the recitals of this Indenture.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 Custodian</w:t>
      </w:r>
      <w:r>
        <w:rPr>
          <w:rFonts w:ascii="Times New Roman" w:cs="Times New Roman" w:eastAsia="Times New Roman" w:hAnsi="Times New Roman"/>
          <w:sz w:val="18"/>
          <w:szCs w:val="18"/>
          <w:color w:val="auto"/>
        </w:rPr>
        <w:t>” means the custodian with respect to the Global Notes (as appointed by DTC) or any successor Person thereto, and shall initially be the Trustee.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any principal, interest (including interest accruing on or after the filing of any petition in bankruptcy or for reorganization relating to the Company or any Guarantor whether or not a claim for Post-Petition Interest is allowed in such proceedings), penalties, fees, indemnifications, reimbursements (including, without limitation, reimbursement obligations with respect to letters of credit and bankers’ acceptances), damages and other liabilities payable under the documentation governing any Indebtedness.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Memorandum</w:t>
      </w:r>
      <w:r>
        <w:rPr>
          <w:rFonts w:ascii="Times New Roman" w:cs="Times New Roman" w:eastAsia="Times New Roman" w:hAnsi="Times New Roman"/>
          <w:sz w:val="18"/>
          <w:szCs w:val="18"/>
          <w:color w:val="auto"/>
        </w:rPr>
        <w:t>” means the final offering memorandum dated September 8, 2025, relating to the offering by the Issuer of $250.0 million principal amount of its Initial Notes.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with respect to any Person, (1) the Chairman of the Board of Directors, the Chief Executive Officer, the President, the Chief Financial Officer, any Executive Vice President, any Vice President (whether or not designated by a number or numbers or a word or words added before or after the title “Vice President”), the Treasurer, any Assistant Treasurer, any Managing Director, or the Secretary or any Assistant Secretary (a) of such Person or (b) if such Person is owned or managed by a single entity, of such entity, or (2) any other individual designated as an “Officer” for the purposes of this Indenture by the Board of Directors of such Person.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with respect to any Person, a certificate signed by one Officer of such Person.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means a written opinion from legal counsel who is reasonably satisfactory to the Trustee. The counsel may be an employee of or counsel to the Company or its Subsidiaries.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Entity</w:t>
      </w:r>
      <w:r>
        <w:rPr>
          <w:rFonts w:ascii="Times New Roman" w:cs="Times New Roman" w:eastAsia="Times New Roman" w:hAnsi="Times New Roman"/>
          <w:sz w:val="18"/>
          <w:szCs w:val="18"/>
          <w:color w:val="auto"/>
        </w:rPr>
        <w:t>” means any Person of which the Company becomes a Wholly Owned Subsidiary for so long as the Company is a Wholly Owned Subsidiary of such Person.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Entity Expenses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1304"/>
        <w:spacing w:after="0" w:line="258" w:lineRule="auto"/>
        <w:tabs>
          <w:tab w:leader="none" w:pos="1563"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(including all professional fees and expenses) Incurred by any Parent Entity in connection with reporting obligations under or otherwise Incurred in connection with compliance with applicable laws, rules or regulations of any governmental, regulatory or self-regulatory body or stock exchange, this Indenture or any other agreement or instrument relating to the Notes, the Note Guarantees or any other Indebtedness of the Company or any Restricted Subsidiary, including in respect of any reports filed or delivered with respect to the Securities Act, Exchange Act or the respective rules and regulations promulgated thereunder;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2" w:name="page43"/>
    <w:bookmarkEnd w:id="42"/>
    <w:p>
      <w:pPr>
        <w:jc w:val="both"/>
        <w:ind w:firstLine="1304"/>
        <w:spacing w:after="0" w:line="266" w:lineRule="auto"/>
        <w:tabs>
          <w:tab w:leader="none" w:pos="155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salary, bonus, severance, indemnity, insurance (including premiums therefor) and other benefits payable to any employee, director, officer, manager, contractor, consultant or advisor of any Parent Entity or other Persons under its articles, charter, by-laws, partnership agreement or other organizational documents or pursuant to written agreements with any such Person to the extent relating to the Company and its Subsidiaries;</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any Parent Entity in respect of director and officer insurance (including premiums therefor) to the extent relating to the Company and its Subsidiaries;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general corporate operating and overhead fees, costs and expenses, (including all legal, accounting and other professional fees, costs and expenses) and, following the first public offering of the Company’s Capital Stock or the Capital Stock of any Parent Entity, listing fees and other costs and expenses attributable to being a publicly traded company of any Parent Entity and (y) other operational expenses of any Parent Entity related to the ownership or operation of the business of the Company or any of its Restricted Subsidiaries;</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by any Parent Entity in connection with (i) any offering, sale, conversion or exchange of Capital Stock or Indebtedness (whether or not successful) and (ii) any related compensation paid to employees, directors, officers, managers, contractors, consultants or advisors (or their respective Controlled Investment Affiliates or Immediate Family Members) of such Parent Entity;</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pursuant to any management services or similar agreements or the management services provisions in an investor rights agreement or other equityholders’ agreement in effect on the Issue Date (including any amendment thereto or replacement thereof so long as any such amendment or replacement is not materially disadvantageous in the reasonable determination of the Company to the Holders when taken as a whole, as compared to the management services or similar agreements as in effect immediately prior to such amendment or replacement), solely to the extent such amounts are not paid directly by the Company or its Subsidiaries; and</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8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to finance Investments that would otherwise be permitted to be made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hereof if made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Restricted Payment shall be made substantially concurrently with the closing of such Investment, (B) such Parent Entity shall, immediately following the closing thereof, cause (1) all property acquired (whether assets or Capital Stock) to be contributed to the capital of the Company or one of its Restricted Subsidiaries or (2) the merger, consolidation or amalgamation of the Person formed or acquired into the Company or one of its Restricted Subsidiaries (to the extent not prohibited by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hereof) in order to consummate such Investment, (C) such Parent Entity and its Affiliates (other than the Company or a Restricted Subsidiary) receives no consideration or other payment in connection with such transaction except to the extent the Company or a Restricted Subsidiary could have given such consideration or made such payment in compliance with this Indenture and such consideration or other payment is included as a Restricted Payment under this Indenture, (D) any property received by the Company shall not increase amounts available for Restricted Payments pursuant to </w:t>
      </w:r>
      <w:r>
        <w:rPr>
          <w:rFonts w:ascii="Times New Roman" w:cs="Times New Roman" w:eastAsia="Times New Roman" w:hAnsi="Times New Roman"/>
          <w:sz w:val="18"/>
          <w:szCs w:val="18"/>
          <w:u w:val="single" w:color="auto"/>
          <w:color w:val="auto"/>
        </w:rPr>
        <w:t>Section 3.3(a)(4)(iii)</w:t>
      </w:r>
      <w:r>
        <w:rPr>
          <w:rFonts w:ascii="Times New Roman" w:cs="Times New Roman" w:eastAsia="Times New Roman" w:hAnsi="Times New Roman"/>
          <w:sz w:val="18"/>
          <w:szCs w:val="18"/>
          <w:color w:val="auto"/>
        </w:rPr>
        <w:t xml:space="preserve"> and (E) such Investment shall be deemed to be made by the Company or such Restricted Subsidiary pursuant to another provision of this covenant or pursuant to the definition of “Permitted Investment.”</w:t>
      </w:r>
    </w:p>
    <w:p>
      <w:pPr>
        <w:spacing w:after="0" w:line="19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Pari Passu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Indebtedness of the Company which ranks equally in right of payment to the Notes or of any Guarantor if such Indebtedness ranks equally in right of payment to the Note Guarantees.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means any Person authorized by the Company to pay the principal of (and premium, if any) or interest on any Note on behalf of the Company.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Asset Swap</w:t>
      </w:r>
      <w:r>
        <w:rPr>
          <w:rFonts w:ascii="Times New Roman" w:cs="Times New Roman" w:eastAsia="Times New Roman" w:hAnsi="Times New Roman"/>
          <w:sz w:val="18"/>
          <w:szCs w:val="18"/>
          <w:color w:val="auto"/>
        </w:rPr>
        <w:t xml:space="preserve">” means the concurrent purchase and sale or exchange of assets used or useful in a Similar Business or a combination of such assets and cash, Cash Equivalents between the Company or any of its Restricted Subsidiaries and another Person;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cash or Cash Equivalents received in excess of the value of any cash or Cash Equivalents sold or exchanged must be applied in accordance with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collectively any Person or group whose acquisition of beneficial ownership constitutes a Change of Control in respect of which a Change of Control will thereafter, together with its Affiliates, constitute an additional Permitted Holder; provided that if a Change of Control Triggering Event Offer is required in connection with such Change of Control, a Change of Control Triggering Event Offer shall have been made in accordance with the requirements of this Indenture.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Intercompany Activities</w:t>
      </w:r>
      <w:r>
        <w:rPr>
          <w:rFonts w:ascii="Times New Roman" w:cs="Times New Roman" w:eastAsia="Times New Roman" w:hAnsi="Times New Roman"/>
          <w:sz w:val="18"/>
          <w:szCs w:val="18"/>
          <w:color w:val="auto"/>
        </w:rPr>
        <w:t>” means any transactions between or among the Company and its Restricted Subsidiaries that are entered into in the ordinary course of business or consistent with past practice of the Company and its Restricted Subsidiaries and, in the reasonable determination of the Company are necessary or advisable in connection with the ownership or operation of the business of the Company and its Restricted Subsidiaries, including (i) payroll, cash management, purchasing, insurance and hedging arrangements; (ii) management, technology and licensing arrangements; and (iii) customary loyalty and rewards programs.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w:t>
      </w:r>
      <w:r>
        <w:rPr>
          <w:rFonts w:ascii="Times New Roman" w:cs="Times New Roman" w:eastAsia="Times New Roman" w:hAnsi="Times New Roman"/>
          <w:sz w:val="18"/>
          <w:szCs w:val="18"/>
          <w:color w:val="auto"/>
        </w:rPr>
        <w:t>” means (in each case, by the Company or any of its Restricted Subsidiaries):</w:t>
      </w:r>
    </w:p>
    <w:p>
      <w:pPr>
        <w:spacing w:after="0" w:line="225" w:lineRule="exact"/>
        <w:rPr>
          <w:sz w:val="20"/>
          <w:szCs w:val="20"/>
          <w:color w:val="auto"/>
        </w:rPr>
      </w:pPr>
    </w:p>
    <w:p>
      <w:pPr>
        <w:jc w:val="both"/>
        <w:ind w:firstLine="1304"/>
        <w:spacing w:after="0" w:line="266" w:lineRule="auto"/>
        <w:tabs>
          <w:tab w:leader="none" w:pos="155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 a Restricted Subsidiary (including the Capital Stock of, or guarantees of obligations of, a Restricted Subsidiary) or the Company or (b) a Person (including the Capital Stock of any such Person) that will, upon the making of such Investment, become a Restricted Subsidiary;</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another Person if such Person is engaged, directly or through entities that will be Restricted Subsidiaries, in any Similar Business and as a result of such Investment such other Person, in one transaction or a series of transactions, is merged, amalgamated, consolidated or otherwise combined with or into, or transfers or conveys all or substantially all its assets (or such division, business unit, product line or business) to, or is liquidated into, the Company or a Restricted Subsidiary, and any Investment held by such Person;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Investment was not acquired by such Person in contemplation of such acquisition, merger, amalgamation, consolidation, combination, transfer or conveyance;</w:t>
      </w:r>
    </w:p>
    <w:p>
      <w:pPr>
        <w:spacing w:after="0" w:line="183"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cash, Cash Equivalents or Investment Grade Securities;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receivables owing to the Company or any Restricted Subsidiary created or acquired in the ordinary course of business or consistent with past practice;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payroll, travel and similar advances to cover matters that are expected at the time of such advances ultimately to be treated as expenses for accounting purposes and that are made in the ordinary course of business or consistent with past practice;</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Advances;</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received in settlement, compromise or resolution of debts created in the ordinary course of business or consistent with past practice and owing to the Company or any Restricted Subsidiary or in exchange for any other Investment or accounts receivable, endorsements for collection or deposit held by the Company or any such Restricted Subsidiary, or as a result of foreclosure, perfection or enforcement of any Lien, or in satisfaction of judgments or pursuant to any plan of reorganization or similar arrangement including upon the bankruptcy or insolvency of a debtor or litigation, arbitration or other disputes or otherwise with respect to any secured Investment or other transfer of title with respect to any secured Investment in default;</w:t>
      </w:r>
    </w:p>
    <w:p>
      <w:pPr>
        <w:spacing w:after="0" w:line="187" w:lineRule="exact"/>
        <w:rPr>
          <w:rFonts w:ascii="Times New Roman" w:cs="Times New Roman" w:eastAsia="Times New Roman" w:hAnsi="Times New Roman"/>
          <w:sz w:val="18"/>
          <w:szCs w:val="18"/>
          <w:color w:val="auto"/>
        </w:rPr>
      </w:pPr>
    </w:p>
    <w:p>
      <w:pPr>
        <w:ind w:right="20" w:firstLine="1304"/>
        <w:spacing w:after="0" w:line="282" w:lineRule="auto"/>
        <w:tabs>
          <w:tab w:leader="none" w:pos="156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as a result of the receipt of promissory notes or other non-cash consideration (including earn-outs) from a sale or other disposition of property or assets, including an Asset Disposition;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both"/>
        <w:ind w:firstLine="1304"/>
        <w:spacing w:after="0" w:line="256" w:lineRule="auto"/>
        <w:tabs>
          <w:tab w:leader="none" w:pos="16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existing or pursuant to binding commitments, agreements or arrangements in effect on the Issue Date and any modification, replacement, renewal, reinvestment or extension thereof;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amount of any such Investment may not be increased except (i) as required by the terms of such Investment or binding commitment as in existence on the Issue Date (including in respect of any unused commitment), plus any accrued but unpaid interest (including any accretion of interest, original issue discount or the issuance of pay-in-kind securities) and premium payable by the terms of such Indebtedness thereon and fees and expenses associated therewith as of the Issue Date or (ii) as otherwise permitted under this Indenture;</w:t>
      </w:r>
    </w:p>
    <w:p>
      <w:pPr>
        <w:spacing w:after="0" w:line="187"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Hedging Obligations, which transactions or obligations are Incurred in compliance with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hereof;</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64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pledges or deposits with respect to leases or utilities provided to third parties in the ordinary course of business or Liens otherwise described in the definition of “Permitted Liens” or made in connection with Liens permitted under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xml:space="preserve"> hereof;</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6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to the extent made using Capital Stock of the Company (other than Disqualified Stock) or Capital Stock of any Parent Entity as consideration;</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66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transaction to the extent constituting an Investment that is permitted by and made in accordance with </w:t>
      </w: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 xml:space="preserve"> hereof (except those described in clauses (1), (6), (7), (8), (9), (14), (24) and (25) of </w:t>
      </w:r>
      <w:r>
        <w:rPr>
          <w:rFonts w:ascii="Times New Roman" w:cs="Times New Roman" w:eastAsia="Times New Roman" w:hAnsi="Times New Roman"/>
          <w:sz w:val="18"/>
          <w:szCs w:val="18"/>
          <w:u w:val="single" w:color="auto"/>
          <w:color w:val="auto"/>
        </w:rPr>
        <w:t>Section 3.8(b)</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5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(i) purchases or other acquisitions of inventory, supplies, materials, equipment and similar assets or (ii) licenses, sublicenses, cross-licenses, leases, subleases, assignments, contributions or other Investments of intellectual property or other intangibles or services in the ordinary course of business pursuant to any joint development, joint venture or marketing arrangements with other Persons or any Intercompany License Agreement and any other Investments made in connection therewith;</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7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Guarantees of Indebtedness not prohibited by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hereof and (other than with respect to Indebtedness) guarantees, keepwells and similar arrangements in the ordinary course of business, and (ii) performance guarantees with respect to obligations that are not prohibited by this Indenture;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6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earnest money deposits required in connection with a purchase agreement, or letter of intent, or other acquisitions to the extent not otherwise prohibited by this Indenture;</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5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a Restricted Subsidiary acquired after the Issue Date or of an entity merged or amalgamated into the Company or merged or amalgamated into or consolidated with a Restricted Subsidiary after the Issue Date to the extent that such Investments were not made in contemplation of or in connection with such acquisition, merger, amalgamation or consolidation and were in existence on the date of such acquisition, merger, amalgamation or consolidation;</w:t>
      </w:r>
    </w:p>
    <w:p>
      <w:pPr>
        <w:spacing w:after="0" w:line="179"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67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or consistent with past practice consisting of licensing of intellectual property pursuant to joint marketing arrangements with other Persons;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6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to a “rabbi” trust for the benefit of employees or other grantor trust subject to claims of creditors in the case of a bankruptcy of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5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joint ventures and similar entities and Unrestricted Subsidiaries having an aggregate fair market value, when taken together with all other Investments made pursuant to this clause that are at the time outstanding, not to exceed the greater of $25.0 million and 50.0% of LTM EBITDA at the time of such Investment (with the fair market value of each Investment being measured at the time made and without giving effect to subsequent changes in value), plus the amount of any returns (including dividends, payments, interest, distributions, returns of principal, profits on sale, repayments, income and similar amounts) in respect of such Investments received by the Company or a Restricted Subsidiary (without duplication for purposes of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any amounts applied pursuant to </w:t>
      </w:r>
      <w:r>
        <w:rPr>
          <w:rFonts w:ascii="Times New Roman" w:cs="Times New Roman" w:eastAsia="Times New Roman" w:hAnsi="Times New Roman"/>
          <w:sz w:val="18"/>
          <w:szCs w:val="18"/>
          <w:u w:val="single" w:color="auto"/>
          <w:color w:val="auto"/>
        </w:rPr>
        <w:t>Section 3.3(a)(4)(iii))</w:t>
      </w:r>
      <w:r>
        <w:rPr>
          <w:rFonts w:ascii="Times New Roman" w:cs="Times New Roman" w:eastAsia="Times New Roman" w:hAnsi="Times New Roman"/>
          <w:sz w:val="18"/>
          <w:szCs w:val="18"/>
          <w:color w:val="auto"/>
        </w:rPr>
        <w:t xml:space="preserve"> with the fair market value of each Investment being measured at the time made and without giving effect to subsequent changes in value;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if any Investment pursuant to this clause is made in any Person that is not the Company or a Restricted Subsidiary at the date of the making of such Investment and such Person becomes the Company or a Restricted Subsidiary after such date, such Investment shall thereafter be deemed to have been made pursuant to clause (1) or (2) above and shall cease to have been made pursuant to this clause;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ind w:left="1660" w:hanging="356"/>
        <w:spacing w:after="0"/>
        <w:tabs>
          <w:tab w:leader="none" w:pos="1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Investments having an aggregate fair market value, taken together with all other Investments made pursuant to this clause</w:t>
      </w:r>
    </w:p>
    <w:p>
      <w:pPr>
        <w:spacing w:after="0" w:line="27" w:lineRule="exact"/>
        <w:rPr>
          <w:rFonts w:ascii="Times New Roman" w:cs="Times New Roman" w:eastAsia="Times New Roman" w:hAnsi="Times New Roman"/>
          <w:sz w:val="18"/>
          <w:szCs w:val="18"/>
          <w:color w:val="auto"/>
        </w:rPr>
      </w:pPr>
    </w:p>
    <w:p>
      <w:pPr>
        <w:jc w:val="both"/>
        <w:ind w:firstLine="8"/>
        <w:spacing w:after="0" w:line="251" w:lineRule="auto"/>
        <w:tabs>
          <w:tab w:leader="none" w:pos="3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are at that time outstanding, not to exceed the greater of $37.5 million and 75.0% of LTM EBITDA (with the fair market value of each Investment being measured at the time made and without giving effect to subsequent changes in value), plus the amount of any returns (including dividends, payments, interest, distributions, returns of principal, profits on sale, repayments, income and similar amounts) in respect of such Investments (without duplication for purposes of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of any amounts applied pursuant to </w:t>
      </w:r>
      <w:r>
        <w:rPr>
          <w:rFonts w:ascii="Times New Roman" w:cs="Times New Roman" w:eastAsia="Times New Roman" w:hAnsi="Times New Roman"/>
          <w:sz w:val="18"/>
          <w:szCs w:val="18"/>
          <w:u w:val="single" w:color="auto"/>
          <w:color w:val="auto"/>
        </w:rPr>
        <w:t>Section 3.3(a)(4)(iii)</w:t>
      </w:r>
      <w:r>
        <w:rPr>
          <w:rFonts w:ascii="Times New Roman" w:cs="Times New Roman" w:eastAsia="Times New Roman" w:hAnsi="Times New Roman"/>
          <w:sz w:val="18"/>
          <w:szCs w:val="18"/>
          <w:color w:val="auto"/>
        </w:rPr>
        <w:t xml:space="preserve"> with the fair market value of each Investment being measured at the time made and without giving effect to subsequent changes in value;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any Investment pursuant to this clause is made in any Person that is not the Company or a Restricted Subsidiary at the date of the making of such Investment and such Person becomes the Company or a Restricted Subsidiary after such date, such Investment shall thereafter be deemed to have been made pursuant to clause (1) or (2) above and shall cease to have been made pursuant to this clause;</w:t>
      </w:r>
    </w:p>
    <w:p>
      <w:pPr>
        <w:spacing w:after="0" w:line="193"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71"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arising in connection with a Qualified Securitization Financing or Receivables Facility and (ii) distributions or payments of Securitization Fees and purchases of Securitization Assets or Receivables Assets in connection with a Qualified Securitization Financing or Receivables Facility;</w:t>
      </w:r>
    </w:p>
    <w:p>
      <w:pPr>
        <w:spacing w:after="0" w:line="17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Notes;</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648"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by an Unrestricted Subsidiary entered into prior to the day such Unrestricted Subsidiary is redesignated as a Restricted Subsidiary as described under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67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guaranty and indemnification obligations arising in connection with surety bonds issued in the ordinary course of business or consistent with past practice;</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5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 consisting of purchases and acquisitions of assets or services in the ordinary course of business or consistent with past practice, (b) made in the ordinary course of business or consistent with past practice in connection with obtaining, maintaining or renewing client, franchisee and customer contracts and loans or (c) consisting of advances, loans, extensions of credit (including the creation of receivables) or prepayments made to, and guarantees with respect to obligations of, franchisees, distributors, suppliers, lessors, licensors and licensees in the ordinary course of business or consistent with past practice;</w:t>
      </w:r>
    </w:p>
    <w:p>
      <w:pPr>
        <w:spacing w:after="0" w:line="183" w:lineRule="exact"/>
        <w:rPr>
          <w:rFonts w:ascii="Times New Roman" w:cs="Times New Roman" w:eastAsia="Times New Roman" w:hAnsi="Times New Roman"/>
          <w:sz w:val="18"/>
          <w:szCs w:val="18"/>
          <w:color w:val="auto"/>
        </w:rPr>
      </w:pPr>
    </w:p>
    <w:p>
      <w:pPr>
        <w:jc w:val="both"/>
        <w:ind w:firstLine="1304"/>
        <w:spacing w:after="0" w:line="282" w:lineRule="auto"/>
        <w:tabs>
          <w:tab w:leader="none" w:pos="170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prepaid expenses, negotiable instruments held for collection and lease, utility and workers compensation, performance and similar deposits entered into as a result of the operations of the business in the ordinary course of business or consistent with past practice;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4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UCC Article 3 endorsements for collection or deposit and Article 4 trade arrangements with customers (or any comparable or similar provisions in other applicable jurisdictions) in the ordinary course of business or consistent with past practices;</w:t>
      </w:r>
    </w:p>
    <w:p>
      <w:pPr>
        <w:spacing w:after="0" w:line="161"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65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Investments in connection with tax planning and reorganization activities, and Investments in connection with Permitted Intercompany Activities, Permitted Tax Restructuring and related transactions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ind w:firstLine="1304"/>
        <w:spacing w:after="0" w:line="282" w:lineRule="auto"/>
        <w:tabs>
          <w:tab w:leader="none" w:pos="164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from casualty insurance proceeds in connection with the replacement, substitution, restoration or repair of assets on account of a Casualty Event.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with respect to any Person:</w:t>
      </w:r>
    </w:p>
    <w:p>
      <w:pPr>
        <w:spacing w:after="0" w:line="225" w:lineRule="exact"/>
        <w:rPr>
          <w:sz w:val="20"/>
          <w:szCs w:val="20"/>
          <w:color w:val="auto"/>
        </w:rPr>
      </w:pPr>
    </w:p>
    <w:p>
      <w:pPr>
        <w:ind w:firstLine="1304"/>
        <w:spacing w:after="0" w:line="282" w:lineRule="auto"/>
        <w:tabs>
          <w:tab w:leader="none" w:pos="1571"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or property of a Restricted Subsidiary that is not a Guarantor securing Indebtedness and other Obligations of any Restricted Subsidiary that is not a Guarantor;</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8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deposits or Liens (a) in connection with workmen’s compensation laws, payroll Taxes, unemployment insurance laws, employers’ health Tax and other social security laws or similar legislation or other insurance related obligations (including in respect of deductibles, self-insured retention amounts and premiums and adjustments thereto), (b) securing liability, reimbursement or indemnification obligations of (including obligations in respect of letters of credit or bank guarantees or similar instruments) for the benefit of insurance carriers under insurance or self-insurance arrangements or otherwise supporting the payments of items set forth in the foregoing clause (a), or (c) in connection with bids, tenders, completion guarantees, contracts, leases, utilities, licenses, public or statutory obligations, or to secure the performance of bids, trade contracts, government contracts and leases, statutory obligations, surety, stay, indemnity, warranty, release, judgment, customs, appeal, performance bonds, guarantees of government contracts, return of money bonds, bankers’ acceptance facilities and obligations of a similar nature (including those to secure health, safety and environmental obligations), and obligations in respect of letters of credit, bank guarantees or similar instruments that have been posted to support the same, or as security for contested Taxes or import or customs duties or for the payment of rent, or other obligations of like nature, in each case incurred in the ordinary course of business or consistent with past practice;</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2"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with respect to outstanding motor vehicle fines and Liens imposed by law or regulation, including carriers’, warehousemen’s, mechanics’, landlords’, suppliers’, materialmen’s, repairmen’s, architects’, construction contractors’ or other similar Liens, in each case for amounts not overdue for a period of more than 60 days or, if more than 60 days overdue, are unfiled and no other action has been taken to enforce such Liens or that are being contested in good faith by appropriate proceedings;</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for Taxes (i) that are not overdue for a period of more than 60 days or not yet payable or subject to penalties for nonpayment or that are being contested in good faith by appropriate proceedings;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appropriate reserves required pursuant to GAAP (or other applicable accounting principles) have been made in respect thereof, (ii) that would not reasonably be expected to have a material adverse effect or (iii) for property Taxes on property of the Company or one of its Subsidiaries that the Company (or the applicable Subsidiary) has determined to abandon if the sole recourse for such Tax is to such property;</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charges, ground leases, easements (including reciprocal easement agreements), survey exceptions, restrictions, encroachments, protrusions, by-law, regulation, zoning restrictions or reservations of, or rights of others for, licenses, rights of way, servitudes, sewers, electric lines, drains, telegraph, telephone and cable television lines and other similar purposes, or zoning, building codes or other restrictions (including minor defects and irregularities in title and similar encumbrances) as to the use of real properties, exceptions on title policies insuring Liens granted on any mortgaged properties or any other collateral or Liens incidental to the conduct of the business of such Person or to the ownership of its properties, including servicing agreements, development agreements, site plan agreements, subdivision agreements, facilities sharing agreements, cost sharing agreements and other similar agreements, charges or encumbrances, which do not in the aggregate materially interfere with the ordinary course conduct of the business of the Company and its Restricted Subsidiaries, taken as a whole;</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3"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 securing Hedging Obligations, Cash Management Obligations and the costs thereof; (b) that are rights of set-off, rights of pledge or other bankers’ Liens (i) relating to treasury, depository and cash management services or any automated clearing house transfers of funds in the ordinary course of business or consistent with past practice, (ii) relating to pooled deposit or sweep accounts to permit satisfaction of overdraft or similar obligations incurred in the ordinary course of business of the Company or any Subsidiary or consistent with past practice or (iii) relating to purchase orders and other agreements entered into with customers of the Company or any Restricted Subsidiary in the ordinary course of business or consistent with past practice; (c) on cash accounts securing Indebtedness and other Obligations permitted to be incurred under Section 3.2(b)(8)(e) with financial institutions;</w:t>
      </w:r>
    </w:p>
    <w:p>
      <w:pPr>
        <w:spacing w:after="0" w:line="5" w:lineRule="exact"/>
        <w:rPr>
          <w:rFonts w:ascii="Times New Roman" w:cs="Times New Roman" w:eastAsia="Times New Roman" w:hAnsi="Times New Roman"/>
          <w:sz w:val="18"/>
          <w:szCs w:val="18"/>
          <w:color w:val="auto"/>
        </w:rPr>
      </w:pPr>
    </w:p>
    <w:p>
      <w:pPr>
        <w:jc w:val="both"/>
        <w:ind w:firstLine="8"/>
        <w:spacing w:after="0" w:line="252" w:lineRule="auto"/>
        <w:tabs>
          <w:tab w:leader="none" w:pos="26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encumbering reasonable customary initial deposits and margin deposits and similar Liens attaching to commodity trading accounts or other brokerage accounts incurred in the ordinary course of business or consistent with past practice and not for speculative purposes; and (e) (i) of a collection bank arising under Section 4-210 of the UCC or any comparable or successor provision on items in the course of collection and (ii) in favor of a banking or other financial institution or electronic payment service providers arising as a matter of law encumbering deposits (including the right of set-off) arising in the ordinary course of business in connection with the maintenance of such accounts and (iii) arising under customary general terms and conditions of the account bank in relation to any bank account maintained with such bank and attaching only to such account and the products and proceeds thereof, which Liens, in any event, do not secure any Indebtedness;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jc w:val="both"/>
        <w:ind w:firstLine="1304"/>
        <w:spacing w:after="0" w:line="266" w:lineRule="auto"/>
        <w:tabs>
          <w:tab w:leader="none" w:pos="157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subleases and sublicenses of assets (including real property, intellectual property, software and other technology rights), in each case entered into in the ordinary course of business, consistent with past practice or, with respect to intellectual property, software and other technology rights, that are not material to the conduct of the business of the Company and its Restricted Subsidiaries, taken as a whole;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or otherwise arising out of judgments, decrees, attachments, orders or awards not giving rise to an Event of Default under Section 6.1(a)(5);</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Liens securing Finance Lease Obligations, or Purchase Money Obligations, or securing the payment of all or a part of the purchase price of, or securing Indebtedness or other Obligations incurred to finance or refinance the acquisition, improvement or construction of, assets or property acquired or constructed in the ordinary course of business;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 the aggregate principal amount of Indebtedness secured by such Liens is otherwise permitted to be incurred under this Indenture and (ii) any such Liens may not extend to any assets or property of the Company or any Restricted Subsidiary other than assets and property affixed or appurtenant thereto and accessions, additions, improvements, proceeds, dividends or distributions thereof, including after-acquired property that is (A) affixed or incorporated into the property or assets covered by such Lien, (B) after-acquired property or assets subject to a Lien securing such Indebtedness, the terms of which Indebtedness require or include a pledge of after-acquired property or assets and (C) the proceeds and products thereof and (b) any interest or title of a lessor, sublessor, franchisor, licensor or sublicensor or secured by a lessor’s, sublessor’s, franchisor’s, licensor’s or sublicensor’s interest under any Finance Lease Obligations or Non-Financing Lease Obligations;</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6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UCC financing statements, including precautionary financing statements (or similar filings) regarding operating leases or consignments entered into by the Company and its Restricted Subsidiaries;</w:t>
      </w:r>
    </w:p>
    <w:p>
      <w:pPr>
        <w:spacing w:after="0" w:line="161"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Issue Date, but excluding Liens securing the New Revolving Credit Facility;</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6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other assets or shares of stock of a Person at the time such Person becomes a Subsidiary (or at the time the Company or a Subsidiary acquires such property, other assets or shares of stock, including any acquisition by means of a merger, amalgamation, consolidation or other business combination transaction with or into the Company or any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Liens are not created in anticipation of such other Person becoming a Subsidiary (or such acquisition of such property, other assets or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such Liens are limited to all or part of the same property, other assets or stock (plus 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that secured (or, under the written arrangements under which such Liens arose, could secure) the Obligations relating to any Indebtedness or other obligations to which such Liens relate;</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6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relating to any Indebtedness or other obligations of the Company or a Restricted Subsidiary owing to the Company or another Restricted Subsidiary, or Liens in favor of the Company or any Restricted Subsidiary or the Trustee;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8" w:name="page49"/>
    <w:bookmarkEnd w:id="48"/>
    <w:p>
      <w:pPr>
        <w:jc w:val="both"/>
        <w:ind w:firstLine="1304"/>
        <w:spacing w:after="0" w:line="255" w:lineRule="auto"/>
        <w:tabs>
          <w:tab w:leader="none" w:pos="166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Refinancing Indebtedness incurred to refinance Indebtedness that was previously so secured, and permitted to be secured under this Indenture;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such Lien is limited to all or part of the same property or assets (plus 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that secured (or, under the written arrangements under which the original Lien arose, could secure) the Obligations relating to the Indebtedness or other obligations being refinanced or is in respect of property or assets that is or could be the security for or subject to a Permitted Lien hereunder;</w:t>
      </w:r>
    </w:p>
    <w:p>
      <w:pPr>
        <w:spacing w:after="0" w:line="188"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6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mortgages, liens, security interests, restrictions, encumbrances or any other matters of record that have been placed by any government, statutory or regulatory authority, developer, landlord or other third party on property over which the Company or any Restricted Subsidiary has easement rights or on any leased property and subordination or similar arrangements relating thereto and (b) any condemnation or eminent domain proceedings affecting any real property;</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66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(including put and call arrangements) with respect to Capital Stock of any joint venture secured financing arrangement, joint venture or similar arrangement pursuant to any joint venture secured financing agreement, joint venture or similar agreement;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5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or assets under construction (and related rights) in favor of a contractor or developer or arising from progress or partial payments by a third party relating to such property or assets;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52"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hire purchase, consignment or similar arrangements for the sale or purchase of goods entered into in the ordinary course of business or consistent with past practice;</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and other Obligations in respect of (a) Credit Facilities, including any letter of credit facility relating thereto under Section 3.2(b)(1) and (b) obligations of the Company or any Subsidiary in respect of any Cash Management Obligation or Hedging Obligation provided by any lender party to any Credit Facility or Affiliate of such lender (or any Person that was a lender or an Affiliate of a lender at the time the applicable agreements in respect of such Cash Management Obligation or Hedging Obligation were entered into);</w:t>
      </w:r>
    </w:p>
    <w:p>
      <w:pPr>
        <w:spacing w:after="0" w:line="17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and other Obligations under </w:t>
      </w:r>
      <w:r>
        <w:rPr>
          <w:rFonts w:ascii="Times New Roman" w:cs="Times New Roman" w:eastAsia="Times New Roman" w:hAnsi="Times New Roman"/>
          <w:sz w:val="18"/>
          <w:szCs w:val="18"/>
          <w:u w:val="single" w:color="auto"/>
          <w:color w:val="auto"/>
        </w:rPr>
        <w:t>Section 3.2(b)(5)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Liens shall only be permitted if such Liens are limited to all or part of the same property or assets, including Capital Stock (plus 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acquired, or of any Person acquired or merged, consolidated or amalgamated with or into the Company or any Restricted Subsidiary, in any transaction to which such Indebtedness or other Obligation relates;</w:t>
      </w:r>
    </w:p>
    <w:p>
      <w:pPr>
        <w:spacing w:after="0" w:line="184"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and other Obligations permitted by </w:t>
      </w:r>
      <w:r>
        <w:rPr>
          <w:rFonts w:ascii="Times New Roman" w:cs="Times New Roman" w:eastAsia="Times New Roman" w:hAnsi="Times New Roman"/>
          <w:sz w:val="18"/>
          <w:szCs w:val="18"/>
          <w:u w:val="single" w:color="auto"/>
          <w:color w:val="auto"/>
        </w:rPr>
        <w:t>Section 3.2(b)(11)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66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and other Obligations of any Non-Guarantor Subsidiary covering only assets of such Subsidiary or other Non-Guarantor Subsidiaries;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5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Capital Stock or other securities or assets of any Unrestricted Subsidiary that secure Indebtedness or other obligations of such Unrestricted Subsidiary;</w:t>
      </w:r>
    </w:p>
    <w:p>
      <w:pPr>
        <w:spacing w:after="0" w:line="161"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deemed to exist in connection with Investments permitted under clause (4) of the definition of “Cash Equivalents”;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ind w:firstLine="1304"/>
        <w:spacing w:after="0" w:line="256" w:lineRule="auto"/>
        <w:tabs>
          <w:tab w:leader="none" w:pos="164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(i) goods the purchase price of which is financed by a documentary letter of credit issued for the account of the Company or any Subsidiary or Liens on bills of lading, drafts or other documents of title arising by operation of law or pursuant to the standard terms of agreements relating to letters of credit, bank guarantees and other similar instruments and (ii) specific items of inventory or other goods and proceeds of any Person securing such Person’s obligations in respect of bankers’ acceptances or documentary letters of credit issued or created for the account of such Person to facilitate the purchase, shipment or storage of such inventory or other goods;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such Liens attach only to the goods and inventory covered thereby and proceeds thereof;</w:t>
      </w:r>
    </w:p>
    <w:p>
      <w:pPr>
        <w:spacing w:after="0" w:line="187"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vehicles or equipment of the Company or any Restricted Subsidiary in the ordinary course of business or consistent with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past practice;</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65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or securities deemed to arise in connection with and solely as a result of the execution, delivery or performance of contracts to sell such assets or securities if such sale is otherwise not prohibited by this Indenture;</w:t>
      </w:r>
    </w:p>
    <w:p>
      <w:pPr>
        <w:spacing w:after="0" w:line="161"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64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Liens on insurance policies and the proceeds thereof securing the financing of the premiums with respect thereto, and (b) Liens, pledges, deposits made or other security provided to secure liabilities to, or indemnification obligations of (including obligations in respect of letters of credit or bank guarantees for the benefits of), insurance carriers in the ordinary course of business or consistent with past practice;</w:t>
      </w:r>
    </w:p>
    <w:p>
      <w:pPr>
        <w:spacing w:after="0" w:line="17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solely on any cash earnest money deposits made in connection with any letter of intent or purchase agreement permitted under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Indenture;</w:t>
      </w:r>
    </w:p>
    <w:p>
      <w:pPr>
        <w:spacing w:after="0" w:line="206"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on cash advances or escrow deposits in favor of the seller of any property to be acquired in an Investment permitted under this Indenture to be applied against the purchase price for such Investment or otherwise in connection with any escrow arrangements with respect to any such Investment (including any letter of intent or purchase agreement with respect to such Investment), and (ii) consisting of an agreement to sell, transfer, lease or otherwise dispose of any property in an asset sale, in each case, solely to the extent such Investment or sale, transfer, lease or other disposition, as the case may be, would have been permitted on the date of the creation of such Lien;</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6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and other Obligations in an aggregate principal amount not to exceed the greater of (a) $37.5 million and (b) 75.0% of LTM EBITDA at the time incurred;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4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then existing with respect to assets of an Unrestricted Subsidiary on the day such Unrestricted Subsidiary is redesignated as a Restricted Subsidiary pursuant to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Liens do not extend to any assets other than those of such Unrestricted Subsidiary;</w:t>
      </w:r>
    </w:p>
    <w:p>
      <w:pPr>
        <w:spacing w:after="0" w:line="159" w:lineRule="exact"/>
        <w:rPr>
          <w:rFonts w:ascii="Times New Roman" w:cs="Times New Roman" w:eastAsia="Times New Roman" w:hAnsi="Times New Roman"/>
          <w:sz w:val="18"/>
          <w:szCs w:val="18"/>
          <w:color w:val="auto"/>
        </w:rPr>
      </w:pPr>
    </w:p>
    <w:p>
      <w:pPr>
        <w:jc w:val="both"/>
        <w:ind w:firstLine="1304"/>
        <w:spacing w:after="0" w:line="267" w:lineRule="auto"/>
        <w:tabs>
          <w:tab w:leader="none" w:pos="167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and other Obligations permitted under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with respect to Liens securing Indebtedness or other Obligations permitted under this clause, at the time of incurrence and after giving pro forma effect thereto, the Consolidated Secured Leverage Ratio would be no greater than 1.5 to 1.00;</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4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deemed to exist in connection with Investments in repurchase agreements permitted by the covenant described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Liens do not extend to any assets other than those that are the subject of such repurchase agreement;</w:t>
      </w:r>
    </w:p>
    <w:p>
      <w:pPr>
        <w:spacing w:after="0" w:line="161"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a Qualified Securitization Financing or a Receivables Facility;</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Liens;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65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recapture of unused real property in favor of the seller of such property set forth in customary purchase agreements and related arrangements with any government, statutory or regulatory authority;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jc w:val="both"/>
        <w:ind w:firstLine="1304"/>
        <w:spacing w:after="0" w:line="266" w:lineRule="auto"/>
        <w:tabs>
          <w:tab w:leader="none" w:pos="165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reserved to or vested in any Person or government, statutory or regulatory authority by the terms of any lease, license, franchise, grant or permit held by the Company or any Restricted Subsidiary or by a statutory provision, to terminate any such lease, license, franchise, grant or permit, or to require annual or periodic payments as a condition to the continuance thereof;</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49"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restrictive covenants affecting the use to which real property may be put and Liens or covenants restricting or prohibiting access to or from lands abutting on controlled access highways or covenants affecting the use to which lands may be put;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Liens or covenants do not interfere with the ordinary conduct of the business of the Company or any Restricted Subsidiary;</w:t>
      </w:r>
    </w:p>
    <w:p>
      <w:pPr>
        <w:spacing w:after="0" w:line="173" w:lineRule="exact"/>
        <w:rPr>
          <w:rFonts w:ascii="Times New Roman" w:cs="Times New Roman" w:eastAsia="Times New Roman" w:hAnsi="Times New Roman"/>
          <w:sz w:val="18"/>
          <w:szCs w:val="18"/>
          <w:color w:val="auto"/>
        </w:rPr>
      </w:pPr>
    </w:p>
    <w:p>
      <w:pPr>
        <w:ind w:firstLine="1304"/>
        <w:spacing w:after="0" w:line="284" w:lineRule="auto"/>
        <w:tabs>
          <w:tab w:leader="none" w:pos="167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assets or Permitted Investments used to defease or to satisfy or discharge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defeasance, satisfaction or discharge is not prohibited by this Indenture;</w:t>
      </w:r>
    </w:p>
    <w:p>
      <w:pPr>
        <w:spacing w:after="0" w:line="160"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7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relating to escrow arrangements securing Indebtedness, including (i) 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Indebtedness, in either case to the extent such cash or Cash Equivalents prefund the payment of interest or premium or discount on such Indebtedness (or any costs related to the issuance of such Indebtedness) and are held in an escrow account or similar arrangement to be applied for such purpose;</w:t>
      </w:r>
    </w:p>
    <w:p>
      <w:pPr>
        <w:spacing w:after="0" w:line="183"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the Notes (other than any Additional Notes) and the related Note Guarantees; and</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any Permitted Intercompany Activities, Permitted Tax Restructuring and related transactions.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a Permitted Lien meets the criteria of more than one of the types of Permitted Liens (at the time of incurrence or at a later date), the Company in its sole discretion may divide, classify or from time to time reclassify all or any portion of such Permitted Lien in any manner that complies with this Indenture and such Permitted Lien shall be treated as having been made pursuant only to the clause or clauses of the definition of Permitted Lien to which such Permitted Lien has been classified or reclassified.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Tax Distribution</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1304"/>
        <w:spacing w:after="0" w:line="256" w:lineRule="auto"/>
        <w:tabs>
          <w:tab w:leader="none" w:pos="155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for so long as the Company is a member (or is an entity treated as disregarded from a member) of a group filing a consolidated, group, affiliate, unitary, combined or similar Tax return with any Parent Entity, any dividends or other distributions to fund any income or similar Taxes for which such Parent Entity is liable up to an amount not to exceed with respect to such Taxes the amount of any such Taxes that the Company and its Subsidiaries would have been required to pay on a separate company basis or on a consolidated basis calculated as if the Company and its Subsidiaries had paid Tax on a consolidated, combined, group, affiliated, unitary or similar basis on behalf of a consolidated, combined, affiliated, unitary or similar group consisting only of the Company and its Subsidiaries; and</w:t>
      </w:r>
    </w:p>
    <w:p>
      <w:pPr>
        <w:spacing w:after="0" w:line="187"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82"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taxable year (or portion thereof) ending after the Issue Date for which the Company is treated as a disregarded entity, partnership, or other flow-through entity for federal, state, provincial, territorial, and/or local income Tax purposes, the payment of dividends or other distributions to the Company’s direct owner(s) to fund the income Tax liability of such owner(s) (or, if a direct owner is a pass-through entity, of the indirect owner(s)) for such taxable year (or portion thereof) attributable to the operations and activities of the Company and its direct and indirect Subsidiaries, in an aggregate amount not to exceed the product of (x) the highest combined marginal federal and applicable state, provincial, territorial, and/or local statutory income Tax rate (after taking into account the deductibility of U.S. state and local income Tax for U.S. federal income Tax purposes) and (y) the taxable income of the Company for such taxable year (or portion thereof).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1" w:name="page52"/>
    <w:bookmarkEnd w:id="5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Tax Restructuring</w:t>
      </w:r>
      <w:r>
        <w:rPr>
          <w:rFonts w:ascii="Times New Roman" w:cs="Times New Roman" w:eastAsia="Times New Roman" w:hAnsi="Times New Roman"/>
          <w:sz w:val="18"/>
          <w:szCs w:val="18"/>
          <w:color w:val="auto"/>
        </w:rPr>
        <w:t>” means any reorganizations and other activities related to tax planning and tax reorganization (as determined by the Company in good faith) so long as such Permitted Tax Restructuring is not materially adverse to the Holders of the Notes.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joint venture, association, joint-stock company, trust, unincorporated organization, limited liability company, government or any agency or political subdivision thereof or any other entity.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Post-Petition Interest</w:t>
      </w:r>
      <w:r>
        <w:rPr>
          <w:rFonts w:ascii="Times New Roman" w:cs="Times New Roman" w:eastAsia="Times New Roman" w:hAnsi="Times New Roman"/>
          <w:sz w:val="18"/>
          <w:szCs w:val="18"/>
          <w:color w:val="auto"/>
        </w:rPr>
        <w:t>” means any interest or entitlement to fees or expenses or other charges that accrue after the commencement of any bankruptcy or insolvency proceeding, whether or not allowed or allowable as a claim in any such bankruptcy or insolvency proceeding.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Predecessor Note</w:t>
      </w:r>
      <w:r>
        <w:rPr>
          <w:rFonts w:ascii="Times New Roman" w:cs="Times New Roman" w:eastAsia="Times New Roman" w:hAnsi="Times New Roman"/>
          <w:sz w:val="18"/>
          <w:szCs w:val="18"/>
          <w:color w:val="auto"/>
        </w:rPr>
        <w:t xml:space="preserve">” of any particular Note means every previous Note evidencing all or a portion of the same debt as that evidenced by such particular Note; and, for the purposes of this definition, any Note authenticated and delivered under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in exchange for or in lieu of a mutilated, destroyed, lost or stolen Note shall be deemed to evidence the same debt as the mutilated, destroyed, lost or stolen Note.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as applied to the Capital Stock of any Person, means Capital Stock of any class or classes (however designated) which is preferred as to the payment of dividends or as to the distribution of assets upon any voluntary or involuntary liquidation or dissolution of such Person, over shares of Capital Stock of any other class of such Person.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Company Costs</w:t>
      </w:r>
      <w:r>
        <w:rPr>
          <w:rFonts w:ascii="Times New Roman" w:cs="Times New Roman" w:eastAsia="Times New Roman" w:hAnsi="Times New Roman"/>
          <w:sz w:val="18"/>
          <w:szCs w:val="18"/>
          <w:color w:val="auto"/>
        </w:rPr>
        <w:t>” means, as to any Person, costs associated with, or in anticipation of, or preparation for, compliance with the requirements of the Sarbanes-Oxley Act of 2002 and the rules and regulations promulgated in connection therewith and costs relating to compliance with the provisions of the Securities Act and the Exchange Act or any other comparable body of laws, rules or regulations, as companies with listed equity, directors’ compensation, fees and expense reimbursement, costs relating to enhanced accounting functions and investor relations, shareholder meetings and reports to shareholders, directors’ and officers’ insurance and other executive costs, legal and other professional fees, and listing fees, in each case to the extent arising solely by virtue of the listing of such Person’s equity securities on a national securities exchange or issuance of public debt securities.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Money Obligations</w:t>
      </w:r>
      <w:r>
        <w:rPr>
          <w:rFonts w:ascii="Times New Roman" w:cs="Times New Roman" w:eastAsia="Times New Roman" w:hAnsi="Times New Roman"/>
          <w:sz w:val="18"/>
          <w:szCs w:val="18"/>
          <w:color w:val="auto"/>
        </w:rPr>
        <w:t>” means any Indebtedness Incurred to finance or refinance the acquisition, leasing, expansion, construction, installation, replacement, repair or improvement of property (real or personal), equipment or assets (including Capital Stock), and whether acquired through the direct acquisition of such property or assets, or the acquisition of the Capital Stock of any Person owning such property or assets,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 means any “qualified institutional buyer” as such term is defined in Rule 144A.</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Securitization Financing</w:t>
      </w:r>
      <w:r>
        <w:rPr>
          <w:rFonts w:ascii="Times New Roman" w:cs="Times New Roman" w:eastAsia="Times New Roman" w:hAnsi="Times New Roman"/>
          <w:sz w:val="18"/>
          <w:szCs w:val="18"/>
          <w:color w:val="auto"/>
        </w:rPr>
        <w:t>” means any Securitization Facility that meets the following conditions: (i) the Board of Directors shall have determined in good faith that such Securitization Facility (including financing terms, covenants, termination events and other provisions) is in the aggregate economically fair and reasonable to the Company and its Restricted Subsidiaries, (ii) all sales of Securitization Assets and related assets by the Company or any Restricted Subsidiary to the Securitization Subsidiary or any other Person are made for fair consideration (as determined in good faith by the Company) and (iii) the financing terms, covenants, termination events and other provisions thereof shall be fair and reasonable terms (as determined in good faith by the Company) and may include Standard Securitization Undertakings.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Agency</w:t>
      </w:r>
      <w:r>
        <w:rPr>
          <w:rFonts w:ascii="Times New Roman" w:cs="Times New Roman" w:eastAsia="Times New Roman" w:hAnsi="Times New Roman"/>
          <w:sz w:val="18"/>
          <w:szCs w:val="18"/>
          <w:color w:val="auto"/>
        </w:rPr>
        <w:t>” means (1) S&amp;P, Moody’s and Fitch or (2) if S&amp;P, Moody’s or Fitch or each of them shall not make a rating on the Notes publicly available, any other Nationally Recognized Statistical Ratings Organization (or Nationally Recognized Statistical Ratings Organizations, as the case may be) selected by the Company, which shall be substituted for any or all of S&amp;P, Moody’s or Fitch, as the case may be, with respect to such rating of the Notes.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Assets</w:t>
      </w:r>
      <w:r>
        <w:rPr>
          <w:rFonts w:ascii="Times New Roman" w:cs="Times New Roman" w:eastAsia="Times New Roman" w:hAnsi="Times New Roman"/>
          <w:sz w:val="18"/>
          <w:szCs w:val="18"/>
          <w:color w:val="auto"/>
        </w:rPr>
        <w:t>” means (a) any accounts receivable owed to the Company or a Restricted Subsidiary subject to a Receivables Facility and the proceeds thereof and (b) all collateral securing such accounts receivable, all contracts and contract rights, guarantees or other obligations in respect of such accounts receivable, all records with respect to such accounts receivable and any other assets customarily transferred together with accounts receivable in connection with a non-recourse accounts receivable factoring arrangement.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2" w:name="page53"/>
    <w:bookmarkEnd w:id="52"/>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Facility</w:t>
      </w:r>
      <w:r>
        <w:rPr>
          <w:rFonts w:ascii="Times New Roman" w:cs="Times New Roman" w:eastAsia="Times New Roman" w:hAnsi="Times New Roman"/>
          <w:sz w:val="18"/>
          <w:szCs w:val="18"/>
          <w:color w:val="auto"/>
        </w:rPr>
        <w:t>” means an arrangement between the Company or a Subsidiary and a commercial bank, an asset based lender or other financial institution or an Affiliate thereof pursuant to which (a) the Company or such Subsidiary, as applicable, sells (directly or indirectly) to such commercial bank, asset based lender or other financial institution (or such Affiliate) Receivables Assets and (b) the obligations of the Company or such Restricted Subsidiary, as applicable, thereunder are non-recourse (except for Securitization Repurchase Obligations) to the Company and such Subsidiary and (c) the financing terms, covenants, termination events and other provisions thereof shall be on market terms (as determined in good faith by the Company) and may include Standard Securitization Undertakings, and shall include any guaranty in respect of such arrangements.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w:t>
      </w:r>
      <w:r>
        <w:rPr>
          <w:rFonts w:ascii="Times New Roman" w:cs="Times New Roman" w:eastAsia="Times New Roman" w:hAnsi="Times New Roman"/>
          <w:sz w:val="18"/>
          <w:szCs w:val="18"/>
          <w:color w:val="auto"/>
        </w:rPr>
        <w:t>” means refinance, refund, replace, renew, repay, modify, restate, defer, substitute, supplement, reissue, resell, extend or increase (including pursuant to any defeasance or discharge mechanism) and the terms “</w:t>
      </w:r>
      <w:r>
        <w:rPr>
          <w:rFonts w:ascii="Times New Roman" w:cs="Times New Roman" w:eastAsia="Times New Roman" w:hAnsi="Times New Roman"/>
          <w:sz w:val="18"/>
          <w:szCs w:val="18"/>
          <w:i w:val="1"/>
          <w:iCs w:val="1"/>
          <w:color w:val="auto"/>
        </w:rPr>
        <w:t>refinances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refinanced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refinancing</w:t>
      </w:r>
      <w:r>
        <w:rPr>
          <w:rFonts w:ascii="Times New Roman" w:cs="Times New Roman" w:eastAsia="Times New Roman" w:hAnsi="Times New Roman"/>
          <w:sz w:val="18"/>
          <w:szCs w:val="18"/>
          <w:color w:val="auto"/>
        </w:rPr>
        <w:t>” as used for any purpose in this Indenture shall have a correlative meaning.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Indebtedness</w:t>
      </w:r>
      <w:r>
        <w:rPr>
          <w:rFonts w:ascii="Times New Roman" w:cs="Times New Roman" w:eastAsia="Times New Roman" w:hAnsi="Times New Roman"/>
          <w:sz w:val="18"/>
          <w:szCs w:val="18"/>
          <w:color w:val="auto"/>
        </w:rPr>
        <w:t xml:space="preserve">” means Indebtedness that is Incurred to refund, refinance, replace, exchange, renew, repay or extend (including pursuant to any defeasance or discharge mechanism) any Indebtedness existing on the Issue Date or Incurred in compliance with this Indenture (including Indebtedness of the Company that refinances Indebtedness of any Restricted Subsidiary and Indebtedness of any Restricted Subsidiary that refinances Indebtedness of the Company or another Restricted Subsidiary) including Indebtedness that refinances Refinancing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180" w:lineRule="exact"/>
        <w:rPr>
          <w:sz w:val="20"/>
          <w:szCs w:val="20"/>
          <w:color w:val="auto"/>
        </w:rPr>
      </w:pPr>
    </w:p>
    <w:p>
      <w:pPr>
        <w:jc w:val="both"/>
        <w:ind w:firstLine="1304"/>
        <w:spacing w:after="0" w:line="256" w:lineRule="auto"/>
        <w:tabs>
          <w:tab w:leader="none" w:pos="156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Refinancing Indebtedness has a Weighted Average Life to Maturity at the time such Refinancing Indebtedness is Incurred which is not less than the remaining Weighted Average Life to Maturity of the Indebtedness, Disqualified Stock or Preferred Stock being refunded or refinanced; and (b) to the extent such Refinancing Indebtedness refinances Subordinated Indebtedness, Disqualified Stock or Preferred Stock, such Refinancing Indebtedness is Subordinated Indebtedness, Disqualified Stock or Preferred Stock, respectively, and, in the case of Subordinated Indebtedness, is subordinated to the Notes on terms at least as favorable to the Holders as those contained in the documentation governing the Indebtedness being refinanced;</w:t>
      </w:r>
    </w:p>
    <w:p>
      <w:pPr>
        <w:spacing w:after="0" w:line="18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 Indebtedness shall not include:</w:t>
      </w:r>
    </w:p>
    <w:p>
      <w:pPr>
        <w:spacing w:after="0" w:line="225" w:lineRule="exact"/>
        <w:rPr>
          <w:rFonts w:ascii="Times New Roman" w:cs="Times New Roman" w:eastAsia="Times New Roman" w:hAnsi="Times New Roman"/>
          <w:sz w:val="18"/>
          <w:szCs w:val="18"/>
          <w:color w:val="auto"/>
        </w:rPr>
      </w:pPr>
    </w:p>
    <w:p>
      <w:pPr>
        <w:ind w:left="1300" w:firstLine="1300"/>
        <w:spacing w:after="0" w:line="282" w:lineRule="auto"/>
        <w:tabs>
          <w:tab w:leader="none" w:pos="282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Disqualified Stock or Preferred Stock of a Subsidiary of the Company that is not the Company or a Guarantor that refinances Indebtedness, Disqualified Stock or Preferred Stock of the Company or a Guarantor; or</w:t>
      </w:r>
    </w:p>
    <w:p>
      <w:pPr>
        <w:spacing w:after="0" w:line="161" w:lineRule="exact"/>
        <w:rPr>
          <w:rFonts w:ascii="Times New Roman" w:cs="Times New Roman" w:eastAsia="Times New Roman" w:hAnsi="Times New Roman"/>
          <w:sz w:val="18"/>
          <w:szCs w:val="18"/>
          <w:color w:val="auto"/>
        </w:rPr>
      </w:pPr>
    </w:p>
    <w:p>
      <w:pPr>
        <w:ind w:left="1300" w:firstLine="1300"/>
        <w:spacing w:after="0" w:line="282" w:lineRule="auto"/>
        <w:tabs>
          <w:tab w:leader="none" w:pos="2889"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Disqualified Stock or Preferred Stock of the Company or a Restricted Subsidiary that refinances Indebtedness, Disqualified Stock or Preferred Stock of an Unrestricted Subsidiary;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Refinancing Indebtedness has an aggregate principal amount (or if Incurred with original issue discount, an aggregate issue price) that is equal to or less than the aggregate principal amount (or if Incurred with original issue discount, the aggregate accreted value) then outstanding under the Indebtedness being Refinanced (plus the aggregate amount of fees, underwriting discounts, accrued and unpaid interest, premiums (including, without limitation, tender premiums) and other costs and expenses (including, without limitation, original issue discount, upfront fees or similar fees) Incurred in connection with such Refinancing).</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Refinancing Indebtedness in respect of any Credit Facility or any other Indebtedness may be Incurred from time to time after the termination, discharge or repayment of any such Credit Facility or other Indebtedness.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w:t>
      </w:r>
      <w:r>
        <w:rPr>
          <w:rFonts w:ascii="Times New Roman" w:cs="Times New Roman" w:eastAsia="Times New Roman" w:hAnsi="Times New Roman"/>
          <w:sz w:val="18"/>
          <w:szCs w:val="18"/>
          <w:color w:val="auto"/>
        </w:rPr>
        <w:t>” means Regulation S under the Securities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S-X</w:t>
      </w:r>
      <w:r>
        <w:rPr>
          <w:rFonts w:ascii="Times New Roman" w:cs="Times New Roman" w:eastAsia="Times New Roman" w:hAnsi="Times New Roman"/>
          <w:sz w:val="18"/>
          <w:szCs w:val="18"/>
          <w:color w:val="auto"/>
        </w:rPr>
        <w:t>” means Regulation S-X under the Securities Act.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Taxes</w:t>
      </w:r>
      <w:r>
        <w:rPr>
          <w:rFonts w:ascii="Times New Roman" w:cs="Times New Roman" w:eastAsia="Times New Roman" w:hAnsi="Times New Roman"/>
          <w:sz w:val="18"/>
          <w:szCs w:val="18"/>
          <w:color w:val="auto"/>
        </w:rPr>
        <w:t>” means</w:t>
      </w:r>
    </w:p>
    <w:p>
      <w:pPr>
        <w:spacing w:after="0" w:line="223" w:lineRule="exact"/>
        <w:rPr>
          <w:sz w:val="20"/>
          <w:szCs w:val="20"/>
          <w:color w:val="auto"/>
        </w:rPr>
      </w:pPr>
    </w:p>
    <w:p>
      <w:pPr>
        <w:jc w:val="both"/>
        <w:ind w:firstLine="1304"/>
        <w:spacing w:after="0" w:line="267" w:lineRule="auto"/>
        <w:tabs>
          <w:tab w:leader="none" w:pos="156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Taxes, including sales, use, transfer, rental, </w:t>
      </w:r>
      <w:r>
        <w:rPr>
          <w:rFonts w:ascii="Times New Roman" w:cs="Times New Roman" w:eastAsia="Times New Roman" w:hAnsi="Times New Roman"/>
          <w:sz w:val="18"/>
          <w:szCs w:val="18"/>
          <w:i w:val="1"/>
          <w:iCs w:val="1"/>
          <w:color w:val="auto"/>
        </w:rPr>
        <w:t>ad valorem</w:t>
      </w:r>
      <w:r>
        <w:rPr>
          <w:rFonts w:ascii="Times New Roman" w:cs="Times New Roman" w:eastAsia="Times New Roman" w:hAnsi="Times New Roman"/>
          <w:sz w:val="18"/>
          <w:szCs w:val="18"/>
          <w:color w:val="auto"/>
        </w:rPr>
        <w:t>, value added, stamp, property, consumption, franchise, license, capital, registration, business, customs, net worth, gross receipts, excise, occupancy, intangibles or similar Taxes and other similar fees and expenses (other than (x) Taxes measured by income and (y) withholding Taxes), required to be paid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Taxes are in fact paid) by any Parent Entity by virtue of its:</w:t>
      </w:r>
    </w:p>
    <w:p>
      <w:pPr>
        <w:spacing w:after="0" w:line="175" w:lineRule="exact"/>
        <w:rPr>
          <w:rFonts w:ascii="Times New Roman" w:cs="Times New Roman" w:eastAsia="Times New Roman" w:hAnsi="Times New Roman"/>
          <w:sz w:val="18"/>
          <w:szCs w:val="18"/>
          <w:color w:val="auto"/>
        </w:rPr>
      </w:pPr>
    </w:p>
    <w:p>
      <w:pPr>
        <w:jc w:val="both"/>
        <w:ind w:left="2600" w:hanging="648"/>
        <w:spacing w:after="0" w:line="266" w:lineRule="auto"/>
        <w:tabs>
          <w:tab w:leader="none" w:pos="26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organized or having Capital Stock outstanding (but not by virtue of owning stock or other equity interests of any corporation or other entity other than, directly or indirectly, the Company or any of the Company’s Subsidiaries) or otherwise maintain its existence or good standing under applicable law;</w:t>
      </w:r>
    </w:p>
    <w:p>
      <w:pPr>
        <w:spacing w:after="0" w:line="175"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 holding company parent, directly or indirectly, of the Company or any of the Company’s Subsidiaries;</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dividends from or other distributions in respect of the Capital Stock of, directly or indirectly, the Company or any of the Company’s Subsidiaries; or</w:t>
      </w:r>
    </w:p>
    <w:p>
      <w:pPr>
        <w:spacing w:after="0" w:line="161"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having made any payment in respect to any of the items for which the Company is permitted to make payments to any Parent Entity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or</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Tax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Investment</w:t>
      </w:r>
      <w:r>
        <w:rPr>
          <w:rFonts w:ascii="Times New Roman" w:cs="Times New Roman" w:eastAsia="Times New Roman" w:hAnsi="Times New Roman"/>
          <w:sz w:val="18"/>
          <w:szCs w:val="18"/>
          <w:color w:val="auto"/>
        </w:rPr>
        <w:t>” means any Investment other than a Permitted Investment.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Notes</w:t>
      </w:r>
      <w:r>
        <w:rPr>
          <w:rFonts w:ascii="Times New Roman" w:cs="Times New Roman" w:eastAsia="Times New Roman" w:hAnsi="Times New Roman"/>
          <w:sz w:val="18"/>
          <w:szCs w:val="18"/>
          <w:color w:val="auto"/>
        </w:rPr>
        <w:t>” means Initial Notes and Additional Notes bearing or required to bear the Restricted Notes Legend.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Notes Legend</w:t>
      </w:r>
      <w:r>
        <w:rPr>
          <w:rFonts w:ascii="Times New Roman" w:cs="Times New Roman" w:eastAsia="Times New Roman" w:hAnsi="Times New Roman"/>
          <w:sz w:val="18"/>
          <w:szCs w:val="18"/>
          <w:color w:val="auto"/>
        </w:rPr>
        <w:t>” means the legend set forth in Section 2.1(d)(1).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any Subsidiary of the Company other than an Unrestricted Subsidiary.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means Rule 144A under the Securities 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S&amp;P Global Inc. or any of its successors or assigns that is a Nationally Recognized Statistical Rating Organization.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means any arrangement providing for the leasing by the Company or any of its Restricted Subsidiaries of any real or tangible personal property, which property has been or is to be sold or transferred by the Company or such Restricted Subsidiary to a third Person in contemplation of such leasing.</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Screened Affiliate</w:t>
      </w:r>
      <w:r>
        <w:rPr>
          <w:rFonts w:ascii="Times New Roman" w:cs="Times New Roman" w:eastAsia="Times New Roman" w:hAnsi="Times New Roman"/>
          <w:sz w:val="18"/>
          <w:szCs w:val="18"/>
          <w:color w:val="auto"/>
        </w:rPr>
        <w:t>”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Company or its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Holders in connection with its investment in the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 or any successor thereto.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Indebtedness</w:t>
      </w:r>
      <w:r>
        <w:rPr>
          <w:rFonts w:ascii="Times New Roman" w:cs="Times New Roman" w:eastAsia="Times New Roman" w:hAnsi="Times New Roman"/>
          <w:sz w:val="18"/>
          <w:szCs w:val="18"/>
          <w:color w:val="auto"/>
        </w:rPr>
        <w:t>” means any Indebtedness secured by a Lien.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of the SEC promulgated thereunder, as amended.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Asset</w:t>
      </w:r>
      <w:r>
        <w:rPr>
          <w:rFonts w:ascii="Times New Roman" w:cs="Times New Roman" w:eastAsia="Times New Roman" w:hAnsi="Times New Roman"/>
          <w:sz w:val="18"/>
          <w:szCs w:val="18"/>
          <w:color w:val="auto"/>
        </w:rPr>
        <w:t>” means (a) any accounts receivable, mortgage receivables, loan receivables, royalty, franchise fee, license fee, patent or other revenue streams and other rights to payment or related assets and the proceeds thereof and (b) all collateral securing such receivable or asset, all contracts and contract rights, guarantees or other obligations in respect of such receivable or asset, lockbox accounts and records with respect to such account or asset and any other assets customarily transferred (or in respect of which security interests are customarily granted) together with accounts or assets in connection with a securitization, factoring or receivable sale transaction.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Facility</w:t>
      </w:r>
      <w:r>
        <w:rPr>
          <w:rFonts w:ascii="Times New Roman" w:cs="Times New Roman" w:eastAsia="Times New Roman" w:hAnsi="Times New Roman"/>
          <w:sz w:val="18"/>
          <w:szCs w:val="18"/>
          <w:color w:val="auto"/>
        </w:rPr>
        <w:t>” means any of one or more securitization, financing, factoring or sales transactions, as amended, supplemented, modified, extended, renewed, restated or refunded from time to time, pursuant to which the Company or any of the Restricted Subsidiaries sells, transfers, pledges or otherwise conveys any Securitization Assets (whether now existing or arising in the future) to a Securitization Subsidiary or any other Person.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Fees</w:t>
      </w:r>
      <w:r>
        <w:rPr>
          <w:rFonts w:ascii="Times New Roman" w:cs="Times New Roman" w:eastAsia="Times New Roman" w:hAnsi="Times New Roman"/>
          <w:sz w:val="18"/>
          <w:szCs w:val="18"/>
          <w:color w:val="auto"/>
        </w:rPr>
        <w:t>” means distributions or payments made directly or by means of discounts with respect to any Securitization Asset or Receivables Asset or participation interest therein issued or sold in connection with, and other fees, expenses and charges (including commissions, yield, interest expense and fees and expenses of legal counsel) paid in connection with, any Qualified Securitization Financing or Receivables Facility.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Repurchase Obligation</w:t>
      </w:r>
      <w:r>
        <w:rPr>
          <w:rFonts w:ascii="Times New Roman" w:cs="Times New Roman" w:eastAsia="Times New Roman" w:hAnsi="Times New Roman"/>
          <w:sz w:val="18"/>
          <w:szCs w:val="18"/>
          <w:color w:val="auto"/>
        </w:rPr>
        <w:t>” means any obligation of a seller of Securitization Assets or Receivables Assets in a Qualified Securitization Financing or a Receivables Facility to repurchase or otherwise make payments with respect to Securitization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Subsidiary</w:t>
      </w:r>
      <w:r>
        <w:rPr>
          <w:rFonts w:ascii="Times New Roman" w:cs="Times New Roman" w:eastAsia="Times New Roman" w:hAnsi="Times New Roman"/>
          <w:sz w:val="18"/>
          <w:szCs w:val="18"/>
          <w:color w:val="auto"/>
        </w:rPr>
        <w:t>” means any Subsidiary of the Company in each case formed for the purpose of and that solely engages in one or more Qualified Securitization Financings or Receivables Facilities and other activities reasonably related thereto or another Person formed for this purpose.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Asset</w:t>
      </w:r>
      <w:r>
        <w:rPr>
          <w:rFonts w:ascii="Times New Roman" w:cs="Times New Roman" w:eastAsia="Times New Roman" w:hAnsi="Times New Roman"/>
          <w:sz w:val="18"/>
          <w:szCs w:val="18"/>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Indebtedness</w:t>
      </w:r>
      <w:r>
        <w:rPr>
          <w:rFonts w:ascii="Times New Roman" w:cs="Times New Roman" w:eastAsia="Times New Roman" w:hAnsi="Times New Roman"/>
          <w:sz w:val="18"/>
          <w:szCs w:val="18"/>
          <w:color w:val="auto"/>
        </w:rPr>
        <w:t>” means any payment or reimbursement obligation in respect of a Settlement Payment.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Lien</w:t>
      </w:r>
      <w:r>
        <w:rPr>
          <w:rFonts w:ascii="Times New Roman" w:cs="Times New Roman" w:eastAsia="Times New Roman" w:hAnsi="Times New Roman"/>
          <w:sz w:val="18"/>
          <w:szCs w:val="18"/>
          <w:color w:val="auto"/>
        </w:rPr>
        <w:t>”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Payment</w:t>
      </w:r>
      <w:r>
        <w:rPr>
          <w:rFonts w:ascii="Times New Roman" w:cs="Times New Roman" w:eastAsia="Times New Roman" w:hAnsi="Times New Roman"/>
          <w:sz w:val="18"/>
          <w:szCs w:val="18"/>
          <w:color w:val="auto"/>
        </w:rPr>
        <w:t>” means the transfer, or contractual undertaking (including by automated clearing house transaction) to effect a transfer, of cash or other property to effect a Settlement.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Receivable</w:t>
      </w:r>
      <w:r>
        <w:rPr>
          <w:rFonts w:ascii="Times New Roman" w:cs="Times New Roman" w:eastAsia="Times New Roman" w:hAnsi="Times New Roman"/>
          <w:sz w:val="18"/>
          <w:szCs w:val="18"/>
          <w:color w:val="auto"/>
        </w:rPr>
        <w:t>” means any general intangible, payment intangible, or instrument representing or reflecting an obligation to make payments to or for the benefit of a Person in consideration for a Settlement made or arranged, or to be made or arranged, by such Person.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5" w:name="page56"/>
    <w:bookmarkEnd w:id="55"/>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Derivative Instrument</w:t>
      </w:r>
      <w:r>
        <w:rPr>
          <w:rFonts w:ascii="Times New Roman" w:cs="Times New Roman" w:eastAsia="Times New Roman" w:hAnsi="Times New Roman"/>
          <w:sz w:val="18"/>
          <w:szCs w:val="18"/>
          <w:color w:val="auto"/>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means any Restricted Subsidiary that would be a “significant subsidiary” as defined in Article 1, Rule 1-02(w)(1)(ii) of Regulation S-X, promulgated pursuant to the Securities Act, as such regulation is in effect on the Issue Date.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Similar Business</w:t>
      </w:r>
      <w:r>
        <w:rPr>
          <w:rFonts w:ascii="Times New Roman" w:cs="Times New Roman" w:eastAsia="Times New Roman" w:hAnsi="Times New Roman"/>
          <w:sz w:val="18"/>
          <w:szCs w:val="18"/>
          <w:color w:val="auto"/>
        </w:rPr>
        <w:t>” means (a) any businesses, services or activities engaged in by the Company or any of its Subsidiaries or any Associates on the Issue Date, (b) any businesses, services and activities engaged in by the Company or any of its Subsidiaries or any Associates that are related, complementary, incidental, ancillary or similar to any of the foregoing or are extensions or developments of any thereof, including without limitation adjacent therapeutic areas, delivery technologies, or distribution platforms, and (c) a Person conducting a business, service or activity specified in clauses (a) and (b), and any Subsidiary thereof. For the avoidance of doubt, any Person that invests in or owns Capital Stock or Indebtedness of another Person that is engaged in a Similar Business shall be deemed to be engaged in a Similar Business.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Standard Securitization Undertakings</w:t>
      </w:r>
      <w:r>
        <w:rPr>
          <w:rFonts w:ascii="Times New Roman" w:cs="Times New Roman" w:eastAsia="Times New Roman" w:hAnsi="Times New Roman"/>
          <w:sz w:val="18"/>
          <w:szCs w:val="18"/>
          <w:color w:val="auto"/>
        </w:rPr>
        <w:t>” means representations, warranties, covenants, guarantees and indemnities entered into by the Company or any Subsidiary of the Company which the Company has determined in good faith to be customary in a Securitization Facility or Receivables Facility, including those relating to the servicing of the assets of a Securitization Subsidiary, it being understood that any Securitization Repurchase Obligation shall be deemed to be a Standard Securitization Undertaking or, in the case of a Receivables Facility, a non-credit related recourse accounts receivable factoring arrangement.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Maturity</w:t>
      </w:r>
      <w:r>
        <w:rPr>
          <w:rFonts w:ascii="Times New Roman" w:cs="Times New Roman" w:eastAsia="Times New Roman" w:hAnsi="Times New Roman"/>
          <w:sz w:val="18"/>
          <w:szCs w:val="18"/>
          <w:color w:val="auto"/>
        </w:rPr>
        <w:t>” means, with respect to any security, the date specified in such security as the fixed date on which the payment of principal of such security is due and payable, including pursuant to any mandatory redemption provision, but shall not include any contingent obligations to repay, redeem or repurchase any such principal prior to the date originally scheduled for the payment thereof.</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means, with respect to any person, any Indebtedness (whether outstanding on the Issue Date or thereafter Incurred) which is expressly subordinated in right of payment to the Notes pursuant to a written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w:t>
      </w:r>
    </w:p>
    <w:p>
      <w:pPr>
        <w:spacing w:after="0" w:line="225" w:lineRule="exact"/>
        <w:rPr>
          <w:sz w:val="20"/>
          <w:szCs w:val="20"/>
          <w:color w:val="auto"/>
        </w:rPr>
      </w:pPr>
    </w:p>
    <w:p>
      <w:pPr>
        <w:jc w:val="both"/>
        <w:ind w:firstLine="1304"/>
        <w:spacing w:after="0" w:line="261" w:lineRule="auto"/>
        <w:tabs>
          <w:tab w:leader="none" w:pos="157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or</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joint venture, limited liability company or similar entity of which:</w:t>
      </w:r>
    </w:p>
    <w:p>
      <w:pPr>
        <w:spacing w:after="0" w:line="225" w:lineRule="exact"/>
        <w:rPr>
          <w:rFonts w:ascii="Times New Roman" w:cs="Times New Roman" w:eastAsia="Times New Roman" w:hAnsi="Times New Roman"/>
          <w:sz w:val="18"/>
          <w:szCs w:val="18"/>
          <w:color w:val="auto"/>
        </w:rPr>
      </w:pPr>
    </w:p>
    <w:p>
      <w:pPr>
        <w:jc w:val="both"/>
        <w:ind w:left="2600" w:hanging="648"/>
        <w:spacing w:after="0" w:line="261" w:lineRule="auto"/>
        <w:tabs>
          <w:tab w:leader="none" w:pos="26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w:t>
      </w:r>
    </w:p>
    <w:p>
      <w:pPr>
        <w:spacing w:after="0" w:line="179"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or any Subsidiary of such Person is a controlling general partner or otherwise controls such entity.</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and future taxes, levies, imposts, deductions, charges, duties, assessments, fees and withholdings (including backup withholding)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any charges of a similar nature (however denominated and including interest, penalties and other liabilities with respect thereto) that are imposed by any governmental authority or other taxing authority.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6" w:name="page57"/>
    <w:bookmarkEnd w:id="56"/>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Assets</w:t>
      </w:r>
      <w:r>
        <w:rPr>
          <w:rFonts w:ascii="Times New Roman" w:cs="Times New Roman" w:eastAsia="Times New Roman" w:hAnsi="Times New Roman"/>
          <w:sz w:val="18"/>
          <w:szCs w:val="18"/>
          <w:color w:val="auto"/>
        </w:rPr>
        <w:t>” means, as of any date, the total consolidated assets of the Company and its Restricted Subsidiaries on a consolidated basis, as shown on the most recent consolidated balance sheet of the Company and its Restricted Subsidiaries, determined on a pro forma basis in a manner consistent with the pro forma basis contained in the definition of Fixed Charge Coverage Ratio.</w:t>
      </w:r>
    </w:p>
    <w:p>
      <w:pPr>
        <w:spacing w:after="0" w:line="174"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u w:val="single" w:color="auto"/>
          <w:color w:val="auto"/>
        </w:rPr>
        <w:t>Transaction Expenses</w:t>
      </w:r>
      <w:r>
        <w:rPr>
          <w:rFonts w:ascii="Times New Roman" w:cs="Times New Roman" w:eastAsia="Times New Roman" w:hAnsi="Times New Roman"/>
          <w:sz w:val="18"/>
          <w:szCs w:val="18"/>
          <w:color w:val="auto"/>
        </w:rPr>
        <w:t>” means any fees, costs and expenses (including all legal, accounting and other professional fees, costs and expenses) incurred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by the Company or any Restricted Subsidiary associated or in connection with the Transactions.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issuance of the Notes, entry into the New Revolving Credit Facility and the payment of Transaction Expenses and other related transactions and use of proceeds, in each case, as described in the Offering Memorandum and the consummation of any other transaction in connection with the foregoing.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means the Trust Indenture Act of 1939, as amended.</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Officer</w:t>
      </w:r>
      <w:r>
        <w:rPr>
          <w:rFonts w:ascii="Times New Roman" w:cs="Times New Roman" w:eastAsia="Times New Roman" w:hAnsi="Times New Roman"/>
          <w:sz w:val="18"/>
          <w:szCs w:val="18"/>
          <w:color w:val="auto"/>
        </w:rPr>
        <w:t>” means, when used with respect to the Trustee, any officer within the Corporate Trust Office of the Trustee (or any successor group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in each case, shall have direct responsibility for the administration of this Indenture.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means U.S. Bank Trust Company, National Association, as trustee under this Indenture, together with its successors and assigns.</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xml:space="preserve">” means the Uniform Commercial Code as in effect from time to time in the State of New York;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at any time, if by reason of mandatory provisions of law, any or all of the perfection or priority of a collateral agent’s security interest in any item or portion of the collateral is governed by the Uniform Commercial Code as in effect in a jurisdiction other than the State of New York, the term “UCC” shall mean the Uniform Commercial Code as in effect, at such time, in such other jurisdiction for purposes of the provisions hereof relating to such perfection or priority and for purposes of definitions relating to such provisions.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firstLine="1304"/>
        <w:spacing w:after="0" w:line="282" w:lineRule="auto"/>
        <w:tabs>
          <w:tab w:leader="none" w:pos="156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(other than the Company or any direct or indirect parent entity of the Company) of the Company that at the time of determination is an Unrestricted Subsidiary (as designated by the Company in the manner provided below); and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of an Unrestricted Subsidiary.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designate any Subsidiary of the Company, respectively (including any newly acquired or newly formed Subsidiary or a Person becoming a Subsidiary through merger, consolidation or other business combination transaction, or Investment therein), to be an Unrestricted Subsidiary only if:</w:t>
      </w:r>
    </w:p>
    <w:p>
      <w:pPr>
        <w:spacing w:after="0" w:line="176" w:lineRule="exact"/>
        <w:rPr>
          <w:sz w:val="20"/>
          <w:szCs w:val="20"/>
          <w:color w:val="auto"/>
        </w:rPr>
      </w:pPr>
    </w:p>
    <w:p>
      <w:pPr>
        <w:jc w:val="both"/>
        <w:ind w:firstLine="1304"/>
        <w:spacing w:after="0" w:line="266" w:lineRule="auto"/>
        <w:tabs>
          <w:tab w:leader="none" w:pos="157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Subsidiary or any of its Subsidiaries does not own any Capital Stock or Indebtedness of, or own or hold any Lien on any property of, the Company or any other Subsidiary of the Company which is not a Subsidiary of the Subsidiary to be so designated or otherwise an Unrestricted Subsidiary; and</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(i) the Subsidiary to be so designated and (ii) its Subsidiaries does not at the time of designation own any Material Intellectual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ind w:left="1300"/>
        <w:spacing w:after="0"/>
        <w:rPr>
          <w:sz w:val="20"/>
          <w:szCs w:val="20"/>
          <w:color w:val="auto"/>
        </w:rPr>
      </w:pPr>
      <w:r>
        <w:rPr>
          <w:rFonts w:ascii="Times New Roman" w:cs="Times New Roman" w:eastAsia="Times New Roman" w:hAnsi="Times New Roman"/>
          <w:sz w:val="18"/>
          <w:szCs w:val="18"/>
          <w:color w:val="auto"/>
        </w:rPr>
        <w:t xml:space="preserve">(3) such designation and the Investment of the Company in such Subsidiary complies with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Obligations</w:t>
      </w:r>
      <w:r>
        <w:rPr>
          <w:rFonts w:ascii="Times New Roman" w:cs="Times New Roman" w:eastAsia="Times New Roman" w:hAnsi="Times New Roman"/>
          <w:sz w:val="18"/>
          <w:szCs w:val="18"/>
          <w:color w:val="auto"/>
        </w:rPr>
        <w:t>” means securities that are (1) direct obligations of the United States of America for the timely payment of which its full faith and credit is pledged, (2) obligations of a Person controlled or supervised by and acting as an agency or instrumentality of the United States of America the timely payment of which is unconditionally Guaranteed as a full faith and credit obligation of the United States of America, which, in either case, are not callable or redeemable at the option of the issuers thereof, or (3) money market securities that invest solely in the foregoing, and in the case of</w:t>
      </w:r>
    </w:p>
    <w:p>
      <w:pPr>
        <w:spacing w:after="0" w:line="3" w:lineRule="exact"/>
        <w:rPr>
          <w:sz w:val="20"/>
          <w:szCs w:val="20"/>
          <w:color w:val="auto"/>
        </w:rPr>
      </w:pPr>
    </w:p>
    <w:p>
      <w:pPr>
        <w:jc w:val="both"/>
        <w:ind w:firstLine="8"/>
        <w:spacing w:after="0" w:line="253" w:lineRule="auto"/>
        <w:tabs>
          <w:tab w:leader="none" w:pos="2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(2) above, shall also include a depositary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depositary receipt,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(except as required by law) such custodian is not authorized to make any deduction from the amount payable to the holder of such depositary receipt from any amount received by the custodian in respect of the U.S. Government Obligations or the specific payment of principal of or interest on the U.S. Government Obligations evidenced by such depositary receipt.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of a Person means all classes of Capital Stock of such Person then outstanding and normally entitled to vote in the election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quotient obtained by dividing:</w:t>
      </w:r>
    </w:p>
    <w:p>
      <w:pPr>
        <w:spacing w:after="0" w:line="225" w:lineRule="exact"/>
        <w:rPr>
          <w:sz w:val="20"/>
          <w:szCs w:val="20"/>
          <w:color w:val="auto"/>
        </w:rPr>
      </w:pPr>
    </w:p>
    <w:p>
      <w:pPr>
        <w:jc w:val="both"/>
        <w:ind w:right="20" w:firstLine="1304"/>
        <w:spacing w:after="0" w:line="266" w:lineRule="auto"/>
        <w:tabs>
          <w:tab w:leader="none" w:pos="157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products of the number of years from the date of determination to the date of each successive scheduled principal payment of such Indebtedness or redemption or similar payment with respect to such Disqualified Stock or Preferred Stock multiplied by the amount of such payment, by</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all such payments.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Domestic Subsidiary</w:t>
      </w:r>
      <w:r>
        <w:rPr>
          <w:rFonts w:ascii="Times New Roman" w:cs="Times New Roman" w:eastAsia="Times New Roman" w:hAnsi="Times New Roman"/>
          <w:sz w:val="18"/>
          <w:szCs w:val="18"/>
          <w:color w:val="auto"/>
        </w:rPr>
        <w:t>” means a Domestic Subsidiary of the Company, all of the Capital Stock of which is owned, directly or indirectly, by the Company or a Guarantor.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Subsidiary</w:t>
      </w:r>
      <w:r>
        <w:rPr>
          <w:rFonts w:ascii="Times New Roman" w:cs="Times New Roman" w:eastAsia="Times New Roman" w:hAnsi="Times New Roman"/>
          <w:sz w:val="18"/>
          <w:szCs w:val="18"/>
          <w:color w:val="auto"/>
        </w:rPr>
        <w:t>” means a Subsidiary of such Person, all of the Capital Stock of which is owned, directly or indirectly, by such Person.</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SECTION 1.2 Other Definitions.</w:t>
            </w:r>
          </w:p>
        </w:tc>
        <w:tc>
          <w:tcPr>
            <w:tcW w:w="44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Defined in</w:t>
            </w:r>
          </w:p>
        </w:tc>
        <w:tc>
          <w:tcPr>
            <w:tcW w:w="0" w:type="dxa"/>
            <w:vAlign w:val="bottom"/>
          </w:tcPr>
          <w:p>
            <w:pPr>
              <w:spacing w:after="0"/>
              <w:rPr>
                <w:sz w:val="1"/>
                <w:szCs w:val="1"/>
                <w:color w:val="auto"/>
              </w:rPr>
            </w:pPr>
          </w:p>
        </w:tc>
      </w:tr>
      <w:tr>
        <w:trPr>
          <w:trHeight w:val="238"/>
        </w:trPr>
        <w:tc>
          <w:tcPr>
            <w:tcW w:w="3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Term</w:t>
            </w:r>
          </w:p>
        </w:tc>
        <w:tc>
          <w:tcPr>
            <w:tcW w:w="448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Section</w:t>
            </w:r>
          </w:p>
        </w:tc>
        <w:tc>
          <w:tcPr>
            <w:tcW w:w="0" w:type="dxa"/>
            <w:vAlign w:val="bottom"/>
          </w:tcPr>
          <w:p>
            <w:pPr>
              <w:spacing w:after="0"/>
              <w:rPr>
                <w:sz w:val="1"/>
                <w:szCs w:val="1"/>
                <w:color w:val="auto"/>
              </w:rPr>
            </w:pPr>
          </w:p>
        </w:tc>
      </w:tr>
      <w:tr>
        <w:trPr>
          <w:trHeight w:val="385"/>
        </w:trPr>
        <w:tc>
          <w:tcPr>
            <w:tcW w:w="3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“Acceptable Commitment”</w:t>
            </w:r>
          </w:p>
        </w:tc>
        <w:tc>
          <w:tcPr>
            <w:tcW w:w="4480" w:type="dxa"/>
            <w:vAlign w:val="bottom"/>
          </w:tcPr>
          <w:p>
            <w:pPr>
              <w:spacing w:after="0"/>
              <w:rPr>
                <w:sz w:val="24"/>
                <w:szCs w:val="24"/>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3.5(a)(3)(ii)</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“GAAP”</w:t>
            </w:r>
          </w:p>
        </w:tc>
        <w:tc>
          <w:tcPr>
            <w:tcW w:w="0" w:type="dxa"/>
            <w:vAlign w:val="bottom"/>
          </w:tcPr>
          <w:p>
            <w:pPr>
              <w:spacing w:after="0" w:line="20" w:lineRule="exact"/>
              <w:rPr>
                <w:sz w:val="1"/>
                <w:szCs w:val="1"/>
                <w:color w:val="auto"/>
              </w:rPr>
            </w:pPr>
          </w:p>
        </w:tc>
      </w:tr>
      <w:tr>
        <w:trPr>
          <w:trHeight w:val="412"/>
        </w:trPr>
        <w:tc>
          <w:tcPr>
            <w:tcW w:w="3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“Accounting Change”</w:t>
            </w:r>
          </w:p>
        </w:tc>
        <w:tc>
          <w:tcPr>
            <w:tcW w:w="44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3.5(a)</w:t>
            </w:r>
          </w:p>
        </w:tc>
        <w:tc>
          <w:tcPr>
            <w:tcW w:w="0" w:type="dxa"/>
            <w:vAlign w:val="bottom"/>
          </w:tcPr>
          <w:p>
            <w:pPr>
              <w:spacing w:after="0" w:line="20" w:lineRule="exact"/>
              <w:rPr>
                <w:sz w:val="1"/>
                <w:szCs w:val="1"/>
                <w:color w:val="auto"/>
              </w:rPr>
            </w:pPr>
          </w:p>
        </w:tc>
      </w:tr>
      <w:tr>
        <w:trPr>
          <w:trHeight w:val="412"/>
        </w:trPr>
        <w:tc>
          <w:tcPr>
            <w:tcW w:w="3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“Advance Offer”</w:t>
            </w:r>
          </w:p>
        </w:tc>
        <w:tc>
          <w:tcPr>
            <w:tcW w:w="44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3.5(a)</w:t>
            </w:r>
          </w:p>
        </w:tc>
        <w:tc>
          <w:tcPr>
            <w:tcW w:w="0" w:type="dxa"/>
            <w:vAlign w:val="bottom"/>
          </w:tcPr>
          <w:p>
            <w:pPr>
              <w:spacing w:after="0" w:line="20" w:lineRule="exact"/>
              <w:rPr>
                <w:sz w:val="1"/>
                <w:szCs w:val="1"/>
                <w:color w:val="auto"/>
              </w:rPr>
            </w:pPr>
          </w:p>
        </w:tc>
      </w:tr>
      <w:tr>
        <w:trPr>
          <w:trHeight w:val="412"/>
        </w:trPr>
        <w:tc>
          <w:tcPr>
            <w:tcW w:w="3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“Advance Portion”</w:t>
            </w:r>
          </w:p>
        </w:tc>
        <w:tc>
          <w:tcPr>
            <w:tcW w:w="44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320" w:type="dxa"/>
            <w:vAlign w:val="bottom"/>
            <w:tcBorders>
              <w:left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2.1(b)</w:t>
            </w:r>
          </w:p>
        </w:tc>
        <w:tc>
          <w:tcPr>
            <w:tcW w:w="0" w:type="dxa"/>
            <w:vAlign w:val="bottom"/>
          </w:tcPr>
          <w:p>
            <w:pPr>
              <w:spacing w:after="0" w:line="20" w:lineRule="exact"/>
              <w:rPr>
                <w:sz w:val="1"/>
                <w:szCs w:val="1"/>
                <w:color w:val="auto"/>
              </w:rPr>
            </w:pPr>
          </w:p>
        </w:tc>
      </w:tr>
      <w:tr>
        <w:trPr>
          <w:trHeight w:val="412"/>
        </w:trPr>
        <w:tc>
          <w:tcPr>
            <w:tcW w:w="3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“Additional Restricted Notes”</w:t>
            </w:r>
          </w:p>
        </w:tc>
        <w:tc>
          <w:tcPr>
            <w:tcW w:w="44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3.8(a)</w:t>
            </w:r>
          </w:p>
        </w:tc>
        <w:tc>
          <w:tcPr>
            <w:tcW w:w="0" w:type="dxa"/>
            <w:vAlign w:val="bottom"/>
          </w:tcPr>
          <w:p>
            <w:pPr>
              <w:spacing w:after="0" w:line="20" w:lineRule="exact"/>
              <w:rPr>
                <w:sz w:val="1"/>
                <w:szCs w:val="1"/>
                <w:color w:val="auto"/>
              </w:rPr>
            </w:pPr>
          </w:p>
        </w:tc>
      </w:tr>
      <w:tr>
        <w:trPr>
          <w:trHeight w:val="412"/>
        </w:trPr>
        <w:tc>
          <w:tcPr>
            <w:tcW w:w="3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“Affiliate Transaction”</w:t>
            </w:r>
          </w:p>
        </w:tc>
        <w:tc>
          <w:tcPr>
            <w:tcW w:w="44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2.1(e)(2)</w:t>
            </w:r>
          </w:p>
        </w:tc>
        <w:tc>
          <w:tcPr>
            <w:tcW w:w="0" w:type="dxa"/>
            <w:vAlign w:val="bottom"/>
          </w:tcPr>
          <w:p>
            <w:pPr>
              <w:spacing w:after="0" w:line="20" w:lineRule="exact"/>
              <w:rPr>
                <w:sz w:val="1"/>
                <w:szCs w:val="1"/>
                <w:color w:val="auto"/>
              </w:rPr>
            </w:pPr>
          </w:p>
        </w:tc>
      </w:tr>
      <w:tr>
        <w:trPr>
          <w:trHeight w:val="412"/>
        </w:trPr>
        <w:tc>
          <w:tcPr>
            <w:tcW w:w="3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“Agent Members”</w:t>
            </w:r>
          </w:p>
        </w:tc>
        <w:tc>
          <w:tcPr>
            <w:tcW w:w="44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7280" w:type="dxa"/>
            <w:vAlign w:val="bottom"/>
            <w:gridSpan w:val="2"/>
            <w:vMerge w:val="restart"/>
          </w:tcPr>
          <w:p>
            <w:pPr>
              <w:jc w:val="center"/>
              <w:ind w:left="4390"/>
              <w:spacing w:after="0"/>
              <w:rPr>
                <w:sz w:val="20"/>
                <w:szCs w:val="20"/>
                <w:color w:val="auto"/>
              </w:rPr>
            </w:pPr>
            <w:r>
              <w:rPr>
                <w:rFonts w:ascii="Times New Roman" w:cs="Times New Roman" w:eastAsia="Times New Roman" w:hAnsi="Times New Roman"/>
                <w:sz w:val="18"/>
                <w:szCs w:val="18"/>
                <w:b w:val="1"/>
                <w:bCs w:val="1"/>
                <w:color w:val="auto"/>
              </w:rPr>
              <w:t>8.4(1)</w:t>
            </w:r>
          </w:p>
        </w:tc>
        <w:tc>
          <w:tcPr>
            <w:tcW w:w="0" w:type="dxa"/>
            <w:vAlign w:val="bottom"/>
          </w:tcPr>
          <w:p>
            <w:pPr>
              <w:spacing w:after="0" w:line="20" w:lineRule="exact"/>
              <w:rPr>
                <w:sz w:val="1"/>
                <w:szCs w:val="1"/>
                <w:color w:val="auto"/>
              </w:rPr>
            </w:pPr>
          </w:p>
        </w:tc>
      </w:tr>
      <w:tr>
        <w:trPr>
          <w:trHeight w:val="412"/>
        </w:trPr>
        <w:tc>
          <w:tcPr>
            <w:tcW w:w="3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“Applicable Premium Deficit”</w:t>
            </w:r>
          </w:p>
        </w:tc>
        <w:tc>
          <w:tcPr>
            <w:tcW w:w="72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560" w:type="dxa"/>
            <w:vAlign w:val="bottom"/>
            <w:gridSpan w:val="6"/>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“Cash Equivalents”</w:t>
            </w:r>
          </w:p>
        </w:tc>
        <w:tc>
          <w:tcPr>
            <w:tcW w:w="0" w:type="dxa"/>
            <w:vAlign w:val="bottom"/>
          </w:tcPr>
          <w:p>
            <w:pPr>
              <w:spacing w:after="0" w:line="20" w:lineRule="exact"/>
              <w:rPr>
                <w:sz w:val="1"/>
                <w:szCs w:val="1"/>
                <w:color w:val="auto"/>
              </w:rPr>
            </w:pPr>
          </w:p>
        </w:tc>
      </w:tr>
      <w:tr>
        <w:trPr>
          <w:trHeight w:val="412"/>
        </w:trPr>
        <w:tc>
          <w:tcPr>
            <w:tcW w:w="3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“Approved Foreign Bank”</w:t>
            </w:r>
          </w:p>
        </w:tc>
        <w:tc>
          <w:tcPr>
            <w:tcW w:w="44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560" w:type="dxa"/>
            <w:vAlign w:val="bottom"/>
            <w:gridSpan w:val="6"/>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3.5(a)</w:t>
            </w:r>
          </w:p>
        </w:tc>
        <w:tc>
          <w:tcPr>
            <w:tcW w:w="0" w:type="dxa"/>
            <w:vAlign w:val="bottom"/>
          </w:tcPr>
          <w:p>
            <w:pPr>
              <w:spacing w:after="0" w:line="20" w:lineRule="exact"/>
              <w:rPr>
                <w:sz w:val="1"/>
                <w:szCs w:val="1"/>
                <w:color w:val="auto"/>
              </w:rPr>
            </w:pPr>
          </w:p>
        </w:tc>
      </w:tr>
      <w:tr>
        <w:trPr>
          <w:trHeight w:val="412"/>
        </w:trPr>
        <w:tc>
          <w:tcPr>
            <w:tcW w:w="3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“Asset Disposition Offer”</w:t>
            </w:r>
          </w:p>
        </w:tc>
        <w:tc>
          <w:tcPr>
            <w:tcW w:w="4480" w:type="dxa"/>
            <w:vAlign w:val="bottom"/>
          </w:tcPr>
          <w:p>
            <w:pPr>
              <w:spacing w:after="0"/>
              <w:rPr>
                <w:sz w:val="24"/>
                <w:szCs w:val="24"/>
                <w:color w:val="auto"/>
              </w:rPr>
            </w:pPr>
          </w:p>
        </w:tc>
        <w:tc>
          <w:tcPr>
            <w:tcW w:w="2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560" w:type="dxa"/>
            <w:vAlign w:val="bottom"/>
            <w:gridSpan w:val="6"/>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7280" w:type="dxa"/>
            <w:vAlign w:val="bottom"/>
            <w:gridSpan w:val="2"/>
            <w:vMerge w:val="restart"/>
          </w:tcPr>
          <w:p>
            <w:pPr>
              <w:jc w:val="center"/>
              <w:ind w:left="4370"/>
              <w:spacing w:after="0"/>
              <w:rPr>
                <w:sz w:val="20"/>
                <w:szCs w:val="20"/>
                <w:color w:val="auto"/>
              </w:rPr>
            </w:pPr>
            <w:r>
              <w:rPr>
                <w:rFonts w:ascii="Times New Roman" w:cs="Times New Roman" w:eastAsia="Times New Roman" w:hAnsi="Times New Roman"/>
                <w:sz w:val="18"/>
                <w:szCs w:val="18"/>
                <w:b w:val="1"/>
                <w:bCs w:val="1"/>
                <w:color w:val="auto"/>
                <w:w w:val="97"/>
              </w:rPr>
              <w:t>2.2</w:t>
            </w:r>
          </w:p>
        </w:tc>
        <w:tc>
          <w:tcPr>
            <w:tcW w:w="0" w:type="dxa"/>
            <w:vAlign w:val="bottom"/>
          </w:tcPr>
          <w:p>
            <w:pPr>
              <w:spacing w:after="0" w:line="20" w:lineRule="exact"/>
              <w:rPr>
                <w:sz w:val="1"/>
                <w:szCs w:val="1"/>
                <w:color w:val="auto"/>
              </w:rPr>
            </w:pPr>
          </w:p>
        </w:tc>
      </w:tr>
      <w:tr>
        <w:trPr>
          <w:trHeight w:val="412"/>
        </w:trPr>
        <w:tc>
          <w:tcPr>
            <w:tcW w:w="3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“Authenticating Agent”</w:t>
            </w:r>
          </w:p>
        </w:tc>
        <w:tc>
          <w:tcPr>
            <w:tcW w:w="72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0" w:type="dxa"/>
            <w:vAlign w:val="bottom"/>
            <w:tcBorders>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jc w:val="right"/>
              <w:ind w:right="2630"/>
              <w:spacing w:after="0"/>
              <w:rPr>
                <w:sz w:val="20"/>
                <w:szCs w:val="20"/>
                <w:color w:val="auto"/>
              </w:rPr>
            </w:pPr>
            <w:r>
              <w:rPr>
                <w:rFonts w:ascii="Times New Roman" w:cs="Times New Roman" w:eastAsia="Times New Roman" w:hAnsi="Times New Roman"/>
                <w:sz w:val="18"/>
                <w:szCs w:val="18"/>
                <w:color w:val="auto"/>
              </w:rPr>
              <w:t>50</w:t>
            </w:r>
          </w:p>
        </w:tc>
        <w:tc>
          <w:tcPr>
            <w:tcW w:w="2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“Change of Control Triggering Event Offer”</w:t>
            </w:r>
          </w:p>
        </w:tc>
        <w:tc>
          <w:tcPr>
            <w:tcW w:w="6560" w:type="dxa"/>
            <w:vAlign w:val="bottom"/>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rPr>
              <w:t>3.9(a)</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560" w:type="dxa"/>
            <w:vAlign w:val="bottom"/>
            <w:vMerge w:val="restart"/>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rPr>
              <w:t>3.9(a)</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“Change of Control Triggering Event Payment”</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3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560" w:type="dxa"/>
            <w:vAlign w:val="bottom"/>
            <w:vMerge w:val="restart"/>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w w:val="99"/>
              </w:rPr>
              <w:t>3.9(a)(2)</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“Change of Control Triggering Event Payment Date”</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50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560" w:type="dxa"/>
            <w:vAlign w:val="bottom"/>
            <w:vMerge w:val="restart"/>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w w:val="98"/>
              </w:rPr>
              <w:t>2.1(b)</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“Clearstream”</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560" w:type="dxa"/>
            <w:vAlign w:val="bottom"/>
            <w:vMerge w:val="restart"/>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w w:val="97"/>
              </w:rPr>
              <w:t>8.3</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“Covenant Defeasance”</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560" w:type="dxa"/>
            <w:vAlign w:val="bottom"/>
            <w:vMerge w:val="restart"/>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rPr>
              <w:t>3.5(a)</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“Declined Excess Proceeds”</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560" w:type="dxa"/>
            <w:vAlign w:val="bottom"/>
            <w:vMerge w:val="restart"/>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rPr>
              <w:t>6.1(a)</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“Default Direction”</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560" w:type="dxa"/>
            <w:vAlign w:val="bottom"/>
            <w:vMerge w:val="restart"/>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rPr>
              <w:t>2.15</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“Defaulted Interest”</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560" w:type="dxa"/>
            <w:vAlign w:val="bottom"/>
            <w:vMerge w:val="restart"/>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rPr>
              <w:t>6.1(a)</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“Directing Holder”</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560" w:type="dxa"/>
            <w:vAlign w:val="bottom"/>
            <w:vMerge w:val="restart"/>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w w:val="99"/>
              </w:rPr>
              <w:t>“Consolidated Net Income”</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“equity incentives”</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560" w:type="dxa"/>
            <w:vAlign w:val="bottom"/>
            <w:vMerge w:val="restart"/>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w w:val="98"/>
              </w:rPr>
              <w:t>2.1(b)</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“Euroclear”</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560" w:type="dxa"/>
            <w:vAlign w:val="bottom"/>
            <w:vMerge w:val="restart"/>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rPr>
              <w:t>6.1(a)</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“Event of Default”</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560" w:type="dxa"/>
            <w:vAlign w:val="bottom"/>
            <w:vMerge w:val="restart"/>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rPr>
              <w:t>3.5(a)</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“Excess Proceeds”</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560" w:type="dxa"/>
            <w:vAlign w:val="bottom"/>
            <w:vMerge w:val="restart"/>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w w:val="99"/>
              </w:rPr>
              <w:t>“Fixed Charge Coverage Ratio”</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“Fixed Charge Coverage Ratio Calculation Date”</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680" w:type="dxa"/>
            <w:vAlign w:val="bottom"/>
            <w:tcBorders>
              <w:left w:val="single" w:sz="8" w:color="auto"/>
            </w:tcBorders>
            <w:gridSpan w:val="4"/>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6560" w:type="dxa"/>
            <w:vAlign w:val="bottom"/>
            <w:vMerge w:val="restart"/>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rPr>
              <w:t>3.5(c)(i)</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“Foreign Disposition”</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6560" w:type="dxa"/>
            <w:vAlign w:val="bottom"/>
            <w:vMerge w:val="restart"/>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w w:val="98"/>
              </w:rPr>
              <w:t>2.1(b)</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“Global Notes”</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6560" w:type="dxa"/>
            <w:vAlign w:val="bottom"/>
            <w:vMerge w:val="restart"/>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rPr>
              <w:t>2.1(d)(2)</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“Global Note Legend”</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6560" w:type="dxa"/>
            <w:vAlign w:val="bottom"/>
            <w:vMerge w:val="restart"/>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rPr>
              <w:t>10.1</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“Guaranteed Obligations”</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6560" w:type="dxa"/>
            <w:vAlign w:val="bottom"/>
            <w:vMerge w:val="restart"/>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w w:val="97"/>
              </w:rPr>
              <w:t>3.6</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“Increased Amount”</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6560" w:type="dxa"/>
            <w:vAlign w:val="bottom"/>
            <w:vMerge w:val="restart"/>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w w:val="99"/>
              </w:rPr>
              <w:t>3.4(b)(16)</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“Initial Agreement”</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6560" w:type="dxa"/>
            <w:vAlign w:val="bottom"/>
            <w:vMerge w:val="restart"/>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w w:val="98"/>
              </w:rPr>
              <w:t>6.1(c)</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“Initial Default”</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6560" w:type="dxa"/>
            <w:vAlign w:val="bottom"/>
            <w:vMerge w:val="restart"/>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w w:val="97"/>
              </w:rPr>
              <w:t>2.2</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“Issuer Order”</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9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6560" w:type="dxa"/>
            <w:vAlign w:val="bottom"/>
            <w:vMerge w:val="restart"/>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w w:val="98"/>
              </w:rPr>
              <w:t>13.18</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“Judgment Currency”</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4"/>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6560" w:type="dxa"/>
            <w:vAlign w:val="bottom"/>
            <w:vMerge w:val="restart"/>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w w:val="98"/>
              </w:rPr>
              <w:t>1.3(c)</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“LCT Election”</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6560" w:type="dxa"/>
            <w:vAlign w:val="bottom"/>
            <w:vMerge w:val="restart"/>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w w:val="98"/>
              </w:rPr>
              <w:t>1.3(c)</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“LCT Public Offer”</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4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6560" w:type="dxa"/>
            <w:vAlign w:val="bottom"/>
            <w:vMerge w:val="restart"/>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w w:val="98"/>
              </w:rPr>
              <w:t>1.3(c)</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“LCT Test Date”</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4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6560" w:type="dxa"/>
            <w:vAlign w:val="bottom"/>
            <w:vMerge w:val="restart"/>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w w:val="97"/>
              </w:rPr>
              <w:t>8.2</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“Legal Defeasance”</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4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6560" w:type="dxa"/>
            <w:vAlign w:val="bottom"/>
            <w:vMerge w:val="restart"/>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rPr>
              <w:t>13.6</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“Legal Holiday”</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40" w:type="dxa"/>
            <w:vAlign w:val="bottom"/>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6560" w:type="dxa"/>
            <w:vAlign w:val="bottom"/>
            <w:vMerge w:val="restart"/>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w w:val="97"/>
              </w:rPr>
              <w:t>2.3</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“Notes Register”</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80" w:type="dxa"/>
            <w:vAlign w:val="bottom"/>
            <w:gridSpan w:val="6"/>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6560" w:type="dxa"/>
            <w:vAlign w:val="bottom"/>
            <w:vMerge w:val="restart"/>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rPr>
              <w:t>6.1(a)</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“Noteholder Direction”</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0" w:type="dxa"/>
            <w:vAlign w:val="bottom"/>
            <w:tcBorders>
              <w:right w:val="single" w:sz="8" w:color="auto"/>
            </w:tcBorders>
            <w:gridSpan w:val="7"/>
            <w:shd w:val="clear" w:color="auto" w:fill="000000"/>
          </w:tcPr>
          <w:p>
            <w:pPr>
              <w:spacing w:after="0" w:line="20" w:lineRule="exact"/>
              <w:rPr>
                <w:sz w:val="1"/>
                <w:szCs w:val="1"/>
                <w:color w:val="auto"/>
              </w:rPr>
            </w:pPr>
          </w:p>
        </w:tc>
        <w:tc>
          <w:tcPr>
            <w:tcW w:w="340" w:type="dxa"/>
            <w:vAlign w:val="bottom"/>
            <w:tcBorders>
              <w:left w:val="single" w:sz="8" w:color="auto"/>
            </w:tcBorders>
            <w:gridSpan w:val="4"/>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6560" w:type="dxa"/>
            <w:vAlign w:val="bottom"/>
            <w:vMerge w:val="restart"/>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rPr>
              <w:t>“Derivative Instrument”</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“Performance References”</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0" w:type="dxa"/>
            <w:vAlign w:val="bottom"/>
            <w:tcBorders>
              <w:right w:val="single" w:sz="8" w:color="auto"/>
            </w:tcBorders>
            <w:gridSpan w:val="7"/>
            <w:shd w:val="clear" w:color="auto" w:fill="000000"/>
          </w:tcPr>
          <w:p>
            <w:pPr>
              <w:spacing w:after="0" w:line="20" w:lineRule="exact"/>
              <w:rPr>
                <w:sz w:val="1"/>
                <w:szCs w:val="1"/>
                <w:color w:val="auto"/>
              </w:rPr>
            </w:pPr>
          </w:p>
        </w:tc>
        <w:tc>
          <w:tcPr>
            <w:tcW w:w="520" w:type="dxa"/>
            <w:vAlign w:val="bottom"/>
            <w:tcBorders>
              <w:left w:val="single" w:sz="8" w:color="auto"/>
            </w:tcBorders>
            <w:gridSpan w:val="5"/>
            <w:shd w:val="clear" w:color="auto" w:fill="000000"/>
          </w:tcPr>
          <w:p>
            <w:pPr>
              <w:spacing w:after="0" w:line="20" w:lineRule="exact"/>
              <w:rPr>
                <w:sz w:val="1"/>
                <w:szCs w:val="1"/>
                <w:color w:val="auto"/>
              </w:rPr>
            </w:pPr>
          </w:p>
        </w:tc>
        <w:tc>
          <w:tcPr>
            <w:tcW w:w="2880" w:type="dxa"/>
            <w:vAlign w:val="bottom"/>
            <w:tcBorders>
              <w:left w:val="single" w:sz="8" w:color="auto"/>
            </w:tcBorders>
            <w:gridSpan w:val="6"/>
          </w:tcPr>
          <w:p>
            <w:pPr>
              <w:spacing w:after="0" w:line="20" w:lineRule="exact"/>
              <w:rPr>
                <w:sz w:val="1"/>
                <w:szCs w:val="1"/>
                <w:color w:val="auto"/>
              </w:rPr>
            </w:pPr>
          </w:p>
        </w:tc>
        <w:tc>
          <w:tcPr>
            <w:tcW w:w="6560" w:type="dxa"/>
            <w:vAlign w:val="bottom"/>
            <w:vMerge w:val="restart"/>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rPr>
              <w:t>6.1(a)</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“Position Representation”</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0" w:type="dxa"/>
            <w:vAlign w:val="bottom"/>
            <w:tcBorders>
              <w:right w:val="single" w:sz="8" w:color="auto"/>
            </w:tcBorders>
            <w:gridSpan w:val="7"/>
            <w:shd w:val="clear" w:color="auto" w:fill="000000"/>
          </w:tcPr>
          <w:p>
            <w:pPr>
              <w:spacing w:after="0" w:line="20" w:lineRule="exact"/>
              <w:rPr>
                <w:sz w:val="1"/>
                <w:szCs w:val="1"/>
                <w:color w:val="auto"/>
              </w:rPr>
            </w:pPr>
          </w:p>
        </w:tc>
        <w:tc>
          <w:tcPr>
            <w:tcW w:w="520" w:type="dxa"/>
            <w:vAlign w:val="bottom"/>
            <w:tcBorders>
              <w:left w:val="single" w:sz="8" w:color="auto"/>
            </w:tcBorders>
            <w:gridSpan w:val="5"/>
            <w:shd w:val="clear" w:color="auto" w:fill="000000"/>
          </w:tcPr>
          <w:p>
            <w:pPr>
              <w:spacing w:after="0" w:line="20" w:lineRule="exact"/>
              <w:rPr>
                <w:sz w:val="1"/>
                <w:szCs w:val="1"/>
                <w:color w:val="auto"/>
              </w:rPr>
            </w:pPr>
          </w:p>
        </w:tc>
        <w:tc>
          <w:tcPr>
            <w:tcW w:w="2880" w:type="dxa"/>
            <w:vAlign w:val="bottom"/>
            <w:gridSpan w:val="6"/>
          </w:tcPr>
          <w:p>
            <w:pPr>
              <w:spacing w:after="0" w:line="20" w:lineRule="exact"/>
              <w:rPr>
                <w:sz w:val="1"/>
                <w:szCs w:val="1"/>
                <w:color w:val="auto"/>
              </w:rPr>
            </w:pPr>
          </w:p>
        </w:tc>
        <w:tc>
          <w:tcPr>
            <w:tcW w:w="6560" w:type="dxa"/>
            <w:vAlign w:val="bottom"/>
            <w:vMerge w:val="restart"/>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rPr>
              <w:t>“Contingent Obligations”</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“primary obligations”</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0" w:type="dxa"/>
            <w:vAlign w:val="bottom"/>
            <w:tcBorders>
              <w:right w:val="single" w:sz="8" w:color="auto"/>
            </w:tcBorders>
            <w:gridSpan w:val="7"/>
            <w:shd w:val="clear" w:color="auto" w:fill="000000"/>
          </w:tcPr>
          <w:p>
            <w:pPr>
              <w:spacing w:after="0" w:line="20" w:lineRule="exact"/>
              <w:rPr>
                <w:sz w:val="1"/>
                <w:szCs w:val="1"/>
                <w:color w:val="auto"/>
              </w:rPr>
            </w:pPr>
          </w:p>
        </w:tc>
        <w:tc>
          <w:tcPr>
            <w:tcW w:w="220" w:type="dxa"/>
            <w:vAlign w:val="bottom"/>
            <w:tcBorders>
              <w:left w:val="single" w:sz="8" w:color="auto"/>
            </w:tcBorders>
            <w:gridSpan w:val="3"/>
            <w:shd w:val="clear" w:color="auto" w:fill="000000"/>
          </w:tcPr>
          <w:p>
            <w:pPr>
              <w:spacing w:after="0" w:line="20" w:lineRule="exact"/>
              <w:rPr>
                <w:sz w:val="1"/>
                <w:szCs w:val="1"/>
                <w:color w:val="auto"/>
              </w:rPr>
            </w:pPr>
          </w:p>
        </w:tc>
        <w:tc>
          <w:tcPr>
            <w:tcW w:w="3180" w:type="dxa"/>
            <w:vAlign w:val="bottom"/>
            <w:gridSpan w:val="8"/>
          </w:tcPr>
          <w:p>
            <w:pPr>
              <w:spacing w:after="0" w:line="20" w:lineRule="exact"/>
              <w:rPr>
                <w:sz w:val="1"/>
                <w:szCs w:val="1"/>
                <w:color w:val="auto"/>
              </w:rPr>
            </w:pPr>
          </w:p>
        </w:tc>
        <w:tc>
          <w:tcPr>
            <w:tcW w:w="6560" w:type="dxa"/>
            <w:vAlign w:val="bottom"/>
            <w:vMerge w:val="restart"/>
          </w:tcPr>
          <w:p>
            <w:pPr>
              <w:jc w:val="center"/>
              <w:ind w:left="3650"/>
              <w:spacing w:after="0"/>
              <w:rPr>
                <w:sz w:val="20"/>
                <w:szCs w:val="20"/>
                <w:color w:val="auto"/>
              </w:rPr>
            </w:pPr>
            <w:r>
              <w:rPr>
                <w:rFonts w:ascii="Times New Roman" w:cs="Times New Roman" w:eastAsia="Times New Roman" w:hAnsi="Times New Roman"/>
                <w:sz w:val="18"/>
                <w:szCs w:val="18"/>
                <w:b w:val="1"/>
                <w:bCs w:val="1"/>
                <w:color w:val="auto"/>
              </w:rPr>
              <w:t>“Contingent Obligations”</w:t>
            </w:r>
          </w:p>
        </w:tc>
        <w:tc>
          <w:tcPr>
            <w:tcW w:w="0" w:type="dxa"/>
            <w:vAlign w:val="bottom"/>
          </w:tcPr>
          <w:p>
            <w:pPr>
              <w:spacing w:after="0" w:line="20" w:lineRule="exact"/>
              <w:rPr>
                <w:sz w:val="1"/>
                <w:szCs w:val="1"/>
                <w:color w:val="auto"/>
              </w:rPr>
            </w:pPr>
          </w:p>
        </w:tc>
      </w:tr>
      <w:tr>
        <w:trPr>
          <w:trHeight w:val="412"/>
        </w:trPr>
        <w:tc>
          <w:tcPr>
            <w:tcW w:w="46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“primary obligor”</w:t>
            </w:r>
          </w:p>
        </w:tc>
        <w:tc>
          <w:tcPr>
            <w:tcW w:w="65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0" w:type="dxa"/>
            <w:vAlign w:val="bottom"/>
            <w:tcBorders>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jc w:val="right"/>
              <w:ind w:right="543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bl>
    <w:p>
      <w:pPr>
        <w:sectPr>
          <w:pgSz w:w="11900" w:h="16838" w:orient="portrait"/>
          <w:cols w:equalWidth="0" w:num="1">
            <w:col w:w="11240"/>
          </w:cols>
          <w:pgMar w:left="320" w:top="675" w:right="339" w:bottom="649"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“protected purchaser”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2.11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5.7(a)</w:t>
            </w:r>
          </w:p>
        </w:tc>
        <w:tc>
          <w:tcPr>
            <w:tcW w:w="0" w:type="dxa"/>
            <w:vAlign w:val="bottom"/>
          </w:tcPr>
          <w:p>
            <w:pPr>
              <w:spacing w:after="0" w:line="20" w:lineRule="exact"/>
              <w:rPr>
                <w:sz w:val="1"/>
                <w:szCs w:val="1"/>
                <w:color w:val="auto"/>
              </w:rPr>
            </w:pPr>
          </w:p>
        </w:tc>
      </w:tr>
      <w:tr>
        <w:trPr>
          <w:trHeight w:val="412"/>
        </w:trPr>
        <w:tc>
          <w:tcPr>
            <w:tcW w:w="8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“Redemption Date”</w:t>
            </w:r>
          </w:p>
        </w:tc>
        <w:tc>
          <w:tcPr>
            <w:tcW w:w="2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2.3</w:t>
            </w:r>
          </w:p>
        </w:tc>
        <w:tc>
          <w:tcPr>
            <w:tcW w:w="0" w:type="dxa"/>
            <w:vAlign w:val="bottom"/>
          </w:tcPr>
          <w:p>
            <w:pPr>
              <w:spacing w:after="0" w:line="20" w:lineRule="exact"/>
              <w:rPr>
                <w:sz w:val="1"/>
                <w:szCs w:val="1"/>
                <w:color w:val="auto"/>
              </w:rPr>
            </w:pPr>
          </w:p>
        </w:tc>
      </w:tr>
      <w:tr>
        <w:trPr>
          <w:trHeight w:val="412"/>
        </w:trPr>
        <w:tc>
          <w:tcPr>
            <w:tcW w:w="8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“Registrar”</w:t>
            </w:r>
          </w:p>
        </w:tc>
        <w:tc>
          <w:tcPr>
            <w:tcW w:w="2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2.1(b)</w:t>
            </w:r>
          </w:p>
        </w:tc>
        <w:tc>
          <w:tcPr>
            <w:tcW w:w="0" w:type="dxa"/>
            <w:vAlign w:val="bottom"/>
          </w:tcPr>
          <w:p>
            <w:pPr>
              <w:spacing w:after="0" w:line="20" w:lineRule="exact"/>
              <w:rPr>
                <w:sz w:val="1"/>
                <w:szCs w:val="1"/>
                <w:color w:val="auto"/>
              </w:rPr>
            </w:pPr>
          </w:p>
        </w:tc>
      </w:tr>
      <w:tr>
        <w:trPr>
          <w:trHeight w:val="412"/>
        </w:trPr>
        <w:tc>
          <w:tcPr>
            <w:tcW w:w="8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“Regulation S Global Note”</w:t>
            </w:r>
          </w:p>
        </w:tc>
        <w:tc>
          <w:tcPr>
            <w:tcW w:w="2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2.1(b)</w:t>
            </w:r>
          </w:p>
        </w:tc>
        <w:tc>
          <w:tcPr>
            <w:tcW w:w="0" w:type="dxa"/>
            <w:vAlign w:val="bottom"/>
          </w:tcPr>
          <w:p>
            <w:pPr>
              <w:spacing w:after="0" w:line="20" w:lineRule="exact"/>
              <w:rPr>
                <w:sz w:val="1"/>
                <w:szCs w:val="1"/>
                <w:color w:val="auto"/>
              </w:rPr>
            </w:pPr>
          </w:p>
        </w:tc>
      </w:tr>
      <w:tr>
        <w:trPr>
          <w:trHeight w:val="412"/>
        </w:trPr>
        <w:tc>
          <w:tcPr>
            <w:tcW w:w="8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“Regulation S Notes”</w:t>
            </w:r>
          </w:p>
        </w:tc>
        <w:tc>
          <w:tcPr>
            <w:tcW w:w="2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2.6(b)</w:t>
            </w:r>
          </w:p>
        </w:tc>
        <w:tc>
          <w:tcPr>
            <w:tcW w:w="0" w:type="dxa"/>
            <w:vAlign w:val="bottom"/>
          </w:tcPr>
          <w:p>
            <w:pPr>
              <w:spacing w:after="0" w:line="20" w:lineRule="exact"/>
              <w:rPr>
                <w:sz w:val="1"/>
                <w:szCs w:val="1"/>
                <w:color w:val="auto"/>
              </w:rPr>
            </w:pPr>
          </w:p>
        </w:tc>
      </w:tr>
      <w:tr>
        <w:trPr>
          <w:trHeight w:val="412"/>
        </w:trPr>
        <w:tc>
          <w:tcPr>
            <w:tcW w:w="8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“Resale Restriction Termination Date”</w:t>
            </w:r>
          </w:p>
        </w:tc>
        <w:tc>
          <w:tcPr>
            <w:tcW w:w="2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3.2(c)(9)</w:t>
            </w:r>
          </w:p>
        </w:tc>
        <w:tc>
          <w:tcPr>
            <w:tcW w:w="0" w:type="dxa"/>
            <w:vAlign w:val="bottom"/>
          </w:tcPr>
          <w:p>
            <w:pPr>
              <w:spacing w:after="0" w:line="20" w:lineRule="exact"/>
              <w:rPr>
                <w:sz w:val="1"/>
                <w:szCs w:val="1"/>
                <w:color w:val="auto"/>
              </w:rPr>
            </w:pPr>
          </w:p>
        </w:tc>
      </w:tr>
      <w:tr>
        <w:trPr>
          <w:trHeight w:val="412"/>
        </w:trPr>
        <w:tc>
          <w:tcPr>
            <w:tcW w:w="8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“Reserved Indebtedness Amount”</w:t>
            </w:r>
          </w:p>
        </w:tc>
        <w:tc>
          <w:tcPr>
            <w:tcW w:w="2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3.3(a)</w:t>
            </w:r>
          </w:p>
        </w:tc>
        <w:tc>
          <w:tcPr>
            <w:tcW w:w="0" w:type="dxa"/>
            <w:vAlign w:val="bottom"/>
          </w:tcPr>
          <w:p>
            <w:pPr>
              <w:spacing w:after="0" w:line="20" w:lineRule="exact"/>
              <w:rPr>
                <w:sz w:val="1"/>
                <w:szCs w:val="1"/>
                <w:color w:val="auto"/>
              </w:rPr>
            </w:pPr>
          </w:p>
        </w:tc>
      </w:tr>
      <w:tr>
        <w:trPr>
          <w:trHeight w:val="412"/>
        </w:trPr>
        <w:tc>
          <w:tcPr>
            <w:tcW w:w="8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“Restricted Payment”</w:t>
            </w:r>
          </w:p>
        </w:tc>
        <w:tc>
          <w:tcPr>
            <w:tcW w:w="2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2.1(b)</w:t>
            </w:r>
          </w:p>
        </w:tc>
        <w:tc>
          <w:tcPr>
            <w:tcW w:w="0" w:type="dxa"/>
            <w:vAlign w:val="bottom"/>
          </w:tcPr>
          <w:p>
            <w:pPr>
              <w:spacing w:after="0" w:line="20" w:lineRule="exact"/>
              <w:rPr>
                <w:sz w:val="1"/>
                <w:szCs w:val="1"/>
                <w:color w:val="auto"/>
              </w:rPr>
            </w:pPr>
          </w:p>
        </w:tc>
      </w:tr>
      <w:tr>
        <w:trPr>
          <w:trHeight w:val="412"/>
        </w:trPr>
        <w:tc>
          <w:tcPr>
            <w:tcW w:w="8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“Restricted Period”</w:t>
            </w:r>
          </w:p>
        </w:tc>
        <w:tc>
          <w:tcPr>
            <w:tcW w:w="2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3.21</w:t>
            </w:r>
          </w:p>
        </w:tc>
        <w:tc>
          <w:tcPr>
            <w:tcW w:w="0" w:type="dxa"/>
            <w:vAlign w:val="bottom"/>
          </w:tcPr>
          <w:p>
            <w:pPr>
              <w:spacing w:after="0" w:line="20" w:lineRule="exact"/>
              <w:rPr>
                <w:sz w:val="1"/>
                <w:szCs w:val="1"/>
                <w:color w:val="auto"/>
              </w:rPr>
            </w:pPr>
          </w:p>
        </w:tc>
      </w:tr>
      <w:tr>
        <w:trPr>
          <w:trHeight w:val="412"/>
        </w:trPr>
        <w:tc>
          <w:tcPr>
            <w:tcW w:w="8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“Reversion Date”</w:t>
            </w:r>
          </w:p>
        </w:tc>
        <w:tc>
          <w:tcPr>
            <w:tcW w:w="2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2.1(b)</w:t>
            </w:r>
          </w:p>
        </w:tc>
        <w:tc>
          <w:tcPr>
            <w:tcW w:w="0" w:type="dxa"/>
            <w:vAlign w:val="bottom"/>
          </w:tcPr>
          <w:p>
            <w:pPr>
              <w:spacing w:after="0" w:line="20" w:lineRule="exact"/>
              <w:rPr>
                <w:sz w:val="1"/>
                <w:szCs w:val="1"/>
                <w:color w:val="auto"/>
              </w:rPr>
            </w:pPr>
          </w:p>
        </w:tc>
      </w:tr>
      <w:tr>
        <w:trPr>
          <w:trHeight w:val="412"/>
        </w:trPr>
        <w:tc>
          <w:tcPr>
            <w:tcW w:w="8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“Rule 144A Global Note”</w:t>
            </w:r>
          </w:p>
        </w:tc>
        <w:tc>
          <w:tcPr>
            <w:tcW w:w="2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2.1(b)</w:t>
            </w:r>
          </w:p>
        </w:tc>
        <w:tc>
          <w:tcPr>
            <w:tcW w:w="0" w:type="dxa"/>
            <w:vAlign w:val="bottom"/>
          </w:tcPr>
          <w:p>
            <w:pPr>
              <w:spacing w:after="0" w:line="20" w:lineRule="exact"/>
              <w:rPr>
                <w:sz w:val="1"/>
                <w:szCs w:val="1"/>
                <w:color w:val="auto"/>
              </w:rPr>
            </w:pPr>
          </w:p>
        </w:tc>
      </w:tr>
      <w:tr>
        <w:trPr>
          <w:trHeight w:val="412"/>
        </w:trPr>
        <w:tc>
          <w:tcPr>
            <w:tcW w:w="8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“Rule 144A Notes”</w:t>
            </w:r>
          </w:p>
        </w:tc>
        <w:tc>
          <w:tcPr>
            <w:tcW w:w="2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6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2.15(a)</w:t>
            </w:r>
          </w:p>
        </w:tc>
        <w:tc>
          <w:tcPr>
            <w:tcW w:w="0" w:type="dxa"/>
            <w:vAlign w:val="bottom"/>
          </w:tcPr>
          <w:p>
            <w:pPr>
              <w:spacing w:after="0" w:line="20" w:lineRule="exact"/>
              <w:rPr>
                <w:sz w:val="1"/>
                <w:szCs w:val="1"/>
                <w:color w:val="auto"/>
              </w:rPr>
            </w:pPr>
          </w:p>
        </w:tc>
      </w:tr>
      <w:tr>
        <w:trPr>
          <w:trHeight w:val="412"/>
        </w:trPr>
        <w:tc>
          <w:tcPr>
            <w:tcW w:w="8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“Special Interest Payment Date”</w:t>
            </w:r>
          </w:p>
        </w:tc>
        <w:tc>
          <w:tcPr>
            <w:tcW w:w="2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340" w:type="dxa"/>
            <w:vAlign w:val="bottom"/>
            <w:gridSpan w:val="4"/>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580" w:type="dxa"/>
            <w:vAlign w:val="bottom"/>
            <w:tcBorders>
              <w:left w:val="single" w:sz="8" w:color="auto"/>
            </w:tcBorders>
            <w:gridSpan w:val="3"/>
            <w:shd w:val="clear" w:color="auto" w:fill="000000"/>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2.15(a)</w:t>
            </w:r>
          </w:p>
        </w:tc>
        <w:tc>
          <w:tcPr>
            <w:tcW w:w="0" w:type="dxa"/>
            <w:vAlign w:val="bottom"/>
          </w:tcPr>
          <w:p>
            <w:pPr>
              <w:spacing w:after="0" w:line="20" w:lineRule="exact"/>
              <w:rPr>
                <w:sz w:val="1"/>
                <w:szCs w:val="1"/>
                <w:color w:val="auto"/>
              </w:rPr>
            </w:pPr>
          </w:p>
        </w:tc>
      </w:tr>
      <w:tr>
        <w:trPr>
          <w:trHeight w:val="412"/>
        </w:trPr>
        <w:tc>
          <w:tcPr>
            <w:tcW w:w="8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“Special Record Date”</w:t>
            </w:r>
          </w:p>
        </w:tc>
        <w:tc>
          <w:tcPr>
            <w:tcW w:w="2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340" w:type="dxa"/>
            <w:vAlign w:val="bottom"/>
            <w:gridSpan w:val="4"/>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4.1(a)(1)</w:t>
            </w:r>
          </w:p>
        </w:tc>
        <w:tc>
          <w:tcPr>
            <w:tcW w:w="0" w:type="dxa"/>
            <w:vAlign w:val="bottom"/>
          </w:tcPr>
          <w:p>
            <w:pPr>
              <w:spacing w:after="0" w:line="20" w:lineRule="exact"/>
              <w:rPr>
                <w:sz w:val="1"/>
                <w:szCs w:val="1"/>
                <w:color w:val="auto"/>
              </w:rPr>
            </w:pPr>
          </w:p>
        </w:tc>
      </w:tr>
      <w:tr>
        <w:trPr>
          <w:trHeight w:val="412"/>
        </w:trPr>
        <w:tc>
          <w:tcPr>
            <w:tcW w:w="8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“Successor Company”</w:t>
            </w:r>
          </w:p>
        </w:tc>
        <w:tc>
          <w:tcPr>
            <w:tcW w:w="2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340" w:type="dxa"/>
            <w:vAlign w:val="bottom"/>
            <w:gridSpan w:val="4"/>
            <w:shd w:val="clear" w:color="auto" w:fill="000000"/>
          </w:tcPr>
          <w:p>
            <w:pPr>
              <w:spacing w:after="0" w:line="20" w:lineRule="exact"/>
              <w:rPr>
                <w:sz w:val="1"/>
                <w:szCs w:val="1"/>
                <w:color w:val="auto"/>
              </w:rPr>
            </w:pPr>
          </w:p>
        </w:tc>
        <w:tc>
          <w:tcPr>
            <w:tcW w:w="14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3.21</w:t>
            </w:r>
          </w:p>
        </w:tc>
        <w:tc>
          <w:tcPr>
            <w:tcW w:w="0" w:type="dxa"/>
            <w:vAlign w:val="bottom"/>
          </w:tcPr>
          <w:p>
            <w:pPr>
              <w:spacing w:after="0" w:line="20" w:lineRule="exact"/>
              <w:rPr>
                <w:sz w:val="1"/>
                <w:szCs w:val="1"/>
                <w:color w:val="auto"/>
              </w:rPr>
            </w:pPr>
          </w:p>
        </w:tc>
      </w:tr>
      <w:tr>
        <w:trPr>
          <w:trHeight w:val="412"/>
        </w:trPr>
        <w:tc>
          <w:tcPr>
            <w:tcW w:w="8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“Suspended Covenants”</w:t>
            </w:r>
          </w:p>
        </w:tc>
        <w:tc>
          <w:tcPr>
            <w:tcW w:w="2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340" w:type="dxa"/>
            <w:vAlign w:val="bottom"/>
            <w:gridSpan w:val="4"/>
            <w:shd w:val="clear" w:color="auto" w:fill="000000"/>
          </w:tcPr>
          <w:p>
            <w:pPr>
              <w:spacing w:after="0" w:line="20" w:lineRule="exact"/>
              <w:rPr>
                <w:sz w:val="1"/>
                <w:szCs w:val="1"/>
                <w:color w:val="auto"/>
              </w:rPr>
            </w:pPr>
          </w:p>
        </w:tc>
        <w:tc>
          <w:tcPr>
            <w:tcW w:w="260" w:type="dxa"/>
            <w:vAlign w:val="bottom"/>
            <w:tcBorders>
              <w:left w:val="single" w:sz="8" w:color="auto"/>
            </w:tcBorders>
            <w:gridSpan w:val="3"/>
            <w:shd w:val="clear" w:color="auto" w:fill="000000"/>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3.21</w:t>
            </w:r>
          </w:p>
        </w:tc>
        <w:tc>
          <w:tcPr>
            <w:tcW w:w="0" w:type="dxa"/>
            <w:vAlign w:val="bottom"/>
          </w:tcPr>
          <w:p>
            <w:pPr>
              <w:spacing w:after="0" w:line="20" w:lineRule="exact"/>
              <w:rPr>
                <w:sz w:val="1"/>
                <w:szCs w:val="1"/>
                <w:color w:val="auto"/>
              </w:rPr>
            </w:pPr>
          </w:p>
        </w:tc>
      </w:tr>
      <w:tr>
        <w:trPr>
          <w:trHeight w:val="412"/>
        </w:trPr>
        <w:tc>
          <w:tcPr>
            <w:tcW w:w="8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“Suspension Period”</w:t>
            </w:r>
          </w:p>
        </w:tc>
        <w:tc>
          <w:tcPr>
            <w:tcW w:w="2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340" w:type="dxa"/>
            <w:vAlign w:val="bottom"/>
            <w:gridSpan w:val="4"/>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3.3(b)</w:t>
            </w:r>
          </w:p>
        </w:tc>
        <w:tc>
          <w:tcPr>
            <w:tcW w:w="0" w:type="dxa"/>
            <w:vAlign w:val="bottom"/>
          </w:tcPr>
          <w:p>
            <w:pPr>
              <w:spacing w:after="0" w:line="20" w:lineRule="exact"/>
              <w:rPr>
                <w:sz w:val="1"/>
                <w:szCs w:val="1"/>
                <w:color w:val="auto"/>
              </w:rPr>
            </w:pPr>
          </w:p>
        </w:tc>
      </w:tr>
      <w:tr>
        <w:trPr>
          <w:trHeight w:val="412"/>
        </w:trPr>
        <w:tc>
          <w:tcPr>
            <w:tcW w:w="8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“Treasury Capital Stock”</w:t>
            </w:r>
          </w:p>
        </w:tc>
        <w:tc>
          <w:tcPr>
            <w:tcW w:w="2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600" w:type="dxa"/>
            <w:vAlign w:val="bottom"/>
            <w:gridSpan w:val="7"/>
            <w:shd w:val="clear" w:color="auto" w:fill="000000"/>
          </w:tcPr>
          <w:p>
            <w:pPr>
              <w:spacing w:after="0" w:line="20" w:lineRule="exact"/>
              <w:rPr>
                <w:sz w:val="1"/>
                <w:szCs w:val="1"/>
                <w:color w:val="auto"/>
              </w:rPr>
            </w:pPr>
          </w:p>
        </w:tc>
        <w:tc>
          <w:tcPr>
            <w:tcW w:w="1480" w:type="dxa"/>
            <w:vAlign w:val="bottom"/>
            <w:tcBorders>
              <w:left w:val="single" w:sz="8" w:color="auto"/>
            </w:tcBorders>
            <w:gridSpan w:val="6"/>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6.1(a)</w:t>
            </w:r>
          </w:p>
        </w:tc>
        <w:tc>
          <w:tcPr>
            <w:tcW w:w="0" w:type="dxa"/>
            <w:vAlign w:val="bottom"/>
          </w:tcPr>
          <w:p>
            <w:pPr>
              <w:spacing w:after="0" w:line="20" w:lineRule="exact"/>
              <w:rPr>
                <w:sz w:val="1"/>
                <w:szCs w:val="1"/>
                <w:color w:val="auto"/>
              </w:rPr>
            </w:pPr>
          </w:p>
        </w:tc>
      </w:tr>
      <w:tr>
        <w:trPr>
          <w:trHeight w:val="412"/>
        </w:trPr>
        <w:tc>
          <w:tcPr>
            <w:tcW w:w="8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“Verification Covenant”</w:t>
            </w:r>
          </w:p>
        </w:tc>
        <w:tc>
          <w:tcPr>
            <w:tcW w:w="2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600" w:type="dxa"/>
            <w:vAlign w:val="bottom"/>
            <w:gridSpan w:val="7"/>
            <w:shd w:val="clear" w:color="auto" w:fill="000000"/>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8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6.1(a)</w:t>
            </w:r>
          </w:p>
        </w:tc>
        <w:tc>
          <w:tcPr>
            <w:tcW w:w="0" w:type="dxa"/>
            <w:vAlign w:val="bottom"/>
          </w:tcPr>
          <w:p>
            <w:pPr>
              <w:spacing w:after="0" w:line="20" w:lineRule="exact"/>
              <w:rPr>
                <w:sz w:val="1"/>
                <w:szCs w:val="1"/>
                <w:color w:val="auto"/>
              </w:rPr>
            </w:pPr>
          </w:p>
        </w:tc>
      </w:tr>
      <w:tr>
        <w:trPr>
          <w:trHeight w:val="412"/>
        </w:trPr>
        <w:tc>
          <w:tcPr>
            <w:tcW w:w="844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“Verification Covenant Officer’s Certificate”</w:t>
            </w:r>
          </w:p>
        </w:tc>
        <w:tc>
          <w:tcPr>
            <w:tcW w:w="28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5280" w:type="dxa"/>
            <w:vAlign w:val="bottom"/>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00" w:hanging="244"/>
        <w:spacing w:after="0"/>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requires: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means including without limitation;</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words in the plural include the singular;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shall be interpreted to express a command;</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any non-interest bearing or other discount security at any date shall be the principal amount thereof that would be shown on a balance sheet of the Issuer dated such date prepared in accordance with GAAP;</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75" w:right="339" w:bottom="1440" w:gutter="0" w:footer="0" w:header="0"/>
        </w:sectPr>
      </w:pPr>
    </w:p>
    <w:bookmarkStart w:id="60" w:name="page61"/>
    <w:bookmarkEnd w:id="60"/>
    <w:p>
      <w:pPr>
        <w:ind w:firstLine="1304"/>
        <w:spacing w:after="0" w:line="282" w:lineRule="auto"/>
        <w:tabs>
          <w:tab w:leader="none" w:pos="156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any preferred stock shall be (i) the maximum liquidation value of such preferred stock or (ii) the maximum mandatory redemption or mandatory repurchase price with respect to such preferred stock, whichever is greater;</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expressed in this Indenture or in any of the Notes in terms of money refer to the lawful currency of the United States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655"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“hereof” and “hereunder” and other words of similar import refer to this Indenture as a whole and not to any particular Article, Section or other subdivision;</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64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stated, (a) references herein to Articles, Sections and Exhibit mean the Articles and Sections of and Exhibits to this Indenture and (b) each reference herein to a particular Article or Section includes the Sections, subsections and paragraphs subsidiary thereto;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52"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indicated, the term “consolidated” with respect to any Person refers to such Person consolidated with its Restricted Subsidiaries, and excludes from such consolidation any Unrestricted Subsidiary as if such Unrestricted Subsidiary were not an Affiliate of such Person.</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0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in the event an item of Indebtedness (or any portion thereof) is incurred or issued, any Lien is incurred or other transaction is undertaken in reliance on any ratio based exceptions, thresholds and baskets, such ratio(s) shall be calculated with respect to such incurrence, issuance or other transaction without giving effect to amounts being utilized under any other exceptions, thresholds or baskets (other than ratio based exceptions, thresholds and baskets) on the same date. Each item of Indebtedness that is incurred or issued, each Lien incurred and each other transaction undertaken will be deemed to have been incurred, issued or taken first, to the extent available, pursuant to the relevant ratio based test.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herein, in the event an item of Indebtedness (or any portion thereof) is incurred or issued, any Lien is incurred or other transaction is undertaken in reliance on any ratio based exceptions, thresholds and baskets, such ratio(s) shall be calculated without regard to the incurrence of any indebtedness to fund any OID or upfront fees to be paid in connection with the incurrence of such Indebtedness on reliance of such ratio based exception.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calculation or measure that is determined with reference to the Company’s financial statements (including Consolidated EBITDA, Consolidated Interest Expense, Consolidated Net Income, Fixed Charges, Fixed Charge Coverage Ratio, Consolidated Secured Leverage Ratio and Consolidated Total Leverage Ratio) may be determined with reference to the financial statements of a Parent Entity instead, so long as such Parent Entity does not hold any material assets other than, directly or indirectly, the Capital Stock of the Company.</w:t>
      </w:r>
    </w:p>
    <w:p>
      <w:pPr>
        <w:spacing w:after="0" w:line="180" w:lineRule="exact"/>
        <w:rPr>
          <w:sz w:val="20"/>
          <w:szCs w:val="20"/>
          <w:color w:val="auto"/>
        </w:rPr>
      </w:pPr>
    </w:p>
    <w:p>
      <w:pPr>
        <w:jc w:val="both"/>
        <w:ind w:firstLine="656"/>
        <w:spacing w:after="0" w:line="251" w:lineRule="auto"/>
        <w:tabs>
          <w:tab w:leader="none" w:pos="92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calculating the availability under any basket or ratio under this Indenture or compliance with any provision of this Indenture in connection with any Limited Condition Transaction and any actions or transactions related thereto (including acquisitions, Investments, the incurrence, issuance or assumption of Indebtedness and the use of proceeds thereof, the incurrence or creation of Liens, repayments, Restricted Payments and Asset Dispositions), in each case, at the option of the Company (the Company’s election to exercise such option, an “</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the date of determination for availability under any such basket or ratio and whether any such action or transaction is permitted (or any requirement or condition therefor is complied with or satisfied (including as to the absence of any continuing Default or Event of Default)) under this Indenture shall be deemed to be the date (the “</w:t>
      </w:r>
      <w:r>
        <w:rPr>
          <w:rFonts w:ascii="Times New Roman" w:cs="Times New Roman" w:eastAsia="Times New Roman" w:hAnsi="Times New Roman"/>
          <w:sz w:val="18"/>
          <w:szCs w:val="18"/>
          <w:u w:val="single" w:color="auto"/>
          <w:color w:val="auto"/>
        </w:rPr>
        <w:t>LCT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Test Date</w:t>
      </w:r>
      <w:r>
        <w:rPr>
          <w:rFonts w:ascii="Times New Roman" w:cs="Times New Roman" w:eastAsia="Times New Roman" w:hAnsi="Times New Roman"/>
          <w:sz w:val="18"/>
          <w:szCs w:val="18"/>
          <w:color w:val="auto"/>
        </w:rPr>
        <w:t>”) either (a) the definitive agreement for such Limited Condition Transaction is entered into (or, if applicable, the date of delivery of an irrevocable declaration of a Restricted Payment or similar event), or (b) solely in connection with an acquisition to which the United Kingdom City Code on Takeovers and Mergers applies, the date on which a “Rule 2.7 announcement” of a firm intention to make an offer (or equivalent announcement in another jurisdiction) (an “</w:t>
      </w:r>
      <w:r>
        <w:rPr>
          <w:rFonts w:ascii="Times New Roman" w:cs="Times New Roman" w:eastAsia="Times New Roman" w:hAnsi="Times New Roman"/>
          <w:sz w:val="18"/>
          <w:szCs w:val="18"/>
          <w:u w:val="single" w:color="auto"/>
          <w:color w:val="auto"/>
        </w:rPr>
        <w:t>LCT Public Offer</w:t>
      </w:r>
      <w:r>
        <w:rPr>
          <w:rFonts w:ascii="Times New Roman" w:cs="Times New Roman" w:eastAsia="Times New Roman" w:hAnsi="Times New Roman"/>
          <w:sz w:val="18"/>
          <w:szCs w:val="18"/>
          <w:color w:val="auto"/>
        </w:rPr>
        <w:t>”) in respect of a target of a Limited Condition Transaction and, in each case, if, after giving pro forma effect to the Limited Condition Transaction and any actions or transactions related thereto (including acquisitions, Investments, the incurrence, issuance or assumption of Indebtedness and the use of proceeds thereof, the incurrence or creation of Liens, repayments, Restricted Payments and Asset Dispositions) and any related pro forma adjustments, the Company or any of its Restricted Subsidiaries would have been permitted to take such actions or consummate such transactions on the relevant LCT Test Date in compliance with such ratio, test or basket (and any related requirements and conditions), such ratio, test or basket (and any related requirements and conditions) shall be deemed to have been complied with (or satisfied) for all purposes (in the case of Indebtedness, for example, whether such Indebtedness is committed, issued, assumed or incurred at the LCT Test Date or at any time thereafter); provided, that (a) if financial statements for one or more subsequent fiscal quarters shall have become available, the Company may elect, in its sole discretion, to redetermine all such ratios, tests or baskets on the basis of such financial statements, in which case, such date of redetermination shall thereafter be the applicable LCT Test Date for purposes of such ratios, tests or baskets, (b) except as contemplated in the foregoing clause (a), compliance with such ratios, test or baskets (and any related requirements and conditions) shall not be determined or tested at any time after the applicable LCT Test Date for such Limited Condition Transaction and any actions or transaction related thereto (including acquisitions, Investments, the incurrence, issuance or assumption of Indebtedness and the use of proceeds thereof, the incurrence or creation of Liens, repayments, Restricted Payments and Asset Dispositions) and (c) Consolidated Interest Expense for purposes of the Fixed Charge Coverage Ratio will be calculated using an assumed interest rate as reasonably determined by the Company.</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1" w:name="page62"/>
    <w:bookmarkEnd w:id="61"/>
    <w:p>
      <w:pPr>
        <w:jc w:val="both"/>
        <w:spacing w:after="0" w:line="252" w:lineRule="auto"/>
        <w:rPr>
          <w:sz w:val="20"/>
          <w:szCs w:val="20"/>
          <w:color w:val="auto"/>
        </w:rPr>
      </w:pPr>
      <w:r>
        <w:rPr>
          <w:rFonts w:ascii="Times New Roman" w:cs="Times New Roman" w:eastAsia="Times New Roman" w:hAnsi="Times New Roman"/>
          <w:sz w:val="18"/>
          <w:szCs w:val="18"/>
          <w:color w:val="auto"/>
        </w:rPr>
        <w:t>For the avoidance of doubt, if the Company has made an LCT Election, (1) if any of the ratios, tests or baskets for which compliance was determined or tested as of the LCT Test Date would at any time after the LCT Test Date have been exceeded or otherwise failed to have been complied with as a result of fluctuations in any such ratio, test or basket, including due to fluctuations in EBITDA or Total Assets of the Company or the Person subject to such Limited Condition Transaction, such baskets, tests or ratios will not be deemed to have been exceeded or failed to have been complied with as a result of such fluctuations; (2) if any related requirements and conditions (including as to the absence of any continuing Default or Event of Default) for which compliance or satisfaction was determined or tested as of the LCT Test Date would at any time after the LCT Test Date not have been complied with or satisfied (including due to the occurrence or continuation of a Default or Event of Default), such requirements and conditions will not be deemed to have been failed to be complied with or satisfied (and such Default or Event of Default shall be deemed not to have occurred or be continuing); and (3) in calculating the availability under any ratio, test or basket in connection with any action or transaction unrelated to such Limited Condition Transaction following the relevant LCT Test Date and prior to the earlier of the date on which such Limited Condition Transaction is consummated or the date that the definitive agreement or date for redemption, purchase or repayment specified in an irrevocable notice for such Limited Condition Transaction is terminated, expires or passes (or, if applicable, the irrevocable notice is terminated, expires or passes or, as applicable, the offer in respect of an LCT Public Offer for, such acquisition is terminated), as applicable, without consummation of such Limited Condition Transaction, any such ratio, test or basket shall be determined or tested giving pro forma effect to such Limited Condition Transaction.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Form, Dating and Terms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8" w:lineRule="auto"/>
        <w:tabs>
          <w:tab w:leader="none" w:pos="89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Notes that may be authenticated and delivered under this Indenture is unlimited. The Initial Notes issued on the Issue Date will be in an aggregate principal amount of $250,000,000. In addition, the Issuer may issue, from time to time in accordance with the provisions of this Indenture, Additional Notes. Furthermore, Notes may be authenticated and delivered upon registration of transfer, exchange or in lieu of, other Notes pursuant to </w:t>
      </w:r>
      <w:r>
        <w:rPr>
          <w:rFonts w:ascii="Times New Roman" w:cs="Times New Roman" w:eastAsia="Times New Roman" w:hAnsi="Times New Roman"/>
          <w:sz w:val="18"/>
          <w:szCs w:val="18"/>
          <w:u w:val="single" w:color="auto"/>
          <w:color w:val="auto"/>
        </w:rPr>
        <w:t>Sections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9.5</w:t>
      </w:r>
      <w:r>
        <w:rPr>
          <w:rFonts w:ascii="Times New Roman" w:cs="Times New Roman" w:eastAsia="Times New Roman" w:hAnsi="Times New Roman"/>
          <w:sz w:val="18"/>
          <w:szCs w:val="18"/>
          <w:color w:val="auto"/>
        </w:rPr>
        <w:t xml:space="preserve">, in connection with an Asset Disposition Offer pursuant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or in connection with a Change of Control Triggering Event Offer pursuant to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the Issuer may not issue any Additional Notes, unless such issuance is in compliance with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any Additional Notes, the Issuer shall set forth in one or more indentures supplemental hereto, the following information:</w:t>
      </w:r>
    </w:p>
    <w:p>
      <w:pPr>
        <w:spacing w:after="0" w:line="225" w:lineRule="exact"/>
        <w:rPr>
          <w:sz w:val="20"/>
          <w:szCs w:val="20"/>
          <w:color w:val="auto"/>
        </w:rPr>
      </w:pPr>
    </w:p>
    <w:p>
      <w:pPr>
        <w:jc w:val="center"/>
        <w:ind w:left="5540" w:right="1200" w:hanging="4236"/>
        <w:spacing w:after="0" w:line="532" w:lineRule="auto"/>
        <w:tabs>
          <w:tab w:leader="none" w:pos="160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such Additional Notes to be authenticated and delivered pursuant to this Indenture;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ind w:left="1580" w:hanging="276"/>
        <w:spacing w:after="0"/>
        <w:tabs>
          <w:tab w:leader="none" w:pos="1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and the issue date of such Additional Notes, including the date from which interest shall accrue; and</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Additional Notes shall be Restricted Notes.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In authenticating and delivering Additional Notes, the Trustee shall be entitled to receive and shall be fully protected in relying upon, in addition to the Opinion of Counsel and Officer’s Certificate required by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an Opinion of Counsel as to the due authorization, execution, delivery, validity and enforceability of such Additional Notes.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Initial Notes and the Additional Notes shall be considered collectively as a single class for all purposes of this Indenture,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any Additional Notes will not be issued with the same CUSIP, ISIN or other identifying number as the Initial Notes unless such Additional Notes are fungible with the Initial Notes for U.S. federal income tax purposes. Holders of the Initial Notes and the Additional Notes will vote and consent together on all matters to which such Holders are entitled to vote or consent as one class, and none of the Holders of the Initial Notes or the Additional Notes shall have the right to vote or consent as a separate class on any matter to which such Holders are entitled to vote or consent.</w:t>
      </w:r>
    </w:p>
    <w:p>
      <w:pPr>
        <w:spacing w:after="0" w:line="185" w:lineRule="exact"/>
        <w:rPr>
          <w:sz w:val="20"/>
          <w:szCs w:val="20"/>
          <w:color w:val="auto"/>
        </w:rPr>
      </w:pPr>
    </w:p>
    <w:p>
      <w:pPr>
        <w:ind w:left="920" w:hanging="264"/>
        <w:spacing w:after="0"/>
        <w:tabs>
          <w:tab w:leader="none" w:pos="9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Notes and any Additional Notes (if issued as Restricted Notes) (the “</w:t>
      </w:r>
      <w:r>
        <w:rPr>
          <w:rFonts w:ascii="Times New Roman" w:cs="Times New Roman" w:eastAsia="Times New Roman" w:hAnsi="Times New Roman"/>
          <w:sz w:val="18"/>
          <w:szCs w:val="18"/>
          <w:u w:val="single" w:color="auto"/>
          <w:color w:val="auto"/>
        </w:rPr>
        <w:t>Additional Restricted Notes</w:t>
      </w:r>
      <w:r>
        <w:rPr>
          <w:rFonts w:ascii="Times New Roman" w:cs="Times New Roman" w:eastAsia="Times New Roman" w:hAnsi="Times New Roman"/>
          <w:sz w:val="18"/>
          <w:szCs w:val="18"/>
          <w:color w:val="auto"/>
        </w:rPr>
        <w:t>”) will be resold initially only to</w:t>
      </w:r>
    </w:p>
    <w:p>
      <w:pPr>
        <w:spacing w:after="0" w:line="27" w:lineRule="exact"/>
        <w:rPr>
          <w:rFonts w:ascii="Times New Roman" w:cs="Times New Roman" w:eastAsia="Times New Roman" w:hAnsi="Times New Roman"/>
          <w:sz w:val="18"/>
          <w:szCs w:val="18"/>
          <w:color w:val="auto"/>
        </w:rPr>
      </w:pPr>
    </w:p>
    <w:p>
      <w:pPr>
        <w:jc w:val="both"/>
        <w:ind w:firstLine="8"/>
        <w:spacing w:after="0" w:line="253" w:lineRule="auto"/>
        <w:tabs>
          <w:tab w:leader="none" w:pos="30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they reasonably believe to be QIBs in reliance on Rule 144A and (B) Non-U.S. Persons in reliance on Regulation S. Such Initial Notes and Additional Restricted Notes may thereafter be transferred to, among others, persons reasonably believed to be QIBs and purchasers in reliance on Regulation S, in each case, in accordance with the procedure described herein. Additional Notes offered after the date hereof may be offered and sold by the Issuer from time to time pursuant to one or more purchase agreements in accordance with applicable law.</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Initial Notes and Additional Restricted Notes offered and sold to persons reasonably believed to be QIBs in the United States of America in reliance on Rule 144A (the “</w:t>
      </w:r>
      <w:r>
        <w:rPr>
          <w:rFonts w:ascii="Times New Roman" w:cs="Times New Roman" w:eastAsia="Times New Roman" w:hAnsi="Times New Roman"/>
          <w:sz w:val="18"/>
          <w:szCs w:val="18"/>
          <w:u w:val="single" w:color="auto"/>
          <w:color w:val="auto"/>
        </w:rPr>
        <w:t>Rule 144A Notes</w:t>
      </w:r>
      <w:r>
        <w:rPr>
          <w:rFonts w:ascii="Times New Roman" w:cs="Times New Roman" w:eastAsia="Times New Roman" w:hAnsi="Times New Roman"/>
          <w:sz w:val="18"/>
          <w:szCs w:val="18"/>
          <w:color w:val="auto"/>
        </w:rPr>
        <w:t xml:space="preserve">”) shall be issued in the form of a permanent global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which is hereby incorporated by reference and made a part of this Indenture, including appropriate legends as set forth in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Rule 144A Global Note</w:t>
      </w:r>
      <w:r>
        <w:rPr>
          <w:rFonts w:ascii="Times New Roman" w:cs="Times New Roman" w:eastAsia="Times New Roman" w:hAnsi="Times New Roman"/>
          <w:sz w:val="18"/>
          <w:szCs w:val="18"/>
          <w:color w:val="auto"/>
        </w:rPr>
        <w:t>”), deposited with the Trustee, as Notes Custodian for DTC, duly executed by the Issuer and authenticated by the Trustee as hereinafter provided. The Rule 144A Global Note may be represented by more than one certificate if so required by DTC’s rules regarding the maximum principal amount to be represented by a single certificate. The aggregate principal amount of the Rule 144A Global Note may from time to time be increased or decreased by adjustments made on the records of the Trustee, as Notes Custodian for DTC or its nominee, as hereinafter provided.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Initial Notes and any Additional Restricted Notes offered and sold to non-U.S. Persons outside the United States of America (the “</w:t>
      </w:r>
      <w:r>
        <w:rPr>
          <w:rFonts w:ascii="Times New Roman" w:cs="Times New Roman" w:eastAsia="Times New Roman" w:hAnsi="Times New Roman"/>
          <w:sz w:val="18"/>
          <w:szCs w:val="18"/>
          <w:u w:val="single" w:color="auto"/>
          <w:color w:val="auto"/>
        </w:rPr>
        <w:t>Regulation S Notes</w:t>
      </w:r>
      <w:r>
        <w:rPr>
          <w:rFonts w:ascii="Times New Roman" w:cs="Times New Roman" w:eastAsia="Times New Roman" w:hAnsi="Times New Roman"/>
          <w:sz w:val="18"/>
          <w:szCs w:val="18"/>
          <w:color w:val="auto"/>
        </w:rPr>
        <w:t xml:space="preserve">”) in reliance on Regulation S shall be issued in the form of a permanent global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including appropriate legends as set forth in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Regulation S Global Note</w:t>
      </w:r>
      <w:r>
        <w:rPr>
          <w:rFonts w:ascii="Times New Roman" w:cs="Times New Roman" w:eastAsia="Times New Roman" w:hAnsi="Times New Roman"/>
          <w:sz w:val="18"/>
          <w:szCs w:val="18"/>
          <w:color w:val="auto"/>
        </w:rPr>
        <w:t xml:space="preserve">”). Each Regulation S Global Note will be deposited upon issuance with, or on behalf of, the Trustee as Notes Custodian for DTC in the manner described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Prior to the 40th day after the Issue Date (such period through and including such 40th day,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interests in the Regulation S Global Note may only be transferred to non-U.S. persons pursuant to Regulation S, unless exchanged for interests in a Global Note in accordance with the transfer and certification requirements described herein.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the expiration of the Restricted Period, investors may hold their interests in the Regulation S Global Note through organizations other than Euroclear Bank S.A./N.V. (“Euroclear”) or Clearstream Banking, société anonyme (“Clearstream”) that are participants in DTC’s system or directly through Euroclear or Clearstream, if they are participants in such systems, or indirectly through organizations which are participants in such systems. If such interests are held through Euroclear or Clearstream, Euroclear and Clearstream will hold such interests in the applicable Regulation S Global Note on behalf of their participants through customers’ securities accounts in their respective names on the books of their respective depositaries. Such depositaries, in turn, will hold such interests in the applicable Regulation S Global Note in customers’ securities accounts in the depositaries’ names on the books of DTC.</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Regulation S Global Note may be represented by more than one certificate if so required by DTC’s rules regarding the maximum principal amount to be represented by a single certificate. The aggregate principal amount of the Regulation S Global Note may from time to time be increased or decreased by adjustments made on the records of the Trustee, as Notes Custodian for DTC or its nominee, as hereinafter provided.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The Rule 144A Global Note and the Regulation S Global Note are sometimes collectively herein referred to as the “</w:t>
      </w:r>
      <w:r>
        <w:rPr>
          <w:rFonts w:ascii="Times New Roman" w:cs="Times New Roman" w:eastAsia="Times New Roman" w:hAnsi="Times New Roman"/>
          <w:sz w:val="18"/>
          <w:szCs w:val="18"/>
          <w:u w:val="single" w:color="auto"/>
          <w:color w:val="auto"/>
        </w:rPr>
        <w:t>Global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principal of (and premium, if any) and interest on the Notes shall be payable at the office or agency of the Paying Agent designated by the Issuer maintained for such purpose (which shall initially be the office of the Trustee maintained for such purpose), or at such other office or agency of the Issuer as may be maintained for such purpose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the option of the Paying Agent, each installment of interest may be paid by (i) check mailed to addresses of the Persons entitled thereto as such addresses shall appear on the Notes Register or (ii) wire transfer to an account located in the United States maintained by the payee, subject to the last sentence of this paragraph. Payments in respect of Notes represented by a Global Note (including principal, premium, if any, and interest) will be made by wire transfer of immediately available funds to the accounts specified by DTC. Payments in respect of Notes represented by Definitive Notes (including principal, premium, if any, and interest) held by a Holder of at least $1,000,000 aggregate principal amount of Notes represented by Definitive Notes will be made in accordance with the Notes Register, or by wire transfer to a U.S. Dollar account maintained by the payee with a bank in the United States if such Holder elects payment by wire transfer by giving written notice to the Trustee or the Paying Agent to such effect designating such account no later than 15 days immediately preceding the relevant due date for payment (or such other date as the Trustee or Paying Agent, as applicable, may accept in its discretion).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Notes may have notations, legends or endorsements required by law, stock exchange rule or usage, in addition to those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 xml:space="preserve">. The Issuer shall approve any notation, endorsement or legend on the Notes. Each Note shall be dated the date of its authentication. The terms of the Notes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are part of the terms of this Indenture and, to the extent applicable, the Issuer, the Guarantors and the Trustee, by their execution and delivery of this Indenture, or a supplemental indenture to this Indenture, expressly agree to be bound by such terms.</w:t>
      </w:r>
    </w:p>
    <w:p>
      <w:pPr>
        <w:spacing w:after="0" w:line="180" w:lineRule="exact"/>
        <w:rPr>
          <w:sz w:val="20"/>
          <w:szCs w:val="20"/>
          <w:color w:val="auto"/>
        </w:rPr>
      </w:pPr>
    </w:p>
    <w:p>
      <w:pPr>
        <w:ind w:firstLine="656"/>
        <w:spacing w:after="0" w:line="282" w:lineRule="auto"/>
        <w:tabs>
          <w:tab w:leader="none" w:pos="90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w:t>
      </w:r>
      <w:r>
        <w:rPr>
          <w:rFonts w:ascii="Times New Roman" w:cs="Times New Roman" w:eastAsia="Times New Roman" w:hAnsi="Times New Roman"/>
          <w:sz w:val="18"/>
          <w:szCs w:val="18"/>
          <w:color w:val="auto"/>
        </w:rPr>
        <w:t>. The Notes shall be issuable only in fully registered form in minimum denominations of $2,000 and any integral multiple of $1,000 in excess thereof.</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and Global Note Legends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until (i) an Initial Note or an Additional Note issued as a Restricted Note is sold under an effective registration statement or (ii) the Issuer and the Trustee each receive an Opinion of Counsel satisfactory to the Issuer to the effect that neither such legend nor the related restrictions on transfer are required in order to maintain compliance with the provisions of the Securities Act, each Restricted Note shall bear the following legend on the face thereof (the “</w:t>
      </w:r>
      <w:r>
        <w:rPr>
          <w:rFonts w:ascii="Times New Roman" w:cs="Times New Roman" w:eastAsia="Times New Roman" w:hAnsi="Times New Roman"/>
          <w:sz w:val="18"/>
          <w:szCs w:val="18"/>
          <w:u w:val="single" w:color="auto"/>
          <w:color w:val="auto"/>
        </w:rPr>
        <w:t>Restricted Notes Legend</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NOTES HAVE NOT BEEN REGISTERED UNDER THE SECURITIES ACT OF 1933, AS AMENDED (THE “SECURITIES ACT”), OR THE SECURITIES LAWS OF ANY STATE OR OTHER JURISDICTION. NEITHER THIS NOTE NOR ANY INTEREST OR PARTICIPATION HEREIN MAY BE REOFFERED, SOLD, ASSIGNED, TRANSFERRED, PLEDGED, ENCUMBERED OR OTHERWISE DISPOSED OF IN THE ABSENCE OF SUCH REGISTRATION OR UNLESS SUCH TRANSACTION IS EXEMPT FROM, OR NOT SUBJECT TO, REGISTRATION AS SET FORTH BELOW. BY ITS ACQUISITION HEREOF, THE HOLDER (1) REPRESENTS THAT (A) IT IS A “QUALIFIED INSTITUTIONAL BUYER” (AS DEFINED IN RULE 144A UNDER THE SECURITIES ACT (“RULE 144A”)), OR (B) IT IS NOT A U.S. PERSON AND IS ACQUIRING THIS NOTE IN AN OFFSHORE TRANSACTION IN COMPLIANCE WITH REGULATION S UNDER THE SECURITIES ACT (“REGULATION S”), (2) AGREES TO OFFER, SELL, PLEDGE OR OTHERWISE TRANSFER SUCH NOTE PRIOR TO THE DATE THAT IS [IN THE CASE OF RULE 144A NOTES: ONE YEAR] [IN THE CASE OF REGULATION S NOTES: 40 DAYS] AFTER THE LATER OF THE DATE THE NOTES WERE ISSUED AND THE LAST DATE THAT THE ISSUER OR ANY OF ITS AFFILIATES WERE THE OWNER OF THE NOTES OR ANY PREDECESSOR OF THE NOTES ONLY (A) TO THE ISSUER, (B) PURSUANT TO A REGISTRATION STATEMENT WHICH HAS BEEN DECLARED EFFECTIVE UNDER THE SECURITIES ACT, (C) FOR SO LONG AS THE NOTES ARE ELIGIBLE FOR RESALE PURSUANT TO RULE 144A TO A PERSON IT REASONABLY BELIEVES IS A QUALIFIED INSTITUTIONAL BUYER THAT PURCHASES FOR ITS OWN ACCOUNT OR FOR THE ACCOUNT OF A QUALIFIED INSTITUTIONAL BUYER TO WHOM NOTICE IS GIVEN THAT THE TRANSFER IS BEING MADE IN RELIANCE ON RULE 144A, (D) OUTSIDE THE UNITED STATES PURSUANT TO OFFERS AND SALES TO NON-U.S. PERSONS IN AN OFFSHORE TRANSACTION PURSUANT TO REGULATION S IN A TRANSACTION MEETING THE REQUIREMENTS OF RULE 903 OR RULE 904 UNDER THE SECURITIES ACT OR (E) PURSUANT TO ANOTHER AVAILABLE EXEMPTION FROM THE REGISTRATION REQUIREMENTS OF THE SECURITIES ACT, SUBJECT TO THE ISSUER’S OR THE TRUSTEE’S RIGHT PRIOR TO ANY SUCH OFFER, SALE OR TRANSFER PURSUANT TO CLAUSES (D) OR (E) TO REQUIRE THE DELIVERY OF AN OPINION OF COUNSEL, CERTIFICATION AND/OR OTHER INFORMATION SATISFACTORY TO EACH OF THEM.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4" w:name="page65"/>
    <w:bookmarkEnd w:id="64"/>
    <w:p>
      <w:pPr>
        <w:ind w:left="1300"/>
        <w:spacing w:after="0"/>
        <w:rPr>
          <w:sz w:val="20"/>
          <w:szCs w:val="20"/>
          <w:color w:val="auto"/>
        </w:rPr>
      </w:pPr>
      <w:r>
        <w:rPr>
          <w:rFonts w:ascii="Times New Roman" w:cs="Times New Roman" w:eastAsia="Times New Roman" w:hAnsi="Times New Roman"/>
          <w:sz w:val="18"/>
          <w:szCs w:val="18"/>
          <w:color w:val="auto"/>
        </w:rPr>
        <w:t>(2) Each Global Note, whether or not an Initial Note, shall bear the following legend on the face thereof (the “</w:t>
      </w:r>
      <w:r>
        <w:rPr>
          <w:rFonts w:ascii="Times New Roman" w:cs="Times New Roman" w:eastAsia="Times New Roman" w:hAnsi="Times New Roman"/>
          <w:sz w:val="18"/>
          <w:szCs w:val="18"/>
          <w:u w:val="single" w:color="auto"/>
          <w:color w:val="auto"/>
        </w:rPr>
        <w:t>Global Note Legend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NEW YORK, NEW YORK, TO THE ISSUER OR THE AGENT OF THE ISSUER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TRANSFERS OF THIS GLOBAL NOTE SHALL BE LIMITED TO TRANSFERS IN WHOLE, BUT NOT IN PART, TO DTC, TO NOMINEES OF DTC OR TO A SUCCESSOR THEREOF OR SUCH SUCCESSOR’S NOMINEE AND TRANSFERS OF PORTIONS OF THIS GLOBAL NOTE SHALL BE LIMITED TO TRANSFERS MADE IN ACCORDANCE WITH THE RESTRICTIONS SET FORTH IN THE INDENTURE REFERRED TO ON THE REVERSE HEREOF.</w:t>
      </w:r>
    </w:p>
    <w:p>
      <w:pPr>
        <w:spacing w:after="0" w:line="180" w:lineRule="exact"/>
        <w:rPr>
          <w:sz w:val="20"/>
          <w:szCs w:val="20"/>
          <w:color w:val="auto"/>
        </w:rPr>
      </w:pPr>
    </w:p>
    <w:p>
      <w:pPr>
        <w:ind w:firstLine="656"/>
        <w:spacing w:after="0" w:line="282" w:lineRule="auto"/>
        <w:tabs>
          <w:tab w:leader="none" w:pos="89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Book-Entry Provisions</w:t>
      </w:r>
      <w:r>
        <w:rPr>
          <w:rFonts w:ascii="Times New Roman" w:cs="Times New Roman" w:eastAsia="Times New Roman" w:hAnsi="Times New Roman"/>
          <w:sz w:val="18"/>
          <w:szCs w:val="18"/>
          <w:color w:val="auto"/>
        </w:rPr>
        <w:t xml:space="preserve">. (i) This </w:t>
      </w:r>
      <w:r>
        <w:rPr>
          <w:rFonts w:ascii="Times New Roman" w:cs="Times New Roman" w:eastAsia="Times New Roman" w:hAnsi="Times New Roman"/>
          <w:sz w:val="18"/>
          <w:szCs w:val="18"/>
          <w:u w:val="single" w:color="auto"/>
          <w:color w:val="auto"/>
        </w:rPr>
        <w:t>Section 2.1(e)</w:t>
      </w:r>
      <w:r>
        <w:rPr>
          <w:rFonts w:ascii="Times New Roman" w:cs="Times New Roman" w:eastAsia="Times New Roman" w:hAnsi="Times New Roman"/>
          <w:sz w:val="18"/>
          <w:szCs w:val="18"/>
          <w:color w:val="auto"/>
        </w:rPr>
        <w:t xml:space="preserve"> shall apply only to Global Notes deposited with the Trustee, as Notes Custodian for DTC, and for which the applicable procedures of DTC shall govern.</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Global Note initially shall (x) be registered in the name of DTC or the nominee of DTC, (y) be delivered to the Notes Custodian for DTC and (z) bear the Global Note Legend as set forth in </w:t>
      </w:r>
      <w:r>
        <w:rPr>
          <w:rFonts w:ascii="Times New Roman" w:cs="Times New Roman" w:eastAsia="Times New Roman" w:hAnsi="Times New Roman"/>
          <w:sz w:val="18"/>
          <w:szCs w:val="18"/>
          <w:u w:val="single" w:color="auto"/>
          <w:color w:val="auto"/>
        </w:rPr>
        <w:t>Section 2.1(d)(2)</w:t>
      </w:r>
      <w:r>
        <w:rPr>
          <w:rFonts w:ascii="Times New Roman" w:cs="Times New Roman" w:eastAsia="Times New Roman" w:hAnsi="Times New Roman"/>
          <w:sz w:val="18"/>
          <w:szCs w:val="18"/>
          <w:color w:val="auto"/>
        </w:rPr>
        <w:t xml:space="preserve">. Transfers of a Global Note (but not a beneficial interest therein) will be limited to transfers thereof in whole, but not in part, to DTC, its successors or its respective nominees, except as set forth in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If a beneficial interest in a Global Note is transferred or exchanged for a beneficial interest in another Global Note, the Notes Custodian will (x) record a decrease in the principal amount of the Global Note being transferred or exchanged equal to the principal amount of such transfer or exchange and (y) record a like increase in the principal amount of the other Global Note. Any beneficial interest in one Global Note that is transferred to a Person who takes delivery in the form of an interest in another Global Note, or exchanged for an interest in another Global Note, will, upon transfer or exchange, cease to be an interest in such Global Note and become an interest in the other Global Note and, accordingly, will thereafter be subject to all transfer and exchange restrictions, if any, and other procedures applicable to beneficial interests in such other Global Note for as long as it remains such an interest.</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2"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or participants in, DTC (“</w:t>
      </w:r>
      <w:r>
        <w:rPr>
          <w:rFonts w:ascii="Times New Roman" w:cs="Times New Roman" w:eastAsia="Times New Roman" w:hAnsi="Times New Roman"/>
          <w:sz w:val="18"/>
          <w:szCs w:val="18"/>
          <w:u w:val="single" w:color="auto"/>
          <w:color w:val="auto"/>
        </w:rPr>
        <w:t>Agent Members</w:t>
      </w:r>
      <w:r>
        <w:rPr>
          <w:rFonts w:ascii="Times New Roman" w:cs="Times New Roman" w:eastAsia="Times New Roman" w:hAnsi="Times New Roman"/>
          <w:sz w:val="18"/>
          <w:szCs w:val="18"/>
          <w:color w:val="auto"/>
        </w:rPr>
        <w:t>”) shall have no rights under this Indenture with respect to any Global Note held on their behalf by DTC or by the Notes Custodian or under such Global Note, and DTC or its nominee may be treated by the Issuer, the Trustee and any agent of the Issuer or the Trustee as the absolute owner of such Global Note for all purposes whatsoever. Notwithstanding the foregoing, nothing herein shall prevent the Issuer, the Trustee or any agent of the Issuer or the Trustee from giving effect to any written certification, proxy or other authorization furnished by DTC or impair, as between DTC and its Agent Members, the operation of customary practices of DTC governing the exercise of the rights of a holder of a beneficial interest in any Global Note.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5" w:name="page66"/>
    <w:bookmarkEnd w:id="65"/>
    <w:p>
      <w:pPr>
        <w:jc w:val="both"/>
        <w:ind w:firstLine="1304"/>
        <w:spacing w:after="0" w:line="261" w:lineRule="auto"/>
        <w:tabs>
          <w:tab w:leader="none" w:pos="155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transfer of a portion of the beneficial interest in a Global Note pursuant to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xml:space="preserve"> to beneficial owners who are required to hold Definitive Notes, the Notes Custodian shall reflect on its books and records the date and a decrease in the principal amount of such Global Note in an amount equal to the principal amount of the beneficial interest in the Global Note to be transferred, and the Issuer shall execute, and the Trustee shall authenticate and make available for delivery, one or more Definitive Notes of like tenor and amount.</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6"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transfer of an entire Global Note to beneficial owners pursuant to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such Global Note shall be deemed to be surrendered to the Trustee for cancellation, and the Issuer shall execute, and the Trustee shall authenticate and make available for delivery, to each beneficial owner identified by DTC in exchange for its beneficial interest in such Global Note, an equal aggregate principal amount of Definitive Notes of authorized denominations.</w:t>
      </w:r>
    </w:p>
    <w:p>
      <w:pPr>
        <w:spacing w:after="0" w:line="179" w:lineRule="exact"/>
        <w:rPr>
          <w:rFonts w:ascii="Times New Roman" w:cs="Times New Roman" w:eastAsia="Times New Roman" w:hAnsi="Times New Roman"/>
          <w:sz w:val="18"/>
          <w:szCs w:val="18"/>
          <w:color w:val="auto"/>
        </w:rPr>
      </w:pPr>
    </w:p>
    <w:p>
      <w:pPr>
        <w:ind w:right="20" w:firstLine="1304"/>
        <w:spacing w:after="0" w:line="282" w:lineRule="auto"/>
        <w:tabs>
          <w:tab w:leader="none" w:pos="1552"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Holder of a Global Note may grant proxies and otherwise authorize any person, including Agent Members and persons that may hold interests through Agent Members, to take any action which a Holder is entitled to take under this Indenture or the Notes.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3"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 of a Global Note shall, by acceptance of such Global Note, agree that transfers of beneficial interests in such Global Note may be effected only through a book-entry system maintained by (i) the Holder of such Global Note (or its agent) or (ii) any holder of a beneficial interest in such Global Note, and that ownership of a beneficial interest in such Global Note shall be required to be reflected in a book entry.</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88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Definitive Notes</w:t>
      </w:r>
      <w:r>
        <w:rPr>
          <w:rFonts w:ascii="Times New Roman" w:cs="Times New Roman" w:eastAsia="Times New Roman" w:hAnsi="Times New Roman"/>
          <w:sz w:val="18"/>
          <w:szCs w:val="18"/>
          <w:color w:val="auto"/>
        </w:rPr>
        <w:t>. Except as provided below, owners of beneficial interests in Global Notes will not be entitled to receive Definitive Notes. Definitive Notes shall be transferred to all beneficial owners in exchange for their beneficial interests in a Global Note if (A) DTC notifies the Issuer that it is unwilling or unable to continue as Depositary for such Global Note or DTC ceases to be a clearing agency registered under the Exchange Act, at a time when DTC is required to be so registered in order to act as depositary, and in each case a successor depositary is not appointed by the Issuer within 90 days of such notice, (B) the Issuer in its sole discretion executes and deliver to the Trustee and Registrar an Officer’s Certificate stating that such Global Note shall be so exchangeable or (C) an Event of Default has occurred and is continuing and the Registrar has received a written request from DTC. In the event of the occurrence of any of the events specified in the second preceding sentence or in clause (A), (B) or (C) of the preceding sentence, the Issuer shall promptly make available to the Registrar a reasonable supply of Definitive Notes. In addition, any Note transferred to an affiliate (as defined in Rule 405 under the Securities Act) of the Company or evidencing a Note that has been acquired by an affiliate in a transaction or series of transactions not involving any public offering must, until one year after the last date on which either the Company or any affiliate of the Company was an owner of the Note, be in the form of a Definitive Note and bear the legend regarding transfer restrictions in Section 2.1(d).</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57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Definitive Note delivered in exchange for an interest in a Global Note pursuant to </w:t>
      </w:r>
      <w:r>
        <w:rPr>
          <w:rFonts w:ascii="Times New Roman" w:cs="Times New Roman" w:eastAsia="Times New Roman" w:hAnsi="Times New Roman"/>
          <w:sz w:val="18"/>
          <w:szCs w:val="18"/>
          <w:u w:val="single" w:color="auto"/>
          <w:color w:val="auto"/>
        </w:rPr>
        <w:t>Section 2.1(e)</w:t>
      </w:r>
      <w:r>
        <w:rPr>
          <w:rFonts w:ascii="Times New Roman" w:cs="Times New Roman" w:eastAsia="Times New Roman" w:hAnsi="Times New Roman"/>
          <w:sz w:val="18"/>
          <w:szCs w:val="18"/>
          <w:color w:val="auto"/>
        </w:rPr>
        <w:t xml:space="preserve"> shall, except as otherwise provided by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 xml:space="preserve">, bear the Restricted Note Legend regarding transfer restrictions applicable to the Global Note set forth in </w:t>
      </w:r>
      <w:r>
        <w:rPr>
          <w:rFonts w:ascii="Times New Roman" w:cs="Times New Roman" w:eastAsia="Times New Roman" w:hAnsi="Times New Roman"/>
          <w:sz w:val="18"/>
          <w:szCs w:val="18"/>
          <w:u w:val="single" w:color="auto"/>
          <w:color w:val="auto"/>
        </w:rPr>
        <w:t>Section 2.1(d)(1)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Definitive Note is transferred or exchanged for a beneficial interest in a Global Note, the Trustee shall (x) cancel such Definitive Note, (y) record an increase in the principal amount of such Global Note equal to the principal amount of such transfer or exchange and (z) in the event that such transfer or exchange involves less than the entire principal amount of the canceled Definitive Note, the Issuer shall execute, and the Trustee shall authenticate and make available for delivery, to the transferring Holder a new Definitive Note representing the principal amount not so transferred.</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67"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Definitive Note is transferred or exchanged for another Definitive Note, (x) the Trustee shall cancel the Definitive Note being transferred or exchanged, (y) the Issuer shall execute, and the Trustee shall authenticate and make available for delivery, one or more new Definitive Notes in authorized denominations having an aggregate principal amount equal to the principal amount of such transfer or exchange to the transferee (in the case of a transfer) or the Holder of the canceled Definitive Note (in the case of an exchange), registered in the name of such transferee or Holder, as applicable, and (z) if such transfer or exchange involves less than the entire principal amount of the canceled Definitive Note, the Issuer shall execute, and the Trustee shall authenticate and make available for delivery to the Holder thereof, one or more Definitive Notes in authorized denominations having an aggregate principal amount equal to the untransferred or unexchanged portion of the canceled Definitive Notes, registered in the name of the Holder thereof.</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6" w:name="page67"/>
    <w:bookmarkEnd w:id="66"/>
    <w:p>
      <w:pPr>
        <w:ind w:firstLine="1304"/>
        <w:spacing w:after="0" w:line="282" w:lineRule="auto"/>
        <w:tabs>
          <w:tab w:leader="none" w:pos="155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Indenture, in no event shall a Definitive Note be delivered upon exchange or transfer of a beneficial interest in the Regulation S Global Note prior to the end of the Restricted Period.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Execution and Authentication</w:t>
      </w:r>
      <w:r>
        <w:rPr>
          <w:rFonts w:ascii="Times New Roman" w:cs="Times New Roman" w:eastAsia="Times New Roman" w:hAnsi="Times New Roman"/>
          <w:sz w:val="18"/>
          <w:szCs w:val="18"/>
          <w:color w:val="auto"/>
        </w:rPr>
        <w:t>. One Officer of the Issuer shall sign the Notes for the Issuer by manual, facsimile, electronic (including a digital signature provided by DocuSign) or PDF signature. If the Officer whose signature is on a Note no longer holds that office at the time the Trustee authenticates the Note, the Note shall be valid nevertheless.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Note shall not be valid until an authorized officer of the Trustee manually authenticates the Note. The signature of the Trustee on a Note shall be conclusive evidence that such Note has been duly and validly authenticated and issued under this Indenture. A Note shall be dated the date of its authentication.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any time and from time to time after the execution and delivery of this Indenture, the Trustee shall authenticate and make available for delivery: (1) Initial Notes for original issue on the Issue Date in an aggregate principal amount of $250,000,000 and (2) subject to the terms of this Indenture, Additional Notes for original issue in an unlimited principal amount, in each case upon a written order of the Issuer signed by one Officer (the “</w:t>
      </w:r>
      <w:r>
        <w:rPr>
          <w:rFonts w:ascii="Times New Roman" w:cs="Times New Roman" w:eastAsia="Times New Roman" w:hAnsi="Times New Roman"/>
          <w:sz w:val="18"/>
          <w:szCs w:val="18"/>
          <w:u w:val="single" w:color="auto"/>
          <w:color w:val="auto"/>
        </w:rPr>
        <w:t>Issuer Order</w:t>
      </w:r>
      <w:r>
        <w:rPr>
          <w:rFonts w:ascii="Times New Roman" w:cs="Times New Roman" w:eastAsia="Times New Roman" w:hAnsi="Times New Roman"/>
          <w:sz w:val="18"/>
          <w:szCs w:val="18"/>
          <w:color w:val="auto"/>
        </w:rPr>
        <w:t>”). Such Issuer Order shall specify whether the Notes will be in the form of Definitive Notes or Global Notes, the amount of the Notes to be authenticated, the date on which the original issue of Notes is to be authenticated, the Holder of the Notes and whether the Notes are to be Initial Notes or Additional Notes. The Trustee may request and rely upon an Issuer Order prior to authenticating any Notes hereunder.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Trustee may appoint an agent (the “</w:t>
      </w:r>
      <w:r>
        <w:rPr>
          <w:rFonts w:ascii="Times New Roman" w:cs="Times New Roman" w:eastAsia="Times New Roman" w:hAnsi="Times New Roman"/>
          <w:sz w:val="18"/>
          <w:szCs w:val="18"/>
          <w:u w:val="single" w:color="auto"/>
          <w:color w:val="auto"/>
        </w:rPr>
        <w:t>Authenticating Agent</w:t>
      </w:r>
      <w:r>
        <w:rPr>
          <w:rFonts w:ascii="Times New Roman" w:cs="Times New Roman" w:eastAsia="Times New Roman" w:hAnsi="Times New Roman"/>
          <w:sz w:val="18"/>
          <w:szCs w:val="18"/>
          <w:color w:val="auto"/>
        </w:rPr>
        <w:t>”) reasonably acceptable to the Issuer to authenticate the Notes. Any such appointment shall be evidenced by an instrument signed by a Trust Officer, a copy of which shall be furnished to the Issuer. Unless limited by the terms of such appointment, any such Authenticating Agent may authenticate Notes whenever the Trustee may do so. Each reference in this Indenture to authentication by the Trustee includes authentication by the Authenticating Agent. An Authenticating Agent has the same rights as any Registrar, Paying Agent or agent for service of notices and demands.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case any of the Issuer or any Guarantor,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as applicable, shall be consolidated or merged with or into any other Person or shall convey, transfer, lease or otherwise dispose of its properties and assets substantially as an entirety to any Person, and the successor Person resulting from such consolidation, or surviving such merger, or into which the Issuer or any Guarantor shall have been merged, or the Person which shall have received a conveyance, transfer, lease or other disposition as aforesaid, shall have executed an indenture supplemental hereto with the Trustee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any of the Notes authenticated or delivered prior to such consolidation, merger, conveyance, transfer, lease or other disposition may (but shall not be required), from time to time, at the request of the successor Person, be exchanged for other Notes executed in the name of the successor Person with such changes in phraseology and form as may be appropriate to reflect such successor Person, but otherwise in substance of like tenor as the Notes surrendered for such exchange and of like principal amount; and the Trustee, upon the Issuer Order of the successor Person, shall authenticate and make available for delivery Notes as specified in such order for the purpose of such exchange. If Notes shall at any time be authenticated and delivered in any new name of a successor Person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in exchange or substitution for or upon registration of transfer of any Notes, such successor Person, at the option of the Holders but without expense to them, shall provide for the exchange of all Notes at the time outstanding for Notes authenticated and delivered in such new name.</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Registrar and Paying Agent</w:t>
      </w:r>
      <w:r>
        <w:rPr>
          <w:rFonts w:ascii="Times New Roman" w:cs="Times New Roman" w:eastAsia="Times New Roman" w:hAnsi="Times New Roman"/>
          <w:sz w:val="18"/>
          <w:szCs w:val="18"/>
          <w:color w:val="auto"/>
        </w:rPr>
        <w:t>. The Issuer shall maintain an office or agency where Notes may be presented for registration of transfer or for exchange (the “</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and an office or agency where Notes may be presented for payment. The Registrar shall keep a register of the Notes and of their transfer and exchange (the “</w:t>
      </w:r>
      <w:r>
        <w:rPr>
          <w:rFonts w:ascii="Times New Roman" w:cs="Times New Roman" w:eastAsia="Times New Roman" w:hAnsi="Times New Roman"/>
          <w:sz w:val="18"/>
          <w:szCs w:val="18"/>
          <w:u w:val="single" w:color="auto"/>
          <w:color w:val="auto"/>
        </w:rPr>
        <w:t>Notes Register</w:t>
      </w:r>
      <w:r>
        <w:rPr>
          <w:rFonts w:ascii="Times New Roman" w:cs="Times New Roman" w:eastAsia="Times New Roman" w:hAnsi="Times New Roman"/>
          <w:sz w:val="18"/>
          <w:szCs w:val="18"/>
          <w:color w:val="auto"/>
        </w:rPr>
        <w:t>”). The Issuer may have one or more co-registrars and one or more additional paying agents. The term “Paying Agent” includes any additional paying agent and the term “Registrar” includes any co-registrar.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7" w:name="page68"/>
    <w:bookmarkEnd w:id="67"/>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Issuer shall enter into an appropriate agency agreement with any Registrar or Paying Agent not a party to this Indenture. The agreement shall implement the provisions of this Indenture that relate to such agent. The Issuer shall notify the Trustee in writing of the name and address of each such agent. If the Issuer fails to maintain a Registrar or Paying Agent, the Trustee shall act as such and shall be entitled to appropriate compensation therefor pursuant to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The Issuer or any Guarantor may act as Paying Agent, Registrar or transfer agent.</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Issuer has initially appointed DTC to act as Depositary with respect to the Global Notes. The Issuer initially appoints the Trustee as Registrar and Paying Agent for the Notes. The Issuer may change any Registrar or Paying Agent without prior notice to the Holders, but upon written notice to such Registrar or Paying Agent and to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removal shall become effective until (i) acceptance of any appointment by a successor as evidenced by an appropriate agreement entered into by the Issuer and such successor Registrar or Paying Agent, as the case may be, and delivered to the Trustee and the passage of any waiting or notice periods required by DTC procedures or (ii) written notification to the Trustee that the Trustee shall serve as Registrar or Paying Agent until the appointment of a successor in accordance with clause (i) above. The Registrar or Paying Agent may resign at any time upon written notice to the Issuer and the Trustee.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Paying Agent to Hold Money in Trust</w:t>
      </w:r>
      <w:r>
        <w:rPr>
          <w:rFonts w:ascii="Times New Roman" w:cs="Times New Roman" w:eastAsia="Times New Roman" w:hAnsi="Times New Roman"/>
          <w:sz w:val="18"/>
          <w:szCs w:val="18"/>
          <w:color w:val="auto"/>
        </w:rPr>
        <w:t xml:space="preserve">. By no later than 11:00 a.m. (New York City time) on the date on which any principal of, premium, if any, or interest on any Note is due and payable, the Issuer shall deposit with the Paying Agent a sum sufficient in immediately available funds to pay such principal, premium or interest when due. The Issuer shall require each Paying Agent (other than the Trustee) to agree in writing that such Paying Agent shall hold in trust for the benefit of Holders or the Trustee all money held by such Paying Agent for the payment of principal of, premium, if any, or interest on the Notes (whether such assets have been distributed to it by the Issuer or other obligors on the Notes), shall notify the Trustee in writing of any default by the Issuer or any Guarantor in making any such payment and shall during the continuance of any default by the Issuer (or any other obligor upon the Notes) in the making of any payment in respect of the Notes, upon the written request of the Trustee, forthwith deliver to the Trustee all sums held in trust by such Paying Agent for payment in respect of the Notes together with a full accounting thereof. If the Issuer or a Subsidiary of the Issuer acts as Paying Agent, it shall segregate the money held by it as Paying Agent and hold it as a separate trust fund. The Issuer at any time may require a Paying Agent (other than the Trustee) to pay all money held by it to the Trustee and to account for any funds or assets disbursed by such Paying Agent. Upon complying with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the Paying Agent (if other than the Issuer or a Subsidiary of the Issuer) shall have no further liability for the money delivered to the Trustee. Upon any bankruptcy, reorganization or similar proceeding with respect to the Issuer, the Trustee shall serve as Paying Agent for the Notes.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Holder Lists</w:t>
      </w:r>
      <w:r>
        <w:rPr>
          <w:rFonts w:ascii="Times New Roman" w:cs="Times New Roman" w:eastAsia="Times New Roman" w:hAnsi="Times New Roman"/>
          <w:sz w:val="18"/>
          <w:szCs w:val="18"/>
          <w:color w:val="auto"/>
        </w:rPr>
        <w:t>. The Trustee shall preserve in as current a form as is reasonably practicable the most recent list available to it of the names and addresses of Holders. If the Trustee is not the Registrar, the Issuer, on its own behalf and on behalf of each of the Guarantors, shall furnish or cause the Registrar to furnish to the Trustee, in writing at least five (5) Business Days before each interest payment date and at such other times as the Trustee may request in writing, a list in such form and as of such date as the Trustee may reasonably require of the names and addresses of 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91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Holder may transfer a Note (or a beneficial interest therein) to another Person or exchange a Note (or a beneficial interest therein) for another Note or Notes of any authorized denomination by presenting to the Registrar a written request therefor stating the name of the proposed transferee or requesting such an exchange, accompanied by any certification, opinion or other document required by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The Registrar will promptly register any transfer or exchange that meets the requirements of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by noting the same in the Notes Register maintained by the Registrar for the purpose, and no transfer or exchange will be effective until it is registered in such Notes Register. The transfer or exchange of any Note (or a beneficial interest therein) may only be made in accordance with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2.1(e)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2.1(f)</w:t>
      </w:r>
      <w:r>
        <w:rPr>
          <w:rFonts w:ascii="Times New Roman" w:cs="Times New Roman" w:eastAsia="Times New Roman" w:hAnsi="Times New Roman"/>
          <w:sz w:val="18"/>
          <w:szCs w:val="18"/>
          <w:color w:val="auto"/>
        </w:rPr>
        <w:t>, as applicable, and, in the case of a Global Note (or a beneficial interest therein), the applicable rules and procedures of DTC, Euroclear and Clearstream. The Registrar shall refuse to register any requested transfer or exchange that does not comply with this paragraph.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8" w:name="page69"/>
    <w:bookmarkEnd w:id="68"/>
    <w:p>
      <w:pPr>
        <w:jc w:val="both"/>
        <w:ind w:firstLine="656"/>
        <w:spacing w:after="0" w:line="266" w:lineRule="auto"/>
        <w:tabs>
          <w:tab w:leader="none" w:pos="903"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of Rule 144A Notes</w:t>
      </w:r>
      <w:r>
        <w:rPr>
          <w:rFonts w:ascii="Times New Roman" w:cs="Times New Roman" w:eastAsia="Times New Roman" w:hAnsi="Times New Roman"/>
          <w:sz w:val="18"/>
          <w:szCs w:val="18"/>
          <w:color w:val="auto"/>
        </w:rPr>
        <w:t>. The following provisions shall apply with respect to any proposed registration of transfer of a Rule 144A Note prior to the date that is one year after the later of the date of its original issue and the last date on which the Issuer or any Affiliate of the Issuer was the owner of such Notes (or any predecessor thereto), (the “</w:t>
      </w:r>
      <w:r>
        <w:rPr>
          <w:rFonts w:ascii="Times New Roman" w:cs="Times New Roman" w:eastAsia="Times New Roman" w:hAnsi="Times New Roman"/>
          <w:sz w:val="18"/>
          <w:szCs w:val="18"/>
          <w:u w:val="single" w:color="auto"/>
          <w:color w:val="auto"/>
        </w:rPr>
        <w:t>Resale Restriction Termination Date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3"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registration of transfer of a Rule 144A Note or a beneficial interest therein to a QIB shall be made upon the representation of the transferee in the form as set forth on the reverse of the Note that it is purchasing for its own account or an account with respect to which it exercises sole investment discretion and that it and any such account is a QIB,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its foregoing representations in order to claim the exemption from registration provided by Rule 144A;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 such written representation or other written certification shall be required in connection with the transfer of a beneficial interest in the Rule 144A Global Note to a transferee in the form of a beneficial interest in that Rule 144A Global Note in accordance with this Indenture and the applicable procedures of DTC ; and</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registration of transfer of a Rule 144A Note or a beneficial interest therein to a Non-U.S. Person shall be made upon receipt by the Registrar or its agent of a certificate substantially in the form set forth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from the proposed transferor and the delivery of an Opinion of Counsel, certification and/or other information satisfactory to the Issuer.</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92"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of Regulation S Notes</w:t>
      </w:r>
      <w:r>
        <w:rPr>
          <w:rFonts w:ascii="Times New Roman" w:cs="Times New Roman" w:eastAsia="Times New Roman" w:hAnsi="Times New Roman"/>
          <w:sz w:val="18"/>
          <w:szCs w:val="18"/>
          <w:color w:val="auto"/>
        </w:rPr>
        <w:t>. The following provisions shall apply with respect to any proposed transfer of a Regulation S Note prior to the expiration of the Restricted Period:</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1"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a Regulation S Note or a beneficial interest therein to a QIB shall be made upon the representation of the transferee, in the form of assignment on the reverse of the certificate, that it is purchasing the Note for its own account or an account with respect to which it exercises sole investment discretion and that it and any such account is a QIB,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its foregoing representations in order to claim the exemption from registration provided by Rule 144A; and</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8"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transfer of a Regulation S Note or a beneficial interest therein to a Non-U.S. Person shall be made upon receipt by the Registrar or its agent of a certificate substantially in the form set forth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hereof from the proposed transferor and receipt by the Registrar or its agent of an Opinion of Counsel, certification and/or other information satisfactory to the Issuer;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 such written representation or other written certification shall be required in connection with the transfer of a beneficial interest in the Regulation S Global Note to a transferee in the form of a beneficial interest in that Regulation S Global Note in accordance with this Indenture and the applicable procedures of DTC.</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After the expiration of the Restricted Period, interests in the Regulation S Note may be transferred in accordance with applicable law without requiring the certification set forth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xml:space="preserve"> or any additional certification.</w:t>
      </w:r>
    </w:p>
    <w:p>
      <w:pPr>
        <w:spacing w:after="0" w:line="162" w:lineRule="exact"/>
        <w:rPr>
          <w:sz w:val="20"/>
          <w:szCs w:val="20"/>
          <w:color w:val="auto"/>
        </w:rPr>
      </w:pPr>
    </w:p>
    <w:p>
      <w:pPr>
        <w:jc w:val="both"/>
        <w:ind w:firstLine="656"/>
        <w:spacing w:after="0" w:line="255" w:lineRule="auto"/>
        <w:tabs>
          <w:tab w:leader="none" w:pos="91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Notes Legend</w:t>
      </w:r>
      <w:r>
        <w:rPr>
          <w:rFonts w:ascii="Times New Roman" w:cs="Times New Roman" w:eastAsia="Times New Roman" w:hAnsi="Times New Roman"/>
          <w:sz w:val="18"/>
          <w:szCs w:val="18"/>
          <w:color w:val="auto"/>
        </w:rPr>
        <w:t>. Upon the transfer, exchange or replacement of Notes not bearing a Restricted Notes Legend, the Registrar shall deliver Notes that do not bear a Restricted Notes Legend. Upon the transfer, exchange or replacement of Notes bearing a Restricted Notes Legend, the Registrar shall deliver only Notes that bear a Restricted Notes Legend unless (1) an Initial Note is being transferred pursuant to an effective registration statement, (2) an Initial Note is being exchanged for a Note that does not bear the Restricted Notes Legend or (3) there is delivered to the Registrar and the Issuer an Opinion of Counsel reasonably satisfactory to the Issuer to the effect that neither such legend nor the related restrictions on transfer are required in order to maintain compliance with the provisions of the Securities Act. Any Additional Notes sold in a registered offering shall not be required to bear the Restricted Notes Legend.</w:t>
      </w:r>
    </w:p>
    <w:p>
      <w:pPr>
        <w:spacing w:after="0" w:line="188"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9" w:name="page70"/>
    <w:bookmarkEnd w:id="69"/>
    <w:p>
      <w:pPr>
        <w:jc w:val="both"/>
        <w:ind w:firstLine="656"/>
        <w:spacing w:after="0" w:line="261"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Retention of Written Communications</w:t>
      </w:r>
      <w:r>
        <w:rPr>
          <w:rFonts w:ascii="Times New Roman" w:cs="Times New Roman" w:eastAsia="Times New Roman" w:hAnsi="Times New Roman"/>
          <w:sz w:val="18"/>
          <w:szCs w:val="18"/>
          <w:color w:val="auto"/>
        </w:rPr>
        <w:t xml:space="preserve">. The Registrar shall retain copies of all letters, notices and other written communications received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in accordance with its customary document retention policies. The Issuer shall have the right to inspect and make copies of all such letters, notices or other written communications, at the Issuer’s expense, at any reasonable time upon the giving of reasonable prior written notice to the Registrar.</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with Respect to Transfers and Exchanges of Notes</w:t>
      </w:r>
      <w:r>
        <w:rPr>
          <w:rFonts w:ascii="Times New Roman" w:cs="Times New Roman" w:eastAsia="Times New Roman" w:hAnsi="Times New Roman"/>
          <w:sz w:val="18"/>
          <w:szCs w:val="18"/>
          <w:color w:val="auto"/>
        </w:rPr>
        <w:t xml:space="preserve">. To permit registrations of transfers and exchanges, the Issuer shall, subject to the other terms and conditions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execute and the Trustee shall authenticate Definitive Notes and Global Notes at the Issuer’s and the Registrar’s written request.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No service charge shall be made to a Holder for any registration of transfer or exchange, but the Issuer may require the Holder to pay a sum sufficient to cover any transfer tax assessments or similar governmental charge payable in connection therewith (other than any such transfer taxes, assessments or similar governmental charges payable upon exchange or transfer pursuant to </w:t>
      </w:r>
      <w:r>
        <w:rPr>
          <w:rFonts w:ascii="Times New Roman" w:cs="Times New Roman" w:eastAsia="Times New Roman" w:hAnsi="Times New Roman"/>
          <w:sz w:val="18"/>
          <w:szCs w:val="18"/>
          <w:u w:val="single" w:color="auto"/>
          <w:color w:val="auto"/>
        </w:rPr>
        <w:t>Sections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Issuer (and the Registrar) shall not be required to register the transfer of or exchange of any Note (A) for a period beginning (1) fifteen (15) calendar days before the mailing (or electronic delivery) of a notice of an offer to repurchase or redeem Notes and ending at the close of business on the day of such mailing (or electronic delivery) or (2) fifteen (15) calendar days before an interest payment date and ending on such interest payment date or (B) called for redemption, except the unredeemed portion of any Note being redeemed in part.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Prior to the due presentation for registration of transfer of any Note, the Issuer, the Trustee, the Paying Agent or the Registrar may deem and treat the person in whose name a Note is registered as the owner of such Note for the purpose of receiving payment of principal of, premium, if any, and (subject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interest on such Note and for all other purposes whatsoever, including without limitation the transfer or exchange of such Note, whether or not such Note is overdue, and none of the Issuer, the Trustee, the Paying Agent or the Registrar shall be affected by notice to the contrary.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Any Definitive Note delivered in exchange for an interest in a Global Note that is a Restricted Note pursuant to </w:t>
      </w:r>
      <w:r>
        <w:rPr>
          <w:rFonts w:ascii="Times New Roman" w:cs="Times New Roman" w:eastAsia="Times New Roman" w:hAnsi="Times New Roman"/>
          <w:sz w:val="18"/>
          <w:szCs w:val="18"/>
          <w:u w:val="single" w:color="auto"/>
          <w:color w:val="auto"/>
        </w:rPr>
        <w:t>Section 2.1(f)</w:t>
      </w:r>
      <w:r>
        <w:rPr>
          <w:rFonts w:ascii="Times New Roman" w:cs="Times New Roman" w:eastAsia="Times New Roman" w:hAnsi="Times New Roman"/>
          <w:sz w:val="18"/>
          <w:szCs w:val="18"/>
          <w:color w:val="auto"/>
        </w:rPr>
        <w:t xml:space="preserve"> shall, except as otherwise provided by </w:t>
      </w:r>
      <w:r>
        <w:rPr>
          <w:rFonts w:ascii="Times New Roman" w:cs="Times New Roman" w:eastAsia="Times New Roman" w:hAnsi="Times New Roman"/>
          <w:sz w:val="18"/>
          <w:szCs w:val="18"/>
          <w:u w:val="single" w:color="auto"/>
          <w:color w:val="auto"/>
        </w:rPr>
        <w:t>Section 2.6(d)</w:t>
      </w:r>
      <w:r>
        <w:rPr>
          <w:rFonts w:ascii="Times New Roman" w:cs="Times New Roman" w:eastAsia="Times New Roman" w:hAnsi="Times New Roman"/>
          <w:sz w:val="18"/>
          <w:szCs w:val="18"/>
          <w:color w:val="auto"/>
        </w:rPr>
        <w:t>, bear a Restricted Notes Legend.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Notes issued upon any transfer or exchange pursuant to the terms of this Indenture shall evidence the same debt and shall be entitled to the same benefits under this Indenture as the Notes surrendered upon such transfer or exchange.</w:t>
      </w:r>
    </w:p>
    <w:p>
      <w:pPr>
        <w:spacing w:after="0" w:line="162" w:lineRule="exact"/>
        <w:rPr>
          <w:sz w:val="20"/>
          <w:szCs w:val="20"/>
          <w:color w:val="auto"/>
        </w:rPr>
      </w:pPr>
    </w:p>
    <w:p>
      <w:pPr>
        <w:jc w:val="both"/>
        <w:ind w:firstLine="656"/>
        <w:spacing w:after="0" w:line="254" w:lineRule="auto"/>
        <w:tabs>
          <w:tab w:leader="none" w:pos="91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of the Trustee or Agents</w:t>
      </w:r>
      <w:r>
        <w:rPr>
          <w:rFonts w:ascii="Times New Roman" w:cs="Times New Roman" w:eastAsia="Times New Roman" w:hAnsi="Times New Roman"/>
          <w:sz w:val="18"/>
          <w:szCs w:val="18"/>
          <w:color w:val="auto"/>
        </w:rPr>
        <w:t>. The Trustee, the Paying Agent, the Registrar and any transfer agent shall have no responsibility or obligation to any beneficial owner of a Global Note, a member of, or a participant in, DTC or other Person with respect to the accuracy of the records of DTC or its nominee or of any participant or member thereof, with respect to any ownership interest in the Notes or with respect to the delivery to any participant, member, beneficial owner or other Person (other than DTC) of any notice (including any notice of redemption or purchase)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DTC or its nominee in the case of a Global Note). The rights of beneficial owners in any Global Note shall be exercised only through DTC subject to the applicable rules and procedures of DTC. The Trustee, the Paying Agent, the Registrar and any transfer agent may rely and shall be fully protected in relying upon information furnished by DTC with respect to its members, participants and any beneficial owners.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Neither the Registrar nor the Trustee shall have any obligation or duty to monitor, determine or inquire as to compliance with any restrictions on transfer imposed under this Indenture or under applicable law with respect to any transfer of any interest in any Note (including any transfers between or among DTC participants, members or beneficial owners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None of the Trustee, the Registrar, any transfer agent nor any of its respective agents shall have any responsibility for any actions taken or not taken by DTC.</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Form of Certificate to be Delivered in Connection with Transfers Pursuant to Regulation 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Harrow,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1A Burton Hills Blvd., Suite 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 37215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Trust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Commerce Street, Suite 800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 37201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Wally Jones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Harrow, Inc. (the “Issuer”) 8.625% Senior Notes due 2030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Reference is made to the Indenture dated as of September 12, 2025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among the Issuer, the Guarantors named therein and U.S. Bank Trust Company,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our proposed sale of $[ ] aggregate principal amount of the Issuer’s 8.625% Senior Notes due 2030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we confirm that such sale has been effected pursuant to and in accordance with Regulation S (“</w:t>
      </w:r>
      <w:r>
        <w:rPr>
          <w:rFonts w:ascii="Times New Roman" w:cs="Times New Roman" w:eastAsia="Times New Roman" w:hAnsi="Times New Roman"/>
          <w:sz w:val="18"/>
          <w:szCs w:val="18"/>
          <w:u w:val="single" w:color="auto"/>
          <w:color w:val="auto"/>
        </w:rPr>
        <w:t>Regulation S</w:t>
      </w:r>
      <w:r>
        <w:rPr>
          <w:rFonts w:ascii="Times New Roman" w:cs="Times New Roman" w:eastAsia="Times New Roman" w:hAnsi="Times New Roman"/>
          <w:sz w:val="18"/>
          <w:szCs w:val="18"/>
          <w:color w:val="auto"/>
        </w:rPr>
        <w:t>”) under the United States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accordingly, we represent that:</w:t>
      </w:r>
    </w:p>
    <w:p>
      <w:pPr>
        <w:spacing w:after="0" w:line="176" w:lineRule="exact"/>
        <w:rPr>
          <w:sz w:val="20"/>
          <w:szCs w:val="20"/>
          <w:color w:val="auto"/>
        </w:rPr>
      </w:pPr>
    </w:p>
    <w:p>
      <w:pPr>
        <w:ind w:left="900" w:hanging="244"/>
        <w:spacing w:after="0"/>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of the Notes was not made to a person in the United States;</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92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at the time the buy order was originated, the transferee was outside the United States or we and any person acting on our behalf reasonably believed that the transferee was outside the United States or (ii) the transaction was executed in, on or through the facilities of a designated off-shore securities market and neither we nor any person acting on our behalf knows that the transaction has been pre-arranged with a buyer in the United States;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0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directed selling efforts have been made in the United States in contravention of the requirements of Rule 903(a)(2) or Rule 904(a)(2) of Regulation S, as applicable; and</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not part of a plan or scheme to evade the registration requirements of the Securities Act.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if the sale is made during a restricted period and the provisions of Rule 903(b)(2), Rule 903(b)(3) or Rule 904(b)(1) of Regulation S are applicable thereto, we confirm that such sale has been made in accordance with the applicable provisions of Rule 903(b)(2), Rule 903(b)(3) or Rule 904(b)</w:t>
      </w:r>
    </w:p>
    <w:p>
      <w:pPr>
        <w:spacing w:after="0"/>
        <w:rPr>
          <w:sz w:val="20"/>
          <w:szCs w:val="20"/>
          <w:color w:val="auto"/>
        </w:rPr>
      </w:pPr>
      <w:r>
        <w:rPr>
          <w:rFonts w:ascii="Times New Roman" w:cs="Times New Roman" w:eastAsia="Times New Roman" w:hAnsi="Times New Roman"/>
          <w:sz w:val="18"/>
          <w:szCs w:val="18"/>
          <w:color w:val="auto"/>
        </w:rPr>
        <w:t>(1), as the case may be.</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hereby certify that we [are][are not] an Affiliate of the Issuer and, to our knowledge, the transferee of the Notes [is][is not] an Affiliate of the Issuer.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Trustee and the Issuer are entitled to conclusively rely upon this letter and are irrevocably authorized to produce this letter or a copy hereof to any interested party in any administrative or legal proceedings or official inquiry with respect to the matters covered hereby. Terms used in this certificate and not otherwise defined herein have the meanings set forth in Regulation S.</w:t>
      </w:r>
    </w:p>
    <w:p>
      <w:pPr>
        <w:spacing w:after="0" w:line="17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of Transferor]</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Mutilated, Destroyed, Lost or Stolen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a mutilated Note is surrendered to the Registrar or if the Holder of a Note claims that the Note has been lost, destroyed or wrongfully taken, the Issuer shall issue and upon receipt of an Issuer Order, the Trustee shall authenticate a replacement Note if the requirements of Section 8-405 of the UCC are met, such that the Holder (a) satisfies the Issuer and the Trustee that such Note has been lost, destroyed or wrongfully taken within a reasonable time after such Holder has notice of such loss, destruction or wrongful taking and the Registrar has not registered a transfer prior to receiving such notification, (b) makes such request to the Issuer and the Trustee prior to the Note being acquired by a protected purchaser as defined in Section 8-303 of the UCC (a “</w:t>
      </w:r>
      <w:r>
        <w:rPr>
          <w:rFonts w:ascii="Times New Roman" w:cs="Times New Roman" w:eastAsia="Times New Roman" w:hAnsi="Times New Roman"/>
          <w:sz w:val="18"/>
          <w:szCs w:val="18"/>
          <w:u w:val="single" w:color="auto"/>
          <w:color w:val="auto"/>
        </w:rPr>
        <w:t>protected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(c) satisfies any other reasonable requirements of the Trustee and (d) provides an indemnity bond, as more fully described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if after the delivery of such replacement Note, a protected purchaser of the Note for which such replacement Note was issued presents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or registration such replaced Note, the Trustee and/or the Issuer shall be entitled to recover such replacement Note from the Person to whom it was issued and delivered or any Person taking therefrom, except a protected purchaser, and shall be entitled to recover upon the security or indemnity provided therefor to the extent of any loss, damage, cost or expense incurred by the Issuer or the Trustee in connection therewith. Such Holder shall furnish an indemnity bond sufficient in the judgment of the (i) Trustee to protect the Trustee and (ii) the Issuer to protect the Issuer, the Trustee, the Paying Agent and the Registrar, from any loss which any of them may suffer if a Note is replaced, and, in the absence of notice to the Issuer, any Guarantor or the Trustee that such Note has been acquired by a protected purchaser, the Issuer shall execute, and upon receipt of an Issuer Order, the Trustee shall authenticate and make available for delivery, in exchange for any such mutilated Note or in lieu of any such destroyed, lost or stolen Note, a new Note of like tenor and principal amount, bearing a number not contemporaneously outstanding.</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case any such mutilated, destroyed, lost or stolen Note has become or is about to become due and payable, the Issuer in its discretion may, instead of issuing a new Note, pay such Note.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Upon the issuance of any new Note under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the Issuer may require that such Holder pay a sum sufficient to cover any tax or other governmental charge that may be imposed in relation thereto and any other expenses (including the fees and expenses of counsel and of the Trustee) in connection therewith.</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Subject to the proviso in the initial paragraph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every new Note issued pursuant to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in lieu of any mutilated, destroyed, lost or stolen Note shall constitute an original additional contractual obligation of the Issuer, any Guarantor (if applicable) and any other obligor upon the Notes, whether or not the mutilated, destroyed, lost or stolen Note shall be at any time enforceable by anyone, and shall be entitled to all benefits of this Indenture equally and proportionately with any and all other Notes duly issued hereunder.</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are exclusive and shall preclude (to the extent lawful) all other rights and remedies with respect to the replacement or payment of mutilated, destroyed, lost or stolen Notes.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Outstanding Notes</w:t>
      </w:r>
      <w:r>
        <w:rPr>
          <w:rFonts w:ascii="Times New Roman" w:cs="Times New Roman" w:eastAsia="Times New Roman" w:hAnsi="Times New Roman"/>
          <w:sz w:val="18"/>
          <w:szCs w:val="18"/>
          <w:color w:val="auto"/>
        </w:rPr>
        <w:t xml:space="preserve">. Notes outstanding at any time are all Notes authenticated by the Trustee except for those cancelled by it, those delivered to it for cancellation, those paid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and those described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as not outstanding. A Note does not cease to be outstanding in the event the Issuer or an Affiliate of the Issuer holds the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for purposes of determining which are outstanding for consent or voting purposes hereunder, the provisions of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shall apply and (ii) in determining whether the Trustee shall be protected in making a determination whether the Holders of the requisite principal amount of outstanding Notes are present at a meeting of Holders of Notes for quorum purposes or have consented to or voted in favor of any request, demand, authorization, direction, notice, consent, waiver, amendment or modification hereunder, or relying upon any such quorum, consent or vote, only Notes which a Trust Officer of the Trustee actually knows to be held by the Issuer or an Affiliate of the Issuer shall not be considered outstanding.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2" w:name="page73"/>
    <w:bookmarkEnd w:id="72"/>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If a Note is replaced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(other than a mutilated Note surrendered for replacement), it ceases to be outstanding unless the Trustee and the Issuer receive proof satisfactory to them that the replaced Note is held by a protected purchaser. A mutilated Note ceases to be outstanding upon surrender of such Note and replacement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Paying Agent segregates and holds in trust, in accordance with this Indenture, on a Redemption Date or maturity date, money sufficient to pay all principal, premium, if any, and accrued interest payable on that date with respect to the Notes (or portions thereof) to be redeemed or maturing, as the case may be, and the Paying Agent is not prohibited from paying such money to the Holders on that date pursuant to the terms of this Indenture, then on and after that date such Notes (or portions thereof) cease to be outstanding and interest on them ceases to accrue.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Temporary Notes</w:t>
      </w:r>
      <w:r>
        <w:rPr>
          <w:rFonts w:ascii="Times New Roman" w:cs="Times New Roman" w:eastAsia="Times New Roman" w:hAnsi="Times New Roman"/>
          <w:sz w:val="18"/>
          <w:szCs w:val="18"/>
          <w:color w:val="auto"/>
        </w:rPr>
        <w:t>. In the event that Definitive Notes are to be issued under the terms of this Indenture, until such Definitive Notes are ready for delivery, the Issuer may prepare and the Trustee shall authenticate temporary Notes. Temporary Notes shall be substantially in the form, and shall carry all rights, of Definitive Notes but may have variations that the Issuer considers appropriate for temporary Notes. Without unreasonable delay, the Issuer shall prepare and the Trustee shall authenticate Definitive Notes. After the preparation of Definitive Notes, the temporary Notes shall be exchangeable for Definitive Notes upon surrender of the temporary Notes at any office or agency maintained by the Issuer for that purpose and such exchange shall be without charge to the Holder. Upon surrender for cancellation of any one or more temporary Notes, the Issuer shall execute, and the Trustee shall, upon receipt of an Issuer Order, authenticate and make available for delivery in exchange therefor, one or more Definitive Notes representing an equal principal amount of Notes. Until so exchanged, the Holder of temporary Notes shall in all respects be entitled to the same benefits under this Indenture as a Holder of Definitive Notes.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xml:space="preserve">. The Issuer at any time may deliver Notes to the Trustee for cancellation. The Registrar and the Paying Agent shall forward to the Trustee any Notes surrendered to them for registration of transfer, exchange or payment. The Trustee and no one else shall cancel all Notes surrendered for registration of transfer, exchange, payment or cancellation and dispose of such Notes in accordance with its internal policies and customary procedures (subject to the record retention requirements of the Exchange Act and the Trustee). If the Issuer or any Guarantor acquires any of the Notes, such acquisition shall not operate as a redemption or satisfaction of the Indebtedness represented by such Notes unless and until the same are surrendered to the Trustee for cancellation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The Issuer may not issue new Notes to replace Notes it has paid or delivered to the Trustee for cancellation for any reason other than in connection with a transfer or exchange.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such time as all beneficial interests in a Global Note have either been exchanged for Definitive Notes, transferred, redeemed, repurchased or canceled, such Global Note shall be returned by DTC to the Trustee for cancellation or retained and canceled by the Trustee. At any time prior to such cancellation, if any beneficial interest in a Global Note is exchanged for Definitive Notes, transferred in exchange for an interest in another Global Note, redeemed, repurchased or canceled, the principal amount of Notes represented by such Global Note shall be reduced and an adjustment shall be made on the books and records of the Trustee (if it is then the Notes Custodian for such Global Note) with respect to such Global Note, by the Trustee or the Notes Custodian, to reflect such reduction.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Payment of Interest; Defaulted Interest</w:t>
      </w:r>
      <w:r>
        <w:rPr>
          <w:rFonts w:ascii="Times New Roman" w:cs="Times New Roman" w:eastAsia="Times New Roman" w:hAnsi="Times New Roman"/>
          <w:sz w:val="18"/>
          <w:szCs w:val="18"/>
          <w:color w:val="auto"/>
        </w:rPr>
        <w:t xml:space="preserve">. Interest on any Note which is payable, and is punctually paid or duly provided for, on any interest payment date shall be paid to the Person in whose name such Note (or one or more Predecessor Notes) is registered at the close of business on the regular record date for such payment at the office or agency of the Issuer maintained for such purpose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interest on any Note which is payable, but is not paid when the same becomes due and payable and such nonpayment continues for a period of 30 days shall forthwith cease to be payable to the Holder on the regular record date, and such defaulted interest and (to the extent lawful) interest on such defaulted interest at the rate borne by the Notes (such defaulted interest and interest thereon herein collectively called “</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 shall be paid by the Issuer, at its election, as provided in clause (a) or (b) below: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3" w:name="page74"/>
    <w:bookmarkEnd w:id="73"/>
    <w:p>
      <w:pPr>
        <w:jc w:val="both"/>
        <w:ind w:firstLine="656"/>
        <w:spacing w:after="0" w:line="252" w:lineRule="auto"/>
        <w:tabs>
          <w:tab w:leader="none" w:pos="912"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elect to make payment of any Defaulted Interest to the Persons in whose names the Notes (or their respective predecessor Notes) are registered at the close of business on a Special Record Date (as defined below) for the payment of such Defaulted Interest, which shall be fixed in the following manner. The Issuer shall notify the Trustee in writing of the amount of Defaulted Interest proposed to be paid on each Note and the date (not less than 30 days after such notice) of the proposed payment (the “</w:t>
      </w:r>
      <w:r>
        <w:rPr>
          <w:rFonts w:ascii="Times New Roman" w:cs="Times New Roman" w:eastAsia="Times New Roman" w:hAnsi="Times New Roman"/>
          <w:sz w:val="18"/>
          <w:szCs w:val="18"/>
          <w:u w:val="single" w:color="auto"/>
          <w:color w:val="auto"/>
        </w:rPr>
        <w:t>Special Interest Payment Date</w:t>
      </w:r>
      <w:r>
        <w:rPr>
          <w:rFonts w:ascii="Times New Roman" w:cs="Times New Roman" w:eastAsia="Times New Roman" w:hAnsi="Times New Roman"/>
          <w:sz w:val="18"/>
          <w:szCs w:val="18"/>
          <w:color w:val="auto"/>
        </w:rPr>
        <w:t xml:space="preserve">”), and at the same time the Issuer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 Thereupon the Issuer shall fix a record date (the “</w:t>
      </w:r>
      <w:r>
        <w:rPr>
          <w:rFonts w:ascii="Times New Roman" w:cs="Times New Roman" w:eastAsia="Times New Roman" w:hAnsi="Times New Roman"/>
          <w:sz w:val="18"/>
          <w:szCs w:val="18"/>
          <w:u w:val="single" w:color="auto"/>
          <w:color w:val="auto"/>
        </w:rPr>
        <w:t>Special Record Date</w:t>
      </w:r>
      <w:r>
        <w:rPr>
          <w:rFonts w:ascii="Times New Roman" w:cs="Times New Roman" w:eastAsia="Times New Roman" w:hAnsi="Times New Roman"/>
          <w:sz w:val="18"/>
          <w:szCs w:val="18"/>
          <w:color w:val="auto"/>
        </w:rPr>
        <w:t xml:space="preserve">”) for the payment of such Defaulted Interest, which date shall be not more than twenty (20) calendar days and not less than fifteen (15) calendar days prior to the Special Interest Payment Date and not less than ten (10) calendar days after the receipt by the Trustee of the notice of the proposed payment. The Issuer shall promptly notify the Trustee in writing of such Special Record Date, and in the name and at the expense of the Issuer, the Trustee shall cause notice of the proposed payment of such Defaulted Interest and the Special Record Date and Special Interest Payment Date therefor to be given in the manner provided for in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not less than ten (10) calendar days prior to such Special Record Date. Notice of the proposed payment of such Defaulted Interest and the Special Record Date and Special Interest Payment Date therefor having been so given, such Defaulted Interest shall be paid on the Special Interest Payment Date to the Persons in whose names the Notes (or their respective Predecessor Notes) are registered at the close of business on such Special Record Date and shall no longer be payable pursuant to the provisions in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w:t>
      </w:r>
    </w:p>
    <w:p>
      <w:pPr>
        <w:spacing w:after="0" w:line="19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may make payment of any Defaulted Interest in any other lawful manner not inconsistent with the requirements of any securities exchange on which the Notes may be listed, and upon such notice as may be required by such exchange, if, after written notice given by the Issuer to the Trustee of the proposed payment pursuant to this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such manner of payment shall be deemed practicable by the Trustee.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Subject to the foregoing provisions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each Note delivered under this Indenture upon registration of, transfer of or in exchange for or in lieu of any other Note shall carry the rights to interest accrued and unpaid, and to accrue, which were carried by such other Note.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CUSIP and ISIN Numbers</w:t>
      </w:r>
      <w:r>
        <w:rPr>
          <w:rFonts w:ascii="Times New Roman" w:cs="Times New Roman" w:eastAsia="Times New Roman" w:hAnsi="Times New Roman"/>
          <w:sz w:val="18"/>
          <w:szCs w:val="18"/>
          <w:color w:val="auto"/>
        </w:rPr>
        <w:t xml:space="preserve">. The Issuer in issuing the Notes may use “CUSIP” and “ISIN” numbers and, if so, the Trustee shall use “CUSIP” and “ISIN” numbers in notices of redemption or purchase as a convenience to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the Trustee shall have no liability for any defect in the CUSIP number as they appear on any Notes, notice or elsewhere and that any such notice may state that no representation is made as to the correctness of such numbers either as printed on the Notes or as contained in any notice of a redemption or purchase and that reliance may be placed only on the other identification numbers printed on the Notes, and any such redemption or purchase shall not be affected by any defect in or omission of such CUSIP and ISIN numbers. The Issuer shall promptly notify the Trustee in writing of any change in the CUSIP and ISIN numbers.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Payment of Notes</w:t>
      </w:r>
      <w:r>
        <w:rPr>
          <w:rFonts w:ascii="Times New Roman" w:cs="Times New Roman" w:eastAsia="Times New Roman" w:hAnsi="Times New Roman"/>
          <w:sz w:val="18"/>
          <w:szCs w:val="18"/>
          <w:color w:val="auto"/>
        </w:rPr>
        <w:t>. The Issuer shall promptly pay the principal of, premium, if any, and interest on the Notes on the dates and in the manner provided in the Notes and in this Indenture. Principal, premium, if any, and interest shall be considered paid on the date due if by 11:00 a.m. New York City time on such date the Trustee or the Paying Agent holds in accordance with this Indenture money sufficient to pay all principal, premium, if any, and interest then due and the Trustee or the Paying Agent, as the case may be, is not prohibited from paying such money to the Holders on that date pursuant to the terms of this Indenture.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Issuer shall pay interest on overdue principal at the rate specified therefor in the Notes, and it shall pay interest on overdue installments of interest at the same rate to the extent lawful.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p>
      <w:pPr>
        <w:ind w:right="20"/>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contained in this Indenture, the Issuer and any Paying Agent may, to the extent it is required to do so by law, deduct or withhold income or other similar taxes imposed by the United States of America from principal or interest payments hereunder.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Limitation on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5" w:lineRule="auto"/>
        <w:tabs>
          <w:tab w:leader="none" w:pos="90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and shall not permit any of its Restricted Subsidiaries to, Incur any Indebtedness (including Acquired Indebtedness); provided, however, that the Company and any of its Restricted Subsidiaries may Incur Indebtedness (including Acquired Indebtedness), if on the date of such Incurrence and after giving pro forma effect thereto (including pro forma application of the proceeds thereof), the Fixed Charge Coverage Ratio for the Company and its Restricted Subsidiaries is no less than 2.00 to 1.00; provided, further, that Non-Guarantor Subsidiaries may not Incur Indebtedness under this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if, after giving pro forma effect to such Incurrence (including a pro forma application of the net proceeds therefrom), more than an aggregate of the greater of (a) $10.0 million and (b) 20.0% of LTM EBITDA of Indebtedness of Non-Guarantor Subsidiaries would be outstanding pursuant to this paragraph and clause (5) of the following paragraph at such time.</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will not prohibit the Incurrence of the following Indebtedness (collectively, “</w:t>
      </w:r>
      <w:r>
        <w:rPr>
          <w:rFonts w:ascii="Times New Roman" w:cs="Times New Roman" w:eastAsia="Times New Roman" w:hAnsi="Times New Roman"/>
          <w:sz w:val="18"/>
          <w:szCs w:val="18"/>
          <w:u w:val="single" w:color="auto"/>
          <w:color w:val="auto"/>
        </w:rPr>
        <w:t>Permitted Debt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Indebtedness Incurred under any Credit Facility by the Company or any of its Restricted Subsidiaries (including letters of credit or bankers’ acceptances issued or created under any Credit Facility) and Guarantees in respect of such Indebtedness, up to an aggregate principal amount not to exceed the sum of (a) the greater of (i) $72.0 million and (ii) 100.0% of LTM EBITDA and (b) an additional amount if, after giving pro forma effect to the incurrence of such additional amount and the application of the proceeds therefrom, the Consolidated Secured Leverage Ratio would be no greater than 2.50 to 1.00 (provided that, for the purpose of determining the amount that may be Incurred under this clause (1)(X)(b), all Indebtedness incurred under this clause (1)(X) shall be deemed to be included in Consolidated Total Indebtedness secured by a Lien for purposes of the definition of Consolidated Secured Leverage Ratio) and (Y) in the case of any refinancing of any Indebtedness permitted under this clause or any portion thereof, the aggregate amount of fees, underwriting discounts, accrued and unpaid interest, premiums (including, without limitation, tender premiums) and other costs and expenses (including, without limitation, original issue discount, upfront fees or similar fees) Incurred in connection with such refinancing, and any Refinancing Indebtedness in respect thereof;</w:t>
      </w:r>
    </w:p>
    <w:p>
      <w:pPr>
        <w:spacing w:after="0" w:line="194" w:lineRule="exact"/>
        <w:rPr>
          <w:rFonts w:ascii="Times New Roman" w:cs="Times New Roman" w:eastAsia="Times New Roman" w:hAnsi="Times New Roman"/>
          <w:sz w:val="18"/>
          <w:szCs w:val="18"/>
          <w:color w:val="auto"/>
        </w:rPr>
      </w:pPr>
    </w:p>
    <w:p>
      <w:pPr>
        <w:ind w:firstLine="1304"/>
        <w:spacing w:after="0" w:line="282" w:lineRule="auto"/>
        <w:tabs>
          <w:tab w:leader="none" w:pos="1574"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by the Company or any Restricted Subsidiary of Indebtedness or other obligations of the Company or any Restricted Subsidiary so long as the Incurrence of such Indebtedness or other obligations is not prohibited by the terms of this Indenture;</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Company owing to and held by any Restricted Subsidiary or Indebtedness of a Restricted Subsidiary owing to and held by the Company or any Restricted Subsidiary; provided, however, that if a Guarantor incurs such Indebtedness owing to a Restricted Subsidiary that is not a Guarantor, excluding any Indebtedness in respect of accounts payable incurred in connection with goods and services rendered in the ordinary course of business or consistent with past practice (and not in connection with the borrowing of money), such Indebtedness is expressly subordinated in right of payment (but only to the extent permitted by applicable law and to the extent such subordination does not result in material adverse tax consequences) to the Note Guarantee of such Guarantor; provided, further, that any subsequent issuance or transfer (other than the incurrence of a Permitted Lien) of any Capital Stock or any other event that results in any such Restricted Subsidiary to which such Indebtedness is owed ceasing to be a Restricted Subsidiary or any other subsequent transfer of any such Indebtedness (except to the Company or another Restricted Subsidiary or any pledge of such Indebtedness constituting a Permitted Lien (but not foreclosure thereon)) shall be deemed, in each case, to be an incurrence of such Indebtedness not permitted by this clause (3);</w:t>
      </w:r>
    </w:p>
    <w:p>
      <w:pPr>
        <w:spacing w:after="0" w:line="19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9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represented by (a) the Notes (other than any Additional Notes), including any related Note Guarantee, (b) any Indebtedness (other than Indebtedness incurred pursuant to clauses (1), (2), (3) and (4)(a) of this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outstanding on the Issue Date and any Guarantee thereof, (c) Refinancing Indebtedness (including, with respect to the Notes and any related Note Guarantee) Incurred in respect of any Indebtedness described in this clause (4) or clause (5) of this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or Incurred pursuant to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and (d) Management Advances;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5" w:name="page76"/>
    <w:bookmarkEnd w:id="75"/>
    <w:p>
      <w:pPr>
        <w:jc w:val="both"/>
        <w:ind w:firstLine="1304"/>
        <w:spacing w:after="0" w:line="261" w:lineRule="auto"/>
        <w:tabs>
          <w:tab w:leader="none" w:pos="157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(x) the Company or any Restricted Subsidiary Incurred or issued to finance an acquisition or Investment or (y) Persons that are acquired by the Company or any Restricted Subsidiary or merged into, amalgamated or consolidated with the Company or a Restricted Subsidiary in accordance with the terms of this Indenture (including designating an Unrestricted Subsidiary as a Restricted Subsidiary);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after giving pro forma effect to such acquisition, merger, amalgamation or consolidation, either:</w:t>
      </w:r>
    </w:p>
    <w:p>
      <w:pPr>
        <w:spacing w:after="0" w:line="179"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Company would be permitted to Incur at least $1.00 of additional Indebtedness pursuant to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6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Charge Coverage Ratio of the Company and the Restricted Subsidiaries would not be lower than immediately prior to such acquisition, merger, amalgamation or consolidation; or</w:t>
      </w:r>
    </w:p>
    <w:p>
      <w:pPr>
        <w:spacing w:after="0" w:line="161" w:lineRule="exact"/>
        <w:rPr>
          <w:rFonts w:ascii="Times New Roman" w:cs="Times New Roman" w:eastAsia="Times New Roman" w:hAnsi="Times New Roman"/>
          <w:sz w:val="18"/>
          <w:szCs w:val="18"/>
          <w:color w:val="auto"/>
        </w:rPr>
      </w:pPr>
    </w:p>
    <w:p>
      <w:pPr>
        <w:jc w:val="both"/>
        <w:ind w:left="2600" w:hanging="648"/>
        <w:spacing w:after="0" w:line="256" w:lineRule="auto"/>
        <w:tabs>
          <w:tab w:leader="none" w:pos="26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Indebtedness constitutes Acquired Indebtedness (other than Indebtedness Incurred in contemplation of the transaction or series of related transactions pursuant to which such Person became a Restricted Subsidiary or was otherwise acquired by the Company or a Restricted Subsidiary) in an aggregate principal amount not to exceed the greater of (a) $15.0 million and (b) 30.0% of LTM EBITDA;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only obligors with respect to such Indebtedness shall be those Persons who were obligors of such Indebtedness prior to such acquisition, merger, amalgamation or consolidation;</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on a pro forma basis, the amount of Indebtedness that may be incurred by Non-Guarantor Subsidiaries pursuant to this clause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pursuant to clause (c)), together with amounts incurred and outstanding by Non-Guarantor Subsidiaries pursuant to the second proviso to the first paragraph of this covenant shall not at any one time outstanding exceed the greater of (x) $10.0 million and (y) 20.0% of LTM EBITDA at the time of any incurrence pursuant to this clause (5);</w:t>
      </w:r>
    </w:p>
    <w:p>
      <w:pPr>
        <w:spacing w:after="0" w:line="182" w:lineRule="exact"/>
        <w:rPr>
          <w:sz w:val="20"/>
          <w:szCs w:val="20"/>
          <w:color w:val="auto"/>
        </w:rPr>
      </w:pPr>
    </w:p>
    <w:p>
      <w:pPr>
        <w:ind w:left="1560" w:hanging="256"/>
        <w:spacing w:after="0"/>
        <w:tabs>
          <w:tab w:leader="none" w:pos="15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Obligations (excluding Hedging Obligations entered into for speculative purposes);</w:t>
      </w:r>
    </w:p>
    <w:p>
      <w:pPr>
        <w:spacing w:after="0" w:line="225"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77"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Indebtedness represented by Finance Lease Obligations or Purchase Money Obligations in an aggregate outstanding principal amount which, when taken together with the principal amount of all other Indebtedness Incurred pursuant to this clause and then outstanding, does not exceed the amount of Finance Lease Obligations and Purchase Money Obligations outstanding on the Issue Date plus the greater of (a) $12.5 million and</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6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 of LTM EBITDA, and any Refinancing Indebtedness in respect thereof and (ii) Indebtedness arising out of Sale and Leaseback Transactions in an aggregate outstanding principal amount, which when taken together with the principal amount of all other Indebtedness incurred pursuant to this clause</w:t>
      </w: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(7)(ii) and then outstanding, does not exceed the greater of (a) $10.0 million and (b) 20.0% of LTM EBITDA at the time of incurrence and any Refinancing Indebtedness in respect thereof;</w:t>
      </w:r>
    </w:p>
    <w:p>
      <w:pPr>
        <w:spacing w:after="0" w:line="18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80"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(a) workers’ compensation claims, health, disability or other employee benefits, property, casualty or liability insurance, self-insurance obligations, customer guarantees, performance, indemnity, surety, judgment, bid, appeal, advance payment (including progress premiums), customs, value added or other Tax or other guarantees or other similar bonds, instruments or obligations and completion guarantees and warranties provided by the Company or a Restricted Subsidiary or relating to liabilities, obligations or guarantees Incurred in the ordinary course of business or consistent with past practice; (b) the honoring by a bank or other financial institution of a check, draft or similar instrument drawn against insufficient funds in the ordinary course of business or consistent with past practice; provided, however, that such Indebtedness is extinguished within five Business Days of Incurrence; (c) customer deposits and advance payments (including progress premiums) received in the ordinary course of business or consistent with past practice from customers for goods or services purchased in the ordinary course of business or consistent with past practice; (d) letters of credit, bankers’ acceptances, discounted bills of exchange, discounting or factoring of receivables or payables for credit management purposes, warehouse receipts, guarantees or other similar instruments or obligations issued or entered into, or relating to liabilities or obligations Incurred in the ordinary course of business or consistent with past practice; (e) Cash Management Obligations; and (f) Settlement Indebtedness;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6" w:name="page77"/>
    <w:bookmarkEnd w:id="76"/>
    <w:p>
      <w:pPr>
        <w:jc w:val="both"/>
        <w:ind w:firstLine="1304"/>
        <w:spacing w:after="0" w:line="255" w:lineRule="auto"/>
        <w:tabs>
          <w:tab w:leader="none" w:pos="159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arising from agreements providing for guarantees, indemnification, obligations in respect of earn-outs, deferred purchase price or other adjustments of purchase price or, in each case, similar obligations, in each case, Incurred or assumed in connection with the acquisition or disposition of any business or assets or Person or any Capital Stock of a Subsidiary (other than Guarantees of Indebtedness Incurred by any Person acquiring or disposing of such business or assets or such Subsidiary for the purpose of financing such acquisition or disposition);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maximum liability of the Company and its Restricted Subsidiaries in respect of all such Indebtedness in connection with a disposition shall at no time exceed the gross proceeds, including the fair market value of non-cash proceeds (measured at the time received and without giving effect to any subsequent changes in value), actually received by the Company and its Restricted Subsidiaries in connection with such disposition;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7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an aggregate outstanding principal amount which, when taken together with the principal amount of all other Indebtedness Incurred pursuant to this clause and then outstanding, will not exceed 100% of the Net Cash Proceeds received by the Company from the issuance or sale (other than to a Restricted Subsidiary) of its Capital Stock or otherwise contributed to the equity (in each case, other than through the issuance of Disqualified Stock, Designated Preferred Stock or an Excluded Contribution) of the Company, in each case, subsequent to the Issue Date, and any Refinancing Indebtedness in respect thereof; provided, however, that (i) any such Net Cash Proceeds that are so received or contributed shall not increase the amount available for making Restricted Payments to the extent the Company and its Restricted Subsidiaries Incur Indebtedness in reliance thereon and (ii) any Net Cash Proceeds that are so received or contributed shall be excluded for purposes of Incurring Indebtedness pursuant to this clause to the extent such Net Cash Proceeds or cash have been applied to make Restricted Payments;</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64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Foreign Subsidiaries in an aggregate amount not to exceed the greater of (a) $10.0 million and (b) 20.0% of LTM EBITDA at any time outstanding and any Refinancing Indebtedness in respect thereof;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6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Indebtedness issued by the Company or any of its Subsidiaries to any future, present or former employee, director, officer, manager, contractor, consultant or advisor (or their respective Controlled Investment Affiliates or Immediate Family Members) of the Company, any of its Subsidiaries or any Parent Entity, in each case to finance the purchase or redemption of Capital Stock of the Company or any Parent Entity that is not prohibited by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(b) Indebtedness consisting of obligations under deferred compensation or any other similar arrangements incurred in the ordinary course of business, consistent with past practice or in connection with any Investment or any acquisition (by merger, consolidation, amalgamation or otherwise);</w:t>
      </w:r>
    </w:p>
    <w:p>
      <w:pPr>
        <w:spacing w:after="0" w:line="187" w:lineRule="exact"/>
        <w:rPr>
          <w:rFonts w:ascii="Times New Roman" w:cs="Times New Roman" w:eastAsia="Times New Roman" w:hAnsi="Times New Roman"/>
          <w:sz w:val="18"/>
          <w:szCs w:val="18"/>
          <w:color w:val="auto"/>
        </w:rPr>
      </w:pPr>
    </w:p>
    <w:p>
      <w:pPr>
        <w:ind w:right="20" w:firstLine="1304"/>
        <w:spacing w:after="0" w:line="282" w:lineRule="auto"/>
        <w:tabs>
          <w:tab w:leader="none" w:pos="164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Company or any of its Restricted Subsidiaries consisting of (i) the financing of insurance premiums or (ii) take-or-pay obligations contained in supply arrangements, in each case Incurred in the ordinary course of business or consistent with past practice;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7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an aggregate outstanding principal amount which, when taken together with the principal amount of all other Indebtedness Incurred pursuant to this clause (14) and then outstanding will not exceed the greater of (a) $37.5 million and (b) 75.0% of LTM EBITDA and any Refinancing Indebtedness in respect thereof;</w:t>
      </w:r>
    </w:p>
    <w:p>
      <w:pPr>
        <w:spacing w:after="0" w:line="17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any Qualified Securitization Financing or any Receivables Facility;</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65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Company or any of its Restricted Subsidiaries arising pursuant to any Permitted Tax Restructuring, Permitted Intercompany Activities and related transactions;</w:t>
      </w:r>
    </w:p>
    <w:p>
      <w:pPr>
        <w:spacing w:after="0" w:line="161"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7" w:name="page78"/>
    <w:bookmarkEnd w:id="77"/>
    <w:p>
      <w:pPr>
        <w:jc w:val="both"/>
        <w:ind w:left="-20" w:firstLine="1304"/>
        <w:spacing w:after="0" w:line="266" w:lineRule="auto"/>
        <w:tabs>
          <w:tab w:leader="none" w:pos="164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or guaranty of any obligation, of the Company or any Restricted Subsidiary to reimburse or indemnify a Person extending credit to customers of the Company or a Restricted Subsidiary incurred in the ordinary course of business or consistent with past practice for all or any portion of the amounts payable by such customers to the Person extending such credit;</w:t>
      </w:r>
    </w:p>
    <w:p>
      <w:pPr>
        <w:spacing w:after="0" w:line="175" w:lineRule="exact"/>
        <w:rPr>
          <w:rFonts w:ascii="Times New Roman" w:cs="Times New Roman" w:eastAsia="Times New Roman" w:hAnsi="Times New Roman"/>
          <w:sz w:val="18"/>
          <w:szCs w:val="18"/>
          <w:color w:val="auto"/>
        </w:rPr>
      </w:pPr>
    </w:p>
    <w:p>
      <w:pPr>
        <w:ind w:left="-20" w:right="20" w:firstLine="1304"/>
        <w:spacing w:after="0" w:line="282" w:lineRule="auto"/>
        <w:tabs>
          <w:tab w:leader="none" w:pos="1623"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owing to a customer or supplier to finance the acquisition of any equipment or inventory necessary to perform services for such customer; provided that the terms of such Indebtedness are on usual and customary terms for such an arrangement;</w:t>
      </w:r>
    </w:p>
    <w:p>
      <w:pPr>
        <w:spacing w:after="0" w:line="161" w:lineRule="exact"/>
        <w:rPr>
          <w:rFonts w:ascii="Times New Roman" w:cs="Times New Roman" w:eastAsia="Times New Roman" w:hAnsi="Times New Roman"/>
          <w:sz w:val="18"/>
          <w:szCs w:val="18"/>
          <w:color w:val="auto"/>
        </w:rPr>
      </w:pPr>
    </w:p>
    <w:p>
      <w:pPr>
        <w:ind w:left="1620" w:hanging="336"/>
        <w:spacing w:after="0"/>
        <w:tabs>
          <w:tab w:leader="none" w:pos="16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620" w:hanging="336"/>
        <w:spacing w:after="0"/>
        <w:tabs>
          <w:tab w:leader="none" w:pos="162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225"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629"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by the Company or any of its Restricted Subsidiaries to the extent that the net proceeds thereof are promptly deposited with the Trustee to satisfy or discharge the Notes or exercise the Company’s legal defeasance or covenant defeasance, in each case, in accordance with this Indenture.</w:t>
      </w:r>
    </w:p>
    <w:p>
      <w:pPr>
        <w:spacing w:after="0" w:line="175" w:lineRule="exact"/>
        <w:rPr>
          <w:rFonts w:ascii="Times New Roman" w:cs="Times New Roman" w:eastAsia="Times New Roman" w:hAnsi="Times New Roman"/>
          <w:sz w:val="18"/>
          <w:szCs w:val="18"/>
          <w:color w:val="auto"/>
        </w:rPr>
      </w:pPr>
    </w:p>
    <w:p>
      <w:pPr>
        <w:ind w:left="-20" w:firstLine="656"/>
        <w:spacing w:after="0" w:line="282" w:lineRule="auto"/>
        <w:tabs>
          <w:tab w:leader="none" w:pos="87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compliance with, and the outstanding principal amount of any particular Indebtedness Incurred pursuant to and in compliance with,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53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clause (3) below, in the event that all or any portion of any item of Indebtedness meets the criteria of more than one of the types of Indebtedness described in </w:t>
      </w:r>
      <w:r>
        <w:rPr>
          <w:rFonts w:ascii="Times New Roman" w:cs="Times New Roman" w:eastAsia="Times New Roman" w:hAnsi="Times New Roman"/>
          <w:sz w:val="18"/>
          <w:szCs w:val="18"/>
          <w:u w:val="single" w:color="auto"/>
          <w:color w:val="auto"/>
        </w:rPr>
        <w:t>Section 3.2(a) and (b)</w:t>
      </w:r>
      <w:r>
        <w:rPr>
          <w:rFonts w:ascii="Times New Roman" w:cs="Times New Roman" w:eastAsia="Times New Roman" w:hAnsi="Times New Roman"/>
          <w:sz w:val="18"/>
          <w:szCs w:val="18"/>
          <w:color w:val="auto"/>
        </w:rPr>
        <w:t xml:space="preserve">, the Company, in its sole discretion, will classify, and may from time to time reclassify, such item of Indebtedness and only be required to include the amount and type of such Indebtedness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or one of the clauses of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20" w:firstLine="1304"/>
        <w:spacing w:after="0" w:line="256" w:lineRule="auto"/>
        <w:tabs>
          <w:tab w:leader="none" w:pos="153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additionally, all or any portion of any item of Indebtedness may later be reclassified as having been Incurred pursuant to any type of Indebtedness described in </w:t>
      </w:r>
      <w:r>
        <w:rPr>
          <w:rFonts w:ascii="Times New Roman" w:cs="Times New Roman" w:eastAsia="Times New Roman" w:hAnsi="Times New Roman"/>
          <w:sz w:val="18"/>
          <w:szCs w:val="18"/>
          <w:u w:val="single" w:color="auto"/>
          <w:color w:val="auto"/>
        </w:rPr>
        <w:t>Section 3.2(a) or (b)</w:t>
      </w:r>
      <w:r>
        <w:rPr>
          <w:rFonts w:ascii="Times New Roman" w:cs="Times New Roman" w:eastAsia="Times New Roman" w:hAnsi="Times New Roman"/>
          <w:sz w:val="18"/>
          <w:szCs w:val="18"/>
          <w:color w:val="auto"/>
        </w:rPr>
        <w:t xml:space="preserve"> so long as such Indebtedness is permitted to be Incurred pursuant to such provision and any related Liens are permitted to be Incurred at the time of reclassification (it being understood that any Indebtedness incurred pursuant to one of the clauses of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3.2(b)</w:t>
      </w:r>
      <w:r>
        <w:rPr>
          <w:rFonts w:ascii="Times New Roman" w:cs="Times New Roman" w:eastAsia="Times New Roman" w:hAnsi="Times New Roman"/>
          <w:sz w:val="18"/>
          <w:szCs w:val="18"/>
          <w:color w:val="auto"/>
        </w:rPr>
        <w:t xml:space="preserve"> shall cease to be deemed incurred or outstanding for purposes of such clause but shall be deemed incurred for the purposes of the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from and after the first date on which the Company or its Restricted Subsidiaries could have incurred such Indebtedness under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without reliance on such clause);</w:t>
      </w:r>
    </w:p>
    <w:p>
      <w:pPr>
        <w:spacing w:after="0" w:line="187" w:lineRule="exact"/>
        <w:rPr>
          <w:rFonts w:ascii="Times New Roman" w:cs="Times New Roman" w:eastAsia="Times New Roman" w:hAnsi="Times New Roman"/>
          <w:sz w:val="18"/>
          <w:szCs w:val="18"/>
          <w:color w:val="auto"/>
        </w:rPr>
      </w:pPr>
    </w:p>
    <w:p>
      <w:pPr>
        <w:ind w:left="-20" w:firstLine="1304"/>
        <w:spacing w:after="0" w:line="282" w:lineRule="auto"/>
        <w:tabs>
          <w:tab w:leader="none" w:pos="154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Indebtedness outstanding or Incurred on or prior to the Issue Date under the New Revolving Credit Facility shall be deemed to have been Incurred under, and shall remain classified at all times on the Issue Date under </w:t>
      </w:r>
      <w:r>
        <w:rPr>
          <w:rFonts w:ascii="Times New Roman" w:cs="Times New Roman" w:eastAsia="Times New Roman" w:hAnsi="Times New Roman"/>
          <w:sz w:val="18"/>
          <w:szCs w:val="18"/>
          <w:u w:val="single" w:color="auto"/>
          <w:color w:val="auto"/>
        </w:rPr>
        <w:t>Section 3.2(b)(1)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20" w:firstLine="1304"/>
        <w:spacing w:after="0" w:line="261" w:lineRule="auto"/>
        <w:tabs>
          <w:tab w:leader="none" w:pos="154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Refinancing Indebtedness, when measuring the outstanding amount of such Indebtedness, such amount shall not include the aggregate amount of fees, underwriting discounts, accrued and unpaid interest, dividends, premiums (including, without limitation, tender premiums), defeasance costs, fees and other costs and expenses (including, without limitation, original issue discount, upfront fees or similar fees) Incurred in connection with such refinancing;</w:t>
      </w:r>
    </w:p>
    <w:p>
      <w:pPr>
        <w:spacing w:after="0" w:line="179" w:lineRule="exact"/>
        <w:rPr>
          <w:rFonts w:ascii="Times New Roman" w:cs="Times New Roman" w:eastAsia="Times New Roman" w:hAnsi="Times New Roman"/>
          <w:sz w:val="18"/>
          <w:szCs w:val="18"/>
          <w:color w:val="auto"/>
        </w:rPr>
      </w:pPr>
    </w:p>
    <w:p>
      <w:pPr>
        <w:ind w:left="-20" w:firstLine="1304"/>
        <w:spacing w:after="0" w:line="282" w:lineRule="auto"/>
        <w:tabs>
          <w:tab w:leader="none" w:pos="1551"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or obligations in respect of letters of credit, bankers’ acceptances or other similar instruments relating to, or Liens securing, Indebtedness that is otherwise included in the determination of a particular amount of Indebtedness shall not be included;</w:t>
      </w:r>
    </w:p>
    <w:p>
      <w:pPr>
        <w:spacing w:after="0" w:line="161"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552"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obligations in respect of letters of credit, bankers’ acceptances or other similar instruments are Incurred pursuant to any Credit Facility and are being treated as incurred pursuant to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or any clause of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and the letters of credit, bankers’ acceptances or other similar instruments relate to other Indebtedness, then such other Indebtedness shall not be included;</w:t>
      </w:r>
    </w:p>
    <w:p>
      <w:pPr>
        <w:spacing w:after="0" w:line="175" w:lineRule="exact"/>
        <w:rPr>
          <w:rFonts w:ascii="Times New Roman" w:cs="Times New Roman" w:eastAsia="Times New Roman" w:hAnsi="Times New Roman"/>
          <w:sz w:val="18"/>
          <w:szCs w:val="18"/>
          <w:color w:val="auto"/>
        </w:rPr>
      </w:pPr>
    </w:p>
    <w:p>
      <w:pPr>
        <w:jc w:val="both"/>
        <w:ind w:left="-20" w:firstLine="1304"/>
        <w:spacing w:after="0" w:line="266" w:lineRule="auto"/>
        <w:tabs>
          <w:tab w:leader="none" w:pos="1565"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any Disqualified Stock of the Company or a Restricted Subsidiary, or Preferred Stock of a Restricted Subsidiary, will be equal to the greater of the maximum mandatory redemption or repurchase price (not including, in either case, any redemption or repurchase premium) or the liquidation preference thereof;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78" w:name="page79"/>
    <w:bookmarkEnd w:id="78"/>
    <w:p>
      <w:pPr>
        <w:ind w:firstLine="1304"/>
        <w:spacing w:after="0" w:line="282" w:lineRule="auto"/>
        <w:tabs>
          <w:tab w:leader="none" w:pos="156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permitted by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need not be permitted solely by reference to one provision permitting such Indebtedness but may be permitted in part by one such provision and in part by one or more other provisions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permitting such Indebtedness;</w:t>
      </w:r>
    </w:p>
    <w:p>
      <w:pPr>
        <w:spacing w:after="0" w:line="16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8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all purposes under this Indenture, including for purposes of calculating the Fixed Charge Coverage Ratio, the Consolidated Secured Leverage Ratio or the Consolidated Total Leverage Ratio, as applicable, in connection with the incurrence, issuance or assumption of any Indebtedness pursuant to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or the incurrence or creation of any Lien pursuant to the definition of “Permitted Liens” or otherwise, the Company may elect, at its option, to treat all or any portion of the committed amount of any Indebtedness (and the issuance and creation of letters of credit and bankers’ acceptances thereunder) which is to be incurred (or any commitment in respect thereof) or secured by such Lien, as the case may be (any such committed amount elected until revoked as described below, the “</w:t>
      </w:r>
      <w:r>
        <w:rPr>
          <w:rFonts w:ascii="Times New Roman" w:cs="Times New Roman" w:eastAsia="Times New Roman" w:hAnsi="Times New Roman"/>
          <w:sz w:val="18"/>
          <w:szCs w:val="18"/>
          <w:u w:val="single" w:color="auto"/>
          <w:color w:val="auto"/>
        </w:rPr>
        <w:t>Reserved Indebtedness Amount</w:t>
      </w:r>
      <w:r>
        <w:rPr>
          <w:rFonts w:ascii="Times New Roman" w:cs="Times New Roman" w:eastAsia="Times New Roman" w:hAnsi="Times New Roman"/>
          <w:sz w:val="18"/>
          <w:szCs w:val="18"/>
          <w:color w:val="auto"/>
        </w:rPr>
        <w:t xml:space="preserve">”), as being incurred as of such election date, and, if such Fixed Charge Coverage Ratio, the Consolidated Secured Leverage Ratio, the Consolidated Total Leverage Ratio or other provision of this Indenture, as applicable, is complied with (or satisfied) with respect thereto on such election date, any subsequent borrowing or reborrowing thereunder (and the issuance and creation of letters of credit and bankers’ acceptances thereunder) will be deemed to be permitted under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the definition of “Permitted Liens,” as applicable, whether or not the Fixed Charge Coverage Ratio, the Consolidated Secured Leverage Ratio, the Consolidated Total Leverage Ratio or other provision of this Indenture, as applicable, at the actual time of any subsequent borrowing or reborrowing (or issuance or creation of letters of credit or bankers’ acceptances thereunder) is complied with (or satisfied) for all purposes (including as to the absence of any continuing Default or Event of Default);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for purposes of subsequent calculations of the Fixed Charge Coverage Ratio, the Consolidated Secured Leverage Ratio, the Consolidated Total Leverage Ratio or other provision of this Indenture, as applicable, the Reserved Indebtedness Amount shall be deemed to be outstanding, whether or not such amount is actually outstanding, for so long as such commitments are outstanding or until the Company revokes an election of a Reserved Indebtedness Amount;</w:t>
      </w:r>
    </w:p>
    <w:p>
      <w:pPr>
        <w:spacing w:after="0" w:line="194"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6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to the contrary, in the case of any Indebtedness incurred to refinance Indebtedness initially incurred in reliance on </w:t>
      </w:r>
      <w:r>
        <w:rPr>
          <w:rFonts w:ascii="Times New Roman" w:cs="Times New Roman" w:eastAsia="Times New Roman" w:hAnsi="Times New Roman"/>
          <w:sz w:val="18"/>
          <w:szCs w:val="18"/>
          <w:u w:val="single" w:color="auto"/>
          <w:color w:val="auto"/>
        </w:rPr>
        <w:t>Section 3.2(b)</w:t>
      </w:r>
      <w:r>
        <w:rPr>
          <w:rFonts w:ascii="Times New Roman" w:cs="Times New Roman" w:eastAsia="Times New Roman" w:hAnsi="Times New Roman"/>
          <w:sz w:val="18"/>
          <w:szCs w:val="18"/>
          <w:color w:val="auto"/>
        </w:rPr>
        <w:t xml:space="preserve"> measured by reference to a percentage of LTM EBITDA at the time of Incurrence, if such refinancing would cause the percentage of LTM EBITDA restriction to be exceeded if calculated based on the percentage of LTM EBITDA on the date of such refinancing, such percentage of LTM EBITDA restriction shall not be deemed to be exceeded so long as the principal amount of such refinancing Indebtedness does not exceed the principal amount of such Indebtedness being refinanced, plus accrued and unpaid interest, dividends, premiums (including tender premiums), defeasance costs, underwriting discounts, fees, costs and expenses (including original issue discount, upfront fees or similar fees) in connection with such refinancing; and</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163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Indebtedness issued at a price that is less than the principal amount thereof will be equal to the amount of the liability in respect thereof determined on the basis of GAAP.</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Accrual of interest, accrual of dividends, the accretion of accreted value, the accretion or amortization of original issue discount, the payment of interest in the form of additional Indebtedness, the payment of dividends in the form of additional shares of Preferred Stock or Disqualified Stock or the reclassification of commitments or obligations not treated as Indebtedness due to a change in GAAP, will not be deemed to be an Incurrence of Indebtedness for purposes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If at any time an Unrestricted Subsidiary becomes a Restricted Subsidiary, any Indebtedness of such Subsidiary shall be deemed to be Incurred by a Restricted Subsidiary of the Company as of such date (and, if such Indebtedness is not permitted to be Incurred as of such date under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the Company shall be in default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9" w:name="page80"/>
    <w:bookmarkEnd w:id="79"/>
    <w:p>
      <w:pPr>
        <w:jc w:val="both"/>
        <w:spacing w:after="0" w:line="254" w:lineRule="auto"/>
        <w:rPr>
          <w:sz w:val="20"/>
          <w:szCs w:val="20"/>
          <w:color w:val="auto"/>
        </w:rPr>
      </w:pPr>
      <w:r>
        <w:rPr>
          <w:rFonts w:ascii="Times New Roman" w:cs="Times New Roman" w:eastAsia="Times New Roman" w:hAnsi="Times New Roman"/>
          <w:sz w:val="18"/>
          <w:szCs w:val="18"/>
          <w:color w:val="auto"/>
        </w:rPr>
        <w:t>For purposes of determining compliance with any U.S. Dollar-denominated restriction on the incurrence of Indebtedness, the U.S. Dollar equivalent principal amount of Indebtedness denominated in a foreign currency shall be calculated based on the relevant currency exchange rate in effect on the date such Indebtedness was Incurred, in the case of term debt, or first committed, in the case of revolving credit debt; provided,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(a) the principal amount of such Indebtedness being refinanced plus (b) the aggregate amount of accrued and unpaid interest, dividends, premiums (including tender premiums) defeasance costs, underwriting discounts, fees, costs and expenses (including original issue discount, upfront fees or similar fees) Incurred in connection with such refinancing.</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 other provision of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the maximum amount of Indebtedness that the Company or a Restricted Subsidiary may Incur pursuant to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shall not be deemed to be exceeded solely as a result of fluctuations in the exchange rate of currencies. The principal amount of any Indebtedness Incurred to refinance other Indebtedness, if Incurred in a different currency from the Indebtedness being refinanced, shall be calculated based on the currency exchange rate applicable to the currencies in which such Refinancing Indebtedness is denominated that is in effect on the date of such Refinancing.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this Indenture, (1) unsecured Indebtedness shall not be treated as subordinated or junior to Secured Indebtedness merely because it is unsecured and (2) senior Indebtedness shall not be treated as subordinated or junior to any other senior Indebtedness merely because it has a junior priority with respect to the same collateral or is secured by different collateral or because it is guaranteed by different obligors.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Limitation on Restricted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00" w:hanging="244"/>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and shall not permit any of its Restricted Subsidiaries, directly or indirectly, to:</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any dividend or make any distribution on or in respect of the Company’s or any Restricted Subsidiary’s Capital Stock (including, without limitation, any such payment in connection with any merger or consolidation involving the Company or any of its Restricted Subsidiaries) except:</w:t>
      </w:r>
    </w:p>
    <w:p>
      <w:pPr>
        <w:spacing w:after="0" w:line="175" w:lineRule="exact"/>
        <w:rPr>
          <w:rFonts w:ascii="Times New Roman" w:cs="Times New Roman" w:eastAsia="Times New Roman" w:hAnsi="Times New Roman"/>
          <w:sz w:val="18"/>
          <w:szCs w:val="18"/>
          <w:color w:val="auto"/>
        </w:rPr>
      </w:pPr>
    </w:p>
    <w:p>
      <w:pPr>
        <w:ind w:left="1300" w:firstLine="1300"/>
        <w:spacing w:after="0" w:line="282" w:lineRule="auto"/>
        <w:tabs>
          <w:tab w:leader="none" w:pos="2819"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payments or distributions payable in Capital Stock of the Company (other than Disqualified Stock) or in options, warrants or other rights to purchase such Capital Stock of the Company; or</w:t>
      </w:r>
    </w:p>
    <w:p>
      <w:pPr>
        <w:spacing w:after="0" w:line="161" w:lineRule="exact"/>
        <w:rPr>
          <w:rFonts w:ascii="Times New Roman" w:cs="Times New Roman" w:eastAsia="Times New Roman" w:hAnsi="Times New Roman"/>
          <w:sz w:val="18"/>
          <w:szCs w:val="18"/>
          <w:color w:val="auto"/>
        </w:rPr>
      </w:pPr>
    </w:p>
    <w:p>
      <w:pPr>
        <w:jc w:val="both"/>
        <w:ind w:left="1300" w:firstLine="1300"/>
        <w:spacing w:after="0" w:line="266" w:lineRule="auto"/>
        <w:tabs>
          <w:tab w:leader="none" w:pos="2879"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payments or distributions payable to the Company or a Restricted Subsidiary (and, in the case of any such Restricted Subsidiary making such dividend or distribution, to holders of its Capital Stock other than the Company or another Restricted Subsidiary on no more than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62"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repurchase, redeem, retire or otherwise acquire or retire for value any Capital Stock of the Company or any Parent Entity held by Persons other than the Company or a Restricted Subsidiary;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5"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 repurchase, redeem, defease or otherwise acquire or retire for value, prior to scheduled maturity, scheduled repayment or scheduled sinking fund payment, any Subordinated Indebtedness (other than (i) any such purchase, repurchase, redemption, defeasance or other acquisition or retirement in anticipation of satisfying a sinking fund obligation, principal installment or final maturity, in each case, due within one year of the date of purchase, repurchase, redemption, defeasance or other acquisition or retirement and (ii) any Indebtedness Incurred pursuant to </w:t>
      </w:r>
      <w:r>
        <w:rPr>
          <w:rFonts w:ascii="Times New Roman" w:cs="Times New Roman" w:eastAsia="Times New Roman" w:hAnsi="Times New Roman"/>
          <w:sz w:val="18"/>
          <w:szCs w:val="18"/>
          <w:u w:val="single" w:color="auto"/>
          <w:color w:val="auto"/>
        </w:rPr>
        <w:t>Section 3.2(b)(3)</w:t>
      </w:r>
      <w:r>
        <w:rPr>
          <w:rFonts w:ascii="Times New Roman" w:cs="Times New Roman" w:eastAsia="Times New Roman" w:hAnsi="Times New Roman"/>
          <w:sz w:val="18"/>
          <w:szCs w:val="18"/>
          <w:color w:val="auto"/>
        </w:rPr>
        <w:t>); or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0" w:name="page81"/>
    <w:bookmarkEnd w:id="80"/>
    <w:p>
      <w:pPr>
        <w:ind w:left="1300"/>
        <w:spacing w:after="0"/>
        <w:rPr>
          <w:sz w:val="20"/>
          <w:szCs w:val="20"/>
          <w:color w:val="auto"/>
        </w:rPr>
      </w:pPr>
      <w:r>
        <w:rPr>
          <w:rFonts w:ascii="Times New Roman" w:cs="Times New Roman" w:eastAsia="Times New Roman" w:hAnsi="Times New Roman"/>
          <w:sz w:val="18"/>
          <w:szCs w:val="18"/>
          <w:color w:val="auto"/>
        </w:rPr>
        <w:t>(4) make any Restricted Investment;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such dividend, distribution, payment, purchase, redemption, repurchase, defeasance, other acquisition, retirement or Restricted Investment referred to in clauses (1) through (4) are referred to herein as a “</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if at the time the Company or such Restricted Subsidiary makes such Restricted Payment:</w:t>
      </w:r>
    </w:p>
    <w:p>
      <w:pPr>
        <w:spacing w:after="0" w:line="176" w:lineRule="exact"/>
        <w:rPr>
          <w:sz w:val="20"/>
          <w:szCs w:val="20"/>
          <w:color w:val="auto"/>
        </w:rPr>
      </w:pPr>
    </w:p>
    <w:p>
      <w:pPr>
        <w:ind w:left="2820" w:hanging="220"/>
        <w:spacing w:after="0"/>
        <w:tabs>
          <w:tab w:leader="none" w:pos="28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shall have occurred and be continuing (or would immediately thereafter result therefrom);</w:t>
      </w:r>
    </w:p>
    <w:p>
      <w:pPr>
        <w:spacing w:after="0" w:line="225" w:lineRule="exact"/>
        <w:rPr>
          <w:rFonts w:ascii="Times New Roman" w:cs="Times New Roman" w:eastAsia="Times New Roman" w:hAnsi="Times New Roman"/>
          <w:sz w:val="18"/>
          <w:szCs w:val="18"/>
          <w:color w:val="auto"/>
        </w:rPr>
      </w:pPr>
    </w:p>
    <w:p>
      <w:pPr>
        <w:ind w:left="1300" w:firstLine="1300"/>
        <w:spacing w:after="0" w:line="282" w:lineRule="auto"/>
        <w:tabs>
          <w:tab w:leader="none" w:pos="287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not able to incur an additional $1.00 of Indebtedness pursuant to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immediately after giving effect, on a pro forma basis, to such Restricted Payment; or</w:t>
      </w:r>
    </w:p>
    <w:p>
      <w:pPr>
        <w:spacing w:after="0" w:line="161" w:lineRule="exact"/>
        <w:rPr>
          <w:rFonts w:ascii="Times New Roman" w:cs="Times New Roman" w:eastAsia="Times New Roman" w:hAnsi="Times New Roman"/>
          <w:sz w:val="18"/>
          <w:szCs w:val="18"/>
          <w:color w:val="auto"/>
        </w:rPr>
      </w:pPr>
    </w:p>
    <w:p>
      <w:pPr>
        <w:jc w:val="both"/>
        <w:ind w:left="1300" w:firstLine="1300"/>
        <w:spacing w:after="0" w:line="261" w:lineRule="auto"/>
        <w:tabs>
          <w:tab w:leader="none" w:pos="291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such Restricted Payment and all other Restricted Payments made subsequent to September 30, 2025 (and not returned or rescinded) (including Permitted Payments made pursuant to </w:t>
      </w:r>
      <w:r>
        <w:rPr>
          <w:rFonts w:ascii="Times New Roman" w:cs="Times New Roman" w:eastAsia="Times New Roman" w:hAnsi="Times New Roman"/>
          <w:sz w:val="18"/>
          <w:szCs w:val="18"/>
          <w:u w:val="single" w:color="auto"/>
          <w:color w:val="auto"/>
        </w:rPr>
        <w:t>Section 3.3(b)(1)</w:t>
      </w:r>
      <w:r>
        <w:rPr>
          <w:rFonts w:ascii="Times New Roman" w:cs="Times New Roman" w:eastAsia="Times New Roman" w:hAnsi="Times New Roman"/>
          <w:sz w:val="18"/>
          <w:szCs w:val="18"/>
          <w:color w:val="auto"/>
        </w:rPr>
        <w:t xml:space="preserve"> (without duplication) and </w:t>
      </w:r>
      <w:r>
        <w:rPr>
          <w:rFonts w:ascii="Times New Roman" w:cs="Times New Roman" w:eastAsia="Times New Roman" w:hAnsi="Times New Roman"/>
          <w:sz w:val="18"/>
          <w:szCs w:val="18"/>
          <w:u w:val="single" w:color="auto"/>
          <w:color w:val="auto"/>
        </w:rPr>
        <w:t>Section 3.3(b)(10)</w:t>
      </w:r>
      <w:r>
        <w:rPr>
          <w:rFonts w:ascii="Times New Roman" w:cs="Times New Roman" w:eastAsia="Times New Roman" w:hAnsi="Times New Roman"/>
          <w:sz w:val="18"/>
          <w:szCs w:val="18"/>
          <w:color w:val="auto"/>
        </w:rPr>
        <w:t xml:space="preserve">, but excluding all other Restricted Payments made pursuant to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would exceed the sum of (without duplication):</w:t>
      </w:r>
    </w:p>
    <w:p>
      <w:pPr>
        <w:spacing w:after="0" w:line="179" w:lineRule="exact"/>
        <w:rPr>
          <w:rFonts w:ascii="Times New Roman" w:cs="Times New Roman" w:eastAsia="Times New Roman" w:hAnsi="Times New Roman"/>
          <w:sz w:val="18"/>
          <w:szCs w:val="18"/>
          <w:color w:val="auto"/>
        </w:rPr>
      </w:pPr>
    </w:p>
    <w:p>
      <w:pPr>
        <w:ind w:left="3060" w:hanging="298"/>
        <w:spacing w:after="0"/>
        <w:tabs>
          <w:tab w:leader="none" w:pos="306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million;</w:t>
      </w:r>
    </w:p>
    <w:p>
      <w:pPr>
        <w:spacing w:after="0" w:line="225" w:lineRule="exact"/>
        <w:rPr>
          <w:rFonts w:ascii="Times New Roman" w:cs="Times New Roman" w:eastAsia="Times New Roman" w:hAnsi="Times New Roman"/>
          <w:sz w:val="18"/>
          <w:szCs w:val="18"/>
          <w:color w:val="auto"/>
        </w:rPr>
      </w:pPr>
    </w:p>
    <w:p>
      <w:pPr>
        <w:jc w:val="both"/>
        <w:ind w:left="1300" w:firstLine="1462"/>
        <w:spacing w:after="0" w:line="261" w:lineRule="auto"/>
        <w:tabs>
          <w:tab w:leader="none" w:pos="3046"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of Consolidated Net Income for the period (treated as one accounting period) from September 30, 2025 to the end of the most recent fiscal quarter ending prior to the date of such Restricted Payment for which consolidated financial statements of the Company are available (which may, at the Company’s election, be internal financial statements) (or, in the case such Consolidated Net Income is a deficit, minus 100% of such deficit);</w:t>
      </w:r>
    </w:p>
    <w:p>
      <w:pPr>
        <w:spacing w:after="0" w:line="179" w:lineRule="exact"/>
        <w:rPr>
          <w:rFonts w:ascii="Times New Roman" w:cs="Times New Roman" w:eastAsia="Times New Roman" w:hAnsi="Times New Roman"/>
          <w:sz w:val="18"/>
          <w:szCs w:val="18"/>
          <w:color w:val="auto"/>
        </w:rPr>
      </w:pPr>
    </w:p>
    <w:p>
      <w:pPr>
        <w:jc w:val="both"/>
        <w:ind w:left="1300" w:firstLine="1462"/>
        <w:spacing w:after="0" w:line="254" w:lineRule="auto"/>
        <w:tabs>
          <w:tab w:leader="none" w:pos="3049"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the aggregate cash, and the fair market value of property or assets or marketable securities, received by the Company from the issue or sale of its Capital Stock or as the result of a merger or consolidation with another Person subsequent to the Issue Date or otherwise contributed to the equity (other than through the issuance of Disqualified Stock or Designated Preferred Stock) of the Company subsequent to the Issue Date (other than (x) Net Cash Proceeds or property or assets or marketable securities received from an issuance or sale of such Capital Stock to a Restricted Subsidiary or an employee stock ownership plan or trust established by the Company or any Subsidiary of the Company for the benefit of its employees to the extent funded by the Company or any Restricted Subsidiary, (y) cash or property or assets or marketable securities to the extent that any Restricted Payment has been made from such proceeds in reliance on </w:t>
      </w:r>
      <w:r>
        <w:rPr>
          <w:rFonts w:ascii="Times New Roman" w:cs="Times New Roman" w:eastAsia="Times New Roman" w:hAnsi="Times New Roman"/>
          <w:sz w:val="18"/>
          <w:szCs w:val="18"/>
          <w:u w:val="single" w:color="auto"/>
          <w:color w:val="auto"/>
        </w:rPr>
        <w:t>Section 3.3(b)(6)</w:t>
      </w:r>
      <w:r>
        <w:rPr>
          <w:rFonts w:ascii="Times New Roman" w:cs="Times New Roman" w:eastAsia="Times New Roman" w:hAnsi="Times New Roman"/>
          <w:sz w:val="18"/>
          <w:szCs w:val="18"/>
          <w:color w:val="auto"/>
        </w:rPr>
        <w:t xml:space="preserve"> and (z) Excluded Contributions);</w:t>
      </w:r>
    </w:p>
    <w:p>
      <w:pPr>
        <w:spacing w:after="0" w:line="191" w:lineRule="exact"/>
        <w:rPr>
          <w:rFonts w:ascii="Times New Roman" w:cs="Times New Roman" w:eastAsia="Times New Roman" w:hAnsi="Times New Roman"/>
          <w:sz w:val="18"/>
          <w:szCs w:val="18"/>
          <w:color w:val="auto"/>
        </w:rPr>
      </w:pPr>
    </w:p>
    <w:p>
      <w:pPr>
        <w:jc w:val="both"/>
        <w:ind w:left="1300" w:firstLine="1462"/>
        <w:spacing w:after="0" w:line="254" w:lineRule="auto"/>
        <w:tabs>
          <w:tab w:leader="none" w:pos="305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aggregate cash, and the fair market value of property or assets or marketable securities, received by the Company or any Restricted Subsidiary from the issuance or sale (other than to the Company or a Restricted Subsidiary of the Company or an employee stock ownership plan or trust established by the Company or any Subsidiary of the Company for the benefit of their employees to the extent funded by the Company or any Restricted Subsidiary) by the Company or any Restricted Subsidiary subsequent to the Issue Date of any Indebtedness, Disqualified Stock or Designated Preferred Stock that has been converted into or exchanged for Capital Stock of the Company (other than Disqualified Stock or Designated Preferred Stock) plus, without duplication, the amount of any cash, and the fair market value of property or assets or marketable securities, received by the Company or any Restricted Subsidiary upon such conversion or exchange;</w:t>
      </w:r>
    </w:p>
    <w:p>
      <w:pPr>
        <w:spacing w:after="0" w:line="191" w:lineRule="exact"/>
        <w:rPr>
          <w:rFonts w:ascii="Times New Roman" w:cs="Times New Roman" w:eastAsia="Times New Roman" w:hAnsi="Times New Roman"/>
          <w:sz w:val="18"/>
          <w:szCs w:val="18"/>
          <w:color w:val="auto"/>
        </w:rPr>
      </w:pPr>
    </w:p>
    <w:p>
      <w:pPr>
        <w:jc w:val="both"/>
        <w:ind w:left="1300" w:firstLine="1462"/>
        <w:spacing w:after="0" w:line="253" w:lineRule="auto"/>
        <w:tabs>
          <w:tab w:leader="none" w:pos="3052"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aggregate amount received in cash and the fair market value, as determined in good faith by the Company, of marketable securities or other property received by means of: (i) the sale or other disposition (other than to the Company or a Restricted Subsidiary) of, or other returns on Investment from, Restricted Investments made by the Company or its Restricted Subsidiaries and repurchases and redemptions of, or cash distributions or cash interest received in respect of, such Restricted Investments from the Company or its Restricted Subsidiaries and repayments of loans or advances, and releases of guarantees, which constitute Restricted Investments by the Company or its Restricted Subsidiaries, in each case after the Issue Date; or (ii) the sale (other than to the Company or a Restricted Subsidiary) of the stock of an Unrestricted Subsidiary or a dividend, payment or distribution from an Unrestricted Subsidiary (other than to the extent of the amount of the Investment that constituted a Permitted Investment or was made under Section 3.3(b)(16) and will increase the amount available under the applicable clause of the definition of “Permitted Investment” or Section 3.3(b)(16) as the case may be) or a dividend from an Unrestricted Subsidiary after the Issue Date; and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1" w:name="page82"/>
    <w:bookmarkEnd w:id="81"/>
    <w:p>
      <w:pPr>
        <w:jc w:val="both"/>
        <w:ind w:left="1300" w:firstLine="1462"/>
        <w:spacing w:after="0" w:line="254" w:lineRule="auto"/>
        <w:tabs>
          <w:tab w:leader="none" w:pos="3073"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redesignation of an Unrestricted Subsidiary as a Restricted Subsidiary or the merger, amalgamation or consolidation of an Unrestricted Subsidiary into the Company or a Restricted Subsidiary or the transfer of all or substantially all of the assets of an Unrestricted Subsidiary to the Company or a Restricted Subsidiary after the Issue Date, the fair market value of the Investment in such Unrestricted Subsidiary (or the assets transferred), as determined in good faith by the Company at the time of the redesignation of such Unrestricted Subsidiary as a Restricted Subsidiary or at the time of such merger, amalgamation or consolidation or transfer of assets (after taking into consideration any Indebtedness associated with the Unrestricted Subsidiary so designated or merged, amalgamated or consolidated or Indebtedness associated with the assets so transferred), other than to the extent of the amount of the Investment that constituted a Permitted Investment or was made under Section 3.3(b)(16) and will increase the amount available under the applicable clause of the definition of “Permitted Investment” or Section 3.3(b)(16), as the case may be.</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will not prohibit any of the following (collectively, “</w:t>
      </w:r>
      <w:r>
        <w:rPr>
          <w:rFonts w:ascii="Times New Roman" w:cs="Times New Roman" w:eastAsia="Times New Roman" w:hAnsi="Times New Roman"/>
          <w:sz w:val="18"/>
          <w:szCs w:val="18"/>
          <w:u w:val="single" w:color="auto"/>
          <w:color w:val="auto"/>
        </w:rPr>
        <w:t>Permitted Payments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1"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dividend or distribution within 60 days after the date of declaration thereof, if at the date of declaration such payment would have complied with the provisions of this Indenture or the redemption, repurchase or retirement of Indebtedness if, at the date of any redemption notice, such payment would have complied with the provisions of this Indenture as if it were and is deemed at such time to be a Restricted Payment at the time of such notice;</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89"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prepayment, purchase, repurchase, redemption, defeasance, discharge, retirement or other acquisition of Capital Stock, including any accrued and unpaid dividends thereon (“</w:t>
      </w:r>
      <w:r>
        <w:rPr>
          <w:rFonts w:ascii="Times New Roman" w:cs="Times New Roman" w:eastAsia="Times New Roman" w:hAnsi="Times New Roman"/>
          <w:sz w:val="18"/>
          <w:szCs w:val="18"/>
          <w:u w:val="single" w:color="auto"/>
          <w:color w:val="auto"/>
        </w:rPr>
        <w:t>Treasury Capital Stock</w:t>
      </w:r>
      <w:r>
        <w:rPr>
          <w:rFonts w:ascii="Times New Roman" w:cs="Times New Roman" w:eastAsia="Times New Roman" w:hAnsi="Times New Roman"/>
          <w:sz w:val="18"/>
          <w:szCs w:val="18"/>
          <w:color w:val="auto"/>
        </w:rPr>
        <w:t>”) or Subordinated Indebtedness made by exchange (including any such exchange pursuant to the exercise of a conversion right or privilege in connection with which cash is paid in lieu of the issuance of fractional shares) for, or out of the proceeds of the substantially concurrent sale of, Capital Stock of the Company or any Parent Entity to the extent contributed to the Company (in each case, other than Disqualified Stock or Designated Preferred Stock) (“</w:t>
      </w:r>
      <w:r>
        <w:rPr>
          <w:rFonts w:ascii="Times New Roman" w:cs="Times New Roman" w:eastAsia="Times New Roman" w:hAnsi="Times New Roman"/>
          <w:sz w:val="18"/>
          <w:szCs w:val="18"/>
          <w:u w:val="single" w:color="auto"/>
          <w:color w:val="auto"/>
        </w:rPr>
        <w:t>Refunding Capital Stock</w:t>
      </w:r>
      <w:r>
        <w:rPr>
          <w:rFonts w:ascii="Times New Roman" w:cs="Times New Roman" w:eastAsia="Times New Roman" w:hAnsi="Times New Roman"/>
          <w:sz w:val="18"/>
          <w:szCs w:val="18"/>
          <w:color w:val="auto"/>
        </w:rPr>
        <w:t xml:space="preserve">”), (b) the declaration and payment of dividends on Treasury Capital Stock out of the proceeds of the substantially concurrent sale or issuance (other than to a Subsidiary of the Company or to an employee stock ownership plan or any trust established by the Company or any of its Subsidiaries) of Refunding Capital Stock and (c) if immediately prior to the retirement of Treasury Capital Stock, the declaration and payment of dividends thereon was permitted under </w:t>
      </w:r>
      <w:r>
        <w:rPr>
          <w:rFonts w:ascii="Times New Roman" w:cs="Times New Roman" w:eastAsia="Times New Roman" w:hAnsi="Times New Roman"/>
          <w:sz w:val="18"/>
          <w:szCs w:val="18"/>
          <w:u w:val="single" w:color="auto"/>
          <w:color w:val="auto"/>
        </w:rPr>
        <w:t>Section 3.3(b)(13)</w:t>
      </w:r>
      <w:r>
        <w:rPr>
          <w:rFonts w:ascii="Times New Roman" w:cs="Times New Roman" w:eastAsia="Times New Roman" w:hAnsi="Times New Roman"/>
          <w:sz w:val="18"/>
          <w:szCs w:val="18"/>
          <w:color w:val="auto"/>
        </w:rPr>
        <w:t>, the declaration and payment of dividends on the Refunding Capital Stock (other than Refunding Capital Stock the proceeds of which were used to redeem, repurchase, retire or otherwise acquire any Capital Stock of a Parent Entity) in an aggregate amount per year no greater than the aggregate amount of dividends per annum that were declarable and payable on such Treasury Capital Stock immediately prior to such retirement;</w:t>
      </w:r>
    </w:p>
    <w:p>
      <w:pPr>
        <w:spacing w:after="0" w:line="19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2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prepayment, purchase, repurchase, exchange, redemption, defeasance, discharge or other acquisition or retirement of Subordinated Indebtedness made by exchange for, or out of the proceeds of the substantially concurrent sale of, Refinancing Indebtedness permitted to be Incurred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8"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prepayment, purchase, repurchase, exchange, redemption, defeasance, discharge or other acquisition or retirement of Preferred Stock of, the Company or a Restricted Subsidiary made by exchange for, or out of the proceeds of, the substantially concurrent sale of Preferred Stock of the Company or a Restricted Subsidiary, as the case may be, that, in each case, is permitted to be Incurred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2" w:name="page83"/>
    <w:bookmarkEnd w:id="82"/>
    <w:p>
      <w:pPr>
        <w:ind w:firstLine="1304"/>
        <w:spacing w:after="0" w:line="282" w:lineRule="auto"/>
        <w:tabs>
          <w:tab w:leader="none" w:pos="16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prepayment, purchase, repurchase, exchange, redemption, defeasance, discharge or other acquisition or retirement of Subordinated Indebtedness or Disqualified Stock or Preferred Stock of a Restricted Subsidiary:</w:t>
      </w:r>
    </w:p>
    <w:p>
      <w:pPr>
        <w:spacing w:after="0" w:line="161" w:lineRule="exact"/>
        <w:rPr>
          <w:rFonts w:ascii="Times New Roman" w:cs="Times New Roman" w:eastAsia="Times New Roman" w:hAnsi="Times New Roman"/>
          <w:sz w:val="18"/>
          <w:szCs w:val="18"/>
          <w:color w:val="auto"/>
        </w:rPr>
      </w:pPr>
    </w:p>
    <w:p>
      <w:pPr>
        <w:jc w:val="both"/>
        <w:ind w:left="1300" w:firstLine="1300"/>
        <w:spacing w:after="0" w:line="261" w:lineRule="auto"/>
        <w:tabs>
          <w:tab w:leader="none" w:pos="2847"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Net Available Cash to the extent permitted under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but only if the Company shall have first complied with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purchased all Notes tendered pursuant to any offer to repurchase all the Notes required thereby, prior to prepaying, purchasing, repurchasing, redeeming, defeasing, discharging or otherwise acquiring or retiring such Subordinated Indebtedness, Disqualified Stock or Preferred Stock; or</w:t>
      </w:r>
    </w:p>
    <w:p>
      <w:pPr>
        <w:spacing w:after="0" w:line="179" w:lineRule="exact"/>
        <w:rPr>
          <w:rFonts w:ascii="Times New Roman" w:cs="Times New Roman" w:eastAsia="Times New Roman" w:hAnsi="Times New Roman"/>
          <w:sz w:val="18"/>
          <w:szCs w:val="18"/>
          <w:color w:val="auto"/>
        </w:rPr>
      </w:pPr>
    </w:p>
    <w:p>
      <w:pPr>
        <w:jc w:val="both"/>
        <w:ind w:left="1300" w:firstLine="1300"/>
        <w:spacing w:after="0" w:line="256" w:lineRule="auto"/>
        <w:tabs>
          <w:tab w:leader="none" w:pos="2865"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required by the agreement governing such Subordinated Indebtedness, Disqualified Stock or Preferred Stock, following the occurrence of (i) a Change of Control Triggering Event (or other similar event described therein as a “change of control triggering event”) or (ii) an Asset Disposition (or other similar event described therein as an “asset disposition” or “asset sale”), but only if the Company shall have first complied with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as applicable, and purchased all Notes tendered pursuant to the offer to repurchase all the Notes required thereby, prior to purchasing, repurchasing, redeeming, defeasing or otherwise acquiring or retiring such Subordinated Indebtedness, Disqualified Stock or Preferred Stock; or</w:t>
      </w:r>
    </w:p>
    <w:p>
      <w:pPr>
        <w:spacing w:after="0" w:line="187" w:lineRule="exact"/>
        <w:rPr>
          <w:rFonts w:ascii="Times New Roman" w:cs="Times New Roman" w:eastAsia="Times New Roman" w:hAnsi="Times New Roman"/>
          <w:sz w:val="18"/>
          <w:szCs w:val="18"/>
          <w:color w:val="auto"/>
        </w:rPr>
      </w:pPr>
    </w:p>
    <w:p>
      <w:pPr>
        <w:jc w:val="both"/>
        <w:ind w:left="1300" w:firstLine="1300"/>
        <w:spacing w:after="0" w:line="261" w:lineRule="auto"/>
        <w:tabs>
          <w:tab w:leader="none" w:pos="2935"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consisting of Acquired Indebtedness (other than Indebtedness Incurred (A) to provide all or any portion of the funds utilized to consummate the transaction or series of related transactions pursuant to which such Person became a Restricted Subsidiary or was otherwise acquired by the Company or a Restricted Subsidiary or (B) otherwise in connection with or contemplation of such acquisition);</w:t>
      </w:r>
    </w:p>
    <w:p>
      <w:pPr>
        <w:spacing w:after="0" w:line="17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9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Restricted Payment to pay for the prepayment, purchase, repurchase, redemption, defeasance, discharge, retirement or other acquisition of Capital Stock of the Company or any Parent Entity held by any future, present or former employee, director, officer, manager, contractor, consultant or advisor (or their respective Controlled Investment Affiliates or Immediate Family Members) of the Company, any of its Subsidiaries or any Parent Entity pursuant to 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(including, for the avoidance of doubt, any principal and interest payable on any Indebtedness issued by the Company or any Parent Entity in connection with such prepayment, purchase, repurchase, redemption, defeasance, discharge, retirement or other acquisition), including any Capital Stock rolled over, accelerated or paid out by or to any employee, director, officer, manager, contractor, consultant or advisor (or their respective Controlled Investment Affiliates or Immediate Family Members) of the Company, any of its Subsidiaries or any Parent Entity in connection with any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aggregate Restricted Payments made under this clause do not exceed the greater of $7.5 million and 15.0% of LTM EBITDA in any calendar year (with unused amounts in any calendar year being carried over to succeeding calendar years); </w:t>
      </w:r>
      <w:r>
        <w:rPr>
          <w:rFonts w:ascii="Times New Roman" w:cs="Times New Roman" w:eastAsia="Times New Roman" w:hAnsi="Times New Roman"/>
          <w:sz w:val="18"/>
          <w:szCs w:val="18"/>
          <w:i w:val="1"/>
          <w:iCs w:val="1"/>
          <w:color w:val="auto"/>
        </w:rPr>
        <w:t xml:space="preserve">provided, further, </w:t>
      </w:r>
      <w:r>
        <w:rPr>
          <w:rFonts w:ascii="Times New Roman" w:cs="Times New Roman" w:eastAsia="Times New Roman" w:hAnsi="Times New Roman"/>
          <w:sz w:val="18"/>
          <w:szCs w:val="18"/>
          <w:color w:val="auto"/>
        </w:rPr>
        <w:t>that such amount in any calendar year may be increased by an amount not to exceed:</w:t>
      </w:r>
    </w:p>
    <w:p>
      <w:pPr>
        <w:spacing w:after="0" w:line="189" w:lineRule="exact"/>
        <w:rPr>
          <w:rFonts w:ascii="Times New Roman" w:cs="Times New Roman" w:eastAsia="Times New Roman" w:hAnsi="Times New Roman"/>
          <w:sz w:val="18"/>
          <w:szCs w:val="18"/>
          <w:color w:val="auto"/>
        </w:rPr>
      </w:pPr>
    </w:p>
    <w:p>
      <w:pPr>
        <w:jc w:val="both"/>
        <w:ind w:left="1300" w:firstLine="1300"/>
        <w:spacing w:after="0" w:line="256" w:lineRule="auto"/>
        <w:tabs>
          <w:tab w:leader="none" w:pos="2811"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cash proceeds from the sale of Capital Stock (other than Disqualified Stock or Designated Preferred Stock) of the Company and, to the extent contributed to the capital of the Company (other than through the issuance of Disqualified Stock or Designated Preferred Stock or an Excluded Contribution), Capital Stock of any Parent Entity, in each case to members of management, directors or consultants (or their respective Controlled Investment Affiliates or Immediate Family Members) of the Company, any of its Subsidiaries or any Parent Entity that occurred after the Issue Date, to the extent the cash proceeds from the sale of such Capital Stock have not otherwise been applied to the payment of Restricted Payments by virtue of </w:t>
      </w:r>
      <w:r>
        <w:rPr>
          <w:rFonts w:ascii="Times New Roman" w:cs="Times New Roman" w:eastAsia="Times New Roman" w:hAnsi="Times New Roman"/>
          <w:sz w:val="18"/>
          <w:szCs w:val="18"/>
          <w:u w:val="single" w:color="auto"/>
          <w:color w:val="auto"/>
        </w:rPr>
        <w:t>Section 3.3(a)(4)(iii)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p>
    <w:p>
      <w:pPr>
        <w:spacing w:after="0" w:line="187" w:lineRule="exact"/>
        <w:rPr>
          <w:rFonts w:ascii="Times New Roman" w:cs="Times New Roman" w:eastAsia="Times New Roman" w:hAnsi="Times New Roman"/>
          <w:sz w:val="18"/>
          <w:szCs w:val="18"/>
          <w:color w:val="auto"/>
        </w:rPr>
      </w:pPr>
    </w:p>
    <w:p>
      <w:pPr>
        <w:ind w:left="1300" w:firstLine="1300"/>
        <w:spacing w:after="0" w:line="282" w:lineRule="auto"/>
        <w:tabs>
          <w:tab w:leader="none" w:pos="2875"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cash proceeds of key man life insurance policies received by the Company and its Restricted Subsidiaries (or any Parent Entity to the extent contributed to the Company) after the Issue Date; </w:t>
      </w:r>
      <w:r>
        <w:rPr>
          <w:rFonts w:ascii="Times New Roman" w:cs="Times New Roman" w:eastAsia="Times New Roman" w:hAnsi="Times New Roman"/>
          <w:sz w:val="18"/>
          <w:szCs w:val="18"/>
          <w:i w:val="1"/>
          <w:iCs w:val="1"/>
          <w:color w:val="auto"/>
        </w:rPr>
        <w:t>less</w:t>
      </w:r>
    </w:p>
    <w:p>
      <w:pPr>
        <w:spacing w:after="0" w:line="161" w:lineRule="exact"/>
        <w:rPr>
          <w:rFonts w:ascii="Times New Roman" w:cs="Times New Roman" w:eastAsia="Times New Roman" w:hAnsi="Times New Roman"/>
          <w:sz w:val="18"/>
          <w:szCs w:val="18"/>
          <w:color w:val="auto"/>
        </w:rPr>
      </w:pPr>
    </w:p>
    <w:p>
      <w:pPr>
        <w:ind w:left="2940" w:hanging="340"/>
        <w:spacing w:after="0"/>
        <w:tabs>
          <w:tab w:leader="none" w:pos="29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Restricted Payments made in previous calendar years pursuant to clauses (i) and (ii) of this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3" w:name="page84"/>
    <w:bookmarkEnd w:id="83"/>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 cancellation of Indebtedness owing to the Company or any Restricted Subsidiary from any future, present or former employee, director, officer, manager, contractor, consultant or advisor (or their respective Controlled Investment Affiliates or Immediate Family Members) of the Company or Restricted Subsidiaries or any Parent Entity in connection with a repurchase of Capital Stock of the Company or any Parent Entity and</w:t>
      </w:r>
    </w:p>
    <w:p>
      <w:pPr>
        <w:spacing w:after="0" w:line="1" w:lineRule="exact"/>
        <w:rPr>
          <w:sz w:val="20"/>
          <w:szCs w:val="20"/>
          <w:color w:val="auto"/>
        </w:rPr>
      </w:pPr>
    </w:p>
    <w:p>
      <w:pPr>
        <w:jc w:val="both"/>
        <w:ind w:firstLine="8"/>
        <w:spacing w:after="0" w:line="253" w:lineRule="auto"/>
        <w:tabs>
          <w:tab w:leader="none" w:pos="27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repurchase of Capital Stock deemed to occur upon the exercise of options, warrants or similar instruments if such Capital Stock represents all or a portion of the exercise price thereof and payments, in lieu of the issuance of fractional shares of such Capital Stock or withholding to pay other Taxes payable in connection therewith, in the case of each of clauses (i) and (ii), will not be deemed to constitute a Restricted Payment for purposes of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or any other provision of this Indenture;</w:t>
      </w:r>
    </w:p>
    <w:p>
      <w:pPr>
        <w:spacing w:after="0" w:line="18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dividends on Disqualified Stock or Preferred Stock of a Restricted Subsidiary, Incurred in accordance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73"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or expected to be made by the Company or any Restricted Subsidiary in respect of withholding or similar Taxes payable in connection with the exercise or vesting of Capital Stock or any other equity award by any future, present or former employee, director, officer, manager, contractor, consultant or advisor (or their respective Controlled Investment Affiliates or Immediate Family Members) of the Company or any Restricted Subsidiary or any Parent Entity and purchases, repurchases, redemptions, defeasances or other acquisitions or retirements of Capital Stock deemed to occur upon the exercise, conversion or exchange of stock options, warrants, equity-based awards or other rights in respect thereof if such Capital Stock represents a portion of the exercise price thereof or payments in respect of withholding or similar Taxes payable upon exercise or vesting thereof;</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565"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loans, advances or distributions to any Parent Entity or other payments by the Company or any Restricted Subsidiary in amounts equal to (without duplication):</w:t>
      </w:r>
    </w:p>
    <w:p>
      <w:pPr>
        <w:spacing w:after="0" w:line="161" w:lineRule="exact"/>
        <w:rPr>
          <w:rFonts w:ascii="Times New Roman" w:cs="Times New Roman" w:eastAsia="Times New Roman" w:hAnsi="Times New Roman"/>
          <w:sz w:val="18"/>
          <w:szCs w:val="18"/>
          <w:color w:val="auto"/>
        </w:rPr>
      </w:pPr>
    </w:p>
    <w:p>
      <w:pPr>
        <w:ind w:left="2840" w:hanging="240"/>
        <w:spacing w:after="0"/>
        <w:tabs>
          <w:tab w:leader="none" w:pos="284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required for any Parent Entity to pay any Parent Entity Expenses or to pay or distribute any Related</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206" w:lineRule="exact"/>
        <w:rPr>
          <w:rFonts w:ascii="Times New Roman" w:cs="Times New Roman" w:eastAsia="Times New Roman" w:hAnsi="Times New Roman"/>
          <w:sz w:val="18"/>
          <w:szCs w:val="18"/>
          <w:color w:val="auto"/>
        </w:rPr>
      </w:pPr>
    </w:p>
    <w:p>
      <w:pPr>
        <w:ind w:left="2880" w:hanging="280"/>
        <w:spacing w:after="0"/>
        <w:tabs>
          <w:tab w:leader="none" w:pos="288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constituting or to be used for purposes of making payments to the extent specified in </w:t>
      </w:r>
      <w:r>
        <w:rPr>
          <w:rFonts w:ascii="Times New Roman" w:cs="Times New Roman" w:eastAsia="Times New Roman" w:hAnsi="Times New Roman"/>
          <w:sz w:val="18"/>
          <w:szCs w:val="18"/>
          <w:u w:val="single" w:color="auto"/>
          <w:color w:val="auto"/>
        </w:rPr>
        <w:t>Sections 3.8(b)(2)</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and</w:t>
      </w:r>
    </w:p>
    <w:p>
      <w:pPr>
        <w:spacing w:after="0" w:line="206" w:lineRule="exact"/>
        <w:rPr>
          <w:rFonts w:ascii="Times New Roman" w:cs="Times New Roman" w:eastAsia="Times New Roman" w:hAnsi="Times New Roman"/>
          <w:sz w:val="18"/>
          <w:szCs w:val="18"/>
          <w:color w:val="auto"/>
        </w:rPr>
      </w:pPr>
    </w:p>
    <w:p>
      <w:pPr>
        <w:ind w:left="1300" w:right="20" w:firstLine="1300"/>
        <w:spacing w:after="0" w:line="282" w:lineRule="auto"/>
        <w:tabs>
          <w:tab w:leader="none" w:pos="2913"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Event of Default has occurred and is continuing (or would result therefrom), up to the greater of $1.0 million and 2.0% of LTM EBITDA per calendar year;</w:t>
      </w:r>
    </w:p>
    <w:p>
      <w:pPr>
        <w:spacing w:after="0" w:line="16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4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declaration and payment of dividends on the common stock or common equity interests of the Company or any Parent Entity (and any equivalent declaration and payment of a distribution of any security exchangeable for such common stock or common equity interests to the extent required by the terms of any such exchangeable securities and any Restricted Payment to any such Parent Entity to fund the payment by such Parent Entity of dividends on such entity’s Capital Stock), in an amount in any fiscal year not to exceed the sum of (i) 6.0% of the amount of net cash proceeds received by or contributed to the Company or any of its Restricted Subsidiaries from any public offering of common stock or common equity interests of the Company or any Parent Entity after the Issue Date and (ii) 3.0% of Market Capitalization; or (b) in lieu of all or a portion of the dividends permitted by clause (a), any prepayment, purchase, repurchase, redemption, defeasance, discharge, retirement or other acquisition of the Company’s Capital Stock (and any equivalent declaration and payment of a distribution of any security exchangeable for such common stock or common equity interests to the extent required by the terms of any such exchangeable securities and any Restricted Payment to any such Parent Entity to fund the payment by such Parent Entity of dividends on such entity’s Capital Stock) for aggregate consideration that, when taken together with dividends permitted by clause (a), does not exceed the amount contemplated by clause (a);</w:t>
      </w:r>
    </w:p>
    <w:p>
      <w:pPr>
        <w:spacing w:after="0" w:line="19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59"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by the Company, or loans, advances, dividends or distributions to any Parent Entity to make payments, to holders of Capital Stock of the Company or any Parent Entity in lieu of the issuance of fractional shares of such Capital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such payment, loan, advance, dividend or distribution shall not be for the purpose of evading any limitation of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or otherwise to facilitate any dividend or other return of capital to the holders of such Capital Stock (as determined in good faith by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84" w:name="page85"/>
    <w:bookmarkEnd w:id="84"/>
    <w:p>
      <w:pPr>
        <w:jc w:val="both"/>
        <w:ind w:firstLine="1304"/>
        <w:spacing w:after="0" w:line="266" w:lineRule="auto"/>
        <w:tabs>
          <w:tab w:leader="none" w:pos="1641"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Payments that are made (a) in an amount not to exceed the amount of Excluded Contributions or (b) in an amount equal to the amount of Net Cash Proceeds from an asset sale or disposition in respect of property or assets acquired, if the acquisition of such property or assets was financed with Excluded Contributions,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amount will not increase the amount available pursuant to </w:t>
      </w:r>
      <w:r>
        <w:rPr>
          <w:rFonts w:ascii="Times New Roman" w:cs="Times New Roman" w:eastAsia="Times New Roman" w:hAnsi="Times New Roman"/>
          <w:sz w:val="18"/>
          <w:szCs w:val="18"/>
          <w:u w:val="single" w:color="auto"/>
          <w:color w:val="auto"/>
        </w:rPr>
        <w:t>Section 3.3(a)(4)(iii)(C)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65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declaration and payment of dividends on Designated Preferred Stock of the Company or any of its Restricted Subsidiaries issued after the Issue Date; (ii) the declaration and payment of dividends to a Parent Entity in an amount sufficient to allow the Parent Entity to pay dividends to holders of its Designated Preferred Stock issued after the Issue Date; and (iii) the declaration and payment of dividends on Refunding Capital Stock that is Preferred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the case of clauses (i) and(ii), the amount of all dividends declared or paid to a Person pursuant to such clauses shall not exceed the Net Cash Proceeds received by the Company or the aggregate amount contributed in cash to the equity of the Company (other than through the issuance of Disqualified Stock or an Excluded Contribution of the Company), from the issuance or sale of such Designated Preferred Stock;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in the case of clauses (i), (ii) and (iii), that for the most recently ended four fiscal quarters for which consolidated financial statements are available (which may, at the Company’s election, be internal financial statements) immediately preceding the date of issuance of such Designated Preferred Stock or declaration of such dividends on such Refunding Capital Stock, after giving effect to such payment on a pro forma basis the Company would be permitted to Incur at least $1.00 of additional Indebtedness pursuant to the test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69"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by dividend or otherwise, or other transfer or disposition of shares of Capital Stock of, or equity interests in, an Unrestricted Subsidiary (or a Restricted Subsidiary that owns one or more Unrestricted Subsidiaries and no other material assets), or Indebtedness owed to the Company or a Restricted Subsidiary by an Unrestricted Subsidiary (or a Restricted Subsidiary that owns one or more Unrestricted Subsidiaries and no other material assets), in each case, other than Unrestricted Subsidiaries, substantially all of the assets of which are cash and Cash Equivalents or proceeds thereof;</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69"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or payments of Securitization Fees, sales contributions and other transfers of Securitization Assets or Receivables Assets and purchases of Securitization Assets or Receivables Assets pursuant to a Securitization Repurchase Obligation, in each case in connection with a Qualified Securitization Financing or Receivables Facility;</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48"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Event of Default has occurred and is continuing (or would result therefrom), (i) Restricted Payments (including loans or advances) in an aggregate amount outstanding at the time made not to exceed the greater of $17.5 million and 35.0% of LTM EBITDA at such time, and</w:t>
      </w:r>
    </w:p>
    <w:p>
      <w:pPr>
        <w:jc w:val="both"/>
        <w:ind w:firstLine="8"/>
        <w:spacing w:after="0" w:line="255" w:lineRule="auto"/>
        <w:tabs>
          <w:tab w:leader="none" w:pos="27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Payments, so long as, immediately after giving pro forma effect to the payment of any such Restricted Payment and the Incurrence of any Indebtedness the net proceeds of which are used to make such Restricted Payment, the Consolidated Total Leverage Ratio shall be no greater than 4.00 to 1.00;</w:t>
      </w:r>
    </w:p>
    <w:p>
      <w:pPr>
        <w:spacing w:after="0" w:line="18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redemptions of Disqualified Stock issued as a Restricted Payment or as consideration for a Permitted Investment;</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6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or distributions to dissenting stockholders pursuant to applicable law (including in connection with, or as a result of, exercise of dissenters’ or appraisal rights and the settlement of any claims or action (whether actual, contingent or potential)), pursuant to or in connection with a merger, amalgamation, consolidation or transfer of assets that complies with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5" w:name="page86"/>
    <w:bookmarkEnd w:id="85"/>
    <w:p>
      <w:pPr>
        <w:jc w:val="both"/>
        <w:ind w:firstLine="1304"/>
        <w:spacing w:after="0" w:line="252" w:lineRule="auto"/>
        <w:tabs>
          <w:tab w:leader="none" w:pos="1643"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Payments to a Parent Entity to finance Investments that would otherwise be permitted to be made pursuant to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if made by the Company;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(a) such Restricted Payment shall be made substantially concurrently with the closing of such Investment, (b) such Parent Entity shall, promptly following the closing thereof, cause (1) all property acquired (whether assets or Capital Stock) to be contributed to the capital of the Company or one of its Restricted Subsidiaries or (2) the merger or amalgamation of the Person formed or acquired into the Company or one of its Restricted Subsidiaries (to the extent not prohibited by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to consummate such Investment, (c) such Parent Entity and its Affiliates (other than the Company or a Restricted Subsidiary) receives no consideration or other payment in connection with such transaction except to the extent the Company or a Restricted Subsidiary could have given such consideration or made such payment in compliance with this Indenture, (d) any property received by the Company shall not increase amounts available for Restricted Payments pursuant to </w:t>
      </w:r>
      <w:r>
        <w:rPr>
          <w:rFonts w:ascii="Times New Roman" w:cs="Times New Roman" w:eastAsia="Times New Roman" w:hAnsi="Times New Roman"/>
          <w:sz w:val="18"/>
          <w:szCs w:val="18"/>
          <w:u w:val="single" w:color="auto"/>
          <w:color w:val="auto"/>
        </w:rPr>
        <w:t>Section 3.3(a)(4)(iii)</w:t>
      </w:r>
      <w:r>
        <w:rPr>
          <w:rFonts w:ascii="Times New Roman" w:cs="Times New Roman" w:eastAsia="Times New Roman" w:hAnsi="Times New Roman"/>
          <w:sz w:val="18"/>
          <w:szCs w:val="18"/>
          <w:color w:val="auto"/>
        </w:rPr>
        <w:t xml:space="preserve">, except to the extent the fair market value at the time of such receipt of such property exceeds the Restricted Payments made pursuant to this clause and (e) such Investment shall be deemed to be made by the Company or such Restricted Subsidiary pursuant to another provision of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(other than pursuant to </w:t>
      </w:r>
      <w:r>
        <w:rPr>
          <w:rFonts w:ascii="Times New Roman" w:cs="Times New Roman" w:eastAsia="Times New Roman" w:hAnsi="Times New Roman"/>
          <w:sz w:val="18"/>
          <w:szCs w:val="18"/>
          <w:u w:val="single" w:color="auto"/>
          <w:color w:val="auto"/>
        </w:rPr>
        <w:t>Section 3.3(b)</w:t>
      </w:r>
    </w:p>
    <w:p>
      <w:pPr>
        <w:spacing w:after="0" w:line="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10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hereof) or pursuant to the definition of “Permitted Investment” (other than pursuant to clause (12) thereof);</w:t>
      </w:r>
    </w:p>
    <w:p>
      <w:pPr>
        <w:spacing w:after="0" w:line="206" w:lineRule="exact"/>
        <w:rPr>
          <w:rFonts w:ascii="Times New Roman" w:cs="Times New Roman" w:eastAsia="Times New Roman" w:hAnsi="Times New Roman"/>
          <w:sz w:val="18"/>
          <w:szCs w:val="18"/>
          <w:u w:val="single" w:color="auto"/>
          <w:color w:val="auto"/>
        </w:rPr>
      </w:pPr>
    </w:p>
    <w:p>
      <w:pPr>
        <w:ind w:left="1640" w:hanging="336"/>
        <w:spacing w:after="0"/>
        <w:tabs>
          <w:tab w:leader="none" w:pos="16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Payment made in connection with a Permitted Intercompany Activity, Permitted Tax Restructuring or related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in the event that a Restricted Payment or Investment (or portion thereof) meets the criteria of more than one of the categories of Permitted Payments described in the clauses above, or is permitted pursuant to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and/or one or more of the clauses contained in the definition of “Permitted Investment”, the Company will be entitled to divide or classify such Restricted Payment or Investment (or portion thereof) on the date of its payment in any manner that complies with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including as an Investment pursuant to one or more of the clauses contained in the definition of “Permitted Investment.”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all Restricted Payments (other than cash) shall be the fair market value on the date of such Restricted Payment of the asset(s) or securities proposed to be paid, transferred or issued by the Company or such Restricted Subsidiary, as the case may be, pursuant to such Restricted Payment. The fair market value of any cash Restricted Payment shall be its face amount, and the fair market value of any non-cash Restricted Payment, property or assets other than cash shall be determined conclusively by the Company acting in good faith.</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any commitment, definitive agreement or similar event relating to an Investment, the Company or applicable Restricted Subsidiary may designate such Investment as having occurred on the date of the commitment, definitive agreement or similar event relating thereto (such date, the “Election Date”) if, after giving pro forma effect to such Investment and all related transactions in connection therewith and any related pro forma adjustments, the Company or any of its Restricted Subsidiaries would have been permitted to make such Investment on the relevant Election Date in compliance with this Indenture, and any related subsequent actual making of such Investment will be deemed for all purposes under this Indenture to have been made on such Election Date, including for purposes of calculating any ratio, compliance with any test, usage of any baskets hereunder (if applicable) and Consolidated EBITDA and for purposes of determining whether there exists any Default or Event of Default (and all such calculations on and after the Election Date until the termination, expiration, passing, rescission, retraction or rescindment of such commitment, definitive agreement or similar event shall be made on a pro forma basis giving effect thereto and all related transactions in connection therewith).</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Company or a Restricted Subsidiary makes a Restricted Payment which at the time of the making of such Restricted Payment would in the good faith determination of the Company be permitted under the provisions of this Indenture, such Restricted Payment shall be deemed to have been made in compliance with this Indenture notwithstanding any subsequent adjustments made in good faith to the Company’s financial statements affecting Consolidated Net Income or Consolidated EBITDA of the Company for any period.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For the avoidance of doubt,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shall not restrict the making of, or dividends or other distributions in amounts sufficient to make, any “AHYDO catch-up payment” with respect to any Indebtedness of any Parent Entity, the Company or any of its Restricted Subsidiaries permitted to be incurred under this Indenture.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Limitation on Restrictions on Distributions from Restricted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82" w:lineRule="auto"/>
        <w:tabs>
          <w:tab w:leader="none" w:pos="897"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and shall not permit any Restricted Subsidiary to, create or otherwise cause or permit to exist or become effective any consensual encumbrance or consensual restriction on the ability of any Restricted Subsidiary to:</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9"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any other distributions in cash or otherwise on its Capital Stock or pay any Indebtedness or other obligations owed to the Company or any Restricted Subsidiary;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or advances to the Company or any Restricted Subsidiary;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lease or transfer any of its property or assets to the Company or any Restricted Subsidiary;</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(x) the priority of any Preferred Stock in receiving dividends or liquidating distributions prior to dividends or liquidating distributions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paid on common stock and (y) the subordination of (including the application of any standstill requirements to) loans or advances made to the Company or any Restricted Subsidiary to other Indebtedness Incurred by the Company or any Restricted Subsidiary shall not be deemed to constitute such an encumbrance or restriction.</w:t>
      </w:r>
    </w:p>
    <w:p>
      <w:pPr>
        <w:spacing w:after="0" w:line="182" w:lineRule="exact"/>
        <w:rPr>
          <w:sz w:val="20"/>
          <w:szCs w:val="20"/>
          <w:color w:val="auto"/>
        </w:rPr>
      </w:pPr>
    </w:p>
    <w:p>
      <w:pPr>
        <w:ind w:left="920" w:hanging="264"/>
        <w:spacing w:after="0"/>
        <w:tabs>
          <w:tab w:leader="none" w:pos="9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shall not prohibit:</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62"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pursuant to any agreement (including any Credit Facility) or instrument, in each case, in effect at or entered into on the Issue Date;</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pursuant to this Indenture, the Notes and the Note Guarantees;</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pursuant to applicable law, rule, regulation or order;</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3"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encumbrance or restriction pursuant to an agreement or instrument of a Person or relating to any Capital Stock or Indebtedness of a Person, entered into on or before the date on which such Person was acquired by or merged, consolidated or otherwise combined with or into the Company or any Restricted Subsidiary, or was designated as a Restricted Subsidiary or on which such agreement or instrument is assumed by the Company or any Restricted Subsidiary in connection with an acquisition of assets (other than Capital Stock or Indebtedness Incurred as consideration in, or to provide all or any portion of the funds utilized to consummate, the transaction or series of related transactions pursuant to which such Person became a Restricted Subsidiary or was acquired by the Company or was merged, consolidated or otherwise combined with or into the Company or any Restricted Subsidiary or entered into in contemplation of or in connection with such transaction) and outstanding on such date;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for the purposes of this clause (4), if another Person is the Successor Company, any Subsidiary thereof or agreement or instrument of such Person or any such Subsidiary shall be deemed acquired or assumed by the Company or any Restricted Subsidiary when such Person becomes the Successor Company;</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6"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encumbrance or restriction: (i) that restricts in a customary manner the subletting, assignment or transfer of any property or asset that is subject to a lease, license or similar contract or agreement, or the assignment or transfer of any lease, license or other contract or agreement; (ii) contained in mortgages, pledges, charges or other security agreements permitted under this Indenture or securing Indebtedness of the Company or a Restricted Subsidiary permitted under this Indenture to the extent such encumbrances or restrictions restrict the transfer or encumbrance of the property or assets subject to such mortgages, pledges, charges or other security agreements; (iii) contained in any trading, netting, operating, construction, service, supply, purchase, sale or other agreement to which the Company or any of its Restricted Subsidiaries is a party entered into in the ordinary course of business or consistent with past practice;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agreement prohibits the encumbrance of solely the property or assets of the Company or such Restricted Subsidiary that are subject to such agreement, the payment rights arising thereunder or the proceeds thereof and does not extend to any other asset or property of the Company or such Restricted Subsidiary or the assets or property of another Restricted Subsidiary; or (iv) pursuant to customary provisions restricting dispositions of real property interests set forth in any reciprocal easement agreements of the Company or any Restricted Subsidiary;</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7" w:name="page88"/>
    <w:bookmarkEnd w:id="87"/>
    <w:p>
      <w:pPr>
        <w:ind w:firstLine="1304"/>
        <w:spacing w:after="0" w:line="282" w:lineRule="auto"/>
        <w:tabs>
          <w:tab w:leader="none" w:pos="1595"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pursuant to Purchase Money Obligations and Finance Lease Obligations permitted under this Indenture, in each case, that impose encumbrances or restrictions on the property so acquired;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imposed pursuant to an agreement entered into for the direct or indirect sale or disposition to a Person of all or substantially all of the Capital Stock or assets of the Company or any Restricted Subsidiary (or the property or assets that are subject to such restriction) pending the closing of such sale or disposition;</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617"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leases, licenses, shareholder agreements, joint venture agreements, and other similar agreements, organizational documents and instruments;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5"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or restrictions arising or existing by reason of applicable law or any applicable rule, regulation or order, or required by any regulatory authority;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4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on cash or other deposits or net worth imposed by customers or suppliers under agreements entered into in the ordinary course of business or consistent with past practice;</w:t>
      </w:r>
    </w:p>
    <w:p>
      <w:pPr>
        <w:spacing w:after="0" w:line="161"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pursuant to Hedging Obligations;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652"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Indebtedness, Disqualified Stock or Preferred Stock of Foreign Subsidiaries permitted to be Incurred or issued subsequent to the Issue Date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that impose restrictions solely on the Foreign Subsidiaries party thereto or their Subsidiaries;</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682"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created in connection with any Qualified Securitization Financing or Receivables Facility that, in the good faith determination of the Company, are necessary or advisable to effect such Securitization Facility or Receivables Facility;</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48"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encumbrance or restriction arising pursuant to an agreement or instrument relating to any Indebtedness, shall only be permitted if such Indebtedness is permitted to be Incurred subsequent to the Issue Date pursuant to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if the encumbrances and restrictions contained in any such agreement or instrument taken as a whole are not materially less favorable to the Holders than (i) the encumbrances and restrictions contained in the New Revolving Credit Facility, together with the security documents associated therewith, or this Indenture, in each case, as in effect on the Issue Date or</w:t>
      </w:r>
    </w:p>
    <w:p>
      <w:pPr>
        <w:spacing w:after="0" w:line="2" w:lineRule="exact"/>
        <w:rPr>
          <w:rFonts w:ascii="Times New Roman" w:cs="Times New Roman" w:eastAsia="Times New Roman" w:hAnsi="Times New Roman"/>
          <w:sz w:val="18"/>
          <w:szCs w:val="18"/>
          <w:color w:val="auto"/>
        </w:rPr>
      </w:pPr>
    </w:p>
    <w:p>
      <w:pPr>
        <w:jc w:val="both"/>
        <w:ind w:firstLine="8"/>
        <w:spacing w:after="0" w:line="253" w:lineRule="auto"/>
        <w:tabs>
          <w:tab w:leader="none" w:pos="26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comparable financings (as determined in good faith by the Company) and where, in the case of clause (ii), either (A) the Company determines at the time of entry into such agreement or instrument that such encumbrances or restrictions will not adversely affect, in any material respect, the Company’s ability to make principal or interest payments on the Notes or (B) such encumbrance or restriction applies only during the continuance of a default relating to such agreement or instrument;</w:t>
      </w:r>
    </w:p>
    <w:p>
      <w:pPr>
        <w:spacing w:after="0" w:line="188"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encumbrance or restriction existing by reason of any lien permitted under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45"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pursuant to an agreement or instrument effecting a refinancing of Indebtedness Incurred pursuant to, or that otherwise refinances, an agreement or instrument referred to in clauses (1) to (15) of this paragraph or this clause (an “</w:t>
      </w:r>
      <w:r>
        <w:rPr>
          <w:rFonts w:ascii="Times New Roman" w:cs="Times New Roman" w:eastAsia="Times New Roman" w:hAnsi="Times New Roman"/>
          <w:sz w:val="18"/>
          <w:szCs w:val="18"/>
          <w:u w:val="single" w:color="auto"/>
          <w:color w:val="auto"/>
        </w:rPr>
        <w:t>Initial Agreement</w:t>
      </w:r>
      <w:r>
        <w:rPr>
          <w:rFonts w:ascii="Times New Roman" w:cs="Times New Roman" w:eastAsia="Times New Roman" w:hAnsi="Times New Roman"/>
          <w:sz w:val="18"/>
          <w:szCs w:val="18"/>
          <w:color w:val="auto"/>
        </w:rPr>
        <w:t xml:space="preserve">”) or contained in any amendment, supplement or other modification to an agreement referred to in clauses (1) to (15) of this paragraph or this clause (16);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encumbrances and restrictions with respect to such Restricted Subsidiary contained in any such agreement or instrument are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favorable in any material respect to the Holders taken as a whole than the encumbrances and restrictions contained in the Initial Agreement or Initial Agreements to which such refinancing or amendment, supplement or other modification relates (as determined in good faith by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Limitation on Sales of Assets and Subsidiary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8" w:name="page89"/>
    <w:bookmarkEnd w:id="88"/>
    <w:p>
      <w:pPr>
        <w:ind w:left="900" w:hanging="244"/>
        <w:spacing w:after="0"/>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and shall not permit any of its Restricted Subsidiaries to, make any Asset Disposition unless:</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such Restricted Subsidiary, as the case may be, receives consideration (including by way of relief from, or by any other Person assuming responsibility for, any liabilities, contingent or otherwise) at least equal to the fair market value (such fair market value to be determined on the date of contractually agreeing to such Asset Disposition), as determined in good faith by the Company, of the shares and assets subject to such Asset Disposition (including, for the avoidance of doubt, if such Asset Disposition is a Permitted Asset Swap);</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8"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such Asset Disposition, or series of related Asset Dispositions (except to the extent the Asset Disposition is a Permitted Asset Swap), at least 75% of the consideration from such Asset Disposition received by the Company or such Restricted Subsidiary, as the case may be, is in the form of cash or Cash Equivalents; and</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450 days from the later of (A) the date of such Asset Disposition and (B) the receipt of the Net Available Cash from such Asset Disposition (as may be extended by an Acceptable Commitment as set forth below, the “</w:t>
      </w:r>
      <w:r>
        <w:rPr>
          <w:rFonts w:ascii="Times New Roman" w:cs="Times New Roman" w:eastAsia="Times New Roman" w:hAnsi="Times New Roman"/>
          <w:sz w:val="18"/>
          <w:szCs w:val="18"/>
          <w:i w:val="1"/>
          <w:iCs w:val="1"/>
          <w:color w:val="auto"/>
        </w:rPr>
        <w:t>Proceeds Application Period</w:t>
      </w:r>
      <w:r>
        <w:rPr>
          <w:rFonts w:ascii="Times New Roman" w:cs="Times New Roman" w:eastAsia="Times New Roman" w:hAnsi="Times New Roman"/>
          <w:sz w:val="18"/>
          <w:szCs w:val="18"/>
          <w:color w:val="auto"/>
        </w:rPr>
        <w:t>”), an amount equal to the Net Available Cash is applied:</w:t>
      </w:r>
    </w:p>
    <w:p>
      <w:pPr>
        <w:spacing w:after="0" w:line="175" w:lineRule="exact"/>
        <w:rPr>
          <w:rFonts w:ascii="Times New Roman" w:cs="Times New Roman" w:eastAsia="Times New Roman" w:hAnsi="Times New Roman"/>
          <w:sz w:val="18"/>
          <w:szCs w:val="18"/>
          <w:color w:val="auto"/>
        </w:rPr>
      </w:pPr>
    </w:p>
    <w:p>
      <w:pPr>
        <w:jc w:val="both"/>
        <w:ind w:left="1300" w:firstLine="1300"/>
        <w:spacing w:after="0" w:line="252" w:lineRule="auto"/>
        <w:tabs>
          <w:tab w:leader="none" w:pos="2811"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the Company or any Restricted Subsidiary, as the case may be, elects (or is required by the terms of any Indebtedness), (a) to prepay, repay or purchase any Indebtedness of a Non-Guarantor Subsidiary (in each case, other than Indebtedness owed to the Company or any Restricted Subsidiary) or any Secured Indebtedness, including Indebtedness under the New Revolving Credit Facility (or any Refinancing Indebtedness in respect thereof that is Secured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connection with any prepayment, repayment or purchase of Indebtedness pursuant to this clause (i), the Company or such Restricted Subsidiary will retire such Indebtedness and (other than any such Indebtedness under any asset-backed credit facility (or any Refinancing Indebtedness in respect thereof) to the extent the assets sold or otherwise disposed of in connection with such Asset Disposition constituted “borrowing base assets”), will cause the related commitment (if any) to be reduced in an amount equal to the principal amount so prepaid, repaid or purchased; or (ii) to prepay, repay or purchase Pari Passu Indebtedness;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to the extent the Company redeems, repays or repurchases such Indebtedness pursuant to this clause (ii), the Company shall equally and ratably reduce Obligations under the Notes as provided under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through open-market purchases (to the extent such purchases are at or above 100% of the principal amount thereof) or by making an offer (in accordance with the procedures set forth below for an Asset Disposition Offer) to all Holders to purchase their Notes at 100% of the principal amount thereof, plus the amount of accrued but unpaid interest, if any, on the amount of Notes that would otherwise be prepaid; and</w:t>
      </w:r>
    </w:p>
    <w:p>
      <w:pPr>
        <w:spacing w:after="0" w:line="197" w:lineRule="exact"/>
        <w:rPr>
          <w:rFonts w:ascii="Times New Roman" w:cs="Times New Roman" w:eastAsia="Times New Roman" w:hAnsi="Times New Roman"/>
          <w:sz w:val="18"/>
          <w:szCs w:val="18"/>
          <w:color w:val="auto"/>
        </w:rPr>
      </w:pPr>
    </w:p>
    <w:p>
      <w:pPr>
        <w:jc w:val="both"/>
        <w:ind w:left="1300" w:firstLine="1300"/>
        <w:spacing w:after="0" w:line="256" w:lineRule="auto"/>
        <w:tabs>
          <w:tab w:leader="none" w:pos="2864"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Company or any Restricted Subsidiary elects, to invest in or commit to invest in Additional Assets (including by means of an investment in Additional Assets by a Restricted Subsidiary equal to the amount of Net Available Cash received by the Company or another Restricted Subsidiary and including payment of milestone, earnout and similar payments with respect to Additional Assets); provided, however, that a binding agreement shall be treated as a permitted application of Net Available Cash from the date of such commitment with the good faith expectation that an amount equal to Net Available Cash will be applied to satisfy such commitment within 180 days of such commitment (an “</w:t>
      </w:r>
      <w:r>
        <w:rPr>
          <w:rFonts w:ascii="Times New Roman" w:cs="Times New Roman" w:eastAsia="Times New Roman" w:hAnsi="Times New Roman"/>
          <w:sz w:val="18"/>
          <w:szCs w:val="18"/>
          <w:u w:val="single" w:color="auto"/>
          <w:color w:val="auto"/>
        </w:rPr>
        <w:t>Acceptable Commitment</w:t>
      </w:r>
      <w:r>
        <w:rPr>
          <w:rFonts w:ascii="Times New Roman" w:cs="Times New Roman" w:eastAsia="Times New Roman" w:hAnsi="Times New Roman"/>
          <w:sz w:val="18"/>
          <w:szCs w:val="18"/>
          <w:color w:val="auto"/>
        </w:rPr>
        <w:t>”); or</w:t>
      </w:r>
    </w:p>
    <w:p>
      <w:pPr>
        <w:spacing w:after="0" w:line="187" w:lineRule="exact"/>
        <w:rPr>
          <w:rFonts w:ascii="Times New Roman" w:cs="Times New Roman" w:eastAsia="Times New Roman" w:hAnsi="Times New Roman"/>
          <w:sz w:val="18"/>
          <w:szCs w:val="18"/>
          <w:color w:val="auto"/>
        </w:rPr>
      </w:pPr>
    </w:p>
    <w:p>
      <w:pPr>
        <w:ind w:left="2920" w:hanging="320"/>
        <w:spacing w:after="0"/>
        <w:tabs>
          <w:tab w:leader="none" w:pos="2920" w:val="left"/>
        </w:tabs>
        <w:numPr>
          <w:ilvl w:val="2"/>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(1) pending the final application of the amount of any such Net Available Cash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the Company or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Subsidiaries may apply such Net Available Cash temporarily to reduce Indebtedness (including under the New Revolving Credit Facility) or otherwise apply such Net Available Cash in any manner not prohibited by this Indenture and (2) the Company (or any Restricted Subsidiary, as the case may be) may elect to invest in Additional Assets prior to receiving the Net Available Cash attributable to any given Asset Disposition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investment shall be made no earlier than the earliest of notice to the Trustee of the relevant Asset Disposition, execution of a definitive agreement for the relevant Asset Disposition, and consummation of the relevant Asset Disposition) and deem the amount so invested to be applied pursuant to and in accordance with clause (ii) above with respect to such Asset Disposition.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89" w:name="page90"/>
    <w:bookmarkEnd w:id="89"/>
    <w:p>
      <w:pPr>
        <w:jc w:val="both"/>
        <w:spacing w:after="0" w:line="252" w:lineRule="auto"/>
        <w:rPr>
          <w:sz w:val="20"/>
          <w:szCs w:val="20"/>
          <w:color w:val="auto"/>
        </w:rPr>
      </w:pPr>
      <w:r>
        <w:rPr>
          <w:rFonts w:ascii="Times New Roman" w:cs="Times New Roman" w:eastAsia="Times New Roman" w:hAnsi="Times New Roman"/>
          <w:sz w:val="18"/>
          <w:szCs w:val="18"/>
          <w:color w:val="auto"/>
        </w:rPr>
        <w:t>If, with respect to any Asset Disposition, at the expiration of the Proceeds Application Period with respect to such Asset Disposition, there remains Net Available Cash in excess of $10.0 million (such amount of Net Available Cash that are equal to $10.0 million, “</w:t>
      </w:r>
      <w:r>
        <w:rPr>
          <w:rFonts w:ascii="Times New Roman" w:cs="Times New Roman" w:eastAsia="Times New Roman" w:hAnsi="Times New Roman"/>
          <w:sz w:val="18"/>
          <w:szCs w:val="18"/>
          <w:u w:val="single" w:color="auto"/>
          <w:color w:val="auto"/>
        </w:rPr>
        <w:t>Declined Excess Proceeds</w:t>
      </w:r>
      <w:r>
        <w:rPr>
          <w:rFonts w:ascii="Times New Roman" w:cs="Times New Roman" w:eastAsia="Times New Roman" w:hAnsi="Times New Roman"/>
          <w:sz w:val="18"/>
          <w:szCs w:val="18"/>
          <w:color w:val="auto"/>
        </w:rPr>
        <w:t>,” and such amount of Net Available Cash that are in excess of $10.0 million, “</w:t>
      </w:r>
      <w:r>
        <w:rPr>
          <w:rFonts w:ascii="Times New Roman" w:cs="Times New Roman" w:eastAsia="Times New Roman" w:hAnsi="Times New Roman"/>
          <w:sz w:val="18"/>
          <w:szCs w:val="18"/>
          <w:u w:val="single" w:color="auto"/>
          <w:color w:val="auto"/>
        </w:rPr>
        <w:t>Excess Proceeds</w:t>
      </w:r>
      <w:r>
        <w:rPr>
          <w:rFonts w:ascii="Times New Roman" w:cs="Times New Roman" w:eastAsia="Times New Roman" w:hAnsi="Times New Roman"/>
          <w:sz w:val="18"/>
          <w:szCs w:val="18"/>
          <w:color w:val="auto"/>
        </w:rPr>
        <w:t>”), then subject to the limitations with respect to Foreign Dispositions set forth below, the Company shall make an offer (an “</w:t>
      </w:r>
      <w:r>
        <w:rPr>
          <w:rFonts w:ascii="Times New Roman" w:cs="Times New Roman" w:eastAsia="Times New Roman" w:hAnsi="Times New Roman"/>
          <w:sz w:val="18"/>
          <w:szCs w:val="18"/>
          <w:u w:val="single" w:color="auto"/>
          <w:color w:val="auto"/>
        </w:rPr>
        <w:t>Asset Disposition Offer</w:t>
      </w:r>
      <w:r>
        <w:rPr>
          <w:rFonts w:ascii="Times New Roman" w:cs="Times New Roman" w:eastAsia="Times New Roman" w:hAnsi="Times New Roman"/>
          <w:sz w:val="18"/>
          <w:szCs w:val="18"/>
          <w:color w:val="auto"/>
        </w:rPr>
        <w:t>”) no later than ten Business Days after the expiration of the Proceeds Application Period to all Holders of Notes and, if required by the terms of any Pari Passu Indebtedness, to all holders of such Pari Passu Indebtedness, to purchase the maximum principal amount of such Notes and Pari Passu Indebtedness, as appropriate, on a pro rata basis, that may be purchased out of such Excess Proceeds, if any, at an offer price, in the case of the Notes, in cash in an amount equal to 100% of the principal amount thereof (or in the event such other Indebtedness was issued with original issue discount, 100% of the accreted value thereof), plus accrued and unpaid interest, if any (or such lesser price with respect to Pari Passu Indebtedness, if any, as may be provided by the terms of such other Indebtedness), to, but not including, the date fixed for the closing of such offer, in accordance with the procedures set forth in this Indenture and the agreement governing the Pari Passu Indebtedness, as applicable, in minimum denominations of $2,000 and in integral multiples of $1,000 in excess thereof. Notices of an Asset Disposition Offer shall be sent by first class mail or sent electronically, at least 10 days but not more than 60 days before the purchase date to each Holder of the Notes at such Holder’s registered address or otherwise in accordance with the applicable procedures of DTC, with a copy to the Trustee. The Company may satisfy the foregoing obligation with respect to the Net Available Cash by making an Asset Disposition Offer prior to the expiration of the Proceeds Application Period (the “</w:t>
      </w:r>
      <w:r>
        <w:rPr>
          <w:rFonts w:ascii="Times New Roman" w:cs="Times New Roman" w:eastAsia="Times New Roman" w:hAnsi="Times New Roman"/>
          <w:sz w:val="18"/>
          <w:szCs w:val="18"/>
          <w:u w:val="single" w:color="auto"/>
          <w:color w:val="auto"/>
        </w:rPr>
        <w:t>Advance Offer</w:t>
      </w:r>
      <w:r>
        <w:rPr>
          <w:rFonts w:ascii="Times New Roman" w:cs="Times New Roman" w:eastAsia="Times New Roman" w:hAnsi="Times New Roman"/>
          <w:sz w:val="18"/>
          <w:szCs w:val="18"/>
          <w:color w:val="auto"/>
        </w:rPr>
        <w:t>”) with respect to all or a part of the Net Available Cash (the “</w:t>
      </w:r>
      <w:r>
        <w:rPr>
          <w:rFonts w:ascii="Times New Roman" w:cs="Times New Roman" w:eastAsia="Times New Roman" w:hAnsi="Times New Roman"/>
          <w:sz w:val="18"/>
          <w:szCs w:val="18"/>
          <w:u w:val="single" w:color="auto"/>
          <w:color w:val="auto"/>
        </w:rPr>
        <w:t>Advance Portion</w:t>
      </w:r>
      <w:r>
        <w:rPr>
          <w:rFonts w:ascii="Times New Roman" w:cs="Times New Roman" w:eastAsia="Times New Roman" w:hAnsi="Times New Roman"/>
          <w:sz w:val="18"/>
          <w:szCs w:val="18"/>
          <w:color w:val="auto"/>
        </w:rPr>
        <w:t>”) in advance of being required to do so by this Indenture.</w:t>
      </w:r>
    </w:p>
    <w:p>
      <w:pPr>
        <w:spacing w:after="0" w:line="196" w:lineRule="exact"/>
        <w:rPr>
          <w:sz w:val="20"/>
          <w:szCs w:val="20"/>
          <w:color w:val="auto"/>
        </w:rPr>
      </w:pPr>
    </w:p>
    <w:p>
      <w:pPr>
        <w:jc w:val="both"/>
        <w:ind w:firstLine="656"/>
        <w:spacing w:after="0" w:line="253" w:lineRule="auto"/>
        <w:tabs>
          <w:tab w:leader="none" w:pos="90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the aggregate amount (or accreted value, as applicable) of Notes and, if applicable, any other Pari Passu Indebtedness validly tendered or otherwise surrendered in connection with an Asset Disposition Offer made with Excess Proceeds (or, in the case of an Advance Offer, the Advance Portion) is less than the amount offered in an Asset Disposition Offer, the Company may include any remaining Excess Proceeds (or, in the case of an Advance Offer, the Advance Portion) in Declined Excess Proceeds, and use such Declined Excess Proceeds for any purpose not otherwise prohibited by this Indenture. If the aggregate principal amount (or accreted value, as applicable) of the Notes or, if applicable, Pari Passu Indebtedness validly tendered pursuant to any Asset Disposition Offer exceeds the amount of Excess Proceeds (or, in the case of an Advance Offer, the Advance Portion), the Company shall allocate the Excess Proceeds among the Notes and Pari Passu Indebtedness to be purchased on a pro rata basis on the basis of the aggregate principal amount (or accreted value, as applicable) of tendered Notes and Pari Passu Indebtedness;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 Notes or other Pari Passu Indebtedness will be selected and purchased in an unauthorized denomination. Upon completion of any Asset Disposition Offer, the amount of Net Available Cash and Excess Proceeds shall be reset at zero.</w:t>
      </w:r>
    </w:p>
    <w:p>
      <w:pPr>
        <w:spacing w:after="0" w:line="194"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provisions of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1300"/>
        <w:spacing w:after="0" w:line="252" w:lineRule="auto"/>
        <w:tabs>
          <w:tab w:leader="none" w:pos="282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of or all the Net Available Cash of any Asset Disposition by a Foreign Subsidiary or a CFC Holding Company (a “</w:t>
      </w:r>
      <w:r>
        <w:rPr>
          <w:rFonts w:ascii="Times New Roman" w:cs="Times New Roman" w:eastAsia="Times New Roman" w:hAnsi="Times New Roman"/>
          <w:sz w:val="18"/>
          <w:szCs w:val="18"/>
          <w:u w:val="single" w:color="auto"/>
          <w:color w:val="auto"/>
        </w:rPr>
        <w:t>Foreign Disposition</w:t>
      </w:r>
      <w:r>
        <w:rPr>
          <w:rFonts w:ascii="Times New Roman" w:cs="Times New Roman" w:eastAsia="Times New Roman" w:hAnsi="Times New Roman"/>
          <w:sz w:val="18"/>
          <w:szCs w:val="18"/>
          <w:color w:val="auto"/>
        </w:rPr>
        <w:t xml:space="preserve">”) is (x) prohibited or delayed by applicable local law, (y) restricted by applicable organizational documents or any agreement or (z) subject to other onerous organizational or administrative impediments from being repatriated to the United States, the portion of such Net Available Cash so affected will not be required to be applied in compliance with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such amounts may be retained by the applicable Foreign Subsidiary or CFC Holding Company so long, but only so long, as the applicable local law or regulation, applicable organizational documents or agreements or other impediments will not permit repatriation to the United States (the Company hereby agreeing to use reasonable efforts (as determined in the Company’s reasonable business judgment) to otherwise cause the applicable Foreign Subsidiary or CFC Holding Company to within one year following the date on which the respective payment would otherwise have been required, promptly take all actions reasonably required by the applicable local law or regulation, applicable organizational documents or other impediments to permit such repatriation), and if within one year following the date on which the respective payment would otherwise have been required such repatriation of any of such affected Net Available Cash is permitted under the applicable local law, applicable organizational impediment or other impediment, such repatriation will be promptly effected and such repatriated Net Available Cash will be promptly (and in any event not later than five Business Days after such repatriation could be made) applied (net of additional Taxes payable or reserved against as a result thereof) (whether or not such repatriation actually occurs) in compliance with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and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0" w:name="page91"/>
    <w:bookmarkEnd w:id="90"/>
    <w:p>
      <w:pPr>
        <w:jc w:val="both"/>
        <w:ind w:left="1300" w:firstLine="1300"/>
        <w:spacing w:after="0" w:line="254" w:lineRule="auto"/>
        <w:tabs>
          <w:tab w:leader="none" w:pos="2870"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Company has determined in good faith that repatriation of, or an obligation to repatriate, any of or all the Net Available Cash of any Foreign Disposition would have an adverse Tax consequence (which for the avoidance of doubt, includes, but is not limited to, any prepayment whereby doing so the Company, any Restricted Subsidiary, or any of their respective affiliates and/or direct or indirect equity owners would incur a Tax liability, including receipt of a Tax dividend, deemed dividend pursuant to Code Section 956 or a withholding Tax, the Net Available Cash so affected may be retained by the applicable Foreign Subsidiary or CFC Holding Company. For the avoidance of doubt, nothing in this covenant shall require the Company to cause any amounts to be repatriated to the United States (whether or not such amounts are used in or excluded from the determination of the amount of any mandatory prepayments hereunder). The non-application of any prepayment amounts as a consequence of the foregoing provisions will not, for the avoidance of doubt, constitute a Default or an Event of Default.</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w:t>
      </w:r>
      <w:r>
        <w:rPr>
          <w:rFonts w:ascii="Times New Roman" w:cs="Times New Roman" w:eastAsia="Times New Roman" w:hAnsi="Times New Roman"/>
          <w:sz w:val="18"/>
          <w:szCs w:val="18"/>
          <w:u w:val="single" w:color="auto"/>
          <w:color w:val="auto"/>
        </w:rPr>
        <w:t>Section 3.5(a)(2)</w:t>
      </w:r>
      <w:r>
        <w:rPr>
          <w:rFonts w:ascii="Times New Roman" w:cs="Times New Roman" w:eastAsia="Times New Roman" w:hAnsi="Times New Roman"/>
          <w:sz w:val="18"/>
          <w:szCs w:val="18"/>
          <w:color w:val="auto"/>
        </w:rPr>
        <w:t xml:space="preserve"> hereof, the following will be deemed to be cash:</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by the transferee of Indebtedness or other liabilities, contingent or otherwise of the Company or a Restricted Subsidiary (other than Subordinated Indebtedness of the Company or a Guarantor) and the release of the Company or such Restricted Subsidiary from all liability on such Indebtedness or other liability in connection with such Asset Disposition;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9"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notes or other obligations received by the Company or any Restricted Subsidiary of the Company from the transferee that are converted by the Company or such Restricted Subsidiary into cash or Cash Equivalents, or by their terms are required to be satisfied for cash and Cash Equivalents (to the extent of the cash or Cash Equivalents received), in each case, within 180 days following the closing of such Asset Disposition;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5"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Restricted Subsidiary that is no longer a Restricted Subsidiary as a result of such Asset Disposition, to the extent that the Company and each other Restricted Subsidiary are released from any Guarantee of payment of such Indebtedness in connection with such Asset Disposition;</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561"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consisting of Indebtedness of the Company (other than Subordinated Indebtedness) received after the Issue Date from Persons who are not the Company or any Restricted Subsidiary;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4"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Designated Non-Cash Consideration received by the Company or any Restricted Subsidiary in such Asset Dispositions having an aggregate fair market value, taken together with all other Designated Non-Cash Consideration received pursuant to this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that is at that time outstanding, not to exceed the greater of $10.0 million and 20.0% of LTM EBITDA (with the fair market value of each item of Designated Non-Cash Consideration being measured at the time received and without giving effect to subsequent changes in value).</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3"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provisions of any securities laws, rules or regulations, including Rule 14e-1 under the Exchange Act, conflict with the provisions of this Indenture, the Company will comply with the applicable securities laws, rules and regulations and shall not be deemed to have breached its obligations described in this Indenture by virtue thereof.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1" w:name="page92"/>
    <w:bookmarkEnd w:id="91"/>
    <w:p>
      <w:pPr>
        <w:ind w:firstLine="1304"/>
        <w:spacing w:after="0" w:line="282" w:lineRule="auto"/>
        <w:tabs>
          <w:tab w:leader="none" w:pos="155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Indenture relative to the Company’s obligation to make an offer to repurchase the Notes as a result of an Asset Disposition may be waived or modified with the written consent of the Holders of a majority in aggregate principal amount of the then outstanding Notes.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Limitation on Liens</w:t>
      </w:r>
      <w:r>
        <w:rPr>
          <w:rFonts w:ascii="Times New Roman" w:cs="Times New Roman" w:eastAsia="Times New Roman" w:hAnsi="Times New Roman"/>
          <w:sz w:val="18"/>
          <w:szCs w:val="18"/>
          <w:color w:val="auto"/>
        </w:rPr>
        <w:t>. The Company shall not, and shall not permit any Restricted Subsidiary to, directly or indirectly, create, Incur or suffer to exist any Lien (except Permitted Liens) (each, a “Subject Lien”) that secures Obligations under any Indebtedness on any asset or property of the Company or any Restricted Subsidiary, unless the Notes and the Note Guarantees are equally and ratably secured with (or on a senior basis to, in the case such Subject Lien secures any Subordinated Indebtedness) the Obligations secured by such Subject Lien.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Lien created for the benefit of the Holders of the Notes pursuant to the preceding paragraph may provide by its terms that such Lien shall be automatically and unconditionally released and discharged upon the release and discharge of the Subject Lien that gave rise to the obligation to so secure the Notes and the Note Guarantees.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With respect to any Lien securing Indebtedness that was permitted to secure such Indebtedness at the time of the Incurrence of such Indebtedness, such Lien shall also be permitted to secure any Increased Amount of such Indebtedness. The “</w:t>
      </w:r>
      <w:r>
        <w:rPr>
          <w:rFonts w:ascii="Times New Roman" w:cs="Times New Roman" w:eastAsia="Times New Roman" w:hAnsi="Times New Roman"/>
          <w:sz w:val="18"/>
          <w:szCs w:val="18"/>
          <w:u w:val="single" w:color="auto"/>
          <w:color w:val="auto"/>
        </w:rPr>
        <w:t>Increased Amount</w:t>
      </w:r>
      <w:r>
        <w:rPr>
          <w:rFonts w:ascii="Times New Roman" w:cs="Times New Roman" w:eastAsia="Times New Roman" w:hAnsi="Times New Roman"/>
          <w:sz w:val="18"/>
          <w:szCs w:val="18"/>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Limitation on Guarantees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6" w:lineRule="auto"/>
        <w:tabs>
          <w:tab w:leader="none" w:pos="90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Company or any of its Restricted Subsidiaries acquires or creates another Wholly Owned Domestic Subsidiary after the date of this Indenture or (ii) any other Restricted Subsidiary of the Company Guarantees or co-issues any Indebtedness of the Company or a Guarantor, then that Subsidiary shall, within 60 days of the date on which it was acquired, created or Guaranteed such Indebtedness: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63"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a supplemental indenture substantially in the form attached to this Indenture pursuant to which such Subsidiary will provide a Note Guarantee;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73"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 to the Trustee an Opinion of Counsel that such supplemental indenture has been duly authorized, executed and delivered, constitutes a legally valid and binding and enforceable obligation (subject to customary qualifications and exceptions) and is authorized or permitted by this Indenture and otherwise reasonably satisfactory to the Trustee; provided further that any such Restricted Subsidiary waives and will not in any manner whatsoever claim or take the benefit or advantage of, any rights of reimbursement, indemnity or subrogation or any other rights against the Company or any other Restricted Subsidiary as a result of any payment by such Restricted Subsidiary under its Note Guarantee until payment in full of Obligations under this Indenture;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any Subsidiary that constitutes an Immaterial Subsidiary need not become a Guarantor until 60 days following the date as of which it ceases to be an Immaterial Subsidiary.</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elect, in its sole discretion, to cause or allow, as the case may be, any Subsidiary or any of its Parent Entities that is not otherwise required to be a Guarantor to become a Guarantor, in which case, such Subsidiary or Parent Entity shall not be required to comply with the 60-day period described in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 xml:space="preserve"> and such Note Guarantee may be released at any time in the Company’s sole discretion so long as any Indebtedness of such Subsidiary then outstanding could have been incurred by such Subsidiary (either (x) when so incurred or (y) at the time of the release of such Note Guarantee) assuming such Subsidiary were not a Guarantor at such time.</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893"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Guarantor becomes an Immaterial Subsidiary, the Company shall have the right, by delivery of a supplemental indenture executed by the Company to the Trustee, to cause such Immaterial Subsidiary to automatically and unconditionally cease to be a Guarantor, subject to the requirement described in </w:t>
      </w:r>
      <w:r>
        <w:rPr>
          <w:rFonts w:ascii="Times New Roman" w:cs="Times New Roman" w:eastAsia="Times New Roman" w:hAnsi="Times New Roman"/>
          <w:sz w:val="18"/>
          <w:szCs w:val="18"/>
          <w:u w:val="single" w:color="auto"/>
          <w:color w:val="auto"/>
        </w:rPr>
        <w:t>Section 3.7(a)</w:t>
      </w:r>
      <w:r>
        <w:rPr>
          <w:rFonts w:ascii="Times New Roman" w:cs="Times New Roman" w:eastAsia="Times New Roman" w:hAnsi="Times New Roman"/>
          <w:sz w:val="18"/>
          <w:szCs w:val="18"/>
          <w:color w:val="auto"/>
        </w:rPr>
        <w:t xml:space="preserve"> above that such Subsidiary shall be required to become a Guarantor if it ceases to be an Immaterial Subsidiary (except that if such Subsidiary has been properly designated as an Unrestricted Subsidiary it shall not be so required to become a Guarantor or execute a supplemental indenture);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Immaterial Subsidiary shall not be permitted to Guarantee any Indebtedness of the Company or the other Guarantors, unless it again becomes a Guarantor.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Limitation on Affiliate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6" w:lineRule="auto"/>
        <w:tabs>
          <w:tab w:leader="none" w:pos="902"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and shall not permit any Restricted Subsidiary to enter into or conduct any transaction (including the purchase, sale, lease or exchange of any property or the rendering of any service) with any Affiliate of the Company (an “</w:t>
      </w:r>
      <w:r>
        <w:rPr>
          <w:rFonts w:ascii="Times New Roman" w:cs="Times New Roman" w:eastAsia="Times New Roman" w:hAnsi="Times New Roman"/>
          <w:sz w:val="18"/>
          <w:szCs w:val="18"/>
          <w:u w:val="single" w:color="auto"/>
          <w:color w:val="auto"/>
        </w:rPr>
        <w:t>Affiliate Transaction</w:t>
      </w:r>
      <w:r>
        <w:rPr>
          <w:rFonts w:ascii="Times New Roman" w:cs="Times New Roman" w:eastAsia="Times New Roman" w:hAnsi="Times New Roman"/>
          <w:sz w:val="18"/>
          <w:szCs w:val="18"/>
          <w:color w:val="auto"/>
        </w:rPr>
        <w:t>”) involving aggregate value in excess of the greater of $5.0 million and 10.0% of LTM EBITDA unless:</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7"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such Affiliate Transaction taken as a whole are not materially less favorable to the Company or such Restricted Subsidiary, as the case may be, than those that could be obtained in a comparable transaction at the time of such transaction or the execution of the agreement providing for such transaction in arm’s length dealings with a Person who is not such an Affiliate; and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75"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such Affiliate Transaction involves an aggregate value in excess of the greater of $10.0 million and 20.0% of LTM EBITDA, the terms of such transaction have been approved by a majority of the members of the Board of Directors.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Any Affiliate Transaction shall be deemed to have satisfied the requirements set forth in clause (2) of this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xml:space="preserve"> if such Affiliate Transaction is approved by a majority of the Disinterested Directors, if any.</w:t>
      </w:r>
    </w:p>
    <w:p>
      <w:pPr>
        <w:spacing w:after="0" w:line="162" w:lineRule="exact"/>
        <w:rPr>
          <w:sz w:val="20"/>
          <w:szCs w:val="20"/>
          <w:color w:val="auto"/>
        </w:rPr>
      </w:pPr>
    </w:p>
    <w:p>
      <w:pPr>
        <w:ind w:left="920" w:hanging="264"/>
        <w:spacing w:after="0"/>
        <w:tabs>
          <w:tab w:leader="none" w:pos="9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 3.8(a)</w:t>
      </w:r>
      <w:r>
        <w:rPr>
          <w:rFonts w:ascii="Times New Roman" w:cs="Times New Roman" w:eastAsia="Times New Roman" w:hAnsi="Times New Roman"/>
          <w:sz w:val="18"/>
          <w:szCs w:val="18"/>
          <w:color w:val="auto"/>
        </w:rPr>
        <w:t xml:space="preserve"> above shall not apply to:</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89"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Payment or other transaction permitted to be made or undertaken pursuant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(including Permitted Payments) or any Permitted Investment;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6"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or sale of Capital Stock other than Disqualified Stock, options, other equity-related interests or other securities, or other payments, awards or grants in cash, securities or otherwise pursuant to, or the funding of, or entering into, or maintenance of, any employment, consulting, collective bargaining or benefit plan, program, agreement or arrangement, related trust or other similar agreement and other compensation arrangements, options, warrants or other rights to purchase Capital Stock of the Company, any Restricted Subsidiary or any Parent Entity, restricted stock plans, long-term incentive plans, stock appreciation rights plans, participation plans or similar employee benefits or consultants’ plans (including valuation, health, insurance, deferred compensation, severance, retirement, savings or similar plans, programs or arrangements) or indemnities provided on behalf of officers, employees, directors or consultants approved by the Board of Directors of the Company, in each case in the ordinary course of business or consistent with past practice;</w:t>
      </w:r>
    </w:p>
    <w:p>
      <w:pPr>
        <w:spacing w:after="0" w:line="19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Management Advances and any waiver or transaction with respect thereto;</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2"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any transaction between or among the Company and any Restricted Subsidiary (or entity that becomes a Restricted Subsidiary as a result of such transaction), or between or among Restricted Subsidiaries and (b) any merger, amalgamation or consolidation with any Parent Entity, </w:t>
      </w: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such Parent Entity shall have no material liabilities and no material assets other than cash, Cash Equivalents and the Capital Stock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such merger, amalgamation or consolidation is otherwise consummated in compliance with this Indenture;</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compensation, fees, costs and reimbursement of expenses to, and customary indemnities (including under customary insurance policies) and employee benefit and pension expenses provided on behalf of, directors, officers, consultants or employees (or their respective Controlled Investment Affiliates or Immediate Family Members) of the Company, any Parent Entity or any Restricted Subsidiary (whether directly or indirectly and including through any Controlled Investment Affiliate or Immediate Family Member of such directors, officers or employees);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3" w:name="page94"/>
    <w:bookmarkEnd w:id="93"/>
    <w:p>
      <w:pPr>
        <w:jc w:val="both"/>
        <w:ind w:firstLine="1304"/>
        <w:spacing w:after="0" w:line="258" w:lineRule="auto"/>
        <w:tabs>
          <w:tab w:leader="none" w:pos="155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entry into and performance of obligations of the Company or any of its Restricted Subsidiaries under the terms of any transaction arising out of, and any payments pursuant to or for purposes of funding, any agreement or instrument in effect as of or on the Issue Date, as these agreements and instruments may be amended, modified, supplemented, extended, renewed or refinanced from time to time in accordance with the other terms of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or to the extent not more disadvantageous to the Holders in any material respect in the reasonable determination of the Company when taken as a whole as compared to the applicable agreement as in effect on the Issue Date;</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78"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effected as part of a Qualified Securitization Financing or Receivables Facility, any disposition or acquisition of Securitization Assets, Receivables Assets or related assets in connection with any Qualified Securitization Financing or Receivables Facility;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customers, vendors, clients, joint venture partners, suppliers, contractors, distributors or purchasers or sellers of goods or services, in each case in the ordinary course of business or consistent with past practice, which are fair to the Company or the relevant Restricted Subsidiary, in the reasonable determination of the Board of Directors or the senior management of the Company or the relevant Restricted Subsidiary, or are on terms no less favorable than those that could reasonably have been obtained at such time from an unaffiliated party;</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between or among the Company or any Restricted Subsidiary and any Person that is an Affiliate of the Company or an Associate or similar entity solely because the Company or a Restricted Subsidiary or any Affiliate of the Company or a Restricted Subsidiary owns an equity interest in or otherwise controls such Affiliate, Associate or similar entity;</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67"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transfers or sales of Capital Stock (other than Disqualified Stock or Designated Preferred Stock) of the Company or options, warrants or other rights to acquire such Capital Stock and the granting of registration and other customary rights (and the performance of the related obligations) in connection therewith or any contribution to capital of the Company or any Restricted Subsidiary;</w:t>
      </w:r>
    </w:p>
    <w:p>
      <w:pPr>
        <w:spacing w:after="0" w:line="17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73"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in which the Company or any Restricted Subsidiary, as the case may be, delivers to the Trustee a letter from an Independent Financial Advisor stating that such transaction is fair to the Company or such Restricted Subsidiary from a financial point of view or meets the requirements of </w:t>
      </w:r>
      <w:r>
        <w:rPr>
          <w:rFonts w:ascii="Times New Roman" w:cs="Times New Roman" w:eastAsia="Times New Roman" w:hAnsi="Times New Roman"/>
          <w:sz w:val="18"/>
          <w:szCs w:val="18"/>
          <w:u w:val="single" w:color="auto"/>
          <w:color w:val="auto"/>
        </w:rPr>
        <w:t>Section 3.8(a)(1)</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6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existence of, or the performance by the Company or any Restricted Subsidiaries of its obligations under the terms of, any equityholders, investor rights or similar agreement (including any registration rights agreement or purchase agreements related thereto) to which it is party as of the Issue Date and any similar agreement that it may enter into thereafter;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the existence of, or the performance by the Company or any Restricted Subsidiary of its obligations under any future amendment to the equityholders’ agreement or under any similar agreement entered into after the Issue Date will only be permitted under this clause to the extent that the terms of any such amendment or new agreement are not otherwise, when taken as a whole, more disadvantageous to the Holders in any material respect in the reasonable determination of the Company than those in effect on the Issue Date;</w:t>
      </w:r>
    </w:p>
    <w:p>
      <w:pPr>
        <w:spacing w:after="0" w:line="188"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81"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purchase by the Company’s Affiliates of Indebtedness or Disqualified Stock of the Company or any of their Restricted Subsidiaries the majority of which Indebtedness or Disqualified Stock is purchased by Persons who are not the Company’s Affiliates;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purchases by the Company’s Affiliates are on the same terms as such purchases by such Persons who are not the Company’s Affiliates;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4" w:name="page95"/>
    <w:bookmarkEnd w:id="94"/>
    <w:p>
      <w:pPr>
        <w:jc w:val="both"/>
        <w:ind w:firstLine="1304"/>
        <w:spacing w:after="0" w:line="258" w:lineRule="auto"/>
        <w:tabs>
          <w:tab w:leader="none" w:pos="165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by Affiliates in securities or loans of the Company or any of its Restricted Subsidiaries (and payment of reasonable out-of-pocket expenses incurred by such Affiliates in connection therewith) so long as the investment is being offered by the Company or such Restricted Subsidiary generally to other non-affiliated third party investors on the same or more favorable terms and (ii) payments to Affiliates in respect of securities or loans of the Company or any of its Restricted Subsidiaries contemplated in the foregoing subclause (i) or that were acquired from Persons other than the Company and its Restricted Subsidiaries, in each case, in accordance with the terms of such securities or loans;</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5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by the Company (and any Parent Entity) and its Restricted Subsidiaries pursuant to any tax sharing agreements or other equity agreements in respect of “Related Taxes” among the Company (and any such Parent Entity) and its Restricted Subsidiaries on customary terms to the extent attributable to the ownership or operation of the Company and its Subsidiaries;</w:t>
      </w:r>
    </w:p>
    <w:p>
      <w:pPr>
        <w:spacing w:after="0" w:line="17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64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Indebtedness and Disqualified Stock (and cancellation of any thereof) of the Company and its Restricted Subsidiaries and Preferred Stock (and cancellation of any thereof) of any Restricted Subsidiary to any future, current or former employee, director, officer, manager or consultant (or their respective Controlled Investment Affiliates or Immediate Family Members) of the Company, any of its Subsidiaries or any of its direct or indirect parent companies pursuant to any management equity plan or stock option plan or any other management or employee benefit plan or agreement or any stock subscription or shareholder agreement; and any employment agreements, stock option plans and other compensatory arrangements (and any successor plans thereto) and any supplemental executive retirement benefit plans or arrangements with any such employees, directors, officers, managers or consultants (or their respective Controlled Investment Affiliates or Immediate Family Members) that are, in each case, approved by the Board of Directors of the Company in good faith;</w:t>
      </w:r>
    </w:p>
    <w:p>
      <w:pPr>
        <w:spacing w:after="0" w:line="19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8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between the Company or its Restricted Subsidiaries and any distributor, employee, director, officer, manager, contractor, consultant or advisor (or their respective Controlled Investment Affiliates or Immediate Family Members) approved by the reasonable determination of the Company;</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4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transition services arrangement, supply arrangement or similar arrangement entered into in connection with or in contemplation of the disposition of assets or equity interests in any Restricted Subsidiary permitted under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or entered into with any Business Successor, in each case, that the Company determines in good faith is either fair to the Company or otherwise on customary terms for such type of arrangements in connection with similar transactions;</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64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entered into by an Unrestricted Subsidiary with an Affiliate prior to the day such Unrestricted Subsidiary is redesignated as a Restricted Subsidiary as described in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and pledges of Capital Stock of Unrestricted Subsidiaries;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48"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lease entered into between the Company or any Restricted Subsidiary, as lessee, and any Affiliate of the Company, as lessor and (ii) any operational services or other arrangement entered into between the Company or any Restricted Subsidiary and any Affiliate of the Company, in each case, which is approved as being on arm’s length terms by the reasonable determination of the Company;</w:t>
      </w:r>
    </w:p>
    <w:p>
      <w:pPr>
        <w:spacing w:after="0" w:line="175"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licenses and research and development agreements in the ordinary course of business or consistent with past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practice;</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67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or from, and transactions with, any Subsidiary in the ordinary course of business or consistent with past practice (including any cash management arrangements or activities related thereto);</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683"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fees, costs and expenses related to registration rights and indemnities provided to equityholders pursuant to equityholders, investor rights, registration rights or similar agreements;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5" w:name="page96"/>
    <w:bookmarkEnd w:id="95"/>
    <w:p>
      <w:pPr>
        <w:ind w:left="1640" w:hanging="336"/>
        <w:spacing w:after="0"/>
        <w:tabs>
          <w:tab w:leader="none" w:pos="1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undertaken in the ordinary course of business pursuant to membership in a purchasing consortium; and</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Intercompany Activities, Permitted Tax Restructurings or Intercompany License Agreements and related transactions.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if the Company or any of its Restricted Subsidiaries (i) purchases or otherwise acquires assets or properties from a Person which is not an Affiliate, the purchase or acquisition by an Affiliate of the Company of an interest in all or a portion of the assets or properties acquired shall not be deemed an Affiliate Transaction (or cause such purchase or acquisition by the Company or a Restricted Subsidiary to be deemed an Affiliate Transaction) or (ii) sells or otherwise disposes of assets or other properties to a Person who is not an Affiliate, the sale or other disposition by an Affiliate of the Company of an interest in all or a portion of the assets or properties sold shall not be deemed an Affiliate Transaction (or cause such sale or other disposition by the Company or a Restricted Subsidiary to be deemed an Affiliate Transaction).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Change of Control Triggering Event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925"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Change of Control Triggering Event occurs, unless the Company has previously or substantially concurrently therewith delivered a redemption notice with respect to all of the outstanding Notes as set forth under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5.7(d)</w:t>
      </w:r>
      <w:r>
        <w:rPr>
          <w:rFonts w:ascii="Times New Roman" w:cs="Times New Roman" w:eastAsia="Times New Roman" w:hAnsi="Times New Roman"/>
          <w:sz w:val="18"/>
          <w:szCs w:val="18"/>
          <w:color w:val="auto"/>
        </w:rPr>
        <w:t>, the Company will make an offer (the “</w:t>
      </w:r>
      <w:r>
        <w:rPr>
          <w:rFonts w:ascii="Times New Roman" w:cs="Times New Roman" w:eastAsia="Times New Roman" w:hAnsi="Times New Roman"/>
          <w:sz w:val="18"/>
          <w:szCs w:val="18"/>
          <w:u w:val="single" w:color="auto"/>
          <w:color w:val="auto"/>
        </w:rPr>
        <w:t>Change of Control Triggering Event Offer</w:t>
      </w:r>
      <w:r>
        <w:rPr>
          <w:rFonts w:ascii="Times New Roman" w:cs="Times New Roman" w:eastAsia="Times New Roman" w:hAnsi="Times New Roman"/>
          <w:sz w:val="18"/>
          <w:szCs w:val="18"/>
          <w:color w:val="auto"/>
        </w:rPr>
        <w:t>”) to purchase all of the Notes at a price in cash (the “</w:t>
      </w:r>
      <w:r>
        <w:rPr>
          <w:rFonts w:ascii="Times New Roman" w:cs="Times New Roman" w:eastAsia="Times New Roman" w:hAnsi="Times New Roman"/>
          <w:sz w:val="18"/>
          <w:szCs w:val="18"/>
          <w:u w:val="single" w:color="auto"/>
          <w:color w:val="auto"/>
        </w:rPr>
        <w:t>Change of Control Triggering Event Payment</w:t>
      </w:r>
      <w:r>
        <w:rPr>
          <w:rFonts w:ascii="Times New Roman" w:cs="Times New Roman" w:eastAsia="Times New Roman" w:hAnsi="Times New Roman"/>
          <w:sz w:val="18"/>
          <w:szCs w:val="18"/>
          <w:color w:val="auto"/>
        </w:rPr>
        <w:t>”) equal to 101% of the aggregate principal amount thereof plus accrued and unpaid interest, if any, to, but excluding, the date of repurchase, subject to the right of Holders of the Notes of record on the relevant record date to receive interest due on the relevant interest payment date. Within 30 days following any Change of Control Triggering Event, the Issuer will deliver or cause to be delivered notice of such Change of Control Triggering Event Offer electronically in accordance with the procedures of DTC or by first class mail, with a copy to the Trustee, to each Holder of Notes at the address of such Holder appearing in the security register, with the following information:</w:t>
      </w:r>
    </w:p>
    <w:p>
      <w:pPr>
        <w:spacing w:after="0" w:line="191" w:lineRule="exact"/>
        <w:rPr>
          <w:rFonts w:ascii="Times New Roman" w:cs="Times New Roman" w:eastAsia="Times New Roman" w:hAnsi="Times New Roman"/>
          <w:sz w:val="18"/>
          <w:szCs w:val="18"/>
          <w:color w:val="auto"/>
        </w:rPr>
      </w:pPr>
    </w:p>
    <w:p>
      <w:pPr>
        <w:ind w:right="20" w:firstLine="1304"/>
        <w:spacing w:after="0" w:line="282" w:lineRule="auto"/>
        <w:tabs>
          <w:tab w:leader="none" w:pos="1571"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a Change of Control Triggering Event Offer is being made pursuant to this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and that all Notes properly tendered pursuant to such Change of Control Triggering Event Offer will be accepted for payment by the Issuer;</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65"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and the purchase date, which will be no earlier than 30 days nor later than 60 days from the date such notice is delivered (the “</w:t>
      </w:r>
      <w:r>
        <w:rPr>
          <w:rFonts w:ascii="Times New Roman" w:cs="Times New Roman" w:eastAsia="Times New Roman" w:hAnsi="Times New Roman"/>
          <w:sz w:val="18"/>
          <w:szCs w:val="18"/>
          <w:u w:val="single" w:color="auto"/>
          <w:color w:val="auto"/>
        </w:rPr>
        <w:t>Change of Control Triggering Event Payment Date</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Note not properly tendered will remain outstanding and continue to accrue interest;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66"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Issuer defaults in the payment of the Change of Control Triggering Event Payment, all Notes accepted for payment pursuant to the Change of Control Triggering Event Offer will cease to accrue interest, on the Change of Control Triggering Event Payment Date;</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81"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any Notes purchased pursuant to a Change of Control Triggering Event Offer will be required to surrender such Notes, with the form entitled “Option of Holder to Elect Purchase” on the reverse of such Notes completed, to the applicable Paying Agent specified in the notice at the address specified in the notice prior to the close of business on the third Business Day preceding the Change of Control Triggering Event Payment Date, or otherwise comply with DTC procedures;</w:t>
      </w:r>
    </w:p>
    <w:p>
      <w:pPr>
        <w:spacing w:after="0" w:line="17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3"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Holders will be entitled to withdraw their tendered Notes and their election to require the Issuer to purchase such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that </w:t>
      </w:r>
      <w:r>
        <w:rPr>
          <w:rFonts w:ascii="Times New Roman" w:cs="Times New Roman" w:eastAsia="Times New Roman" w:hAnsi="Times New Roman"/>
          <w:sz w:val="18"/>
          <w:szCs w:val="18"/>
          <w:color w:val="auto"/>
        </w:rPr>
        <w:t>the applicable Paying Agent receives, not later than the close of business on the second Business Day prior to the expiration date of the Change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Triggering Event Offer, a telegram, facsimile transmission or letter setting forth the name of the Holder of the Notes, the principal amount of Notes tendered for purchase, and a statement that such Holder is withdrawing its tendered Notes and its election to have such Notes purchased, or otherwise comply with DTC procedures;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6" w:name="page97"/>
    <w:bookmarkEnd w:id="96"/>
    <w:p>
      <w:pPr>
        <w:jc w:val="both"/>
        <w:ind w:firstLine="1304"/>
        <w:spacing w:after="0" w:line="266" w:lineRule="auto"/>
        <w:tabs>
          <w:tab w:leader="none" w:pos="1564"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whose Definitive Notes are being purchased only in part will be issued new Definitive Notes and such new Definitive Notes will be equal in principal amount to the unpurchased portion of the Notes surrendered. The unpurchased portion of the Notes must be equal to at least $2,000 or any integral multiple of $1,000 in excess of $2,000;</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8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notice is delivered prior to the occurrence of a Change of Control Triggering Event, stating that the Change of Control Triggering Event Offer is conditional on the occurrence of such Change of Control Triggering Event; and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other instructions, as determined by the Issuer, consistent with this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that a Holder must follow.</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applicable Paying Agent will promptly deliver to each Holder of the Notes tendered the Change of Control Triggering Event Payment for such Notes, and the Trustee shall promptly authenticate and mail to each Holder of a partially purchased Definitive Note a new Definitive Note equal in principal amount to any unpurchased portion of the Definitive Notes surrendered, if any;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each such new Definitive Note will be in a minimum principal amount of $2,000 or an integral multiple of $1,000 in excess thereof. The Issuer will publicly announce the results of the Change of Control Triggering Event Offer on or as soon as practicable after the Change of Control Triggering Event Payment Date.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Change of Control Triggering Event Payment Date is on or after a regular record date and on or before the related interest payment date, any accrued and unpaid interest will be paid on the Change of Control Triggering Event Payment Date to the Person in whose name a Note is registered at the close of business on such record date.</w:t>
      </w:r>
    </w:p>
    <w:p>
      <w:pPr>
        <w:spacing w:after="0" w:line="176" w:lineRule="exact"/>
        <w:rPr>
          <w:sz w:val="20"/>
          <w:szCs w:val="20"/>
          <w:color w:val="auto"/>
        </w:rPr>
      </w:pPr>
    </w:p>
    <w:p>
      <w:pPr>
        <w:ind w:left="920" w:hanging="264"/>
        <w:spacing w:after="0"/>
        <w:tabs>
          <w:tab w:leader="none" w:pos="9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Change of Control Triggering Event Payment Date, the Issuer will, to the extent permitted by law,</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issued by it or portions thereof properly tendered pursuant to the Change of Control Triggering Event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w:t>
      </w:r>
    </w:p>
    <w:p>
      <w:pPr>
        <w:spacing w:after="0" w:line="207" w:lineRule="exact"/>
        <w:rPr>
          <w:sz w:val="20"/>
          <w:szCs w:val="20"/>
          <w:color w:val="auto"/>
        </w:rPr>
      </w:pPr>
    </w:p>
    <w:p>
      <w:pPr>
        <w:ind w:right="20" w:firstLine="1304"/>
        <w:spacing w:after="0" w:line="282" w:lineRule="auto"/>
        <w:tabs>
          <w:tab w:leader="none" w:pos="1551"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applicable Paying Agent an amount equal to the aggregate Change of Control Triggering Event Payment in respect of all Notes or portions thereof so tendered,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8"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for cancellation the Notes so accepted together with an Officer’s Certificate to the Trustee stating that such Notes or portions thereof have been tendered to and purchased by the Issuer.</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0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will not be required to make a Change of Control Triggering Event Offer following a Change of Control Triggering Event if (x) a third party makes the Change of Control Triggering Event Offer in the manner, at the times and otherwise in compliance with the requirements set forth in this Indenture applicable to a Change of Control Triggering Event Offer made by the Issuer and purchases all Notes validly tendered and not withdrawn under such Change of Control Triggering Event Offer or (y) a notice of redemption of all outstanding Notes has been given pursuant to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hereof unless and until there is a default in the payment of the redemption price on the applicable Redemption Date or the redemption is not consummated due to the failure of a condition precedent contained in the applicable redemption notice to be satisfied.</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03"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a Change of Control Triggering Event Offer may be made in advance of a Change of Control Triggering Event, conditional upon such Change of Control Triggering Event, if a definitive agreement is in place for the relevant Change of Control at the time of making the Change of Control Triggering Event Offer.</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90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Notes are in global form and the Issuer makes an offer to purchase all of the Notes pursuant to the Change of Control Triggering Event Offer, a Holder shall exercise its option to elect for the purchase of the Notes through the facilities of DTC, subject to its rules and regulations.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7" w:name="page98"/>
    <w:bookmarkEnd w:id="97"/>
    <w:p>
      <w:pPr>
        <w:jc w:val="both"/>
        <w:ind w:firstLine="656"/>
        <w:spacing w:after="0" w:line="256" w:lineRule="auto"/>
        <w:tabs>
          <w:tab w:leader="none" w:pos="88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comply, to the extent applicable, with the requirements of Rule 14e-1 under the Exchange Act and any other securities laws, rules and regulations thereunder to the extent such laws or regulations are applicable in connection with the repurchase of the Notes pursuant to a Change of Control Triggering Event Offer. To the extent that the provisions of any securities laws, rules or regulations conflict with the provisions of this Indenture, the Issuer shall not be deemed to have breached its obligations described in this Indenture by virtue of compliance therewith. The Issuer may rely on any no-action letters issued by the SEC indicating that the staff of the SEC will not recommend enforcement action in the event a tender offer satisfies certain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56"/>
        <w:spacing w:after="0" w:line="266" w:lineRule="auto"/>
        <w:tabs>
          <w:tab w:leader="none" w:pos="9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that the Company may not be subject to the reporting requirements of Section 13 or 15(d) of the Exchange Act or otherwise report on an annual and quarterly basis on forms provided for such annual and quarterly reporting pursuant to rules and regulations promulgated by the SEC, from and after the Issue Date, the Company shall furnish to the Trustee:</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120 days after the end of each fiscal year (or such longer period permitted pursuant to rules and regulations promulgated by the SEC if the Company is subject to the reporting requirements of Section 13 or 15(d) of the Exchange Act) ending after the Issue Date (or if such day is not a Business Day, on the next succeeding Business Day), all financial information that would be required to be contained in an annual report on Form 10-K, or any successor or comparable form, filed with the SEC, including a “Management’s Discussion and Analysis of Financial Condition and Results of Operations” and a report on the annual financial statements by the Company’s independent registered public accounting firm;</w:t>
      </w:r>
    </w:p>
    <w:p>
      <w:pPr>
        <w:spacing w:after="0" w:line="183"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61"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60 days after the end of each of the first three fiscal quarters of each fiscal year (or such longer period permitted pursuant to rules and regulations promulgated by the SEC if the Company is subject to the reporting requirements of Section 13 or 15(d) of the Exchange Act) ending after the Issue Date (or if such day is not a Business Day, on the next succeeding Business Day), all financial information that would be required to be contained in a quarterly report on Form 10-Q, or any successor or comparable form, filed with the SEC, including “Management’s Discussion and Analysis of Financial Condition and Results of Operations,” and financial statements prepared in accordance with GAAP; and</w:t>
      </w:r>
    </w:p>
    <w:p>
      <w:pPr>
        <w:spacing w:after="0" w:line="183"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63"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occurrence of any of the following events, all current reports that would be required to be filed with the SEC on Form 8-K or any successor or comparable form (if the Company had been a reporting company under Section 13 or 15(d) of the Exchange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foregoing shall not obligate the Company to make available (i) any information otherwise required to be included on a Form 8-K regarding the occurrence of any such events if the Company determines in its good faith judgment that such event that would otherwise be required to be disclosed is not material to the Holders of the Notes or the business, assets, operations, financial positions or prospects of the Company and its Restricted Subsidiaries taken as a whole, (ii) a summary of the terms of, any employment or compensatory arrangement, agreement, plan or understanding between the Company (or any of its Subsidiaries) and any director, manager or executive officer of the Company (or any of its Subsidiaries), (iii) copies of any agreements, financial statements or other items that would be required to be filed as exhibits to a current report on Form 8-K or (iv) any trade secrets, privileged or confidential information obtained from another Person and competitively sensitive information:</w:t>
      </w:r>
    </w:p>
    <w:p>
      <w:pPr>
        <w:spacing w:after="0" w:line="188" w:lineRule="exact"/>
        <w:rPr>
          <w:sz w:val="20"/>
          <w:szCs w:val="20"/>
          <w:color w:val="auto"/>
        </w:rPr>
      </w:pPr>
    </w:p>
    <w:p>
      <w:pPr>
        <w:ind w:left="1600" w:hanging="296"/>
        <w:spacing w:after="0"/>
        <w:tabs>
          <w:tab w:leader="none" w:pos="16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or termination of material agreements;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8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acquisitions or dispositions (which shall only be with respect to acquisitions or dispositions that are significant pursuant to the definition of “Significant Subsidiary”);</w:t>
      </w:r>
    </w:p>
    <w:p>
      <w:pPr>
        <w:spacing w:after="0" w:line="16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cross-default under direct material financial obligations;</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Company’s certifying independent auditor;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8" w:name="page99"/>
    <w:bookmarkEnd w:id="98"/>
    <w:p>
      <w:pPr>
        <w:ind w:firstLine="1304"/>
        <w:spacing w:after="0" w:line="282" w:lineRule="auto"/>
        <w:tabs>
          <w:tab w:leader="none" w:pos="15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or departure of directors or executive officers (with respect to the principal executive officer, president, principal financial officer, principal accounting officer and principal operating officer only);</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non-reliance on previously issued financial statements; and</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transactions,</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each case, in a manner that complies in all material respects with the requirements specified in such form, except as described above or below and subject to exceptions consistent with the presentation of information in the Offering Memorandum;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Company shall not be required to provide (i) any information that is not otherwise similar to information currently included in the Offering Memorandum, (ii) separate financial statements or other information contemplated by Rule 3-09, Rule 3-10, 13-01, 13-02 or Rule 3-16 of Regulation S-X, or in each case any successor provisions or any schedules required by Regulation S-X, (iii) information required by Regulation G under the Exchange Act or Item 10, Item 302, Item 402 or Item 601 of Regulation S-K (or any successor provision), (iv) XBRL exhibits, (v) earnings per share information, (vi) information regarding executive compensation and related party disclosure related to SEC Release Nos. 33-8732A, 34-54302A and IC-27444A, and (vii) other information customarily excluded from an offering memorandum, including any information that is not otherwise of the type and form currently included in the offering memorandum relating to the Notes. In addition, notwithstanding the foregoing, the Company will not be required to (i) comply with Sections 302, 906 and 404 of the Sarbanes-Oxley Act of 2002, as amended, or (ii) otherwise furnish any information, certificates or reports required by Items 307 or 308 of Regulation S-K. To the extent any such information is not so filed or furnished, as applicable, within the time periods specified above and such information is subsequently filed or furnished, as applicable, the Company will be deemed to have satisfied its obligations with respect thereto at such time and any Default with respect thereto shall be deemed to have been cured;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cure shall not otherwise affect the rights of the Holders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w:t>
      </w:r>
      <w:r>
        <w:rPr>
          <w:rFonts w:ascii="Times New Roman" w:cs="Times New Roman" w:eastAsia="Times New Roman" w:hAnsi="Times New Roman"/>
          <w:sz w:val="18"/>
          <w:szCs w:val="18"/>
          <w:color w:val="auto"/>
        </w:rPr>
        <w:t xml:space="preserve"> hereof if Holders of at least 30% in aggregate principal amount of the then total outstanding Notes have declared the principal, premium, if any, interest and any other monetary obligations on all the then outstanding Notes to be due and payable immediately and such declaration shall not have been rescinded or cancelled prior to such cure. In addition, to the extent not satisfied by the foregoing, the Company shall agree that, for so long as any Notes are outstanding, it shall furnish to Holders and to securities analysts and prospective investors, upon their request, the information required to be delivered pursuant to Rule 144A(d)(4) under the Securities Act.</w:t>
      </w:r>
    </w:p>
    <w:p>
      <w:pPr>
        <w:spacing w:after="0" w:line="192" w:lineRule="exact"/>
        <w:rPr>
          <w:sz w:val="20"/>
          <w:szCs w:val="20"/>
          <w:color w:val="auto"/>
        </w:rPr>
      </w:pPr>
    </w:p>
    <w:p>
      <w:pPr>
        <w:jc w:val="both"/>
        <w:ind w:firstLine="656"/>
        <w:spacing w:after="0" w:line="258" w:lineRule="auto"/>
        <w:tabs>
          <w:tab w:leader="none" w:pos="91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has designated any of its Subsidiaries as Unrestricted Subsidiaries and such Unrestricted Subsidiaries hold in the aggregate more than 5.0% of the Total Assets of the Company, then the annual and quarterly financial information required by </w:t>
      </w:r>
      <w:r>
        <w:rPr>
          <w:rFonts w:ascii="Times New Roman" w:cs="Times New Roman" w:eastAsia="Times New Roman" w:hAnsi="Times New Roman"/>
          <w:sz w:val="18"/>
          <w:szCs w:val="18"/>
          <w:u w:val="single" w:color="auto"/>
          <w:color w:val="auto"/>
        </w:rPr>
        <w:t>Section 3.10(a)(1)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will include a reasonably detailed presentation, either on the face of the financial statements or in the footnotes thereto, and in “Management’s Discussion and Analysis of Financial Condition and Results of Operations,” of the financial condition and results of operations of the Company and its Restricted Subsidiaries separate from the financial condition and results of operations of the Unrestricted Subsidiaries of the Company.</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90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Substantially concurrently with the furnishing of such information to the Trustee pursuant to Section 3.10(a), the Company shall also use its commercially reasonable efforts to post copies of such information required by </w:t>
      </w: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on a website (which may be nonpublic and may be maintained by the Company or a third party) to which access will be given to the Holders, prospective investors in the Notes (which prospective investors shall be limited to “qualified institutional buyers” within the meaning of Rule 144A of the Securities Act or non-U.S. persons (as defined in Regulation S under the Securities Act) that certify their status as such to the reasonable satisfaction of the Company), and securities analysts and market making financial institutions that are, in the case of securities analysts and market making financial institutions, reasonably satisfactory to the Company. To the extent the Company determines in good faith that it cannot make such reports available in the manner described in the preceding sentence after the use of its commercially reasonable efforts, the Company shall furnish such reports to the Holders of the Notes, upon their request. The Company may condition the delivery of any such reports to such Holders, prospective investors in the Notes and securities analysts and market making financial institutions on the agreement of such Persons to (i) treat all such reports (and the information contained therein) and information as confidential, (ii) not use such reports and the information contained therein for any purpose other than their investment or potential investment in the Notes and (iii) not publicly disclose any such reports (and the information contained therein) and information.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99" w:name="page100"/>
    <w:bookmarkEnd w:id="99"/>
    <w:p>
      <w:pPr>
        <w:jc w:val="both"/>
        <w:ind w:firstLine="656"/>
        <w:spacing w:after="0" w:line="258" w:lineRule="auto"/>
        <w:tabs>
          <w:tab w:leader="none" w:pos="93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may satisfy its obligations pursuant to this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with respect to financial information relating to the Company by furnishing financial information relating to a Parent Entity;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same is accompanied by consolidating information that explains in reasonable detail the differences between the information relating to such Parent Entity (and other Parent Entities included in such information, if any), on the one hand, and the information relating to the Company and its Restricted Subsidiaries on a standalone basis, on the other hand. For the avoidance of doubt, the consolidating information referred to in the proviso in the preceding sentence need not be audited.</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01"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if the Company or any Parent Entity of the Company has furnished to the Holders of Notes or filed with the SEC the reports described in this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within the time period specified with respect to the Company or any Parent Entity of the Company, the Company shall be deemed to be in compliance with the provisions of this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56"/>
        <w:spacing w:after="0" w:line="256" w:lineRule="auto"/>
        <w:tabs>
          <w:tab w:leader="none" w:pos="89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duty to review or analyze any reports furnished to it. Delivery of reports, information and documents to the Trustee under this Indenture is for informational purposes only and the information and the Trustee’s receipt of such reports shall not constitute actual or constructive notice or knowledge of the information contained therein or determinable therefrom, including the Company’s or any other Person’s compliance with any of its covenants (as to which the Trustee is entitled to conclusively rely on an Officer’s Certificate). The Trustee shall not be obligated to monitor or confirm, on a continuing basis or otherwise, the Company’s or any other Person’s compliance with the covenants under this Indenture or with respect to any reports or other documents filed with the SEC or EDGAR or any website, or participate in any conference calls.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Maintenance of Office or Agency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Issuer will maintain an office or agency where the Notes may be presented or surrendered for payment, where, if applicable, the Notes may be surrendered for registration of transfer or exchange. The Corporate Trust Office of the Trustee shall be such office or agency of the Issuer, unless the Issuer shall designate and maintain some other office or agency for one or more of such purposes. The Issuer will give prompt written notice to the Trustee of any change in the location of any such office or agency. If at any time the Issuer shall fail to maintain any such required office or agency or shall fail to furnish the Trustee with the address thereof, such presentations and surrenders may be made or served at the Corporate Trust Office of the Trustee, and the Issuer hereby appoints the Trustee as its agent to receive all such presentations and surrenders; provided that the Trustee shall not be deemed an agent of the Issuer for service of legal process.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Issuer may also from time to time designate one or more other offices or agencies where the Notes may be presented or surrendered for any or all such purposes and may from time to time rescind any such designation. The Issuer will give prompt written notice to the Trustee of any such designation or rescission and any change in the location of any such other office or agency. No office of the Trustee shall be an office or agency of the Issuer for the purposes of service of legal process on the Issuer or any Guarantor.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The Issuer shall deliver to the Trustee within 120 days after the end of each fiscal year of the Issuer, an Officer’s Certificate, the signer of which shall be the principal executive officer, principal financial officer, principal accounting officer, principal legal officer, secretary or treasurer of the Issuer, stating that in the course of the performance by the signer of his or her duties as an Officer of the Issuer he or she would normally have knowledge of any Default or Event of Default and whether or not the signer knows of any Default or Event of Default that occurred during the previous fiscal year;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 such Officer’s Certificate shall be required for any fiscal year ended prior to the Issue Date. If such Officer does have such knowledge, the certificate shall describe the Default or Event of Default, its status and the action the Issuer is taking or proposes to take with respect thereto. The fiscal year of the Company currently ends on December 31; and the Company will give the Trustee prompt written notice of any change of its fiscal year.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0" w:name="page101"/>
    <w:bookmarkEnd w:id="100"/>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Further Instruments and Acts</w:t>
      </w:r>
      <w:r>
        <w:rPr>
          <w:rFonts w:ascii="Times New Roman" w:cs="Times New Roman" w:eastAsia="Times New Roman" w:hAnsi="Times New Roman"/>
          <w:sz w:val="18"/>
          <w:szCs w:val="18"/>
          <w:color w:val="auto"/>
        </w:rPr>
        <w:t>. Upon request of the Trustee or as necessary to comply with future developments or requirements, the Issuer will execute and deliver such further instruments and do such further acts as may be reasonably necessary or proper to carry out more effectively the purpose of this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3.18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Statement by Officers as to Default</w:t>
      </w:r>
      <w:r>
        <w:rPr>
          <w:rFonts w:ascii="Times New Roman" w:cs="Times New Roman" w:eastAsia="Times New Roman" w:hAnsi="Times New Roman"/>
          <w:sz w:val="18"/>
          <w:szCs w:val="18"/>
          <w:color w:val="auto"/>
        </w:rPr>
        <w:t>. The Issuer shall deliver to the Trustee, as soon as possible and in any event within 30 days after the Issuer becomes aware of the occurrence of any Default or Event of Default, an Officer’s Certificate setting forth the details of such Event of Default or Default, its status and the actions which the Issuer is taking or proposes to take with respect thereto.</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Designation of Restricted and Unrestricted Subsidiaries</w:t>
      </w:r>
      <w:r>
        <w:rPr>
          <w:rFonts w:ascii="Times New Roman" w:cs="Times New Roman" w:eastAsia="Times New Roman" w:hAnsi="Times New Roman"/>
          <w:sz w:val="18"/>
          <w:szCs w:val="18"/>
          <w:color w:val="auto"/>
        </w:rPr>
        <w:t xml:space="preserve">. The Company may designate any Restricted Subsidiary to be an Unrestricted Subsidiary if that designation would not cause a Default. If a Restricted Subsidiary is designated as an Unrestricted Subsidiary, the aggregate fair market value of all outstanding Investments owned by the Company and its Restricted Subsidiaries in the Subsidiary designated as an Unrestricted Subsidiary will be deemed to be an Investment made as of the time of the designation and will reduce the amount available for Restricted Payments under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hereof or under one or more clauses of the definition of Permitted Investments, as determined by the Company. That designation will only be permitted if the Investment would be permitted at that time and if the Restricted Subsidiary otherwise meets the definition of an Unrestricted Subsidiary. The Company may redesignate any Unrestricted Subsidiary to be a Restricted Subsidiary if that redesignation would not cause a Default.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Any designation of a Subsidiary of the Company as an Unrestricted Subsidiary will be evidenced to the Trustee by an Officer’s Certificate certifying that such designation complies with the preceding conditions and was permitted by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hereof. If, at any time, any Unrestricted Subsidiary would fail to meet the preceding requirements as an Unrestricted Subsidiary, it will thereafter cease to be an Unrestricted Subsidiary for purposes of this Indenture and any Indebtedness of such Subsidiary will be deemed to be incurred by a Restricted Subsidiary of the Company as of such date and, if such Indebtedness is not permitted to be incurred as of such date by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hereof, the Company will be in default of such covenant.</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may at any time designate any Unrestricted Subsidiary to be a Restricted Subsidiary of the Company;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designation will be deemed to be an incurrence of Indebtedness by a Restricted Subsidiary of the Company of any outstanding Indebtedness of such Unrestricted Subsidiary, and such designation will only be permitted if (1) such Indebtedness is permitted under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hereof (including pursuant to Section </w:t>
      </w:r>
      <w:r>
        <w:rPr>
          <w:rFonts w:ascii="Times New Roman" w:cs="Times New Roman" w:eastAsia="Times New Roman" w:hAnsi="Times New Roman"/>
          <w:sz w:val="18"/>
          <w:szCs w:val="18"/>
          <w:u w:val="single" w:color="auto"/>
          <w:color w:val="auto"/>
        </w:rPr>
        <w:t>3.2(b)(5)</w:t>
      </w:r>
      <w:r>
        <w:rPr>
          <w:rFonts w:ascii="Times New Roman" w:cs="Times New Roman" w:eastAsia="Times New Roman" w:hAnsi="Times New Roman"/>
          <w:sz w:val="18"/>
          <w:szCs w:val="18"/>
          <w:color w:val="auto"/>
        </w:rPr>
        <w:t xml:space="preserve"> treating such redesignation as an acquisition for the purpose of such clause),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 if such designation had occurred at the beginning of the applicable reference period; and (2) no Default or Event of Default would be in existence following such designation. Any such designation by the Company shall be evidenced to the Trustee by an Officer’s Certificate certifying that such designation complies with the preceding conditions.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u w:val="single" w:color="auto"/>
          <w:color w:val="auto"/>
        </w:rPr>
        <w:t>Suspension of Certain Covenants on Achievement of Investment Grade Status</w:t>
      </w:r>
      <w:r>
        <w:rPr>
          <w:rFonts w:ascii="Times New Roman" w:cs="Times New Roman" w:eastAsia="Times New Roman" w:hAnsi="Times New Roman"/>
          <w:sz w:val="18"/>
          <w:szCs w:val="18"/>
          <w:color w:val="auto"/>
        </w:rPr>
        <w:t>. Beginning on the first day (a) the Notes have achieved Investment Grade Status and (b) no Default or Event of Default has occurred and is continuing under this Indenture, and ending on a Reversion Date (such period a “</w:t>
      </w:r>
      <w:r>
        <w:rPr>
          <w:rFonts w:ascii="Times New Roman" w:cs="Times New Roman" w:eastAsia="Times New Roman" w:hAnsi="Times New Roman"/>
          <w:sz w:val="18"/>
          <w:szCs w:val="18"/>
          <w:u w:val="single" w:color="auto"/>
          <w:color w:val="auto"/>
        </w:rPr>
        <w:t>Suspension Period</w:t>
      </w:r>
      <w:r>
        <w:rPr>
          <w:rFonts w:ascii="Times New Roman" w:cs="Times New Roman" w:eastAsia="Times New Roman" w:hAnsi="Times New Roman"/>
          <w:sz w:val="18"/>
          <w:szCs w:val="18"/>
          <w:color w:val="auto"/>
        </w:rPr>
        <w:t xml:space="preserve">”), the Company and its Restricted Subsidiaries will not be subject to </w:t>
      </w:r>
      <w:r>
        <w:rPr>
          <w:rFonts w:ascii="Times New Roman" w:cs="Times New Roman" w:eastAsia="Times New Roman" w:hAnsi="Times New Roman"/>
          <w:sz w:val="18"/>
          <w:szCs w:val="18"/>
          <w:u w:val="single" w:color="auto"/>
          <w:color w:val="auto"/>
        </w:rPr>
        <w:t>Sections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4.1(a)(3)</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Suspended Covenants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1" w:name="page102"/>
    <w:bookmarkEnd w:id="101"/>
    <w:p>
      <w:pPr>
        <w:jc w:val="both"/>
        <w:spacing w:after="0" w:line="254" w:lineRule="auto"/>
        <w:rPr>
          <w:sz w:val="20"/>
          <w:szCs w:val="20"/>
          <w:color w:val="auto"/>
        </w:rPr>
      </w:pPr>
      <w:r>
        <w:rPr>
          <w:rFonts w:ascii="Times New Roman" w:cs="Times New Roman" w:eastAsia="Times New Roman" w:hAnsi="Times New Roman"/>
          <w:sz w:val="18"/>
          <w:szCs w:val="18"/>
          <w:color w:val="auto"/>
        </w:rPr>
        <w:t>If at any time the Notes cease to have such Investment Grade Status, then the Suspended Covenants shall thereafter be reinstated as if such covenants had never been suspended (the “</w:t>
      </w:r>
      <w:r>
        <w:rPr>
          <w:rFonts w:ascii="Times New Roman" w:cs="Times New Roman" w:eastAsia="Times New Roman" w:hAnsi="Times New Roman"/>
          <w:sz w:val="18"/>
          <w:szCs w:val="18"/>
          <w:u w:val="single" w:color="auto"/>
          <w:color w:val="auto"/>
        </w:rPr>
        <w:t>Reversion Date</w:t>
      </w:r>
      <w:r>
        <w:rPr>
          <w:rFonts w:ascii="Times New Roman" w:cs="Times New Roman" w:eastAsia="Times New Roman" w:hAnsi="Times New Roman"/>
          <w:sz w:val="18"/>
          <w:szCs w:val="18"/>
          <w:color w:val="auto"/>
        </w:rPr>
        <w:t>”) and be applicable pursuant to the terms of this Indenture (including in connection with performing any calculation or assessment to determine compliance with the terms of this Indenture), unless and until the Notes subsequently attain Investment Grade Status and no Default or Event of Default is in existence (in which event the Suspended Covenants shall no longer be in effect for such time that the Notes maintain an Investment Grade Status); provided, however, that no Default, Event of Default or breach of any kind shall be deemed to exist under this Indenture, the Notes or the Note Guarantees with respect to the Suspended Covenants based on, and none of the Company or any of its Subsidiaries shall bear any liability for, any actions taken or events occurring during the Suspension Period, or any actions taken at any time pursuant to any contractual obligation arising prior to the Reversion Date that were permitted at such time, regardless of whether such actions or events would have been permitted if the applicable Suspended Covenants remained in effect during such period.</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the Reversion Date, all Indebtedness Incurred during the Suspension Period will be deemed to have been outstanding on the Issue Date, so that it is classified as permitted under </w:t>
      </w:r>
      <w:r>
        <w:rPr>
          <w:rFonts w:ascii="Times New Roman" w:cs="Times New Roman" w:eastAsia="Times New Roman" w:hAnsi="Times New Roman"/>
          <w:sz w:val="18"/>
          <w:szCs w:val="18"/>
          <w:u w:val="single" w:color="auto"/>
          <w:color w:val="auto"/>
        </w:rPr>
        <w:t>Section 3.2(b)(4)(b)</w:t>
      </w:r>
      <w:r>
        <w:rPr>
          <w:rFonts w:ascii="Times New Roman" w:cs="Times New Roman" w:eastAsia="Times New Roman" w:hAnsi="Times New Roman"/>
          <w:sz w:val="18"/>
          <w:szCs w:val="18"/>
          <w:color w:val="auto"/>
        </w:rPr>
        <w:t xml:space="preserve">. Restricted Payments made during the Suspension Period will not reduce the amount available to be made as Restricted Payments under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The Company may not designate any Restricted Subsidiary as an Unrestricted Subsidiary during the Suspension Period. On the Reversion Date, the amount of Excess Proceeds shall be reset at zero. Any Affiliate Transaction entered into after the Reversion Date pursuant to an agreement entered into during any Suspension Period will be deemed to have been outstanding on the Issue Date, so that it is classified as permitted under </w:t>
      </w:r>
      <w:r>
        <w:rPr>
          <w:rFonts w:ascii="Times New Roman" w:cs="Times New Roman" w:eastAsia="Times New Roman" w:hAnsi="Times New Roman"/>
          <w:sz w:val="18"/>
          <w:szCs w:val="18"/>
          <w:u w:val="single" w:color="auto"/>
          <w:color w:val="auto"/>
        </w:rPr>
        <w:t>Section 3.8(b)(6)</w:t>
      </w:r>
      <w:r>
        <w:rPr>
          <w:rFonts w:ascii="Times New Roman" w:cs="Times New Roman" w:eastAsia="Times New Roman" w:hAnsi="Times New Roman"/>
          <w:sz w:val="18"/>
          <w:szCs w:val="18"/>
          <w:color w:val="auto"/>
        </w:rPr>
        <w:t xml:space="preserve">. Any encumbrance or restriction on the ability of any Restricted Subsidiary to take any action described in </w:t>
      </w:r>
      <w:r>
        <w:rPr>
          <w:rFonts w:ascii="Times New Roman" w:cs="Times New Roman" w:eastAsia="Times New Roman" w:hAnsi="Times New Roman"/>
          <w:sz w:val="18"/>
          <w:szCs w:val="18"/>
          <w:u w:val="single" w:color="auto"/>
          <w:color w:val="auto"/>
        </w:rPr>
        <w:t>Section 3.4(a)</w:t>
      </w:r>
    </w:p>
    <w:p>
      <w:pPr>
        <w:spacing w:after="0" w:line="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u w:val="single" w:color="auto"/>
          <w:color w:val="auto"/>
        </w:rPr>
        <w:t>(1), (2) and (3)</w:t>
      </w:r>
      <w:r>
        <w:rPr>
          <w:rFonts w:ascii="Times New Roman" w:cs="Times New Roman" w:eastAsia="Times New Roman" w:hAnsi="Times New Roman"/>
          <w:sz w:val="18"/>
          <w:szCs w:val="18"/>
          <w:color w:val="auto"/>
        </w:rPr>
        <w:t xml:space="preserve"> that becomes effective during the Suspension Period will be deemed to have existed on the Issue Date, so that it is classified as permitted under </w:t>
      </w:r>
      <w:r>
        <w:rPr>
          <w:rFonts w:ascii="Times New Roman" w:cs="Times New Roman" w:eastAsia="Times New Roman" w:hAnsi="Times New Roman"/>
          <w:sz w:val="18"/>
          <w:szCs w:val="18"/>
          <w:u w:val="single" w:color="auto"/>
          <w:color w:val="auto"/>
        </w:rPr>
        <w:t>Section 3.4(b)(1)</w:t>
      </w:r>
      <w:r>
        <w:rPr>
          <w:rFonts w:ascii="Times New Roman" w:cs="Times New Roman" w:eastAsia="Times New Roman" w:hAnsi="Times New Roman"/>
          <w:sz w:val="18"/>
          <w:szCs w:val="18"/>
          <w:color w:val="auto"/>
        </w:rPr>
        <w:t>. In addition, any future obligation to grant further Note Guarantees shall be released. All such further obligations to grant Note Guarantees shall be reinstated on the Reversion Date. As described above, however, no Default, Event of Default or breach of any kind shall be deemed to have occurred as a result of the Reversion Date occurring on the basis of any actions taken or the continuance of any circumstances resulting from actions taken or the performance of obligations under agreements entered into by the Company or any of the Restricted Subsidiaries during the Suspension Period (other than agreements to take actions after the Reversion Date that would not be permitted outside of the Suspension Period entered into in contemplation of the Reversion Date).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and after each Reversion Date, the Company and its Subsidiaries will be permitted to consummate the transactions contemplated by any contract entered into during the Suspension Period, so long as such contract and such consummation would have been permitted during such Suspension Period.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shall notify the Trustee of the commencement or cessation of any Suspension Period within thirty (30) days of the applicable commencement or cessation of any Suspension Period; provided that the failure by the Company to so notify the Trustee shall not constitute a Default or Event of Default under this Indenture. The Trustee shall have no duty to monitor the ratings of the Notes, shall not be deemed to have any knowledge of the ratings of the Notes and shall have no duty to notify Holders if the Notes achieve Investment Grade Status or of the occurrence of a Reversion Date or to independently determine if such events have occurred.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3.22 </w:t>
      </w:r>
      <w:r>
        <w:rPr>
          <w:rFonts w:ascii="Times New Roman" w:cs="Times New Roman" w:eastAsia="Times New Roman" w:hAnsi="Times New Roman"/>
          <w:sz w:val="18"/>
          <w:szCs w:val="18"/>
          <w:u w:val="single" w:color="auto"/>
          <w:color w:val="auto"/>
        </w:rPr>
        <w:t>Limitation on Dispositions and Other Transfers of Material Intellectual Property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None of the Company or any Guarantor shall sell, lease, sublease, dispose of or otherwise transfer (including pursuant to an Investment) any Material Intellectual Property that is owned by or exclusively licensed to the Company or such Guarantor to any Subsidiary of the Company that is not a Guarantor; provided that, notwithstanding the foregoing, (a) the Company and each Guarantor may enter into non-exclusive intercompany intellectual property licenses and research and development arrangements in the ordinary course of business and (b) the foregoing shall not prohibit transfers of Material Intellectual Property for legitimate business purposes in support of the business operation of the Company and the Guarantors, taken as a whole (as determined by the Company in good faith), pursuant to any joint venture or similar arrangement otherwise permitted by this Indenture.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SUCCESSOR COMPANY; SUCCESSOR PERSON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Merger, Amalgamation and Consolidation of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82" w:lineRule="auto"/>
        <w:tabs>
          <w:tab w:leader="none" w:pos="90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consolidate with or merge or amalgamate with or into or convey, transfer or lease all or substantially all its assets, in one transaction or a series of related transactions, to any Person, unless:</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7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the surviving Person or the resulting, surviving or transferee Person (the “</w:t>
      </w:r>
      <w:r>
        <w:rPr>
          <w:rFonts w:ascii="Times New Roman" w:cs="Times New Roman" w:eastAsia="Times New Roman" w:hAnsi="Times New Roman"/>
          <w:sz w:val="18"/>
          <w:szCs w:val="18"/>
          <w:u w:val="single" w:color="auto"/>
          <w:color w:val="auto"/>
        </w:rPr>
        <w:t>Successor Company</w:t>
      </w:r>
      <w:r>
        <w:rPr>
          <w:rFonts w:ascii="Times New Roman" w:cs="Times New Roman" w:eastAsia="Times New Roman" w:hAnsi="Times New Roman"/>
          <w:sz w:val="18"/>
          <w:szCs w:val="18"/>
          <w:color w:val="auto"/>
        </w:rPr>
        <w:t>”) will be a Person organized and existing under the laws of the United States of America, any State of the United States or the District of Columbia and the Successor Company (if not the Company) will expressly assume, by supplemental indenture, executed and delivered to the Trustee, all the obligations of the Company under the Notes and this Indenture and if such Successor Company is not a corporation, a co-obligor of the Notes is a corporation organized or existing under such laws;</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3"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(and treating any Indebtedness that becomes an obligation of the applicable Successor Company or any Subsidiary of the applicable Successor Company as a result of such transaction as having been Incurred by the applicable Successor Company or such Subsidiary at the time of such transaction), no Event of Default shall have occurred and be continuing;</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7"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execution of an agreement to enter into such transaction, no Event of Default shall have occurred and be continuing, and, immediately after giving pro forma effect to such transaction, either (a) the applicable Successor Company would be able to Incur at least an additional $1.00 of Indebtedness pursuant to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hereof, or (b) the Fixed Charge Coverage Ratio of the Company and the Restricted Subsidiaries would not be lower than it was immediately prior to giving effect to such transaction;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95"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have delivered to the Trustee an Officer’s Certificate and an Opinion of Counsel, each stating that such consolidation, merger, amalgamation or transfer and such supplemental indenture (if any) comply with this Indenture and an Opinion of Counsel stating that such supplemental indenture (if any) has been duly authorized, executed and delivered and is a legal, valid and binding agreement enforceable against the Successor Company;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in giving an Opinion of Counsel, counsel may rely on an Officer’s Certificate as to any matters of fact, including as to satisfaction of </w:t>
      </w:r>
      <w:r>
        <w:rPr>
          <w:rFonts w:ascii="Times New Roman" w:cs="Times New Roman" w:eastAsia="Times New Roman" w:hAnsi="Times New Roman"/>
          <w:sz w:val="18"/>
          <w:szCs w:val="18"/>
          <w:u w:val="single" w:color="auto"/>
          <w:color w:val="auto"/>
        </w:rPr>
        <w:t>clauses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above.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906"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Company will succeed to, and be substituted for, and may exercise every right and power of, the Company under the Notes and this Indenture, and the Company will automatically and unconditionally be released and discharged from its obligations under the Notes and this Indenture (except in the case of a lease).</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92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of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(which do not apply to this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(i) the Company may consolidate or otherwise combine with, merge into or transfer all or part of its properties and assets to a Guarantor, (ii) the Company may consolidate or otherwise combine with or merge into an Affiliate that is (x) organized or existing under the laws of the jurisdiction of the Company or the United States of America, any State of the United States or the District of Columbia or (y) incorporated or organized for the purpose of changing the legal domicile of the Company, reincorporating the Company in another jurisdiction, or changing the legal form of the Company, (iii) any Restricted Subsidiary may consolidate or otherwise combine with, merge into or transfer all or part of its properties and assets to the Company or a Guarantor, (iv) any Restricted Subsidiary may consolidate or otherwise combine with, merge into or transfer all or part of its properties and assets to any other Restricted Subsidiary and (v) the Company and its Restricted Subsidiaries may complete any Permitted Tax Restructuring.</w:t>
      </w:r>
    </w:p>
    <w:p>
      <w:pPr>
        <w:spacing w:after="0" w:line="191" w:lineRule="exact"/>
        <w:rPr>
          <w:rFonts w:ascii="Times New Roman" w:cs="Times New Roman" w:eastAsia="Times New Roman" w:hAnsi="Times New Roman"/>
          <w:sz w:val="18"/>
          <w:szCs w:val="18"/>
          <w:color w:val="auto"/>
        </w:rPr>
      </w:pPr>
    </w:p>
    <w:p>
      <w:pPr>
        <w:ind w:right="160" w:firstLine="656"/>
        <w:spacing w:after="0" w:line="500" w:lineRule="auto"/>
        <w:tabs>
          <w:tab w:leader="none" w:pos="90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the requirements of </w:t>
      </w:r>
      <w:r>
        <w:rPr>
          <w:rFonts w:ascii="Times New Roman" w:cs="Times New Roman" w:eastAsia="Times New Roman" w:hAnsi="Times New Roman"/>
          <w:sz w:val="18"/>
          <w:szCs w:val="18"/>
          <w:u w:val="single" w:color="auto"/>
          <w:color w:val="auto"/>
        </w:rPr>
        <w:t>Section 4.1(a)(2)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shall not apply to the creation of a new Subsidiary as a Restricted Subsidiary. SECTION 4.2 </w:t>
      </w:r>
      <w:r>
        <w:rPr>
          <w:rFonts w:ascii="Times New Roman" w:cs="Times New Roman" w:eastAsia="Times New Roman" w:hAnsi="Times New Roman"/>
          <w:sz w:val="18"/>
          <w:szCs w:val="18"/>
          <w:u w:val="single" w:color="auto"/>
          <w:color w:val="auto"/>
        </w:rPr>
        <w:t>Merger, Amalgamation and Consolidation of the Guarantors</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 no Guarantor may:</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with or merge or amalgamate with or into any Person;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convey, transfer or dispose of all or substantially all its assets, in one transaction or a series of related transactions, to any Person;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3" w:name="page104"/>
    <w:bookmarkEnd w:id="103"/>
    <w:p>
      <w:pPr>
        <w:ind w:left="1300"/>
        <w:spacing w:after="0"/>
        <w:rPr>
          <w:sz w:val="20"/>
          <w:szCs w:val="20"/>
          <w:color w:val="auto"/>
        </w:rPr>
      </w:pPr>
      <w:r>
        <w:rPr>
          <w:rFonts w:ascii="Times New Roman" w:cs="Times New Roman" w:eastAsia="Times New Roman" w:hAnsi="Times New Roman"/>
          <w:sz w:val="18"/>
          <w:szCs w:val="18"/>
          <w:color w:val="auto"/>
        </w:rPr>
        <w:t>(3) permit any Person to merge or amalgamate with or into such Guarantor, unless: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other Person is the Company or any Restricted Subsidiary that is a Guarantor or becomes a Guarantor concurrently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or</w:t>
      </w:r>
    </w:p>
    <w:p>
      <w:pPr>
        <w:spacing w:after="0" w:line="207" w:lineRule="exact"/>
        <w:rPr>
          <w:sz w:val="20"/>
          <w:szCs w:val="20"/>
          <w:color w:val="auto"/>
        </w:rPr>
      </w:pPr>
    </w:p>
    <w:p>
      <w:pPr>
        <w:jc w:val="both"/>
        <w:ind w:firstLine="1304"/>
        <w:spacing w:after="0" w:line="266" w:lineRule="auto"/>
        <w:tabs>
          <w:tab w:leader="none" w:pos="1605"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either (x) the Company or a Guarantor is the continuing Person or (y) the resulting, surviving or transferee Person expressly assumes all of the obligations of the Guarantor under its Note Guarantee and this Indenture; and (ii) immediately after giving effect to the transaction, no Default has occurred and is continuing; or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8"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constitutes a sale or other disposition or transfer (including by way of consolidation, merger or amalgamation) of the Guarantor or the conveyance, transfer, lease, sale or disposition of all or substantially all the assets of the Guarantor (in each case other than to the Company or a Restricted Subsidiary) otherwise not prohibited by this Indenture.</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93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of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(which do not apply to this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any Guarantor may (i) consolidate or otherwise combine with, merge into or transfer all or part of its properties and assets to another Guarantor or the Company, (ii) consolidate or otherwise combine with or merge into an Affiliate incorporated or organized for the purpose of changing the legal domicile of the Guarantor, reincorporating the Guarantor in another jurisdiction, or changing the legal form of the Guarantor, (iii) convert into a corporation, partnership, limited partnership, limited liability company or trust organized or existing under the laws of the jurisdiction of organization of such Guarantor, (iv) liquidate or dissolve or change its legal form if the Company determines in good faith that such action is in the best interests of the Company and (v) complete any Permitted Tax Restructuring. Notwithstanding anything to the contrary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the Company may contribute Capital Stock of any or all of its Subsidiaries to any Guarantor.</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References to Merger, Amalgamation and Consolidation</w:t>
      </w:r>
      <w:r>
        <w:rPr>
          <w:rFonts w:ascii="Times New Roman" w:cs="Times New Roman" w:eastAsia="Times New Roman" w:hAnsi="Times New Roman"/>
          <w:sz w:val="18"/>
          <w:szCs w:val="18"/>
          <w:color w:val="auto"/>
        </w:rPr>
        <w:t xml:space="preserve"> Any reference herein to a merger, consolidation, amalgamation, assignment, sale, disposition or transfer, or similar term, shall be deemed to apply to a division of or by a limited liability company, limited partnership or trust, or an allocation of assets to a series of a limited liability company, limited partnership or trust (or the unwinding of such a division or allocation), as if it were a merger, consolidation, amalgamation, assignment, sale, disposition or transfer, or similar term, as applicable, to, of or with a separate Person. Any division of a limited liability company, limited partnership or trust shall constitute a separate Person hereunder (and each division of any limited liability company, limited partnership or trust that is a Subsidiary, Restricted Subsidiary, Unrestricted Subsidiary, joint venture or any other like term shall also constitute such a Person or entity). Notwithstanding any other provision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will not apply to the Transactions.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REDEMPTION OF SECURITIES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Notices to Trustee</w:t>
      </w:r>
      <w:r>
        <w:rPr>
          <w:rFonts w:ascii="Times New Roman" w:cs="Times New Roman" w:eastAsia="Times New Roman" w:hAnsi="Times New Roman"/>
          <w:sz w:val="18"/>
          <w:szCs w:val="18"/>
          <w:color w:val="auto"/>
        </w:rPr>
        <w:t xml:space="preserve">. If the Issuer elects to redeem Notes pursuant to the optional redemption provisions of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hereof, it must furnish to the Trustee, at least 10 days (or such shorter period as the Trustee may agree) but not more than 60 days before a Redemption Date, an Officer’s Certificate setting forth:</w:t>
      </w:r>
    </w:p>
    <w:p>
      <w:pPr>
        <w:spacing w:after="0" w:line="176" w:lineRule="exact"/>
        <w:rPr>
          <w:sz w:val="20"/>
          <w:szCs w:val="20"/>
          <w:color w:val="auto"/>
        </w:rPr>
      </w:pPr>
    </w:p>
    <w:p>
      <w:pPr>
        <w:ind w:left="1560" w:hanging="256"/>
        <w:spacing w:after="0"/>
        <w:tabs>
          <w:tab w:leader="none" w:pos="15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clause of this Indenture pursuant to which the redemption shall occur;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Notes to be redeemed; and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4" w:name="page105"/>
    <w:bookmarkEnd w:id="10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optional redemption referenced in such Officer’s Certificate may be cancelled by the Issuer by delivering written notice of cancellation to the Trustee at any time prior to notice of redemption being sent to any Holder and thereafter shall be null and void.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Selection of Notes to Be Redeemed</w:t>
      </w:r>
      <w:r>
        <w:rPr>
          <w:rFonts w:ascii="Times New Roman" w:cs="Times New Roman" w:eastAsia="Times New Roman" w:hAnsi="Times New Roman"/>
          <w:sz w:val="18"/>
          <w:szCs w:val="18"/>
          <w:color w:val="auto"/>
        </w:rPr>
        <w:t xml:space="preserve">. If less than all of the Notes are to be redeemed pursuant to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the Trustee will select Notes for redemption (a) if the Notes are in global form in accordance with the applicable procedures of DTC and (b) if the Notes are in definitive form, in their entirety, by the Trustee, on a pro rata basis (subject to adjustments to maintain the authorized Notes denomination requirements) or by lot, except if otherwise required by law.</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No Notes in an unauthorized denomination or of $2,000 in aggregate principal amount or less shall be redeemed in part. In the event of partial redemption of Definitive Notes, the particular Definitive Notes to be redeemed will be selected, unless otherwise provided herein, not less than 10 days nor more than 60 days prior to the Redemption Date by the Trustee from the outstanding Notes not previously called for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Issuer shall provide the Trustee with sufficient notice of such partial redemption to enable the Trustee to select the Definitive Notes for partial redemption.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Trustee will promptly notify the Issuer in writing of the Definitive Notes selected for redemption and, in the case of any Definitive Note selected for partial redemption, the principal amount thereof to be redeemed. Notes and portions of Notes selected will be in minimum principal amounts of $2,000 and whole multiples of $1,000 in excess of $2,000; except that if all of the Notes of a Holder are to be redeemed, the entire outstanding amount of Notes held by such Holder, even if not in a minimum principal amount of $2,000 or a multiple of $1,000 in excess thereof, shall be redeemed. Except as provided in the preceding sentence, provisions of this Indenture that apply to Notes called for redemption also apply to portions of Notes called for redemption.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 xml:space="preserve">. At least 10 days but not more than 60 days before the Redemption Date, the Issuer will send or cause to be sent, by electronic delivery or by first class mail postage prepaid, a notice of redemption to each Holder (with a copy to the Trustee) whose Notes are to be redeemed at the address of such Holder appearing in the Notes Register or otherwise in accordance with the applicable procedures of DTC, except that redemption notices may be delivered electronically or mailed more than 60 days prior to a Redemption Date if the notice is issued in connection with a defeasance of the Notes or a satisfaction and discharge of this Indenture pursuant to </w:t>
      </w:r>
      <w:r>
        <w:rPr>
          <w:rFonts w:ascii="Times New Roman" w:cs="Times New Roman" w:eastAsia="Times New Roman" w:hAnsi="Times New Roman"/>
          <w:sz w:val="18"/>
          <w:szCs w:val="18"/>
          <w:u w:val="single" w:color="auto"/>
          <w:color w:val="auto"/>
        </w:rPr>
        <w:t>Articles 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hereto.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notice will identify the Notes (including the CUSIP or ISIN number) to be redeemed and will state:</w:t>
      </w:r>
    </w:p>
    <w:p>
      <w:pPr>
        <w:spacing w:after="0" w:line="225" w:lineRule="exact"/>
        <w:rPr>
          <w:sz w:val="20"/>
          <w:szCs w:val="20"/>
          <w:color w:val="auto"/>
        </w:rPr>
      </w:pPr>
    </w:p>
    <w:p>
      <w:pPr>
        <w:ind w:left="1560" w:hanging="256"/>
        <w:spacing w:after="0"/>
        <w:tabs>
          <w:tab w:leader="none" w:pos="15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3"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Note is being redeemed in part, the portion of the principal amount of such Note to be redeemed and that, after the Redemption Date upon surrender of any Definitive Note to be redeemed in part, a new Definitive Note or Definitive Notes in principal amount equal to the unredeemed portion will be issued upon cancellation of the original Definitive Note;</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called for redemption must be surrendered to the Paying Agent to collect the redemption price;</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Issuer defaults in making such redemption payment, interest on Notes called for redemption ceases to accrue on and after the Redemption Date;</w:t>
      </w:r>
    </w:p>
    <w:p>
      <w:pPr>
        <w:spacing w:after="0" w:line="16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paragraph of the Notes and/or Section of this Indenture pursuant to which the Notes called for redemption are being redeemed;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5" w:name="page106"/>
    <w:bookmarkEnd w:id="105"/>
    <w:p>
      <w:pPr>
        <w:ind w:left="1300"/>
        <w:spacing w:after="0"/>
        <w:rPr>
          <w:sz w:val="20"/>
          <w:szCs w:val="20"/>
          <w:color w:val="auto"/>
        </w:rPr>
      </w:pPr>
      <w:r>
        <w:rPr>
          <w:rFonts w:ascii="Times New Roman" w:cs="Times New Roman" w:eastAsia="Times New Roman" w:hAnsi="Times New Roman"/>
          <w:sz w:val="18"/>
          <w:szCs w:val="18"/>
          <w:color w:val="auto"/>
        </w:rPr>
        <w:t>(8) that no representation is made as to the correctness or accuracy of the CUSIP number, if any, listed in such notice or printed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At the Issuer’s request, the Trustee will give the notice of redemption in the Issuer’s name and at its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Issuer has delivered to the Trustee, at least three (3) Business Days (or if any of the Notes to be redeemed are Definitive Notes, five (5) Business Days) prior to the date on which the Issuer instructs the Trustee to give the notice (or such shorter period as the Trustee may agree), an Officer’s Certificate requesting that the Trustee give such notice and attaching the form of notice.</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Notice of any redemption of the Notes may, at the Issuer’s discretion, be given prior to the completion of a corporate transaction (including but not limited to an Equity Offering, an incurrence of Indebtedness, a Change of Control or other corporate transaction) and any redemption notice may, at the Issuer’s discretion, be subject to one or more conditions precedent, including, but not limited to, completion of a related transaction. If such redemption is so subject to satisfaction of one or more conditions precedent such notice shall describe each such condition, and if applicable, shall state that, in the Issuer’s discretion, the Redemption Date may be delayed until such time (including more than 60 days after the date the notice of redemption was mailed or delivered, including by electronic transmission) as any or all such conditions shall be satisfied, or such redemption may not occur and such notice may be rescinded in the event that any or all such conditions shall not have been satisfied by the Redemption Date, or by the Redemption Date as so delayed. In addition, the Issuer may provide in such notice that payment of the redemption price and performance of the Issuer’s obligations with respect to such redemption may be performed by another Person.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Deposit of Redemption or Purchase Price</w:t>
      </w:r>
      <w:r>
        <w:rPr>
          <w:rFonts w:ascii="Times New Roman" w:cs="Times New Roman" w:eastAsia="Times New Roman" w:hAnsi="Times New Roman"/>
          <w:sz w:val="18"/>
          <w:szCs w:val="18"/>
          <w:color w:val="auto"/>
        </w:rPr>
        <w:t>. Prior to 11:00 a.m. New York City Time on the redemption or purchase date, the Issuer will deposit with the Trustee or with the Paying Agent money sufficient to pay the redemption or purchase price of and accrued interest, if any, on all Notes to be redeemed or purchased on that date. The Trustee or the Paying Agent will promptly return upon written request, on or following the applicable redemption or repurchase date, to the Issuer any money deposited with the Trustee or the Paying Agent by the Issuer in excess of the amounts necessary to pay the redemption or purchase price of, and accrued interest, if any, on all Notes to be redeemed or purchased.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If the Issuer complies with the provisions of the preceding paragraph, on and after the redemption or purchase date, interest will cease to accrue on the Notes or the portions of Notes called for redemption or purchase. If a Note is redeemed or purchased on or after a record date but on or prior to the related interest payment date, then any accrued and unpaid interest up to, but excluding, the Redemption Date or purchase date shall be paid on the Redemption Date or purchase date to the Person in whose name such Note was registered at the close of business on such record date in accordance with the applicable procedures of DTC. If any Note called for redemption or purchase is not so paid upon surrender for redemption or purchase because of the failure of the Issuer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hereof.</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Notes Redeemed or Purchased in Part</w:t>
      </w:r>
      <w:r>
        <w:rPr>
          <w:rFonts w:ascii="Times New Roman" w:cs="Times New Roman" w:eastAsia="Times New Roman" w:hAnsi="Times New Roman"/>
          <w:sz w:val="18"/>
          <w:szCs w:val="18"/>
          <w:color w:val="auto"/>
        </w:rPr>
        <w:t xml:space="preserve">. Upon surrender of a Definitive Note that is redeemed or purchased in part, the Issuer will issue and the Trustee will authenticate for the Holder at the expense of the Issuer a new Definitive Note equal in principal amount to the unredeemed or unpurchased portion of the Note surrendered;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such new Definitive Note will be in a minimum principal amount of $2,000 or integral multiple of $1,000 in excess thereof. In the case of a Note issued as a Global Note, an appropriate notation will be made on such Note to decrease the principal amount thereof to an amount equal to the unredeemed portion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unredeemed or unpurchased portion thereof will be in a minimum principal amount of $2,000 or integral multiple of $1,000 in excess thereof.</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8" w:lineRule="auto"/>
        <w:tabs>
          <w:tab w:leader="none" w:pos="89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September 15, 2027, the Company may redeem the Notes in whole or in part, at its option, upon not less than 10 nor more than 60 days’ prior notice, with a copy to the Trustee, to each Holder of Notes to the address of such Holder appearing in the Notes Register, at a redemption price (expressed as a percentage of the principal amount of the Notes to be redeemed) equal to 100.000% plus the relevant Applicable Premium as of, and accrued and unpaid interest, if any, to but excluding, the date of redemption (the “</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subject to the rights of Holders on the relevant regular record date to receive interest due on the relevant interest payment date.</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90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and from time to time prior to September 15, 2027, the Company may, on one or more occasions, upon not less than 10 nor more than 60 days’ prior notice, with a copy to the Trustee, to each Holder of Notes to the address of such Holder appearing in the Notes Register, redeem up to 40.0% of the original aggregate principal amount of Notes issued under this Indenture on the Issue Date (together with Additional Notes) at a redemption price (expressed as a percentage of the principal amount of Notes to be redeemed) equal to 108.625%, plus accrued and unpaid interest, if any, to but excluding, the applicable Redemption Date, subject to the right of Holders of record of the Notes on the relevant regular record date to receive interest due on the relevant interest payment date, with the Net Cash Proceeds received by the Company of one or more Equity Offerings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that </w:t>
      </w:r>
      <w:r>
        <w:rPr>
          <w:rFonts w:ascii="Times New Roman" w:cs="Times New Roman" w:eastAsia="Times New Roman" w:hAnsi="Times New Roman"/>
          <w:sz w:val="18"/>
          <w:szCs w:val="18"/>
          <w:color w:val="auto"/>
        </w:rPr>
        <w:t>not less than 50.0% of the original aggregate principal amount of then-outstanding Notes issued under this Indenture remains outstanding immediately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after the occurrence of each such redemption (excluding Notes held by the Company or any of its Restricted Subsidiaries);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each such redemption occurs not later than 180 days after the date of closing of the related Equity Offering.</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pursuant to clauses (a) and (b) of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the Notes will not be redeemable at the Company’s option prior to September 15,</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2027.</w:t>
      </w:r>
    </w:p>
    <w:p>
      <w:pPr>
        <w:spacing w:after="0" w:line="206" w:lineRule="exact"/>
        <w:rPr>
          <w:rFonts w:ascii="Times New Roman" w:cs="Times New Roman" w:eastAsia="Times New Roman" w:hAnsi="Times New Roman"/>
          <w:sz w:val="18"/>
          <w:szCs w:val="18"/>
          <w:color w:val="auto"/>
        </w:rPr>
      </w:pPr>
    </w:p>
    <w:p>
      <w:pPr>
        <w:jc w:val="both"/>
        <w:ind w:firstLine="656"/>
        <w:spacing w:after="0" w:line="256" w:lineRule="auto"/>
        <w:tabs>
          <w:tab w:leader="none" w:pos="90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and from time to time on or after September 15, 2027 the Company may redeem the Notes, in whole or in part, upon not less than 10 nor more than 60 days’ prior notice, with a copy to the Trustee, to each Holder of Notes to the address of such Holder appearing in the Notes Register at the redemption prices (expressed as percentages of principal amount of the Notes to be redeemed) set forth in the table below, plus accrued and unpaid interest thereon, if any, to but excluding the applicable Redemption Date, subject to the right of Holders of record of the Notes on the relevant regular record date to receive interest due on the relevant interest payment date, if redeemed during the twelve-month period beginning on September 15 of each of the years indicated in the table below:</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Year</w:t>
            </w:r>
          </w:p>
        </w:tc>
        <w:tc>
          <w:tcPr>
            <w:tcW w:w="1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Percentage</w:t>
            </w:r>
          </w:p>
        </w:tc>
      </w:tr>
      <w:tr>
        <w:trPr>
          <w:trHeight w:val="210"/>
        </w:trPr>
        <w:tc>
          <w:tcPr>
            <w:tcW w:w="7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52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104.31250%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102.15625%</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1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100.00000%</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656"/>
        <w:spacing w:after="0" w:line="253" w:lineRule="auto"/>
        <w:tabs>
          <w:tab w:leader="none" w:pos="90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connection with any tender offer for the Notes, including a Change of Control Triggering Event Offer or Asset Disposition Offer, if Holders of not less than 90.0% in aggregate principal amount of the outstanding Notes validly tender and do not withdraw such Notes in such tender offer and the Company, or any third party making such tender offer in lieu of the Company, purchases all of the Notes validly tendered and not withdrawn by such Holders, the Company or such third party shall have the right upon not less than 15 nor more than 60 days’ prior notice, with a copy to the Trustee, to each Holder of Notes to the address of such Holder appearing in the Notes Register, given not more than 10 days following such purchase date to redeem all Notes that remain outstanding following such purchase at a redemption price equal to the price offered to each other Holder (excluding any early tender or incentive fee) in such tender offer plus, to the extent not included in the tender offer payment, accrued and unpaid interest, if any, thereon, to but not including, the date of such redemption. In determining whether the Holders of at least 90% of the aggregate principal amount of the outstanding Notes have validly tendered and not validly withdrawn such Notes in a tender offer, including a Change of Control Triggering Event Offer or Asset Disposition Offer, Notes owned by the Company or its Affiliates or by funds controlled or managed by any Affiliate of the Company, or any successor thereof, shall be deemed to be outstanding for the purposes of such tender offer.</w:t>
      </w:r>
    </w:p>
    <w:p>
      <w:pPr>
        <w:spacing w:after="0" w:line="191" w:lineRule="exact"/>
        <w:rPr>
          <w:rFonts w:ascii="Times New Roman" w:cs="Times New Roman" w:eastAsia="Times New Roman" w:hAnsi="Times New Roman"/>
          <w:sz w:val="18"/>
          <w:szCs w:val="18"/>
          <w:color w:val="auto"/>
        </w:rPr>
      </w:pPr>
    </w:p>
    <w:p>
      <w:pPr>
        <w:ind w:right="20" w:firstLine="656"/>
        <w:spacing w:after="0" w:line="282" w:lineRule="auto"/>
        <w:tabs>
          <w:tab w:leader="none" w:pos="896"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applicable redemption notice (including any conditions contained therein), unless the Company defaults in the payment of the redemption price, interest will cease to accrue on the Notes or portions thereof called for redemption on the applicable Redemption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7" w:name="page108"/>
    <w:bookmarkEnd w:id="107"/>
    <w:p>
      <w:pPr>
        <w:ind w:left="660"/>
        <w:spacing w:after="0"/>
        <w:rPr>
          <w:sz w:val="20"/>
          <w:szCs w:val="20"/>
          <w:color w:val="auto"/>
        </w:rPr>
      </w:pPr>
      <w:r>
        <w:rPr>
          <w:rFonts w:ascii="Times New Roman" w:cs="Times New Roman" w:eastAsia="Times New Roman" w:hAnsi="Times New Roman"/>
          <w:sz w:val="18"/>
          <w:szCs w:val="18"/>
          <w:color w:val="auto"/>
        </w:rPr>
        <w:t xml:space="preserve">(g) Any redemption pursuant to this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xml:space="preserve"> shall be made pursuant to the provisions of </w:t>
      </w:r>
      <w:r>
        <w:rPr>
          <w:rFonts w:ascii="Times New Roman" w:cs="Times New Roman" w:eastAsia="Times New Roman" w:hAnsi="Times New Roman"/>
          <w:sz w:val="18"/>
          <w:szCs w:val="18"/>
          <w:u w:val="single" w:color="auto"/>
          <w:color w:val="auto"/>
        </w:rPr>
        <w:t>Sections 5.1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5.6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5.8 </w:t>
      </w:r>
      <w:r>
        <w:rPr>
          <w:rFonts w:ascii="Times New Roman" w:cs="Times New Roman" w:eastAsia="Times New Roman" w:hAnsi="Times New Roman"/>
          <w:sz w:val="18"/>
          <w:szCs w:val="18"/>
          <w:u w:val="single" w:color="auto"/>
          <w:color w:val="auto"/>
        </w:rPr>
        <w:t>Mandatory Redemption</w:t>
      </w:r>
      <w:r>
        <w:rPr>
          <w:rFonts w:ascii="Times New Roman" w:cs="Times New Roman" w:eastAsia="Times New Roman" w:hAnsi="Times New Roman"/>
          <w:sz w:val="18"/>
          <w:szCs w:val="18"/>
          <w:color w:val="auto"/>
        </w:rPr>
        <w:t xml:space="preserve">. The Company is not required to make mandatory redemption or sinking fund payments with respect to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under certain circumstances, the Company may be required to offer to purchase Notes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may at any time and from time to time purchase its outstanding debt securities or loans, including the Notes, in privately negotiated or open market transactions, by tender offer or otherwise.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00" w:hanging="244"/>
        <w:spacing w:after="0"/>
        <w:tabs>
          <w:tab w:leader="none" w:pos="90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is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on any Note when due and payable, continued for 30 days;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8"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amount of or premium, if any, on any Note issued under this Indenture when due at its Stated Maturity, upon optional redemption, upon required repurchase, upon declaration or otherwise;</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5"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by the Company or any Guarantor to comply for 60 days after written notice by the Trustee on behalf of the Holders or by the Holders of at least 30% in aggregate principal amount of the outstanding Notes with any agreement or obligation contained in this Indenture;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in the case of a failure to comply with this Indenture provisions described under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such period of continuance of such default or breach shall be 180 days after written notice described in this clause (3) has been given;</w:t>
      </w:r>
    </w:p>
    <w:p>
      <w:pPr>
        <w:spacing w:after="0" w:line="17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4"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any mortgage, indenture or instrument under which there may be issued or by which there may be secured or evidenced any Indebtedness for money borrowed by the Company or any Significant Subsidiary (or group of Restricted Subsidiaries that, taken together (as of the latest audited consolidated financial statements for the Company and its Restricted Subsidiaries) would constitute a Significant Subsidiary) (or the payment of which is Guaranteed by the Company or any Significant Subsidiary (or group of Restricted Subsidiaries that, taken together (as of the latest audited consolidated financial statements for the Company and its Restricted Subsidiaries) would constitute a Significant Subsidiary)) other than Indebtedness owed to the Company or a Restricted Subsidiary whether such Indebtedness or Guarantee now exists, or is created after the date hereof, which default:</w:t>
      </w:r>
    </w:p>
    <w:p>
      <w:pPr>
        <w:spacing w:after="0" w:line="187" w:lineRule="exact"/>
        <w:rPr>
          <w:sz w:val="20"/>
          <w:szCs w:val="20"/>
          <w:color w:val="auto"/>
        </w:rPr>
      </w:pPr>
    </w:p>
    <w:p>
      <w:pPr>
        <w:ind w:firstLine="1304"/>
        <w:spacing w:after="0" w:line="282" w:lineRule="auto"/>
        <w:tabs>
          <w:tab w:leader="none" w:pos="1607"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caused by a failure to pay principal of such Indebtedness, at its stated final maturity (after giving effect to any applicable grace periods provided in such Indebtedness) (“payment default”); or</w:t>
      </w:r>
    </w:p>
    <w:p>
      <w:pPr>
        <w:spacing w:after="0" w:line="16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the acceleration of such Indebtedness prior to its stated final maturity;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in each case, the principal amount of any such Indebtedness, together with the principal amount of any other such Indebtedness under which there has been a payment default of principal at its stated final maturity (after giving effect to any applicable grace periods) or the maturity of which has been so accelerated, aggregates to $25.0 million or more at any one time outstanding;</w:t>
      </w:r>
    </w:p>
    <w:p>
      <w:pPr>
        <w:spacing w:after="0" w:line="176" w:lineRule="exact"/>
        <w:rPr>
          <w:sz w:val="20"/>
          <w:szCs w:val="20"/>
          <w:color w:val="auto"/>
        </w:rPr>
      </w:pPr>
    </w:p>
    <w:p>
      <w:pPr>
        <w:jc w:val="both"/>
        <w:ind w:firstLine="1304"/>
        <w:spacing w:after="0" w:line="256" w:lineRule="auto"/>
        <w:tabs>
          <w:tab w:leader="none" w:pos="155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or any Significant Subsidiary (or group of Restricted Subsidiaries that, taken together (as of the latest audited consolidated financial statements for the Company and its Restricted Subsidiaries) would constitute a Significant Subsidiary), to pay final judgments aggregating in excess of $25.0 million other than any judgments covered by indemnities provided by, or insurance policies issued by, reputable and creditworthy companies, which final judgments remain unpaid, undischarged and unstayed for a period of more than 60 days after such judgment becomes final, and in the event such judgment is covered by insurance, an enforcement proceeding has been commenced by any creditor upon such judgment or decree which is not promptly stayed;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8" w:name="page109"/>
    <w:bookmarkEnd w:id="108"/>
    <w:p>
      <w:pPr>
        <w:jc w:val="both"/>
        <w:ind w:firstLine="1304"/>
        <w:spacing w:after="0" w:line="258" w:lineRule="auto"/>
        <w:tabs>
          <w:tab w:leader="none" w:pos="1551"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Note Guarantee by a Significant Subsidiary ceases to be in full force and effect, other than (1) in accordance with the terms of this Indenture; or (2) in connection with the bankruptcy of a Guarantor, so long as the aggregate assets of such Guarantor and any other Guarantor whose Note Guarantee ceased or ceases to be in full force as a result of a bankruptcy are less than $10.0 million, or (B) a Guarantor that is a Significant Subsidiary denies or disaffirms its obligations under its Note Guarantee, other than in accordance with the terms thereof or upon release of such Note Guarantee in accordance with this Indenture;</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 Significant Subsidiary (or any group of Restricted Subsidiaries, that taken together as of the latest audited consolidated financial statements of the Company and its Restricted Subsidiaries, would constitute a Significant Subsidiary) pursuant to or within the meaning of any Bankruptcy Law:</w:t>
      </w:r>
    </w:p>
    <w:p>
      <w:pPr>
        <w:spacing w:after="0" w:line="176" w:lineRule="exact"/>
        <w:rPr>
          <w:sz w:val="20"/>
          <w:szCs w:val="20"/>
          <w:color w:val="auto"/>
        </w:rPr>
      </w:pPr>
    </w:p>
    <w:p>
      <w:pPr>
        <w:ind w:left="1600" w:hanging="296"/>
        <w:spacing w:after="0"/>
        <w:tabs>
          <w:tab w:leader="none" w:pos="16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or proceeding;</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 or proceeding;</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substantially all of its property;</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or acquiesces in the institution of a bankruptcy or an insolvency proceeding against it;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takes any comparable action under any foreign laws relating to insolvency;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(8) a court of competent jurisdiction enters an order or decree under any Bankruptcy Law that:</w:t>
      </w:r>
    </w:p>
    <w:p>
      <w:pPr>
        <w:spacing w:after="0" w:line="225" w:lineRule="exact"/>
        <w:rPr>
          <w:sz w:val="20"/>
          <w:szCs w:val="20"/>
          <w:color w:val="auto"/>
        </w:rPr>
      </w:pPr>
    </w:p>
    <w:p>
      <w:pPr>
        <w:jc w:val="both"/>
        <w:ind w:firstLine="1304"/>
        <w:spacing w:after="0" w:line="266" w:lineRule="auto"/>
        <w:tabs>
          <w:tab w:leader="none" w:pos="160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Company or a Significant Subsidiary (or any group of Restricted Subsidiaries, that taken together as of the latest audited consolidated financial statements for the Company and its Restricted Subsidiaries, would constitute a Significant Subsidiary) in an involuntary case;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a Significant Subsidiary (or any group of Restricted Subsidiaries, that taken together as of the latest audited consolidated financial statements for the Company and its Restricted Subsidiaries, would constitute a Significant Subsidiary) for substantially all of its property;</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winding up or liquidation of the Company or a Significant Subsidiary (or any group of Restricted Subsidiaries, that taken together as of the latest audited consolidated financial statements for the Company and its Restricted Subsidiaries, would constitute a Significant Subsidiary); or</w:t>
      </w:r>
    </w:p>
    <w:p>
      <w:pPr>
        <w:spacing w:after="0" w:line="17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any similar relief is granted under any foreign laws and the order, decree or relief remains unstayed and in effect for 60</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days;</w:t>
      </w: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a Default under clause (4) or (5) above will not constitute an Event of Default until the Trustee or the Holders of at least 30% in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amount of the outstanding Notes notify the Company of the Default (with a copy to the Trustee, if notice is given by the Holders) and, with respect to clause (5) above, the Company does not cure such Default within the time specified in clause (5) above after receipt of such notice;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a notice of Default may not be given with respect to any action taken, and reported publicly or to Holders, more than two years prior to such notice of Default.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9" w:name="page110"/>
    <w:bookmarkEnd w:id="109"/>
    <w:p>
      <w:pPr>
        <w:jc w:val="both"/>
        <w:spacing w:after="0" w:line="253" w:lineRule="auto"/>
        <w:rPr>
          <w:sz w:val="20"/>
          <w:szCs w:val="20"/>
          <w:color w:val="auto"/>
        </w:rPr>
      </w:pPr>
      <w:r>
        <w:rPr>
          <w:rFonts w:ascii="Times New Roman" w:cs="Times New Roman" w:eastAsia="Times New Roman" w:hAnsi="Times New Roman"/>
          <w:sz w:val="18"/>
          <w:szCs w:val="18"/>
          <w:color w:val="auto"/>
        </w:rPr>
        <w:t>Any notice of Default, notice of acceleration or instruction to the Trustee to provide a notice of Default, notice of acceleration or take any other action (a “</w:t>
      </w:r>
      <w:r>
        <w:rPr>
          <w:rFonts w:ascii="Times New Roman" w:cs="Times New Roman" w:eastAsia="Times New Roman" w:hAnsi="Times New Roman"/>
          <w:sz w:val="18"/>
          <w:szCs w:val="18"/>
          <w:u w:val="single" w:color="auto"/>
          <w:color w:val="auto"/>
        </w:rPr>
        <w:t>Noteholder Direction</w:t>
      </w:r>
      <w:r>
        <w:rPr>
          <w:rFonts w:ascii="Times New Roman" w:cs="Times New Roman" w:eastAsia="Times New Roman" w:hAnsi="Times New Roman"/>
          <w:sz w:val="18"/>
          <w:szCs w:val="18"/>
          <w:color w:val="auto"/>
        </w:rPr>
        <w:t>”) provided by any one or more Holders (each a “</w:t>
      </w:r>
      <w:r>
        <w:rPr>
          <w:rFonts w:ascii="Times New Roman" w:cs="Times New Roman" w:eastAsia="Times New Roman" w:hAnsi="Times New Roman"/>
          <w:sz w:val="18"/>
          <w:szCs w:val="18"/>
          <w:u w:val="single" w:color="auto"/>
          <w:color w:val="auto"/>
        </w:rPr>
        <w:t>Directing Holder</w:t>
      </w:r>
      <w:r>
        <w:rPr>
          <w:rFonts w:ascii="Times New Roman" w:cs="Times New Roman" w:eastAsia="Times New Roman" w:hAnsi="Times New Roman"/>
          <w:sz w:val="18"/>
          <w:szCs w:val="18"/>
          <w:color w:val="auto"/>
        </w:rPr>
        <w:t>”) must be accompanied by a written representation from each such Holder delivered to the Company and the Trustee that such Holder is not (or, in the case such Holder is DTC or its nominee, that such Holder is being instructed solely by beneficial owners that are not) Net Short (a “</w:t>
      </w:r>
      <w:r>
        <w:rPr>
          <w:rFonts w:ascii="Times New Roman" w:cs="Times New Roman" w:eastAsia="Times New Roman" w:hAnsi="Times New Roman"/>
          <w:sz w:val="18"/>
          <w:szCs w:val="18"/>
          <w:u w:val="single" w:color="auto"/>
          <w:color w:val="auto"/>
        </w:rPr>
        <w:t>Position Representation</w:t>
      </w:r>
      <w:r>
        <w:rPr>
          <w:rFonts w:ascii="Times New Roman" w:cs="Times New Roman" w:eastAsia="Times New Roman" w:hAnsi="Times New Roman"/>
          <w:sz w:val="18"/>
          <w:szCs w:val="18"/>
          <w:color w:val="auto"/>
        </w:rPr>
        <w:t>”), which representation, in the case of a Noteholder Direction relating to the delivery of a notice of Default (a “</w:t>
      </w:r>
      <w:r>
        <w:rPr>
          <w:rFonts w:ascii="Times New Roman" w:cs="Times New Roman" w:eastAsia="Times New Roman" w:hAnsi="Times New Roman"/>
          <w:sz w:val="18"/>
          <w:szCs w:val="18"/>
          <w:u w:val="single" w:color="auto"/>
          <w:color w:val="auto"/>
        </w:rPr>
        <w:t>Default Direction</w:t>
      </w:r>
      <w:r>
        <w:rPr>
          <w:rFonts w:ascii="Times New Roman" w:cs="Times New Roman" w:eastAsia="Times New Roman" w:hAnsi="Times New Roman"/>
          <w:sz w:val="18"/>
          <w:szCs w:val="18"/>
          <w:color w:val="auto"/>
        </w:rPr>
        <w:t>”) shall be deemed a continuing representation until the resulting Event of Default is cured or otherwise ceases to exist or the Notes are accelerated. In addition, each Directing Holder is deemed, at the time of providing a Noteholder Direction, to covenant to provide the Company with such other information as the Company may reasonably request from time to time in order to verify the accuracy of such Noteholder’s Position Representation within five Business Days of request therefor (a “</w:t>
      </w:r>
      <w:r>
        <w:rPr>
          <w:rFonts w:ascii="Times New Roman" w:cs="Times New Roman" w:eastAsia="Times New Roman" w:hAnsi="Times New Roman"/>
          <w:sz w:val="18"/>
          <w:szCs w:val="18"/>
          <w:u w:val="single" w:color="auto"/>
          <w:color w:val="auto"/>
        </w:rPr>
        <w:t>Verification Covenant</w:t>
      </w:r>
      <w:r>
        <w:rPr>
          <w:rFonts w:ascii="Times New Roman" w:cs="Times New Roman" w:eastAsia="Times New Roman" w:hAnsi="Times New Roman"/>
          <w:sz w:val="18"/>
          <w:szCs w:val="18"/>
          <w:color w:val="auto"/>
        </w:rPr>
        <w:t>”). In any case in which the Holder is DTC or its nominee, any Position Representation or Verification Covenant required hereunder shall be provided by the beneficial owner of the Notes in lieu of DTC or its nominee and DTC shall be entitled to conclusively rely on such Position Representation and Verification Covenant in delivering any direction to the Trustee.</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following the delivery of a Noteholder Direction, but prior to acceleration of the Notes, the Company determines in good faith that there is a reasonable basis to believe a Directing Holder was, at any relevant time, in breach of its Position Representation and provides to the Trustee an Officer’s Certificate stating that the Company has initiated litigation in a court of competent jurisdiction seeking a determination that such Directing Holder was, at such time, in breach of its Position Representation, and seeking to invalidate any Event of Default or acceleration (or notice thereof) that resulted from the applicable Noteholder Direction, the cure period with respect to such Event of Default shall be automatically stayed and the cure period with respect to such Event of Default shall be automatically reinstituted and any remedy stayed pending a final and non-appealable determination of a court of competent jurisdiction on such matter. If, following the delivery of a Noteholder Direction, but prior to acceleration of the Notes, the Company provides to the Trustee an Officer’s Certificate (a “</w:t>
      </w:r>
      <w:r>
        <w:rPr>
          <w:rFonts w:ascii="Times New Roman" w:cs="Times New Roman" w:eastAsia="Times New Roman" w:hAnsi="Times New Roman"/>
          <w:sz w:val="18"/>
          <w:szCs w:val="18"/>
          <w:u w:val="single" w:color="auto"/>
          <w:color w:val="auto"/>
        </w:rPr>
        <w:t>Verification Covenant Officer’s Certificate</w:t>
      </w:r>
      <w:r>
        <w:rPr>
          <w:rFonts w:ascii="Times New Roman" w:cs="Times New Roman" w:eastAsia="Times New Roman" w:hAnsi="Times New Roman"/>
          <w:sz w:val="18"/>
          <w:szCs w:val="18"/>
          <w:color w:val="auto"/>
        </w:rPr>
        <w:t>”) stating that a Directing Holder failed to satisfy its Verification Covenant, the cure period with respect to such Default shall be automatically stayed and the cure period with respect to any Default or Event of Default that resulted from the applicable Noteholder Direction shall be automatically reinstituted and any remedy stayed pending satisfaction of such Verification Covenant. Any breach of the Position Representation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ab initio, with the effect that such Event of Default shall be deemed never to have occurred, acceleration voided and the Trustee shall be deemed not to have received such Noteholder Direction or any notice of such Default or Event of Default.</w:t>
      </w:r>
    </w:p>
    <w:p>
      <w:pPr>
        <w:spacing w:after="0" w:line="196" w:lineRule="exact"/>
        <w:rPr>
          <w:sz w:val="20"/>
          <w:szCs w:val="20"/>
          <w:color w:val="auto"/>
        </w:rPr>
      </w:pPr>
    </w:p>
    <w:p>
      <w:pPr>
        <w:jc w:val="both"/>
        <w:ind w:firstLine="656"/>
        <w:spacing w:after="0" w:line="252" w:lineRule="auto"/>
        <w:tabs>
          <w:tab w:leader="none" w:pos="933"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the preceding two paragraphs to the contrary, any Noteholder Direction delivered to the Trustee during the pendency of an Event of Default as the result of a bankruptcy or similar proceeding shall not require compliance with the foregoing paragraphs. For the avoidance of doubt, the Trustee shall be entitled to conclusively rely on any Noteholder Direction, Position Representation, Verification Covenant Officer’s Certificate, or other document delivered to it in accordance with this Indenture and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 Instruments, Short Derivative Instruments or otherwise and shall have no liability for ceasing to take any action, staying any remedy or otherwise failing to act in accordance with a Noteholder Direction during the pendency of litigation or a Noteholder Direction after a Verification Covenant Officer’s Certificate has been provided to it. The Trustee shall have no liability or responsibility to the Company, any Holder or any other Person in connection with any Noteholder Direction or to determine whether or not any Holder has delivered a Position Representation or that such Position Representation conforms with this Indenture or any other agreement. By their acquisition of the Note, each Holder and subsequent purchaser of the Notes consents to the delivery of its Position Representation by the Trustee to the Company in accordance with this Indenture. By their acquisition of the Notes, each Holder and subsequent purchaser of the Notes waives any and all claims, in law and/or in equity, against the Trustee and agrees not to commence any legal proceeding against the Trustee in respect of, and agrees that the Trustee will not be liable for any action that the Trustee takes in accordance with this Indenture, or arising out of or in connection with following instructions or taking actions in accordance with a Noteholder Direction. The Company hereby waives (and will waive) any and all claims, in law and/or in equity, against the Trustee, and agrees not to commence any legal proceeding against the Trustee in respect of, and agrees that the Trustee will not be liable for any action that the Trustee takes in accordance with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or arising out of or in connection with following instructions or taking actions in accordance with a Noteholder Direction.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0" w:name="page111"/>
    <w:bookmarkEnd w:id="110"/>
    <w:p>
      <w:pPr>
        <w:jc w:val="both"/>
        <w:ind w:firstLine="656"/>
        <w:spacing w:after="0" w:line="266" w:lineRule="auto"/>
        <w:tabs>
          <w:tab w:leader="none" w:pos="905"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Default for a failure to report or failure to deliver a required certificate in connection with another default (the “</w:t>
      </w:r>
      <w:r>
        <w:rPr>
          <w:rFonts w:ascii="Times New Roman" w:cs="Times New Roman" w:eastAsia="Times New Roman" w:hAnsi="Times New Roman"/>
          <w:sz w:val="18"/>
          <w:szCs w:val="18"/>
          <w:u w:val="single" w:color="auto"/>
          <w:color w:val="auto"/>
        </w:rPr>
        <w:t>Initial Default</w:t>
      </w:r>
      <w:r>
        <w:rPr>
          <w:rFonts w:ascii="Times New Roman" w:cs="Times New Roman" w:eastAsia="Times New Roman" w:hAnsi="Times New Roman"/>
          <w:sz w:val="18"/>
          <w:szCs w:val="18"/>
          <w:color w:val="auto"/>
        </w:rPr>
        <w:t>”) occurs, then at the time such Initial Default is cured, such Default for a failure to report or failure to deliver a required certificate in connection with another default that resulted solely because of that Initial Default shall also be cured without any further action.</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11"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Default or Event of Default for the failure to comply with the time periods prescribed in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hereof or otherwise to deliver any notice or certificate pursuant to any other provision of this Indenture shall be deemed to be cured upon the delivery of any such report required by such provision or such notice or certificate, as applicable, even though such delivery is not within the prescribed period specified in this Indenture. Any time period in this Indenture to cure any actual or alleged Default or Event of Default may be extended or stayed by a court of competent jurisdiction to the extent such actual or alleged Default or Event of Default is the subject of litigation.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xml:space="preserve">. If any Event of Default (other than an Event of Default described in clause (7) or (8) of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occurs and is continuing, the Trustee by written notice to the Company or the Holders of at least 30% in principal amount of the outstanding Notes by written notice to the Company and the Trustee may declare the principal of and accrued and unpaid interest, if any, on all the Notes to be due and payable. Upon such a declaration, such principal and accrued and unpaid interest, will be due and payable immediately.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In the event of any Event of Default specified in clause (4) of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such Event of Default and all consequences thereof shall be annulled, waived and rescinded, automatically and without any action by the Trustee or the Holders, if within 30 days after such Event of Default arose:</w:t>
      </w:r>
    </w:p>
    <w:p>
      <w:pPr>
        <w:spacing w:after="0" w:line="162" w:lineRule="exact"/>
        <w:rPr>
          <w:sz w:val="20"/>
          <w:szCs w:val="20"/>
          <w:color w:val="auto"/>
        </w:rPr>
      </w:pPr>
    </w:p>
    <w:p>
      <w:pPr>
        <w:ind w:left="2000" w:hanging="696"/>
        <w:spacing w:after="0"/>
        <w:tabs>
          <w:tab w:leader="none" w:pos="200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Indebtedness that gave rise to such Event of Default shall have been discharged in full; or</w:t>
      </w:r>
    </w:p>
    <w:p>
      <w:pPr>
        <w:spacing w:after="0" w:line="225" w:lineRule="exact"/>
        <w:rPr>
          <w:rFonts w:ascii="Times New Roman" w:cs="Times New Roman" w:eastAsia="Times New Roman" w:hAnsi="Times New Roman"/>
          <w:sz w:val="18"/>
          <w:szCs w:val="18"/>
          <w:color w:val="auto"/>
        </w:rPr>
      </w:pPr>
    </w:p>
    <w:p>
      <w:pPr>
        <w:ind w:left="1960" w:right="20" w:hanging="8"/>
        <w:spacing w:after="0" w:line="282" w:lineRule="auto"/>
        <w:tabs>
          <w:tab w:leader="none" w:pos="2218"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thereof have rescinded or waived the acceleration, notice or action (as the case may be) giving rise to such Event of Default; or</w:t>
      </w:r>
    </w:p>
    <w:p>
      <w:pPr>
        <w:spacing w:after="0" w:line="161"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default that is the basis for such Event of Default has been cured;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annulment of the acceleration of the Notes would not conflict with any judgment or decree of a court of competent jurisdiction;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(3) the Trustee shall have received an Officer’s Certificate and an Opinion of Counsel stating that such Event of Default has been cured or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waived.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Event of Default described in clause (7) or (8) of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occurs and is continuing, the principal of and accrued and unpaid interest, on all Notes will become and be immediately due and payable without any declaration or other act on the part of the Trustee or any Holders.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Other Remedies</w:t>
      </w:r>
      <w:r>
        <w:rPr>
          <w:rFonts w:ascii="Times New Roman" w:cs="Times New Roman" w:eastAsia="Times New Roman" w:hAnsi="Times New Roman"/>
          <w:sz w:val="18"/>
          <w:szCs w:val="18"/>
          <w:color w:val="auto"/>
        </w:rPr>
        <w:t>. If an Event of Default occurs and is continuing, the Trustee may pursue any available remedy by proceeding at law or in equity to collect the payment of principal of, or premium, if any, or interest, if any, on the Notes or to enforce the performance of any provision of the Notes or this Indenture.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No remedy is exclusive of any other remedy. All available remedies are cumulative.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1" w:name="page112"/>
    <w:bookmarkEnd w:id="111"/>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 xml:space="preserve">. The Holders of a majority in aggregate principal amount of the then outstanding Notes by written notice to the Trustee may, on behalf of all of the Holders, (a) waive, by their consent (including, without limitation, consents obtained in connection with a purchase of, or tender offer or exchange offer for, Notes), an existing Default or Event of Default and its consequences under this Indenture except (i) a Default or Event of Default in the payment of the principal of, or interest, on a Note or (ii) a Default or Event of Default in respect of a provision that under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cannot be amended without the consent of each Holder affected and (b) rescind any acceleration with respect to the Notes and its consequences if (1) such rescission would not conflict with any judgment or decree of a court of competent jurisdiction, (2) all existing Events of Default have been cured or waived except nonpayment of principal, premium, if any, interest, if any, that has become due solely because of the acceleration, (3) to the extent the payment of such interest is lawful, interest on overdue installments of interest and overdue principal, which has become due otherwise than by such declaration of acceleration, has been paid, and (4) the Issuer has paid the Trustee its compensation and reimbursed the Trustee for its reasonable expenses, disbursements and advances (including attorneys’ fees). No such rescission shall affect any subsequent Default or impair any right consequent thereto. When a Default or Event of Default is waived, it is deemed cured, but no such waiver shall extend to any subsequent or other Default or Event of Default or impair any consequent right.</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Control by Majority</w:t>
      </w:r>
      <w:r>
        <w:rPr>
          <w:rFonts w:ascii="Times New Roman" w:cs="Times New Roman" w:eastAsia="Times New Roman" w:hAnsi="Times New Roman"/>
          <w:sz w:val="18"/>
          <w:szCs w:val="18"/>
          <w:color w:val="auto"/>
        </w:rPr>
        <w:t xml:space="preserve">. The Holders of a majority in aggregate principal amount of the outstanding Notes may direct the time, method and place of conducting any proceeding for any remedy available to the Trustee or of exercising any trust or power conferred on the Trustee. However, the Trustee may refuse to follow any direction that conflicts with law or this Indenture or the Notes or, subject to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xml:space="preserve">, that the Trustee determines is unduly prejudicial to the rights of other Holders or would involve the Trustee in personal liability (it being understood that the Trustee has no duty to determine if any directed action is prejudicial to any 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Trustee may take any other action deemed proper by the Trustee that is not inconsistent with such direction. Prior to taking any such action hereunder, the Trustee shall be entitled to indemnification satisfactory to it against all fees, losses, liabilities and expenses (including attorney’s fees and expenses) caused by taking or not taking such action.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a Holder may not pursue any remedy with respect to this Indenture or the Notes unless:</w:t>
      </w:r>
    </w:p>
    <w:p>
      <w:pPr>
        <w:spacing w:after="0" w:line="225" w:lineRule="exact"/>
        <w:rPr>
          <w:sz w:val="20"/>
          <w:szCs w:val="20"/>
          <w:color w:val="auto"/>
        </w:rPr>
      </w:pPr>
    </w:p>
    <w:p>
      <w:pPr>
        <w:ind w:left="1560" w:hanging="256"/>
        <w:spacing w:after="0"/>
        <w:tabs>
          <w:tab w:leader="none" w:pos="15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the Trustee written notice that an Event of Default is continuing;</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30% in aggregate principal amount of the outstanding Notes have requested in writing the Trustee to pursue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remedy;</w:t>
      </w:r>
    </w:p>
    <w:p>
      <w:pPr>
        <w:spacing w:after="0" w:line="207" w:lineRule="exact"/>
        <w:rPr>
          <w:sz w:val="20"/>
          <w:szCs w:val="20"/>
          <w:color w:val="auto"/>
        </w:rPr>
      </w:pPr>
    </w:p>
    <w:p>
      <w:pPr>
        <w:ind w:firstLine="1304"/>
        <w:spacing w:after="0" w:line="282" w:lineRule="auto"/>
        <w:tabs>
          <w:tab w:leader="none" w:pos="155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in writing and, if requested, provided to the Trustee security or indemnity satisfactory to the Trustee against any loss, liability or expense;</w:t>
      </w:r>
    </w:p>
    <w:p>
      <w:pPr>
        <w:spacing w:after="0" w:line="161"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complied with such request within 60 days after the receipt of the written request and the offer of security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indemnity; and</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 majority in aggregate principal amount of the outstanding Notes have not given the Trustee a written direction that, in the opinion of the Trustee, is inconsistent with such request within such 60-day period.</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Holder may not use this Indenture to prejudice the rights of another Holder or to obtain a preference or priority over another Holder (it being understood that the Trustee does not have an affirmative duty to ascertain whether or not such actions or forbearances are unduly prejudicial to such Holders).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Rights of Holders to Receive Payment</w:t>
      </w:r>
      <w:r>
        <w:rPr>
          <w:rFonts w:ascii="Times New Roman" w:cs="Times New Roman" w:eastAsia="Times New Roman" w:hAnsi="Times New Roman"/>
          <w:sz w:val="18"/>
          <w:szCs w:val="18"/>
          <w:color w:val="auto"/>
        </w:rPr>
        <w:t xml:space="preserve">. Notwithstanding any other provision of this Indenture (including, without limitation, </w:t>
      </w:r>
      <w:r>
        <w:rPr>
          <w:rFonts w:ascii="Times New Roman" w:cs="Times New Roman" w:eastAsia="Times New Roman" w:hAnsi="Times New Roman"/>
          <w:sz w:val="18"/>
          <w:szCs w:val="18"/>
          <w:u w:val="single" w:color="auto"/>
          <w:color w:val="auto"/>
        </w:rPr>
        <w:t>Section 6.6</w:t>
      </w:r>
      <w:r>
        <w:rPr>
          <w:rFonts w:ascii="Times New Roman" w:cs="Times New Roman" w:eastAsia="Times New Roman" w:hAnsi="Times New Roman"/>
          <w:sz w:val="18"/>
          <w:szCs w:val="18"/>
          <w:color w:val="auto"/>
        </w:rPr>
        <w:t xml:space="preserve">), the contractual right of any Holder to receive payment of interest on the Notes held by such Holder or to institute suit for the enforcement of any such payment on or with respect to such Holder’s Notes shall not be impaired or affected without the consent of such Holder (and, for the avoidance of doubt, the amendment, supplement or modification in accordance with the terms of this Indenture of </w:t>
      </w:r>
      <w:r>
        <w:rPr>
          <w:rFonts w:ascii="Times New Roman" w:cs="Times New Roman" w:eastAsia="Times New Roman" w:hAnsi="Times New Roman"/>
          <w:sz w:val="18"/>
          <w:szCs w:val="18"/>
          <w:u w:val="single" w:color="auto"/>
          <w:color w:val="auto"/>
        </w:rPr>
        <w:t>Sections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3.22</w:t>
      </w:r>
      <w:r>
        <w:rPr>
          <w:rFonts w:ascii="Times New Roman" w:cs="Times New Roman" w:eastAsia="Times New Roman" w:hAnsi="Times New Roman"/>
          <w:sz w:val="18"/>
          <w:szCs w:val="18"/>
          <w:color w:val="auto"/>
        </w:rPr>
        <w:t xml:space="preserve">, Article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6.1(a)(3)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and the related definitions shall be deemed not to impair the contractual right of any Holder to receive payment of principal of and interest on such Holder’s Notes on or after the due dates therefor or to institute suit for the enforcement of any such payment on or with respect to such Holder’s Note).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2" w:name="page113"/>
    <w:bookmarkEnd w:id="112"/>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Collection Suit by Trustee</w:t>
      </w:r>
      <w:r>
        <w:rPr>
          <w:rFonts w:ascii="Times New Roman" w:cs="Times New Roman" w:eastAsia="Times New Roman" w:hAnsi="Times New Roman"/>
          <w:sz w:val="18"/>
          <w:szCs w:val="18"/>
          <w:color w:val="auto"/>
        </w:rPr>
        <w:t xml:space="preserve">. If an Event of Default specified in clauses (1) or (2) of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occurs and is continuing, the Trustee may recover judgment in its own name and as trustee of an express trust against the Issuer for the whole amount then due and owing (together with interest on any unpaid interest to the extent lawful) and the amounts provided for in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 xml:space="preserve">. The Trustee may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Issuer, its Subsidiaries or its or their respective creditors or properties and, unless prohibited by law or applicable regulations, may be entitled and empowered to participate as a member of any official committee of creditors appointed in such matter and may vote on behalf of the Holders in any election of a trustee in bankruptcy or other Person performing similar functions, and any Custodian in any such judicial proceeding is hereby authorized by each Holder to make payments to the Trustee and, in the event that the Trustee shall consent to the making of such payments directly to the Holders, to pay to the Trustee any amount due it for the compensation, expenses, disbursements and advances of the Trustee, its agents and its counsel, and any other amounts due the Trustee under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provision of this Indenture shall be deemed to authorize the Trustee to authorize or consent to or accept or adopt on behalf of any Holder any plan of reorganization, arrangement, liquidation, adjustment or composition affecting the Notes or the rights of any Holder thereof or to authorize the Trustee to vote in respect of the claim of any Holder in any such proceeding.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Priorities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80" w:firstLine="656"/>
        <w:spacing w:after="0" w:line="500" w:lineRule="auto"/>
        <w:tabs>
          <w:tab w:leader="none" w:pos="89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Trustee collects any money or property pursuant to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it shall pay out the money or property in the following order: FIRST: to the Trustee for amounts due to it under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SECOND: to Holders for amounts due and unpaid on the Notes for principal of, or premium, if any, and interest, ratably, without preference or priority of any kind, according to the amounts due and payable on the Notes for principal of, or premium, if any, and interest, respectively; 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to the Issuer, or to the extent the Trustee collects any amount for any Guarantor, to such Guarantor.</w:t>
      </w:r>
    </w:p>
    <w:p>
      <w:pPr>
        <w:spacing w:after="0" w:line="225" w:lineRule="exact"/>
        <w:rPr>
          <w:sz w:val="20"/>
          <w:szCs w:val="20"/>
          <w:color w:val="auto"/>
        </w:rPr>
      </w:pPr>
    </w:p>
    <w:p>
      <w:pPr>
        <w:jc w:val="both"/>
        <w:ind w:firstLine="656"/>
        <w:spacing w:after="0" w:line="266" w:lineRule="auto"/>
        <w:tabs>
          <w:tab w:leader="none" w:pos="916"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may fix a record date and payment date for any payment to Holders pursuant to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At least 15 days before such record date, the Issuer shall send or cause to be sent to each Holder and the Trustee a notice that states the record date, the payment date and amount to be paid.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 xml:space="preserve">. 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does not apply to a suit by the Trustee, a suit by the Issuer, a suit by a Holder pursuant to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or a suit by Holders of more than 20.0% in outstanding aggregate principal amount of the Notes.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Duties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6" w:lineRule="auto"/>
        <w:tabs>
          <w:tab w:leader="none" w:pos="897"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and is actually known or notified in writing to a Trust Officer, the Trustee shall exercise the rights and powers vested in it by this Indenture and use the same degree of care and skill in its exercise as a prudent person would exercise or use under the same circumstances in the conduct of such person’s own affairs.</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7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8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as to the truth of the statements and the correctness of the opinions expressed therein, upon certificates, opinions or orders furnished to the Trustee and conforming to the requirements of this Indenture or the Notes, as the case may be. However, in the case of any such certificates or opinions which by any provisions hereof are specifically required to be furnished to the Trustee, the Trustee shall examine such certificates and opinions to determine whether or not they conform to the requirements of this Indenture or the Notes, as the case may be (but need not confirm or investigate the accuracy of mathematical calculations or other facts stated therein).</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0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liability for its own grossly negligent action, its own grossly negligent failure to act or its own willful misconduct, except that: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paragraph does not limit the effect of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7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Trust Officer unless it is proved in a court of competent jurisdiction that the Trustee was grossly negligent in ascertaining the pertinent facts;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5"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not be liable with respect to any action it takes or omits to take in good faith in accordance with a direction received by it pursuant to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4"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or the Notes shall require the Trustee to expend or risk its own funds or otherwise incur financial liability in the performance of any of its duties hereunder or thereunder or in the exercise of any of its rights or powers, if it shall have reasonable grounds to believe that repayment of such funds or adequate indemnity against such risk or liability is not reasonably assured to it.</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liable for interest on or the investment of any money received by it except as the Trustee may agree in writing with the</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Issuer.</w:t>
      </w:r>
    </w:p>
    <w:p>
      <w:pPr>
        <w:spacing w:after="0" w:line="206" w:lineRule="exact"/>
        <w:rPr>
          <w:rFonts w:ascii="Times New Roman" w:cs="Times New Roman" w:eastAsia="Times New Roman" w:hAnsi="Times New Roman"/>
          <w:sz w:val="17"/>
          <w:szCs w:val="17"/>
          <w:color w:val="auto"/>
        </w:rPr>
      </w:pPr>
    </w:p>
    <w:p>
      <w:pPr>
        <w:ind w:left="900" w:hanging="244"/>
        <w:spacing w:after="0"/>
        <w:tabs>
          <w:tab w:leader="none" w:pos="9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held in trust by the Trustee need not be segregated from other funds except to the extent required by law.</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8"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or the Notes at the request, order or direction of any of the Holders pursuant to the provisions of this Indenture, unless such Holders shall have offered and, if requested, provided to the Trustee security or indemnity satisfactory to the Trustee against the costs, expenses and liabilities which may be incurred therein or thereby.</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0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provision of this Indenture relating to the conduct or affecting the liability of or affording protection to the Trustee shall be subject to the provisions of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Rights of Trustee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Subject to 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8" w:lineRule="auto"/>
        <w:tabs>
          <w:tab w:leader="none" w:pos="893"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on and shall be fully protected in acting or refraining from acting upon any resolution, certificate, judgment, statement, instrument, opinion, report, notice, request, direction, consent, order or other paper or document (whether in its original or facsimile form) reasonably believed by it to be genuine and to have been signed or presented by the proper Person. The Trustee need not investigate any fact or matter stated in the document. The Trustee shall receive and retain financial reports and statements of the Company as provided herein, but shall have no duty to review or analyze such reports or statements to determine compliance with covenants or other obligations of the Issuer.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4" w:name="page115"/>
    <w:bookmarkEnd w:id="114"/>
    <w:p>
      <w:pPr>
        <w:ind w:firstLine="656"/>
        <w:spacing w:after="0" w:line="282" w:lineRule="auto"/>
        <w:tabs>
          <w:tab w:leader="none" w:pos="911"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and/or an Opinion of Counsel. The Trustee shall not be liable for any action it takes or omits to take in good faith in reliance on an Officer’s Certificate or Opinion of Counsel.</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99"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and powers hereunder or perform any duties hereunder either directly or by or through its attorneys and agents and shall not be responsible for the misconduct or negligence of any agent or attorney appointed with due care by it hereunder.</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it takes or omits to take in good faith which it believes to be authorized or within its rights or powers conferred upon it by this Indenture.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99"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the advice or opinion of counsel relating to this Indenture or the Notes shall be full and complete authorization and protection from liability in respect of any action taken, omitted or suffered by it hereunder or under the Notes in good faith and in accordance with the advice or opinion of such counsel.</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891"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not to be charged with knowledge of any Default or Event of Default or knowledge of any cure of any Default or Event of Default with respect to the Notes unless either (i) a Trust Officer of the Trustee has actual knowledge of such Default or Event of Default or such cure, or</w:t>
      </w:r>
    </w:p>
    <w:p>
      <w:pPr>
        <w:ind w:right="20" w:firstLine="8"/>
        <w:spacing w:after="0" w:line="260" w:lineRule="auto"/>
        <w:tabs>
          <w:tab w:leader="none" w:pos="27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notice of such Default or Event of Default or such cure has been given to a Trust Officer of the Trustee by the Company or any Holder at the Corporate Trust Office of the Trustee, and such notice references the Notes and this Indenture.</w:t>
      </w:r>
    </w:p>
    <w:p>
      <w:pPr>
        <w:spacing w:after="0" w:line="18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2"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to act hereunder.</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knowledge of any fact or matter unless such fact or matter is actually known to a Trust Officer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Trustee.</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867"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or the Notes the Trustee shall deem it desirable that a matter be proved or established prior to taking, suffering or omitting any action hereunder or thereunder, the Trustee (unless other evidence be herein specifically prescribed) may request and conclusively rely upon an Officer’s Certificate.</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876"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report, notice, request, direction, consent, order, bond, debenture, coupon or other paper or document, but the Trustee, in its discretion, may make such further inquiry or investigation into such facts or matters as it may see fit, and, if the Trustee shall determine to make such further inquiry or investigation, it shall be entitled to examine, during business hours and upon reasonable notice, the books, records and premises of the Issuer and the Restricted Subsidiaries, personally or by agent or attorney at the sole cost of the Issuer and shall incur no liability or additional liability of any kind by reason of such inquiry or investigation.</w:t>
      </w:r>
    </w:p>
    <w:p>
      <w:pPr>
        <w:spacing w:after="0" w:line="18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and duties hereunder.</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66"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Issuer deliver an Officer’s Certificate setting forth the names of individuals and/or titles of officers authorized at such time to take specified actions pursuant to this Indenture or the Notes, which Officer’s Certificate may be signed by any Person authorized to sign an Officer’s Certificate, including any Person specified as so authorized in any such certificate previously delivered and not superseded.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5" w:name="page116"/>
    <w:bookmarkEnd w:id="115"/>
    <w:p>
      <w:pPr>
        <w:ind w:firstLine="656"/>
        <w:spacing w:after="0" w:line="282" w:lineRule="auto"/>
        <w:tabs>
          <w:tab w:leader="none" w:pos="97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2"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provided in this Indenture, any demand, request, direction or notice from the Issuer shall be sufficient if signed by one Officer of the Issuer.</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933"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this Indenture, the Trustee shall not have any duty or obligation to verify or confirm that the Person sending instructions, directions, reports, notices or other communications or information by electronic transmission is, in fact, a Person authorized to give such instructions, directions, reports, notices or other communications or information on behalf of the party purporting to send such electronic transmission and may conclusively rely on, and comply with, such instructions, directions, reports, notices or other communications or other information reasonably believed by it to be genuine and to have been sent by the proper Person; and the Trustee shall not have any liability for any losses, liabilities, costs or expenses incurred or sustained by any party as a result of such reliance in good faith upon, or compliance in good faith with, such instructions, directions, reports, notices or other communications or information. Each party agrees to assume all risks arising out of the use of electronic methods by such party to submit instructions, directions, reports, notices or other communications or information to the Trustee by such party, including without limitation the risk of the Trustee acting on unauthorized instructions, notices, reports or other communications or information, and the risk of interception and misuse by third parties.</w:t>
      </w:r>
    </w:p>
    <w:p>
      <w:pPr>
        <w:spacing w:after="0" w:line="194" w:lineRule="exact"/>
        <w:rPr>
          <w:rFonts w:ascii="Times New Roman" w:cs="Times New Roman" w:eastAsia="Times New Roman" w:hAnsi="Times New Roman"/>
          <w:sz w:val="18"/>
          <w:szCs w:val="18"/>
          <w:color w:val="auto"/>
        </w:rPr>
      </w:pPr>
    </w:p>
    <w:p>
      <w:pPr>
        <w:ind w:firstLine="656"/>
        <w:spacing w:after="0" w:line="282" w:lineRule="auto"/>
        <w:tabs>
          <w:tab w:leader="none" w:pos="90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enumerated herein shall not be construed as duties and, with respect to such permissive rights, the Trustee shall not be answerable for other than its gross negligence or willful misconduct.</w:t>
      </w:r>
    </w:p>
    <w:p>
      <w:pPr>
        <w:spacing w:after="0" w:line="16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not responsible for monitoring the performance of other persons or for the failure of others to perform their duties.</w:t>
      </w:r>
    </w:p>
    <w:p>
      <w:pPr>
        <w:spacing w:after="0" w:line="225" w:lineRule="exact"/>
        <w:rPr>
          <w:rFonts w:ascii="Times New Roman" w:cs="Times New Roman" w:eastAsia="Times New Roman" w:hAnsi="Times New Roman"/>
          <w:sz w:val="18"/>
          <w:szCs w:val="18"/>
          <w:color w:val="auto"/>
        </w:rPr>
      </w:pPr>
    </w:p>
    <w:p>
      <w:pPr>
        <w:jc w:val="both"/>
        <w:ind w:firstLine="656"/>
        <w:spacing w:after="0" w:line="261" w:lineRule="auto"/>
        <w:tabs>
          <w:tab w:leader="none" w:pos="87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or omitted to be taken, by the Trustee in good faith pursuant to this Indenture upon the request or authority or consent of any person in accordance with this Indenture who, at the time of making such request or giving such authority or consent, is the Holder of any Note shall, to the extent provided in this Indenture, be conclusive and binding upon future Holders of Notes, and upon Notes executed and delivered in exchange therefor or in place thereof.</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886"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herein, in no event shall the Trustee or the Paying Agent be liable for interest on any money received by it (including, but not limited to, any negative interest) except as the Trustee or the Paying Agent may otherwise agree in writing with the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Individual Rights of Trustee</w:t>
      </w:r>
      <w:r>
        <w:rPr>
          <w:rFonts w:ascii="Times New Roman" w:cs="Times New Roman" w:eastAsia="Times New Roman" w:hAnsi="Times New Roman"/>
          <w:sz w:val="18"/>
          <w:szCs w:val="18"/>
          <w:color w:val="auto"/>
        </w:rPr>
        <w:t xml:space="preserve">. The Trustee in its individual or any other capacity may become the owner or pledgee of Notes and may otherwise deal with the Issuer, Guarantors or their Affiliates with the same rights it would have if it were not Trustee. Any Paying Agent, Registrar, co-registrar or co-paying agent may do the same with like rights. However, the Trustee must comply with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In addition, the Trustee shall be permitted to engage in transactions with the Issuer and its Affiliates and Subsidiaries.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Trustee’s Disclaimer</w:t>
      </w:r>
      <w:r>
        <w:rPr>
          <w:rFonts w:ascii="Times New Roman" w:cs="Times New Roman" w:eastAsia="Times New Roman" w:hAnsi="Times New Roman"/>
          <w:sz w:val="18"/>
          <w:szCs w:val="18"/>
          <w:color w:val="auto"/>
        </w:rPr>
        <w:t>. The Trustee shall not be responsible for and makes no representation as to the validity or adequacy of this Indenture, the Notes or any Note Guarantee, shall not be accountable for the Issuer’s use of the proceeds from the sale of the Notes, shall not be responsible for the use or application of any money received by any Paying Agent other than the Trustee or any money paid to the Issuer pursuant to the terms of this Indenture and shall not be responsible for any statement of the Issuer in this Indenture, the Notes, the Offering Memorandum or in any document issued in connection with the sale of the Notes or in the Notes other than the Trustee’s certificate of authentication.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7.5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 xml:space="preserve">. If any Default with respect to the Notes occurs and is continuing of which the Trustee is deemed to have knowledge in accordance with </w:t>
      </w:r>
      <w:r>
        <w:rPr>
          <w:rFonts w:ascii="Times New Roman" w:cs="Times New Roman" w:eastAsia="Times New Roman" w:hAnsi="Times New Roman"/>
          <w:sz w:val="18"/>
          <w:szCs w:val="18"/>
          <w:u w:val="single" w:color="auto"/>
          <w:color w:val="auto"/>
        </w:rPr>
        <w:t>Section 7.2(f)</w:t>
      </w:r>
      <w:r>
        <w:rPr>
          <w:rFonts w:ascii="Times New Roman" w:cs="Times New Roman" w:eastAsia="Times New Roman" w:hAnsi="Times New Roman"/>
          <w:sz w:val="18"/>
          <w:szCs w:val="18"/>
          <w:color w:val="auto"/>
        </w:rPr>
        <w:t>, the Trustee shall send electronically or by first class mail to each Holder at the address set forth in the Notes Register notice of the Default or Event of Default within 60 days after it is actually known to a Trust Officer. Except in the case of a Default or Event of Default in payment of principal of or interest, if any, on any Note (including payments pursuant to the optional redemption or required repurchase provisions of such Note), the Trustee may withhold the notice if and so long it in good faith determines that withholding the notice is in the interests of 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6" w:name="page117"/>
    <w:bookmarkEnd w:id="116"/>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7.6 </w:t>
      </w:r>
      <w:r>
        <w:rPr>
          <w:rFonts w:ascii="Times New Roman" w:cs="Times New Roman" w:eastAsia="Times New Roman" w:hAnsi="Times New Roman"/>
          <w:sz w:val="18"/>
          <w:szCs w:val="18"/>
          <w:u w:val="single" w:color="auto"/>
          <w:color w:val="auto"/>
        </w:rPr>
        <w:t>Monies to Be Held in Trust</w:t>
      </w:r>
      <w:r>
        <w:rPr>
          <w:rFonts w:ascii="Times New Roman" w:cs="Times New Roman" w:eastAsia="Times New Roman" w:hAnsi="Times New Roman"/>
          <w:sz w:val="18"/>
          <w:szCs w:val="18"/>
          <w:color w:val="auto"/>
        </w:rPr>
        <w:t>. All monies received by the Trustee shall, until used or applied as herein provided, be held in trust for the purposes for which they were received. The Trustee shall be under no liability for interest on any money received by it hereunder except as may be agreed from time to time by the Company and the Trustee.</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7.7 </w:t>
      </w:r>
      <w:r>
        <w:rPr>
          <w:rFonts w:ascii="Times New Roman" w:cs="Times New Roman" w:eastAsia="Times New Roman" w:hAnsi="Times New Roman"/>
          <w:sz w:val="18"/>
          <w:szCs w:val="18"/>
          <w:u w:val="single" w:color="auto"/>
          <w:color w:val="auto"/>
        </w:rPr>
        <w:t>Compensation and Indemnity</w:t>
      </w:r>
      <w:r>
        <w:rPr>
          <w:rFonts w:ascii="Times New Roman" w:cs="Times New Roman" w:eastAsia="Times New Roman" w:hAnsi="Times New Roman"/>
          <w:sz w:val="18"/>
          <w:szCs w:val="18"/>
          <w:color w:val="auto"/>
        </w:rPr>
        <w:t xml:space="preserve">. The Issuer and the Guarantors, jointly and severally, shall pay to the Trustee from time to time compensation for its services hereunder and under the Notes as the Issuer and the Trustee shall from time to time agree in writing. The Trustee’s compensation shall not be limited by any law on compensation of a trustee of an express trust. The Issuer and the Guarantors, jointly and severally, shall reimburse the Trustee upon request for all reasonable out-of-pocket expenses incurred or made by it, including, but not limited to, costs of collection, costs of preparing reports, certificates and other documents, costs of preparation and mailing of notices to Holders. Such expenses shall include the reasonable compensation and expenses, disbursements and advances of the agents, counsel, accountants and experts of the Trustee. The Issuer and the Guarantors, jointly and severally, shall indemnify each of the Trustee and its directors, officers, employees and agents and hold each of them harmless for, from and against any and all loss, liability, damages, claims or expense, including taxes (other than taxes based upon the income of the Trustee) (including reasonable attorneys’ and agents’ fees and expenses) incurred by it without willful misconduct or gross negligence, as determined by a final non-appealable order of a court of competent jurisdiction, on its part in connection with the administration of this trust and the performance of its duties or exercise of its rights hereunder and under the Notes, including the costs and expenses of enforcing this Indenture (including this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and the Notes and of defending itself against any claims (whether asserted by any Holder, the Issuer or otherwise). The Trustee shall notify the Issuer promptly of any claim for which it may seek indemnity of which it has received written notice. Failure by the Trustee to so notify the Issuer shall not relieve the Issuer and the Guarantors of their obligations hereunder. The Issuer shall defend the claim and the Trustee shall provide reasonable cooperation at the Issuer’s expense in the defense. The Trustee may have separate counsel and the Issuer shall pay the fees and expenses of such counsel;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Issuer shall not be required to pay the fees and expenses of such separate counsel if it assumes the Trustee’s defense, and, in the reasonable judgment of outside counsel to the Trustee, there is no conflict of interest between the Issuer and the Trustee in connection with such defense; </w:t>
      </w:r>
      <w:r>
        <w:rPr>
          <w:rFonts w:ascii="Times New Roman" w:cs="Times New Roman" w:eastAsia="Times New Roman" w:hAnsi="Times New Roman"/>
          <w:sz w:val="18"/>
          <w:szCs w:val="18"/>
          <w:i w:val="1"/>
          <w:iCs w:val="1"/>
          <w:color w:val="auto"/>
        </w:rPr>
        <w:t>provided further that</w:t>
      </w:r>
      <w:r>
        <w:rPr>
          <w:rFonts w:ascii="Times New Roman" w:cs="Times New Roman" w:eastAsia="Times New Roman" w:hAnsi="Times New Roman"/>
          <w:sz w:val="18"/>
          <w:szCs w:val="18"/>
          <w:color w:val="auto"/>
        </w:rPr>
        <w:t>, the Company shall be required to pay the reasonable fees and expenses of such counsel in evaluating such conflict.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To secure the payment obligations of the Issuer and the Guarantors in this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the Trustee shall have a lien prior to the Notes on all money or property held or collected by the Trustee other than money or property held in trust to pay principal of and interest on particular Notes. Such lien shall survive the satisfaction and discharge of this Indenture, payment of the Notes and any resignation or removal of the Trustee under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The Trustee’s respective right to receive payment of any amounts due under this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shall not be subordinate to any other liability or Indebtedness of the Issuer or any Guarantor.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payment obligations of the Issuer and the Guarantors pursuant to this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shall survive the discharge of this Indenture, payment of the Notes and any resignation or removal of the Trustee under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Without prejudice to any other rights available to the Trustee under applicable law, when the Trustee incurs fees, expenses or renders services after the occurrence of a Default specified in clause (7) or clause (8) of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the fees and expenses (including the reasonable fees and expenses of its counsel) are intended to constitute administrative expenses for purposes of priority under any Bankruptcy Law.</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7.8 </w:t>
      </w:r>
      <w:r>
        <w:rPr>
          <w:rFonts w:ascii="Times New Roman" w:cs="Times New Roman" w:eastAsia="Times New Roman" w:hAnsi="Times New Roman"/>
          <w:sz w:val="18"/>
          <w:szCs w:val="18"/>
          <w:u w:val="single" w:color="auto"/>
          <w:color w:val="auto"/>
        </w:rPr>
        <w:t>Replacement of Trustee</w:t>
      </w:r>
      <w:r>
        <w:rPr>
          <w:rFonts w:ascii="Times New Roman" w:cs="Times New Roman" w:eastAsia="Times New Roman" w:hAnsi="Times New Roman"/>
          <w:sz w:val="18"/>
          <w:szCs w:val="18"/>
          <w:color w:val="auto"/>
        </w:rPr>
        <w:t>. The Trustee may resign at any time by so notifying the Issuer in writing not less than 30 days prior to the effective date of such resignation. The Holders of a majority in aggregate principal amount of the outstanding Notes may remove the Trustee by so notifying the removed Trustee in writing not less than 30 days prior to the effective date of such removal and may appoint a successor Trustee with the Issuer’s written consent, which consent will not be unreasonably withheld. The Issuer shall remove the Trustee if:</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(1) the Trustee fails to comply with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7" w:name="page118"/>
    <w:bookmarkEnd w:id="117"/>
    <w:p>
      <w:pPr>
        <w:ind w:left="1560" w:hanging="256"/>
        <w:spacing w:after="0"/>
        <w:tabs>
          <w:tab w:leader="none" w:pos="15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bankrupt or insolvent;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receiver or other public officer takes charge of the Trustee or its property;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otherwise becomes incapable of acting.</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Trustee resigns or is removed by the Issuer or by the Holders of a majority in principal amount of the outstanding Notes and such Holders do not reasonably promptly appoint a successor Trustee as described in the preceding paragraph, or if a vacancy exists in the office of the Trustee for any reason (the Trustee in such event being referred to herein as the retiring Trustee), the Issuer shall promptly appoint a successor Trustee.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duties of the Trustee under this Indenture. The successor Trustee shall give a notice of its succession to Holders. The retiring Trustee shall, at the expense of the Issuer, promptly transfer all property held by it as Trustee to the successor Trustee, subject to the lien provided for in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successor Trustee does not take office within 60 days after the retiring Trustee resigns or is removed, the retiring Trustee or the Holders of at least 10.0% in aggregate principal amount of the Notes may petition, at the Issuer’s expense, any court of competent jurisdiction for the appointment of a successor Trustee.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the Trustee fails to comply with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any Holder, who has been a bona fide holder of a Note for at least six months, may petition any court of competent jurisdiction for the removal of the Trustee and the appointment of a successor Trustee.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the replacement of the Trustee pursuant to this </w:t>
      </w:r>
      <w:r>
        <w:rPr>
          <w:rFonts w:ascii="Times New Roman" w:cs="Times New Roman" w:eastAsia="Times New Roman" w:hAnsi="Times New Roman"/>
          <w:sz w:val="18"/>
          <w:szCs w:val="18"/>
          <w:u w:val="single" w:color="auto"/>
          <w:color w:val="auto"/>
        </w:rPr>
        <w:t>Section 7.8</w:t>
      </w:r>
      <w:r>
        <w:rPr>
          <w:rFonts w:ascii="Times New Roman" w:cs="Times New Roman" w:eastAsia="Times New Roman" w:hAnsi="Times New Roman"/>
          <w:sz w:val="18"/>
          <w:szCs w:val="18"/>
          <w:color w:val="auto"/>
        </w:rPr>
        <w:t xml:space="preserve">, the Issuer’s obligations under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shall continue for the benefit of the retiring Trustee with respect to expense and liabilities incurred by it for actions taken or omitted to be taken in accordance with its rights, powers, and duties under this Indenture prior to such replacement. The predecessor Trustee shall have no liability for any action or inaction of any successor Trustee.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7.9 </w:t>
      </w:r>
      <w:r>
        <w:rPr>
          <w:rFonts w:ascii="Times New Roman" w:cs="Times New Roman" w:eastAsia="Times New Roman" w:hAnsi="Times New Roman"/>
          <w:sz w:val="18"/>
          <w:szCs w:val="18"/>
          <w:u w:val="single" w:color="auto"/>
          <w:color w:val="auto"/>
        </w:rPr>
        <w:t>Successor Trustee by Merger</w:t>
      </w:r>
      <w:r>
        <w:rPr>
          <w:rFonts w:ascii="Times New Roman" w:cs="Times New Roman" w:eastAsia="Times New Roman" w:hAnsi="Times New Roman"/>
          <w:sz w:val="18"/>
          <w:szCs w:val="18"/>
          <w:color w:val="auto"/>
        </w:rPr>
        <w:t>. If the Trustee consolidates with, merges or converts into, or transfers all or substantially all its corporate trust business or assets (including its obligations under this Indenture) to, another corporation or banking association, the resulting, surviving or transferee corporation without any further act shall be the successor Trustee.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case at the time such successor or successors by merger, conversion or consolidation to the Trustee shall succeed to the trusts created by this Indenture, any of the Notes shall have been authenticated but not delivered, any such successor to the Trustee may adopt the certificate of authentication of any predecessor trustee, and deliver such Notes so authenticated; and in case at that time any of the Notes shall not have been authenticated, any successor to the Trustee may authenticate such Notes either in the name of any predecessor hereunder or in the name of the successor to the Trustee;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right to adopt the certificate of authentication of any predecessor Trustee or authenticate Notes in the name of any predecessor Trustee shall only apply to its successor or successors by merger, consolidation or conversion.</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Eligibility; Disqualification</w:t>
      </w:r>
      <w:r>
        <w:rPr>
          <w:rFonts w:ascii="Times New Roman" w:cs="Times New Roman" w:eastAsia="Times New Roman" w:hAnsi="Times New Roman"/>
          <w:sz w:val="18"/>
          <w:szCs w:val="18"/>
          <w:color w:val="auto"/>
        </w:rPr>
        <w:t>. This Indenture shall always have a Trustee. The Trustee shall have a combined capital and surplus of at least $100 million as set forth in its most recent published annual report of condition.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Trustee’s Application for Instruction from the Issuer</w:t>
      </w:r>
      <w:r>
        <w:rPr>
          <w:rFonts w:ascii="Times New Roman" w:cs="Times New Roman" w:eastAsia="Times New Roman" w:hAnsi="Times New Roman"/>
          <w:sz w:val="18"/>
          <w:szCs w:val="18"/>
          <w:color w:val="auto"/>
        </w:rPr>
        <w:t>. Any application by the Trustee for written instructions from the Issuer may, at the option of the Trustee, set forth in writing any action proposed to be taken or omitted by the Trustee under this Indenture and the date on and/or after which such action shall be taken or such omission shall be effective. The Trustee shall not be liable for any action taken by, or omission of, the Trustee in accordance with a proposal included in such application on or after the date specified in such application (which date shall not be less than three (3) Business Days after the date any Officer of the Issuer actually receives such application, unless any such Officer shall have consented in writing to any earlier date) unless prior to taking any such action (or the effective date in the case of an omission), the Trustee shall have received written instructions in response to such application specifying the action to be taken or omitted.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8" w:name="page119"/>
    <w:bookmarkEnd w:id="118"/>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LEGAL DEFEASANCE AND COVENANT DEFEASANCE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Option to Effect Legal Defeasance or Covenant Defeasance; Defeasance</w:t>
      </w:r>
      <w:r>
        <w:rPr>
          <w:rFonts w:ascii="Times New Roman" w:cs="Times New Roman" w:eastAsia="Times New Roman" w:hAnsi="Times New Roman"/>
          <w:sz w:val="18"/>
          <w:szCs w:val="18"/>
          <w:color w:val="auto"/>
        </w:rPr>
        <w:t xml:space="preserve">. The Issuer may, at its option and at any time, elect to have either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8.3</w:t>
      </w:r>
      <w:r>
        <w:rPr>
          <w:rFonts w:ascii="Times New Roman" w:cs="Times New Roman" w:eastAsia="Times New Roman" w:hAnsi="Times New Roman"/>
          <w:sz w:val="18"/>
          <w:szCs w:val="18"/>
          <w:color w:val="auto"/>
        </w:rPr>
        <w:t xml:space="preserve"> hereof be applied to all outstanding Notes upon compliance with the conditions set forth below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Legal Defeasance and Discharge</w:t>
      </w:r>
      <w:r>
        <w:rPr>
          <w:rFonts w:ascii="Times New Roman" w:cs="Times New Roman" w:eastAsia="Times New Roman" w:hAnsi="Times New Roman"/>
          <w:sz w:val="18"/>
          <w:szCs w:val="18"/>
          <w:color w:val="auto"/>
        </w:rPr>
        <w:t xml:space="preserve">. Upon the Issuer’s exercise under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hereof of the option applicable to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the Issuer and each of the Guarantors will, subject to the satisfaction of the conditions set forth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hereof, be deemed to have been discharged from their obligations with respect to all outstanding Notes (including the Note Guarantees) on the date the conditions set forth below are satisfied (hereinafter, “</w:t>
      </w:r>
      <w:r>
        <w:rPr>
          <w:rFonts w:ascii="Times New Roman" w:cs="Times New Roman" w:eastAsia="Times New Roman" w:hAnsi="Times New Roman"/>
          <w:sz w:val="18"/>
          <w:szCs w:val="18"/>
          <w:u w:val="single" w:color="auto"/>
          <w:color w:val="auto"/>
        </w:rPr>
        <w:t>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Defeasance</w:t>
      </w:r>
      <w:r>
        <w:rPr>
          <w:rFonts w:ascii="Times New Roman" w:cs="Times New Roman" w:eastAsia="Times New Roman" w:hAnsi="Times New Roman"/>
          <w:sz w:val="18"/>
          <w:szCs w:val="18"/>
          <w:color w:val="auto"/>
        </w:rPr>
        <w:t>”). For this purpose, “</w:t>
      </w:r>
      <w:r>
        <w:rPr>
          <w:rFonts w:ascii="Times New Roman" w:cs="Times New Roman" w:eastAsia="Times New Roman" w:hAnsi="Times New Roman"/>
          <w:sz w:val="18"/>
          <w:szCs w:val="18"/>
          <w:u w:val="single" w:color="auto"/>
          <w:color w:val="auto"/>
        </w:rPr>
        <w:t>Legal Defeasance</w:t>
      </w:r>
      <w:r>
        <w:rPr>
          <w:rFonts w:ascii="Times New Roman" w:cs="Times New Roman" w:eastAsia="Times New Roman" w:hAnsi="Times New Roman"/>
          <w:sz w:val="18"/>
          <w:szCs w:val="18"/>
          <w:color w:val="auto"/>
        </w:rPr>
        <w:t xml:space="preserve">” means that the Issuer and the Guarantors will be deemed to have paid and discharged the entire Indebtedness represented by the outstanding Notes (including the Note Guarantees), which will thereafter be deemed to be “outstanding” only for the purposes of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xml:space="preserve"> hereof and the other Sections of this Indenture referred to in clauses (1) and (2) below, and to have satisfied all of their other obligations under the Note Documents (and the Trustee, on written demand of and at the expense of the Issuer, shall execute such instruments reasonably requested by the Issuer acknowledging the same) and to have cured all then existing Events of Default, except for the following provisions which will survive until otherwise terminated or discharged hereunder:</w:t>
      </w:r>
    </w:p>
    <w:p>
      <w:pPr>
        <w:spacing w:after="0" w:line="188" w:lineRule="exact"/>
        <w:rPr>
          <w:sz w:val="20"/>
          <w:szCs w:val="20"/>
          <w:color w:val="auto"/>
        </w:rPr>
      </w:pPr>
    </w:p>
    <w:p>
      <w:pPr>
        <w:ind w:right="20" w:firstLine="1304"/>
        <w:spacing w:after="0" w:line="282" w:lineRule="auto"/>
        <w:tabs>
          <w:tab w:leader="none" w:pos="1568"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of Holders of Notes issued under this Indenture to receive payments in respect of the principal of, premium, if any, and interest, if any, on the Notes when such payments are due solely out of the trust referred to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hereof;</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Issuer’s obligations with respect to the Notes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concerning issuing temporary Notes, registration of such Notes, mutilated, destroyed, lost or stolen Notes and Section 3.12 hereof concerning the maintenance of an office or agency for payment and money for security payments held in trust;</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indemnities and immunities of the Trustee and the Issuer’s or Guarantors’ obligations in connection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therewith; and</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with respect to provisions relating to Legal Defeasance.</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xml:space="preserve">. Upon the Issuer’s exercise under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hereof of the option applicable to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the Issuer and each of the Guarantors will, subject to the satisfaction of the conditions set forth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hereof, be released from each of their obligations under the covenants contained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(except </w:t>
      </w:r>
      <w:r>
        <w:rPr>
          <w:rFonts w:ascii="Times New Roman" w:cs="Times New Roman" w:eastAsia="Times New Roman" w:hAnsi="Times New Roman"/>
          <w:sz w:val="18"/>
          <w:szCs w:val="18"/>
          <w:u w:val="single" w:color="auto"/>
          <w:color w:val="auto"/>
        </w:rPr>
        <w:t>Section 4.1(a)(1)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(a)(2)</w:t>
      </w:r>
      <w:r>
        <w:rPr>
          <w:rFonts w:ascii="Times New Roman" w:cs="Times New Roman" w:eastAsia="Times New Roman" w:hAnsi="Times New Roman"/>
          <w:sz w:val="18"/>
          <w:szCs w:val="18"/>
          <w:color w:val="auto"/>
        </w:rPr>
        <w:t xml:space="preserve">) hereof with respect to the outstanding Notes on and after the date the conditions set forth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hereof are satisfied (hereinafter,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For this purpose,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xml:space="preserve">” means that, with respect to the outstanding Notes and Note Guarantees, the Issuer and the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w:t>
      </w:r>
      <w:r>
        <w:rPr>
          <w:rFonts w:ascii="Times New Roman" w:cs="Times New Roman" w:eastAsia="Times New Roman" w:hAnsi="Times New Roman"/>
          <w:sz w:val="18"/>
          <w:szCs w:val="18"/>
          <w:u w:val="single" w:color="auto"/>
          <w:color w:val="auto"/>
        </w:rPr>
        <w:t>Section 6.1(a)</w:t>
      </w:r>
      <w:r>
        <w:rPr>
          <w:rFonts w:ascii="Times New Roman" w:cs="Times New Roman" w:eastAsia="Times New Roman" w:hAnsi="Times New Roman"/>
          <w:sz w:val="18"/>
          <w:szCs w:val="18"/>
          <w:color w:val="auto"/>
        </w:rPr>
        <w:t xml:space="preserve"> hereof, but, except as specified above, the remainder of this Indenture and such Notes and Note Guarantees will be unaffected thereby. In addition, upon the Issuer’s exercise under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hereof of the option applicable to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subject to the satisfaction of the conditions set forth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u w:val="single" w:color="auto"/>
          <w:color w:val="auto"/>
        </w:rPr>
        <w:t>Sections 6.1(a)(3)</w:t>
      </w:r>
      <w:r>
        <w:rPr>
          <w:rFonts w:ascii="Times New Roman" w:cs="Times New Roman" w:eastAsia="Times New Roman" w:hAnsi="Times New Roman"/>
          <w:sz w:val="18"/>
          <w:szCs w:val="18"/>
          <w:color w:val="auto"/>
        </w:rPr>
        <w:t xml:space="preserve"> (other than with respect to </w:t>
      </w:r>
      <w:r>
        <w:rPr>
          <w:rFonts w:ascii="Times New Roman" w:cs="Times New Roman" w:eastAsia="Times New Roman" w:hAnsi="Times New Roman"/>
          <w:sz w:val="18"/>
          <w:szCs w:val="18"/>
          <w:u w:val="single" w:color="auto"/>
          <w:color w:val="auto"/>
        </w:rPr>
        <w:t>Section 4.1(a)(1)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6.1(a)(4)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6.1(a)(5)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6.1(a)(6)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6.1(a)(7)</w:t>
      </w:r>
      <w:r>
        <w:rPr>
          <w:rFonts w:ascii="Times New Roman" w:cs="Times New Roman" w:eastAsia="Times New Roman" w:hAnsi="Times New Roman"/>
          <w:sz w:val="18"/>
          <w:szCs w:val="18"/>
          <w:color w:val="auto"/>
        </w:rPr>
        <w:t xml:space="preserve"> (with respect only to a Guarantor that is a Significant Subsidiary or any group of Guarantors that taken together would constitute a Significant Subsidiary) and </w:t>
      </w:r>
      <w:r>
        <w:rPr>
          <w:rFonts w:ascii="Times New Roman" w:cs="Times New Roman" w:eastAsia="Times New Roman" w:hAnsi="Times New Roman"/>
          <w:sz w:val="18"/>
          <w:szCs w:val="18"/>
          <w:u w:val="single" w:color="auto"/>
          <w:color w:val="auto"/>
        </w:rPr>
        <w:t>6.1(a)(8)</w:t>
      </w:r>
      <w:r>
        <w:rPr>
          <w:rFonts w:ascii="Times New Roman" w:cs="Times New Roman" w:eastAsia="Times New Roman" w:hAnsi="Times New Roman"/>
          <w:sz w:val="18"/>
          <w:szCs w:val="18"/>
          <w:color w:val="auto"/>
        </w:rPr>
        <w:t xml:space="preserve"> (with respect only to a Guarantor that is a Significant Subsidiary or any group of Guarantors that taken together would constitute a Significant Subsidiary) hereof shall not constitute Events of Default.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9" w:name="page120"/>
    <w:bookmarkEnd w:id="119"/>
    <w:p>
      <w:pPr>
        <w:spacing w:after="0" w:line="282"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Conditions to Legal or Covenant Defeasance</w:t>
      </w:r>
      <w:r>
        <w:rPr>
          <w:rFonts w:ascii="Times New Roman" w:cs="Times New Roman" w:eastAsia="Times New Roman" w:hAnsi="Times New Roman"/>
          <w:sz w:val="18"/>
          <w:szCs w:val="18"/>
          <w:color w:val="auto"/>
        </w:rPr>
        <w:t xml:space="preserve">. In order to exercise either Legal Defeasance or Covenant Defeasance under either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8.3</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jc w:val="both"/>
        <w:ind w:firstLine="1304"/>
        <w:spacing w:after="0" w:line="253" w:lineRule="auto"/>
        <w:tabs>
          <w:tab w:leader="none" w:pos="156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must irrevocably deposit with the Trustee, in trust, for the benefit of the Holders, cash in U.S. Dollars, U.S. Government Obligations, or a combination thereof, in such amounts as will be sufficient, in the opinion of a nationally recognized firm of independent public accountants, to pay the principal of and premium, if any, interest, due on the Notes issued under this Indenture on the stated maturity date or on the applicable Redemption Date, as the case may be, and the Issuer must specify whether such Notes are being defeased to maturity or to a particular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upon any redemption that requires the payment of the Applicable Premium, the amount deposited shall be sufficient for purposes of this Indenture to the extent that an amount is deposited with the Trustee equal to the Applicable Premium calculated as of the date of the notice of redemption, with any deficit as of the date of redemption (any such amount, the “</w:t>
      </w:r>
      <w:r>
        <w:rPr>
          <w:rFonts w:ascii="Times New Roman" w:cs="Times New Roman" w:eastAsia="Times New Roman" w:hAnsi="Times New Roman"/>
          <w:sz w:val="18"/>
          <w:szCs w:val="18"/>
          <w:u w:val="single" w:color="auto"/>
          <w:color w:val="auto"/>
        </w:rPr>
        <w:t>Applicable Premium Deficit</w:t>
      </w:r>
      <w:r>
        <w:rPr>
          <w:rFonts w:ascii="Times New Roman" w:cs="Times New Roman" w:eastAsia="Times New Roman" w:hAnsi="Times New Roman"/>
          <w:sz w:val="18"/>
          <w:szCs w:val="18"/>
          <w:color w:val="auto"/>
        </w:rPr>
        <w:t xml:space="preserve">”) only required to be deposited with the Trustee on or prior to the date of redemption;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Trustee shall have no liability whatsoever in the event that such Applicable Premium Deficit is not in fact paid after any legal defeasance or covenant defeasance. Any Applicable Premium Deficit shall be set forth in an Officer’s Certificate delivered to the Trustee at least two (2) Business Days prior to the Redemption Date that confirms that such Applicable Premium Deficit shall be applied toward such redemption;</w:t>
      </w:r>
    </w:p>
    <w:p>
      <w:pPr>
        <w:spacing w:after="0" w:line="191" w:lineRule="exact"/>
        <w:rPr>
          <w:rFonts w:ascii="Times New Roman" w:cs="Times New Roman" w:eastAsia="Times New Roman" w:hAnsi="Times New Roman"/>
          <w:sz w:val="18"/>
          <w:szCs w:val="18"/>
          <w:color w:val="auto"/>
        </w:rPr>
      </w:pPr>
    </w:p>
    <w:p>
      <w:pPr>
        <w:ind w:firstLine="1304"/>
        <w:spacing w:after="0" w:line="282" w:lineRule="auto"/>
        <w:tabs>
          <w:tab w:leader="none" w:pos="1568"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the Issuer shall have delivered to the Trustee an Opinion of Counsel to the effect that, subject to customary assumptions and exclusions;</w:t>
      </w:r>
    </w:p>
    <w:p>
      <w:pPr>
        <w:spacing w:after="0" w:line="162" w:lineRule="exact"/>
        <w:rPr>
          <w:sz w:val="20"/>
          <w:szCs w:val="20"/>
          <w:color w:val="auto"/>
        </w:rPr>
      </w:pPr>
    </w:p>
    <w:p>
      <w:pPr>
        <w:ind w:left="1600" w:hanging="296"/>
        <w:spacing w:after="0"/>
        <w:tabs>
          <w:tab w:leader="none" w:pos="16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received from, or there has been published by, the United States Internal Revenue Service a ruling; or</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issuance of such Notes, there has been a change in the applicable U.S. federal income tax law;</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either case to the effect that, and based thereon such Opinion of Counsel shall confirm that, subject to customary assumptions and exclusions, the beneficial owners of the Notes, in their capacity as beneficial owners of the Notes,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180" w:lineRule="exact"/>
        <w:rPr>
          <w:sz w:val="20"/>
          <w:szCs w:val="20"/>
          <w:color w:val="auto"/>
        </w:rPr>
      </w:pPr>
    </w:p>
    <w:p>
      <w:pPr>
        <w:jc w:val="both"/>
        <w:ind w:firstLine="1304"/>
        <w:spacing w:after="0" w:line="261" w:lineRule="auto"/>
        <w:tabs>
          <w:tab w:leader="none" w:pos="1557"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the Issuer shall have delivered to the Trustee an Opinion of Counsel in the United States stating that, subject to customary assumptions and exclusions, the beneficial owners of the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(other than that resulting from borrowing funds to be applied to make such deposit and the granting of Liens in connection therewith) shall have occurred and be continuing on the date of such deposit;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6"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shall not result in a breach or violation of, or constitute a default under the Credit Facilities or any other material agreement or instrument (other than this Indenture) to which, the Issuer or any Guarantor is a party or by which the Issuer or any Guarantor is bound;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have delivered to the Trustee an Officer’s Certificate to the effect that the deposit was not made by the Issuer with the intent of defeating, hindering, delaying, defrauding or preferring any creditors of the Issuer or any Guarantor;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0" w:name="page121"/>
    <w:bookmarkEnd w:id="120"/>
    <w:p>
      <w:pPr>
        <w:jc w:val="both"/>
        <w:ind w:firstLine="1304"/>
        <w:spacing w:after="0" w:line="266" w:lineRule="auto"/>
        <w:tabs>
          <w:tab w:leader="none" w:pos="15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have delivered to the Trustee an Officer’s Certificate and an Opinion of Counsel (which Opinion of Counsel may be subject to customary assumptions and exclusions) each to the effect that all conditions precedent provided for or relating to the Legal Defeasance or the Covenant Defeasance, as the case may be, have been complied with.</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Deposited Money and U.S. Government Obligations to be Held in Trust; Other Miscellaneous Provisions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hereof, all money and U.S. Government Obligations (including the proceeds thereof) deposited with the Trustee (or other qualifying trustee, collectively for purposes of this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hereof in respect of the outstanding Notes will be held in trust and applied by the Trustee, in accordance with the provisions of such Notes and this Indenture, to the payment, either directly or through any Paying Agent (including the Issuer acting as Paying Agent) as the Trustee may determine, to the Holders of such Notes of all sums due and to become due thereon in respect of principal, premium, and interest, but such money need not be segregated from other funds except to the extent required by law.</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Issuer will pay and indemnify the Trustee against any tax, fee or other charge imposed on or assessed against the cash or U.S. Government Obligations deposited pursuant to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hereof or the principal and interest received in respect thereof other than any such tax, fee or other charge which by law is for the account of the Holders of the outstanding Notes.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to the contrary, the Trustee will deliver or pay to the Issuer from time to time upon the written request of the Issuer any money or U.S. Government Obligations held by it as provided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hereof which, in the opinion of a nationally recognized firm of independent public accountants expressed in a written certification thereof delivered to the Trustee (which may be the opinion delivered under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8.4(1)</w:t>
      </w:r>
      <w:r>
        <w:rPr>
          <w:rFonts w:ascii="Times New Roman" w:cs="Times New Roman" w:eastAsia="Times New Roman" w:hAnsi="Times New Roman"/>
          <w:sz w:val="18"/>
          <w:szCs w:val="18"/>
          <w:color w:val="auto"/>
        </w:rPr>
        <w:t xml:space="preserve"> hereof), are in excess of the amount thereof that would then be required to be deposited to effect an equivalent Legal Defeasance or Covenant Defeasance.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Repayment to the Issuer</w:t>
      </w:r>
      <w:r>
        <w:rPr>
          <w:rFonts w:ascii="Times New Roman" w:cs="Times New Roman" w:eastAsia="Times New Roman" w:hAnsi="Times New Roman"/>
          <w:sz w:val="18"/>
          <w:szCs w:val="18"/>
          <w:color w:val="auto"/>
        </w:rPr>
        <w:t xml:space="preserve">. Any money deposited with the Trustee or any Paying Agent, or then held by the Issuer, in trust for the payment of the principal of, premium or interest on, any Note and remaining unclaimed for two years after such principal, premium or interest has become due and payable shall be paid to the Issuer on its written request unless an abandoned property law designates another Person or (if then held by the Issuer) will be discharged from such trust; and the Holder of such Note will thereafter be permitted to look only to the Issuer for payment thereof unless an abandoned property law designates another Person, and all liability of the Trustee or such Paying Agent with respect to such trust money, and all liability of the Issuer as trustee thereof, will thereupon cease;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Trustee or such Paying Agent, before being required to make any such repayment, shall at the expense of the Issuer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will be repaid to the Issuer.</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xml:space="preserve">. If the Trustee or Paying Agent is unable to apply any money or U.S. Dollars or U.S. Government Obligations in accordance with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8.3</w:t>
      </w:r>
      <w:r>
        <w:rPr>
          <w:rFonts w:ascii="Times New Roman" w:cs="Times New Roman" w:eastAsia="Times New Roman" w:hAnsi="Times New Roman"/>
          <w:sz w:val="18"/>
          <w:szCs w:val="18"/>
          <w:color w:val="auto"/>
        </w:rPr>
        <w:t xml:space="preserve"> hereof, as the case may be, by reason of any order or judgment of any court or governmental authority enjoining, restraining or otherwise prohibiting such application, then the Issuer’s and the Guarantors’ obligations under this Indenture and the Notes and the Note Guarantees will be revived and reinstated as though no deposit had occurred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8.3</w:t>
      </w:r>
      <w:r>
        <w:rPr>
          <w:rFonts w:ascii="Times New Roman" w:cs="Times New Roman" w:eastAsia="Times New Roman" w:hAnsi="Times New Roman"/>
          <w:sz w:val="18"/>
          <w:szCs w:val="18"/>
          <w:color w:val="auto"/>
        </w:rPr>
        <w:t xml:space="preserve"> hereof until such time as the Trustee or Paying Agent is permitted to apply all such money in accordance with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8.3</w:t>
      </w:r>
      <w:r>
        <w:rPr>
          <w:rFonts w:ascii="Times New Roman" w:cs="Times New Roman" w:eastAsia="Times New Roman" w:hAnsi="Times New Roman"/>
          <w:sz w:val="18"/>
          <w:szCs w:val="18"/>
          <w:color w:val="auto"/>
        </w:rPr>
        <w:t xml:space="preserve"> hereof,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Issuer make any payment of principal of, premium, or interest on, any Note following the reinstatement of its obligations, the Issuer will be subrogated to the rights of the Holders of such Notes to receive such payment from the money or U.S. Government Obligations held by the Trustee or Paying Agent.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Without Consent of Holders</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of this Indenture, the Issuer, any Guarantor (with respect to its Note Guarantee or this Indenture) and the Trustee may amend, supplement or modify this Indenture, any Note Guarantee and the Notes, and the Company may direct the Trustee to enter into an amendment to this Indenture, any Note Guarantee and the Notes, without the consent of any Holder:</w:t>
      </w:r>
    </w:p>
    <w:p>
      <w:pPr>
        <w:spacing w:after="0" w:line="176" w:lineRule="exact"/>
        <w:rPr>
          <w:sz w:val="20"/>
          <w:szCs w:val="20"/>
          <w:color w:val="auto"/>
        </w:rPr>
      </w:pPr>
    </w:p>
    <w:p>
      <w:pPr>
        <w:ind w:firstLine="1304"/>
        <w:spacing w:after="0" w:line="282" w:lineRule="auto"/>
        <w:tabs>
          <w:tab w:leader="none" w:pos="156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mistake, defect, error or inconsistency, conform any provision to any provision under the heading “Description of the Notes” in the Offering Memorandum or reduce the minimum denomination of the Notes;</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6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provide for the assumption by a successor Person of the obligations of the Issuer or a Guarantor under any Note Document or to comply with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5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 or to alter the provisions of this Indenture relating to the form of the Notes (including related definitions);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2"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or modify the covenants or provide for a Note Guarantee for the benefit of the Holders or to surrender any right or power conferred upon the Issuer or any Restricted Subsidiary;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(including changing the CUSIP or other identifying number on any Notes) that would provide any additional rights or benefits to the Holders or that does not adversely affect the rights of any Holder in any material respect;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Company’s election, comply with any requirement of the SEC in connection with the qualification of this Indenture under the Trust Indenture Act, if such qualification is required;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57"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such provisions as necessary (as determined in good faith by the Company) for the issuance of Additional Notes in accordance with the terms of this Indenture;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for any Restricted Subsidiary to provide a Note Guarantee in accordance with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to add Note Guarantees with respect to the Notes, to add security to or for the benefit of the Notes, or to confirm and evidence the release, termination, discharge or retaking of any Note Guarantee or Lien with respect to or securing the Notes when such release, termination, discharge or retaking is provided for under this Indenture;</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7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and appointment under this Indenture of a successor Trustee or successor Paying Agent thereunder pursuant to the requirements hereof or to provide for the accession by the Trustee to any Note Document;</w:t>
      </w:r>
    </w:p>
    <w:p>
      <w:pPr>
        <w:spacing w:after="0" w:line="161"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Notes and/or the related Note Guarantees or to add collateral thereto;</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 obligor or a Guarantor under this Indenture;</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5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amendment to the provisions of this Indenture relating to the transfer and legending of Notes as not prohibited by this Indenture, including, without limitation, to facilitate the issuance and administration of Notes; provided, however, that (i) compliance with this Indenture as so amended would not result in Notes being transferred in violation of the Securities Act or any other applicable securities law and (ii) such amendment does not adversely affect the rights of Holders to transfer the Notes in any material respect; and</w:t>
      </w:r>
    </w:p>
    <w:p>
      <w:pPr>
        <w:spacing w:after="0" w:line="179"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rules and procedures of any applicable securities depositary.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Upon the request of the Issuer, and upon receipt by the Trustee of the documents described in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13.2</w:t>
      </w:r>
      <w:r>
        <w:rPr>
          <w:rFonts w:ascii="Times New Roman" w:cs="Times New Roman" w:eastAsia="Times New Roman" w:hAnsi="Times New Roman"/>
          <w:sz w:val="18"/>
          <w:szCs w:val="18"/>
          <w:color w:val="auto"/>
        </w:rPr>
        <w:t xml:space="preserve"> hereof, the Trustee will join with the Issuer and the Guarantors in the execution of such amended or supplemental indenture unless such amended or supplemental indenture affects the Trustee’s own rights, duties, liabilities or immunities under this Indenture or otherwise, in which case the Trustee may in its discretion, but will not be obligated to, enter into such amended or supplemental indenture.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With Consent of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4" w:lineRule="auto"/>
        <w:tabs>
          <w:tab w:leader="none" w:pos="911"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below in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the Issuer, the Guarantors and the Trustee may amend or supplement this Indenture, any Note Guarantee and the Notes issued hereunder with the consent of the Holders of at least a majority in principal amount of all the outstanding Notes issued under this Indenture, including, without limitation, consents obtained in connection with a purchase of, or tender offer or exchange offer for, Notes, and any Default or Event of Default (other than a Default or Event of Default in respect of a provision, the modification of which requires the consent of each Holder or a Default or Event of Default in respect of the payment of the principal of, premium, if any, or interest on the Notes, except a payment default resulting from an acceleration that has been rescinded ) or compliance with any provision of this Indenture, the Notes and the Note Guarantees may be waived with the consent of the Holders of at least a majority in principal amount of all the outstanding Notes issued under this Indenture (including consents obtained in connection with a purchase of or tender offer or exchange offer for Notes).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hereof and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xml:space="preserve"> hereof shall determine which Notes are considered to be “outstanding” for the purposes of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consent of each Holder of Notes affected, an amendment, supplement or waiver may not: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such Notes whose Holders must consent to an amendment;</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stated rate of or extend the stated time for payment of interest on any such Note (other than provisions relating to </w:t>
      </w:r>
      <w:r>
        <w:rPr>
          <w:rFonts w:ascii="Times New Roman" w:cs="Times New Roman" w:eastAsia="Times New Roman" w:hAnsi="Times New Roman"/>
          <w:sz w:val="18"/>
          <w:szCs w:val="18"/>
          <w:u w:val="single" w:color="auto"/>
          <w:color w:val="auto"/>
        </w:rPr>
        <w:t>Section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of or extend the Stated Maturity of any such Note (other than provisions relating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8"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premium payable upon the redemption of any such Note or change the time at which any such Note may be redeemed, in each case as set forth in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such Note payable in currency other than that stated in such Note;</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9"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impair the contractual right of any Holder to receive payment of principal of and interest on such Holder’s Notes on or after the due dates therefor or to institute suit for the enforcement of any such payment on or with respect to such Holder’s Notes (and, for the avoidance of doubt, the amendment, supplement or modification in accordance with the terms of this Indenture of </w:t>
      </w:r>
      <w:r>
        <w:rPr>
          <w:rFonts w:ascii="Times New Roman" w:cs="Times New Roman" w:eastAsia="Times New Roman" w:hAnsi="Times New Roman"/>
          <w:sz w:val="18"/>
          <w:szCs w:val="18"/>
          <w:u w:val="single" w:color="auto"/>
          <w:color w:val="auto"/>
        </w:rPr>
        <w:t>Sections 3.2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3.20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6.1(a)(3)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and the related definitions shall be deemed not to impair the contractual right of any Holder to receive payment of principal of and interest on such Holder’s Notes on or after the due dates therefor or to institute suit for the enforcement of any such payment on or with respect to such Holder’s Note);</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6"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with respect to the nonpayment of principal, premium or interest (except pursuant to a rescission of acceleration of the Notes by the Holders of at least a majority in aggregate principal amount of such Notes and a waiver of the payment default that resulted from such acceleration);</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any change in the amendment or waiver provisions which require the Holders’ consent described in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this Indenture, modify the Note Guarantees of any Significant Subsidiary in any manner materially adverse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w:t>
      </w:r>
    </w:p>
    <w:p>
      <w:pPr>
        <w:spacing w:after="0" w:line="206" w:lineRule="exact"/>
        <w:rPr>
          <w:rFonts w:ascii="Times New Roman" w:cs="Times New Roman" w:eastAsia="Times New Roman" w:hAnsi="Times New Roman"/>
          <w:sz w:val="18"/>
          <w:szCs w:val="18"/>
          <w:color w:val="auto"/>
        </w:rPr>
      </w:pPr>
    </w:p>
    <w:p>
      <w:pPr>
        <w:jc w:val="both"/>
        <w:ind w:firstLine="656"/>
        <w:spacing w:after="0" w:line="258" w:lineRule="auto"/>
        <w:tabs>
          <w:tab w:leader="none" w:pos="909"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request of the Issuer, and upon delivery to the Trustee of evidence of the consent of the Holders of Notes as aforesaid, and upon receipt by the Trustee of the documents described in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13.2</w:t>
      </w:r>
      <w:r>
        <w:rPr>
          <w:rFonts w:ascii="Times New Roman" w:cs="Times New Roman" w:eastAsia="Times New Roman" w:hAnsi="Times New Roman"/>
          <w:sz w:val="18"/>
          <w:szCs w:val="18"/>
          <w:color w:val="auto"/>
        </w:rPr>
        <w:t xml:space="preserve"> hereof, the Trustee will join with the Issuer and the Guarantors in the execution of such amended or supplemental indenture unless such amended or supplemental indenture affects the Trustee’s own rights, duties, liabilities or immunities under this Indenture or otherwise, in which case the Trustee may in its discretion, but will not be obligated to, enter into such amended or supplemental indenture.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3" w:name="page124"/>
    <w:bookmarkEnd w:id="123"/>
    <w:p>
      <w:pPr>
        <w:jc w:val="both"/>
        <w:ind w:firstLine="656"/>
        <w:spacing w:after="0" w:line="261" w:lineRule="auto"/>
        <w:tabs>
          <w:tab w:leader="none" w:pos="92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not be necessary for the consent of the Holders under this Indenture to approve the particular form of any proposed amendment, supplement or waiver, but it shall be sufficient if such consent approves the substance thereof. A consent to any amendment, supplement or waiver under this Indenture by any Holder of the Notes given in connection with a tender or exchange of such Holder’s Notes will not be rendered invalid by such tender or exchange.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Revocation and Effect of Consents and Waivers</w:t>
      </w:r>
      <w:r>
        <w:rPr>
          <w:rFonts w:ascii="Times New Roman" w:cs="Times New Roman" w:eastAsia="Times New Roman" w:hAnsi="Times New Roman"/>
          <w:sz w:val="18"/>
          <w:szCs w:val="18"/>
          <w:color w:val="auto"/>
        </w:rPr>
        <w:t>. 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or waiver is not made on any Note. However, any such Holder of a Note or subsequent Holder of a Note may revoke the consent or waiver as to such Holder’s Note or portion of its Note if the Trustee receives written notice of revocation before the date the amendment, supplement or waiver becomes effective. An amendment, supplement or waiver becomes effective in accordance with its terms and thereafter binds every Holder.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Issuer may, but shall not be obligated to, fix a record date for the purpose of determining the Holders entitled to give their consent or take any other action described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required or permitted to be taken pursuant to this Indenture. If a record date is fixed, then notwithstanding the immediately preceding paragraph, those Persons who were Holders at such record date (or their duly designated proxies), and only those Persons, shall be entitled to give such consent or to revoke any consent previously given or to take any such action, whether or not such Persons continue to be Holders after such record date. No such consent shall be valid or effective for more than 120 days after such record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Notation on or Exchange of Notes</w:t>
      </w:r>
      <w:r>
        <w:rPr>
          <w:rFonts w:ascii="Times New Roman" w:cs="Times New Roman" w:eastAsia="Times New Roman" w:hAnsi="Times New Roman"/>
          <w:sz w:val="18"/>
          <w:szCs w:val="18"/>
          <w:color w:val="auto"/>
        </w:rPr>
        <w:t>. The Issuer may place an appropriate notation about an amendment, supplement or waiver on any Note thereafter authenticated. The Issuer in exchange for all Notes may issue and the Trustee shall, upon receipt of an Issuer Order, authenticate new Notes that reflect the amendment, supplement or waiver. Failure to make the appropriate notation or issue a new Note will not affect the validity and effect of such amendment, supplement or waiver.</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Trustee to Sign Amendments</w:t>
      </w:r>
      <w:r>
        <w:rPr>
          <w:rFonts w:ascii="Times New Roman" w:cs="Times New Roman" w:eastAsia="Times New Roman" w:hAnsi="Times New Roman"/>
          <w:sz w:val="18"/>
          <w:szCs w:val="18"/>
          <w:color w:val="auto"/>
        </w:rPr>
        <w:t xml:space="preserve">. The Trustee shall sign any amended or supplemental indenture authorized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if the amendment or supplement does not adversely affect the rights, duties, liabilities or immunities of the Trustee. In executing any amended or supplemental indenture, the Trustee will be entitled to receive and (subject to </w:t>
      </w:r>
      <w:r>
        <w:rPr>
          <w:rFonts w:ascii="Times New Roman" w:cs="Times New Roman" w:eastAsia="Times New Roman" w:hAnsi="Times New Roman"/>
          <w:sz w:val="18"/>
          <w:szCs w:val="18"/>
          <w:u w:val="single" w:color="auto"/>
          <w:color w:val="auto"/>
        </w:rPr>
        <w:t>Sections 7.1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xml:space="preserve"> hereof) shall be fully protected in conclusively relying upon, in addition to the documents required by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hereof, an Officer’s Certificate and an Opinion of Counsel stating that the execution of such amended or supplemental indenture is authorized or permitted by this Indenture and is, in respect of such Opinion of Counsel, valid, binding and enforceable against the Issuer or any Guarantor, as the case may be, in accordance with its terms.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 GUARANTEES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Note Guarantees</w:t>
      </w:r>
      <w:r>
        <w:rPr>
          <w:rFonts w:ascii="Times New Roman" w:cs="Times New Roman" w:eastAsia="Times New Roman" w:hAnsi="Times New Roman"/>
          <w:sz w:val="18"/>
          <w:szCs w:val="18"/>
          <w:color w:val="auto"/>
        </w:rPr>
        <w:t xml:space="preserve">. Subject to the provisions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each Guarantor that executes this Indenture or a supplemental indenture hereto will fully, unconditionally and irrevocably Guarantee, as primary obligor and not merely as surety, jointly and severally with each other Guarantor, to each Holder, and the Trustee the full and punctual payment when due, whether at maturity, by acceleration, by redemption or otherwise, of the principal of, premium, if any, and interest on the Notes and all other obligations and liabilities of the Issuer under this Indenture and the Notes (including without limitation interest accruing after the filing of any petition in bankruptcy, or the commencement of any insolvency, reorganization or like proceeding, relating to the Issuer or any Guarantor whether or not a claim for post-filing or post-petition interest is allowed in such proceeding and the obligations under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(all the foregoing being hereinafter collectively called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 Each Guarantor agrees that the Guaranteed Obligations will rank equally in right of payment with other Indebtedness of such Guarantor, except to the extent such other Indebtedness is subordinate to the Guaranteed Obligations, in which case the obligations of the Guarantors under the Note Guarantees will rank senior in right of payment to such other Indebtedness.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4" w:name="page125"/>
    <w:bookmarkEnd w:id="124"/>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To evidence its Note Guarantee set forth in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each Guarantor hereby agrees that this Indenture (or a supplemental indenture that is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shall be executed on behalf of such Guarantor by an Officer of such Guarantor.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Each Guarantor hereby agrees that its Note Guarantee set forth in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shall remain in full force and effect notwithstanding the absence of the endorsement of any notation of such Note Guarantee on the Notes.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If an Officer whose signature is on this Indenture (or a supplemental indenture that is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no longer holds that office at the time the Trustee authenticates the Note, the Note Guarantee shall be valid nevertheless.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Each Guarantor further agrees (to the extent permitted by law) that the Guaranteed Obligations may be extended or renewed, in whole or in part, without notice or further assent from it, and that it will remain bound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notwithstanding any extension or renewal of any Guaranteed Obligation.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Guarantor waives presentation to, demand of payment from and protest to the Issuer of any of the Guaranteed Obligations and also waives notice of protest for nonpayment. Each Guarantor waives notice of any default under the Notes or the Guaranteed Obligations.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Guarantor further agrees that its Note Guarantee herein constitutes a Guarantee of payment when due (and not a Guarantee of collection) and waives any right to require that any resort be had by any Holder or the Trustee to any security held for payment of the Guaranteed Obligations.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the obligations of each Guarantor hereunder shall not be subject to any reduction, limitation, impairment or termination for any reason (other than payment of the Guaranteed Obligations in full),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Guaranteed Obligations of each Guarantor herein shall not be discharged or impaired or otherwise affected by (a) the failure of any Holder or the Trustee to assert any claim or demand or to enforce any right or remedy against the Issuer or any other person under this Indenture, the Notes or any other agreement or otherwise; (b) any extension or renewal of any thereof; (c) any rescission, waiver, amendment or modification of any of the terms or provisions of this Indenture, the Notes or any other agreement; (d) the release of any security held by any Holder or the Trustee for the Guaranteed Obligations; (e) the failure of any Holder or the Trustee to exercise any right or remedy against any other Guarantor; (f) any change in the ownership of the Issuer; (g) any default, failure or delay, willful or otherwise, in the performance of the Guaranteed Obligations; or (h) any other act or thing or omission or delay to do any other act or thing which may or might in any manner or to any extent vary the risk of any Guarantor or would otherwise operate as a discharge of such Guarantor as a matter of law or equity.</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Each Guarantor agrees that its Note Guarantee herein shall remain in full force and effect until payment in full of all the Guaranteed Obligations or such Guarantor is released from its Note Guarantee in compliance with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Each Guarantor further agrees that its Note Guarantee herein shall continue to be effective or be reinstated, as the case may be, if at any time payment, or any part thereof, of principal of, premium, if any, or interest on any of the Guaranteed Obligations is rescinded or must otherwise be restored by any Holder or the Trustee upon the bankruptcy or reorganization of the Issuer or otherwise.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furtherance of the foregoing and not in limitation of any other right which any Holder or the Trustee has at law or in equity against any Guarantor by virtue hereof, upon the failure of the Issuer to pay any of the Guaranteed Obligations when and as the same shall become due, whether at maturity, by acceleration, by redemption or otherwise, each Guarantor hereby promises to and will, upon receipt of written demand by the Trustee, forthwith pay, or cause to be paid, in cash, to the Holders or the Trustee on behalf of itself and/or the Holders an amount equal to the sum of (i) the unpaid amount of such Guaranteed Obligations then due and owing and (ii) accrued and unpaid interest on such Guaranteed Obligations then due and owing (but only to the extent not prohibited by law) (including interest accruing after the filing of any petition in bankruptcy or the commencement of any insolvency, reorganization or like proceeding relating to the Issuer or any Guarantor whether or not a claim for post-filing or post-petition interest is allowed in such proceeding).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5" w:name="page126"/>
    <w:bookmarkEnd w:id="125"/>
    <w:p>
      <w:pPr>
        <w:jc w:val="both"/>
        <w:spacing w:after="0" w:line="258" w:lineRule="auto"/>
        <w:rPr>
          <w:sz w:val="20"/>
          <w:szCs w:val="20"/>
          <w:color w:val="auto"/>
        </w:rPr>
      </w:pPr>
      <w:r>
        <w:rPr>
          <w:rFonts w:ascii="Times New Roman" w:cs="Times New Roman" w:eastAsia="Times New Roman" w:hAnsi="Times New Roman"/>
          <w:sz w:val="18"/>
          <w:szCs w:val="18"/>
          <w:color w:val="auto"/>
        </w:rPr>
        <w:t>Each Guarantor further agrees that, as between such Guarantor, on the one hand, and the Holders and the Trustee, on the other hand, (x) the maturity of the Guaranteed Obligations guaranteed hereby may be accelerated as provided in this Indenture for the purposes of its Note Guarantee herein, notwithstanding any stay, injunction or other prohibition preventing such acceleration in respect of the Guaranteed Obligations guaranteed hereby and (y) in the event of any such declaration of acceleration of such Guaranteed Obligations, such Guaranteed Obligations (whether or not due and payable) shall forthwith become due and payable by the Guarantor for the purposes of its Note Guarantee.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Each Guarantor also agrees, jointly and severally, to pay any and all fees, costs and expenses (including attorneys’ fees and expenses) incurred by the Trustee or the Holders in enforcing any rights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Limitation on Liability; Termination, Release and Discharge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6" w:lineRule="auto"/>
        <w:tabs>
          <w:tab w:leader="none" w:pos="91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 or provision of this Indenture to the contrary notwithstanding, the obligations of each Guarantor hereunder will be limited to the maximum amount as will, after giving effect to all other contingent and fixed liabilities of such Guarantor and after giving effect to any collections from or payments made by or on behalf of any other Guarantor in respect of the obligations of such other Guarantor under its Note Guarantee or pursuant to its contribution obligations under this Indenture, result in the obligations of such Guarantor under its Note Guarantee not constituting a fraudulent conveyance or fraudulent transfer under federal, foreign, state or provincial law and not otherwise being void or voidable under any similar laws affecting the rights of creditors generally.</w:t>
      </w:r>
    </w:p>
    <w:p>
      <w:pPr>
        <w:spacing w:after="0" w:line="18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 Guarantee of a Guarantor shall be automatically and unconditionally released and discharged upon:</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2"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exchange, transfer or other disposition (including by way of merger, amalgamation, consolidation, dividend distribution or otherwise) of the Capital Stock of such Guarantor, in each case as a result of which such Guarantor ceases to be a Restricted Subsidiary, or the sale, exchange, transfer or other disposition, of all or substantially all of the assets of the Guarantor, to a Person other than to the Company or a Restricted Subsidiary, in each case to the extent not otherwise prohibited by this Indenture;</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558"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in accordance with this Indenture of the Guarantor as an Unrestricted Subsidiary or the occurrence of any event after which the Guarantor is no longer a Restricted Subsidiary;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Legal Defeasance pursuant to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or discharge of the Notes pursuant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584"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such Guarantor is not an Immaterial Subsidiary solely due to the operation of clause (i) of the definition of “Immaterial Subsidiary,” upon the release of the Guarantee referred to in such clause;</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75"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merger, amalgamation or consolidation of any Guarantor with and into the Company or another Guarantor or upon the liquidation of such Guarantor, in each case, in compliance with the applicable provisions of this Indenture;</w:t>
      </w:r>
    </w:p>
    <w:p>
      <w:pPr>
        <w:spacing w:after="0" w:line="159"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achievement of Investment Grade Status by the Notes;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such Note Guarantee shall be reinstated upon the</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Reversion Date; or</w:t>
      </w:r>
    </w:p>
    <w:p>
      <w:pPr>
        <w:spacing w:after="0" w:line="206"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the consent of the Holders in accordance with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6" w:name="page127"/>
    <w:bookmarkEnd w:id="126"/>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Right of Contribution</w:t>
      </w:r>
      <w:r>
        <w:rPr>
          <w:rFonts w:ascii="Times New Roman" w:cs="Times New Roman" w:eastAsia="Times New Roman" w:hAnsi="Times New Roman"/>
          <w:sz w:val="18"/>
          <w:szCs w:val="18"/>
          <w:color w:val="auto"/>
        </w:rPr>
        <w:t xml:space="preserve">. Each Guarantor hereby agrees that to the extent that any Guarantor shall have paid more than its proportionate share of any payment made on the obligations under the Note Guarantees, such Guarantor shall be entitled to seek and receive contribution from and against the Issuer or any other Guarantor who has not paid its proportionate share of such payment. The provisions of this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shall in no respect limit the obligations and liabilities of each Guarantor to the Trustee and the Holders and each Guarantor shall remain liable to the Trustee and the Holders for the full amount guaranteed by such Guarantor hereunder.</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No Subrogation</w:t>
      </w:r>
      <w:r>
        <w:rPr>
          <w:rFonts w:ascii="Times New Roman" w:cs="Times New Roman" w:eastAsia="Times New Roman" w:hAnsi="Times New Roman"/>
          <w:sz w:val="18"/>
          <w:szCs w:val="18"/>
          <w:color w:val="auto"/>
        </w:rPr>
        <w:t>. Notwithstanding any payment or payments made by each Guarantor hereunder, no Guarantor shall be entitled to be subrogated to any of the rights of the Trustee or any Holder against the Issuer or any other Guarantor or any collateral security or guarantee or right of offset held by the Trustee or any Holder for the payment of the Guaranteed Obligations, nor shall any Guarantor seek or be entitled to seek any contribution or reimbursement from the Issuer or any other Guarantor in respect of payments made by such Guarantor hereunder, until all amounts owing to the Trustee and the Holders by the Issuer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Trustee and the Holders, segregated from other funds of such Guarantor, and shall, forthwith upon receipt by such Guarantor, be turned over to the Trustee in the exact form received by such Guarantor (duly indorsed by such Guarantor to the Trustee, if required), to be applied against the Guaranteed Obligations.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SATISFACTION AND DISCHARGE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Satisfaction and Discharge</w:t>
      </w:r>
      <w:r>
        <w:rPr>
          <w:rFonts w:ascii="Times New Roman" w:cs="Times New Roman" w:eastAsia="Times New Roman" w:hAnsi="Times New Roman"/>
          <w:sz w:val="18"/>
          <w:szCs w:val="18"/>
          <w:color w:val="auto"/>
        </w:rPr>
        <w:t>. This Indenture will be discharged and will cease to be of further effect as to all Notes issued hereunder, when:</w:t>
      </w:r>
    </w:p>
    <w:p>
      <w:pPr>
        <w:spacing w:after="0" w:line="225" w:lineRule="exact"/>
        <w:rPr>
          <w:sz w:val="20"/>
          <w:szCs w:val="20"/>
          <w:color w:val="auto"/>
        </w:rPr>
      </w:pPr>
    </w:p>
    <w:p>
      <w:pPr>
        <w:ind w:left="900" w:hanging="244"/>
        <w:spacing w:after="0"/>
        <w:tabs>
          <w:tab w:leader="none" w:pos="9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that have been authenticated and delivered, except lost, stolen or destroyed Notes that have been replaced or paid and Notes for whose payment money has theretofore been deposited in trust, have been delivered to the Trustee for cancellation; or</w:t>
      </w:r>
    </w:p>
    <w:p>
      <w:pPr>
        <w:spacing w:after="0" w:line="16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57"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all such Notes not theretofore delivered to the Trustee for cancellation (i) have become due and payable by reason of the making of a notice of redemption or otherwise or (ii) will become due and payable within one year at their Stated Maturity or (iii) are to be called for redemption within one year under arrangements satisfactory to the Trustee for the giving of notice of redemption by the Trustee, in the name, and at the expense of the Issuer; (B) the Issuer has irrevocably deposited or caused to be deposited with the Trustee as trust funds in trust solely for the benefit of the Holders, cash in U.S. Dollars, U.S. Government Obligations, or a combination thereof, in such amounts as (if such deposit includes in whole or in part U.S. Government Obligations, in the opinion of a nationally recognized firm of independent public accountants) will be sufficient without consideration of any reinvestment of interest, to pay and discharge the entire Indebtedness on such Notes not previously delivered to the Trustee for cancellation, for principal, premium, if any, and interest to the date of deposit (in the case of Notes that have become due and payable), or to the Stated Maturity or Redemption Date, as the case may be;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upon any redemption that requires the payment of the Applicable Premium, the amount deposited shall be sufficient for purposes of this Indenture to the extent that an amount is deposited with the Trustee equal to the Applicable Premium calculated as of the date of the notice of redemption, as calculated by the Company or on behalf of the Company by such Person as the Company shall designate, with any Applicable Premium Deficit only required to be deposited with the Trustee on or prior to the date of redemption (provided that the Trustee shall have no liability whatsoever in the event that such Applicable Premium Deficit is not in fact paid after any satisfaction and discharge), and any Applicable Premium Deficit shall be set forth in an Officer’s Certificate delivered to the Trustee at least two (2) Business Days prior to the Redemption Date that confirms that such Applicable Premium Deficit shall be applied toward such redemption; and (C) no Default or Event of Default (other than that resulting from borrowing funds to be applied to make such deposit and the granting of Liens in connection therewith) with respect to this Indenture or the Notes issued hereunder shall have occurred and be continuing on the date of such deposit or shall occur as a result of such deposit and such deposit will not result in a breach or violation of, or constitute a default under the Credit Facilities or any other material agreement or instrument (other than this Indenture) to which the Issuer or any Guarantor is a party or by which the Issuer or any Guarantor is bound; and (D) the Issuer has delivered irrevocable instructions to the Trustee to apply the deposited money in U.S. Dollars toward the payment of such Notes issued hereunder at maturity or the Redemption Date, as the case may be;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7" w:name="page128"/>
    <w:bookmarkEnd w:id="127"/>
    <w:p>
      <w:pPr>
        <w:ind w:left="920" w:hanging="264"/>
        <w:spacing w:after="0"/>
        <w:tabs>
          <w:tab w:leader="none" w:pos="9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paid or caused to be paid all sums payable by the Issuer under this Indenture; and</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9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delivered an Officer’s Certificate and an Opinion of Counsel to the Trustee stating that all covenants and conditions precedent to satisfaction and discharge have been satisfied.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the satisfaction and discharge of this Indenture, the obligations of the Issuer and the Guarantors to the Trustee in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hereof and, if money in U.S. Dollars has been deposited with the Trustee pursuant to clause (a)(i) of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the provisions of </w:t>
      </w:r>
      <w:r>
        <w:rPr>
          <w:rFonts w:ascii="Times New Roman" w:cs="Times New Roman" w:eastAsia="Times New Roman" w:hAnsi="Times New Roman"/>
          <w:sz w:val="18"/>
          <w:szCs w:val="18"/>
          <w:u w:val="single" w:color="auto"/>
          <w:color w:val="auto"/>
        </w:rPr>
        <w:t>Sections 11.2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8.6</w:t>
      </w:r>
      <w:r>
        <w:rPr>
          <w:rFonts w:ascii="Times New Roman" w:cs="Times New Roman" w:eastAsia="Times New Roman" w:hAnsi="Times New Roman"/>
          <w:sz w:val="18"/>
          <w:szCs w:val="18"/>
          <w:color w:val="auto"/>
        </w:rPr>
        <w:t xml:space="preserve"> hereof will survive.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Application of Trust Money</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8.6</w:t>
      </w:r>
      <w:r>
        <w:rPr>
          <w:rFonts w:ascii="Times New Roman" w:cs="Times New Roman" w:eastAsia="Times New Roman" w:hAnsi="Times New Roman"/>
          <w:sz w:val="18"/>
          <w:szCs w:val="18"/>
          <w:color w:val="auto"/>
        </w:rPr>
        <w:t xml:space="preserve"> hereof, all money in U.S. Dollars or U.S. Government Obligations deposited with the Trustee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hereof shall be held in trust and applied by it, in accordance with the provisions of the Notes and this Indenture, to the payment, either directly or through any Paying Agent (including the Issuer acting as its own Paying Agent) as the Trustee may determine, to the Persons entitled thereto, of the principal (and premium) and interest for whose payment such money in U.S. Dollars or U.S. Government Obligations has been deposited with the Trustee; but such money in U.S. Dollars or U.S. Government Obligations need not be segregated from other funds except to the extent required by law.</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money or U.S. Government Obligations in accordance with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hereof by reason of any legal proceeding or by reason of any order or judgment of any court or Governmental Authority enjoining, restraining or otherwise prohibiting such application, the Issuer’s and any Guarantor’s obligations under this Indenture and the Notes shall be revived and reinstated as though no deposit had occurred pursuant to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the Issuer has made any payment of principal of, premium or interest on, any Notes because of the reinstatement of its obligations, the Issuer shall be subrogated to the rights of the Holders of such Notes to receive such payment from the money or U.S. Government Obligations held by the Trustee or Paying Agent.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[Reserved.]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13.1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direction, consent or communication made pursuant to the provisions of this Indenture or the Notes shall be in writing and delivered in person, sent by facsimile, sent by electronic mail in pdf format, delivered by commercial courier service or mailed by first-class mail, postage prepaid, addressed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Issuer or to any Guarantor: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Harrow,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1A Burton Hills Blvd., Suite 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 37215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Holland &amp; Knight,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511 Union Street, Suite 2700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TN 37219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James H. Nixon III</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t>if to the Trustee, at its Corporate Trust Office, which Corporate Trust Office for purposes of this Indenture is at the date hereof located 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Trust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Commerce Street, Suite 800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 37201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Wally Jones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 or the Trustee by written notice to the other may designate additional or different addresses for subsequent notices or communications.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notice or communication to the Issuer or the Guarantors shall be deemed to have been given or made as of the date so delivered if personally delivered or if delivered electronically, in pdf format; when receipt is acknowledged, if telecopied; and seven (7) calendar days after mailing if sent by registered or certified mail, postage prepaid (except that a notice of change of address shall not be deemed to have been given until actually received by the addressee). Any notice or communication to the Trustee shall be deemed delivered upon actual receipt.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notice or communication sent to a Holder shall be electronically delivered or mailed to the Holder at the Holder’s address as it appears in the Notes Register and shall be sufficiently given if so sent within the time prescribed. Failure to mail or deliver electronically a notice or communication to a Holder or any defect in it shall not affect its sufficiency with respect to other Holders.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 notice or communication is sent in the manner provided above, it is duly given, whether or not the addressee receives it, except that notices to the Trustee shall be effective only upon actual receipt.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Indenture or any Note, where this Indenture or any Note provides for notice of any event (including any notice of redemption or purchase) to a Holder of a Global Note (whether by mail or otherwise), such notice shall be sufficiently given if given to DTC (or its designee) pursuant to the standing instructions from DTC or its designee.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13.2 </w:t>
      </w:r>
      <w:r>
        <w:rPr>
          <w:rFonts w:ascii="Times New Roman" w:cs="Times New Roman" w:eastAsia="Times New Roman" w:hAnsi="Times New Roman"/>
          <w:sz w:val="18"/>
          <w:szCs w:val="18"/>
          <w:u w:val="single" w:color="auto"/>
          <w:color w:val="auto"/>
        </w:rPr>
        <w:t>Certificate and Opinion as to Conditions Precedent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any request or application by the Issuer or any of the Guarantors to the Trustee to take or refrain from taking any action under this Indenture,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or such Guarantor, as the case may be, shall furnish to the Trustee:</w:t>
      </w:r>
    </w:p>
    <w:p>
      <w:pPr>
        <w:spacing w:after="0" w:line="207" w:lineRule="exact"/>
        <w:rPr>
          <w:sz w:val="20"/>
          <w:szCs w:val="20"/>
          <w:color w:val="auto"/>
        </w:rPr>
      </w:pPr>
    </w:p>
    <w:p>
      <w:pPr>
        <w:ind w:right="20" w:firstLine="1304"/>
        <w:spacing w:after="0" w:line="282" w:lineRule="auto"/>
        <w:tabs>
          <w:tab w:leader="none" w:pos="155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Officer’s Certificate in form satisfactory to the Trustee (which shall include the statements set forth in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hereof) stating that, in the opinion of the signers, all conditions precedent, if any, provided for in this Indenture relating to the proposed action have been satisfied; and</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55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Opinion of Counsel in form satisfactory to the Trustee (which shall include the statements set forth in </w:t>
      </w:r>
      <w:r>
        <w:rPr>
          <w:rFonts w:ascii="Times New Roman" w:cs="Times New Roman" w:eastAsia="Times New Roman" w:hAnsi="Times New Roman"/>
          <w:sz w:val="18"/>
          <w:szCs w:val="18"/>
          <w:u w:val="single" w:color="auto"/>
          <w:color w:val="auto"/>
        </w:rPr>
        <w:t>Section 13.3</w:t>
      </w:r>
      <w:r>
        <w:rPr>
          <w:rFonts w:ascii="Times New Roman" w:cs="Times New Roman" w:eastAsia="Times New Roman" w:hAnsi="Times New Roman"/>
          <w:sz w:val="18"/>
          <w:szCs w:val="18"/>
          <w:color w:val="auto"/>
        </w:rPr>
        <w:t xml:space="preserve"> hereof) stating that, in the opinion of such counsel, all such conditions precedent have been satisfied and all covenants have been complied with.</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SECTION 13.3 </w:t>
      </w:r>
      <w:r>
        <w:rPr>
          <w:rFonts w:ascii="Times New Roman" w:cs="Times New Roman" w:eastAsia="Times New Roman" w:hAnsi="Times New Roman"/>
          <w:sz w:val="18"/>
          <w:szCs w:val="18"/>
          <w:u w:val="single" w:color="auto"/>
          <w:color w:val="auto"/>
        </w:rPr>
        <w:t>Statements Required in Certificate or Opinion</w:t>
      </w:r>
      <w:r>
        <w:rPr>
          <w:rFonts w:ascii="Times New Roman" w:cs="Times New Roman" w:eastAsia="Times New Roman" w:hAnsi="Times New Roman"/>
          <w:sz w:val="18"/>
          <w:szCs w:val="18"/>
          <w:color w:val="auto"/>
        </w:rPr>
        <w:t>. Each certificate or opinion with respect to compliance with a covenant or condition provided for in this Indenture:</w:t>
      </w:r>
    </w:p>
    <w:p>
      <w:pPr>
        <w:spacing w:after="0" w:line="162" w:lineRule="exact"/>
        <w:rPr>
          <w:sz w:val="20"/>
          <w:szCs w:val="20"/>
          <w:color w:val="auto"/>
        </w:rPr>
      </w:pPr>
    </w:p>
    <w:p>
      <w:pPr>
        <w:ind w:firstLine="1304"/>
        <w:spacing w:after="0" w:line="282" w:lineRule="auto"/>
        <w:tabs>
          <w:tab w:leader="none" w:pos="155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individual making such certificate or opinion has read such covenants or conditions precedent provided for in this Indenture relating to the proposed action;</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3"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29" w:name="page130"/>
    <w:bookmarkEnd w:id="129"/>
    <w:p>
      <w:pPr>
        <w:ind w:firstLine="1304"/>
        <w:spacing w:after="0" w:line="282" w:lineRule="auto"/>
        <w:tabs>
          <w:tab w:leader="none" w:pos="1572"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individual, he has made such examination or investigation as is necessary to enable such individual to express an informed opinion as to whether or not such covenants or conditions precedent have been complied with; and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7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individual, all covenants or conditions precedent as provided for in this Indenture relating to the proposed action have been complied with.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giving such Opinion of Counsel, counsel may rely as to factual matters on an Officer’s Certificate or on certificates of public officials.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13.4 </w:t>
      </w:r>
      <w:r>
        <w:rPr>
          <w:rFonts w:ascii="Times New Roman" w:cs="Times New Roman" w:eastAsia="Times New Roman" w:hAnsi="Times New Roman"/>
          <w:sz w:val="18"/>
          <w:szCs w:val="18"/>
          <w:u w:val="single" w:color="auto"/>
          <w:color w:val="auto"/>
        </w:rPr>
        <w:t>When Notes Disregarded</w:t>
      </w:r>
      <w:r>
        <w:rPr>
          <w:rFonts w:ascii="Times New Roman" w:cs="Times New Roman" w:eastAsia="Times New Roman" w:hAnsi="Times New Roman"/>
          <w:sz w:val="18"/>
          <w:szCs w:val="18"/>
          <w:color w:val="auto"/>
        </w:rPr>
        <w:t>. In determining whether the Holders of the required aggregate principal amount of Notes have concurred in any direction, waiver or consent, Notes owned by the Issuer, any Guarantor or any Affiliate of them shall be disregarded and deemed not to be “outstanding”, except that, for the purpose of determining whether the Trustee shall be protected in relying on any such direction, waiver or consent, only Notes which a Trust Officer of the Trustee actually knows are so owned shall be so disregarded. Also, subject to the foregoing, only Notes outstanding at the time shall be considered in any such determination.</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13.5 </w:t>
      </w:r>
      <w:r>
        <w:rPr>
          <w:rFonts w:ascii="Times New Roman" w:cs="Times New Roman" w:eastAsia="Times New Roman" w:hAnsi="Times New Roman"/>
          <w:sz w:val="18"/>
          <w:szCs w:val="18"/>
          <w:u w:val="single" w:color="auto"/>
          <w:color w:val="auto"/>
        </w:rPr>
        <w:t>Rules by Trustee, Paying Agent and Registrar</w:t>
      </w:r>
      <w:r>
        <w:rPr>
          <w:rFonts w:ascii="Times New Roman" w:cs="Times New Roman" w:eastAsia="Times New Roman" w:hAnsi="Times New Roman"/>
          <w:sz w:val="18"/>
          <w:szCs w:val="18"/>
          <w:color w:val="auto"/>
        </w:rPr>
        <w:t>. The Trustee may make reasonable rules for action by, or at meetings of, Holders. The Registrar and the Paying Agent may make reasonable rules for their functions.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13.6 </w:t>
      </w:r>
      <w:r>
        <w:rPr>
          <w:rFonts w:ascii="Times New Roman" w:cs="Times New Roman" w:eastAsia="Times New Roman" w:hAnsi="Times New Roman"/>
          <w:sz w:val="18"/>
          <w:szCs w:val="18"/>
          <w:u w:val="single" w:color="auto"/>
          <w:color w:val="auto"/>
        </w:rPr>
        <w:t>Legal Holidays</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Legal Holiday</w:t>
      </w:r>
      <w:r>
        <w:rPr>
          <w:rFonts w:ascii="Times New Roman" w:cs="Times New Roman" w:eastAsia="Times New Roman" w:hAnsi="Times New Roman"/>
          <w:sz w:val="18"/>
          <w:szCs w:val="18"/>
          <w:color w:val="auto"/>
        </w:rPr>
        <w:t>” is a Saturday, a Sunday or other day on which commercial banking institutions are authorized or required to be closed in New York, New York or the jurisdiction of the place of payment. If a payment date or a Redemption Date is a Legal Holiday, payment shall be made on the next succeeding day that is not a Legal Holiday, and no interest shall accrue for the intervening period. If a regular record date is a Legal Holiday, the record date shall not be affected.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13.7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INDENTURE, THE NOTES AND THE NOTE GUARANTEES AND THE RIGHTS AND DUTIES OF THE PARTIES HEREUNDER AND THEREUNDER SHALL BE GOVERNED BY, AND CONSTRUED IN ACCORDANCE WITH, THE LAWS OF THE STATE OF NEW YORK.</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SECTION 13.8 </w:t>
      </w: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The Issuer and the Guarantors agree that any suit, action or proceeding against the Issuer or any Guarantor brought by any Holder or the Trustee arising out of or based upon this Indenture, the Note Guarantees or the Notes may be instituted in any state or Federal court in the Borough of Manhattan, New York, New York, and any appellate court from any thereof, and each of them irrevocably submits to the non-exclusive jurisdiction of such courts in any suit, action or proceeding. The Issuer and the Guarantors irrevocably waive, to the fullest extent permitted by law, any objection to any suit, action, or proceeding that may be brought in connection with this Indenture, the Note Guarantees or the Notes, including such actions, suits or proceedings relating to securities laws of the United States of America or any state thereof, in such courts whether on the grounds of venue, residence or domicile or on the ground that any such suit, action or proceeding has been brought in an inconvenient forum. The Issuer and the Guarantors agree that final judgment in any such suit, action or proceeding brought in such court shall be conclusive and binding upon the Issuer or the Guarantors, as the case may be, and may be enforced in any court to the jurisdiction of which the Issuer or the Guarantors, as the case may be, are subject by a suit upon such judgment.</w:t>
      </w:r>
    </w:p>
    <w:p>
      <w:pPr>
        <w:spacing w:after="0" w:line="19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SECTION 13.9 </w:t>
      </w:r>
      <w:r>
        <w:rPr>
          <w:rFonts w:ascii="Times New Roman" w:cs="Times New Roman" w:eastAsia="Times New Roman" w:hAnsi="Times New Roman"/>
          <w:sz w:val="18"/>
          <w:szCs w:val="18"/>
          <w:u w:val="single" w:color="auto"/>
          <w:color w:val="auto"/>
        </w:rPr>
        <w:t>Waivers of Jury Trial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EACH OF THE ISSUER, THE GUARANTORS, THE HOLDERS AND THE TRUSTEE HEREBY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IRREVOCABLY AND UNCONDITIONALLY WAIVES, TO THE FULLEST EXTENT PERMITTED BY APPLICABLE LAW, ANY AND ALL RIGHT TO TRIAL BY JURY IN ANY LEGAL ACTION OR PROCEEDING ARISING OUT OF OR RELATING TO THIS INDENTURE, THE NOTES OR THE NOTE GUARANTEES AND FOR ANY COUNTERCLAIM THEREIN.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13.10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The parties to this Indenture agree that they will provide the Trustee with such information as it may request in order to satisfy the requirements of the USA PATRIOT Act.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0" w:name="page131"/>
    <w:bookmarkEnd w:id="130"/>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SECTION 13.11 </w:t>
      </w: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 No director, officer, employee, incorporator or shareholder of the Issuer or any of its respective Subsidiaries or Affiliates, or such (other than the Issuer and the Guarantors), shall have any liability for any obligations of the Issuer or the Guarantors under the Notes, the Note Guarantees or this Indenture or for any claim based on, in respect of, or by reason of such obligations or their creation. Each Holder by accepting a Note waives and releases all such liability. The waiver and release are part of the consideration for issuance of the Notes. Such waiver may not be effective to waive liabilities under the federal securities laws and it is the view of the SEC that such a waiver is against public policy.</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13.12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agreements of the Issuer and each Guarantor in this Indenture and the Notes shall bind their respective successors. All agreements of the Trustee in this Indenture shall bind its successors.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SECTION 13.13 </w:t>
      </w:r>
      <w:r>
        <w:rPr>
          <w:rFonts w:ascii="Times New Roman" w:cs="Times New Roman" w:eastAsia="Times New Roman" w:hAnsi="Times New Roman"/>
          <w:sz w:val="18"/>
          <w:szCs w:val="18"/>
          <w:u w:val="single" w:color="auto"/>
          <w:color w:val="auto"/>
        </w:rPr>
        <w:t>Counterparts; Electronic Signatures</w:t>
      </w:r>
      <w:r>
        <w:rPr>
          <w:rFonts w:ascii="Times New Roman" w:cs="Times New Roman" w:eastAsia="Times New Roman" w:hAnsi="Times New Roman"/>
          <w:sz w:val="18"/>
          <w:szCs w:val="18"/>
          <w:color w:val="auto"/>
        </w:rPr>
        <w:t>. The parties may sign any number of copies of this Indenture. Each signed copy shall be an original, but all of them together represent the same agreement.</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exchange of copies of this Indenture and of signature pages by facsimile, PDF or other electronic transmission (including a digital signature provided by DocuSign) shall constitute effective execution and delivery of this Indenture as to the parties hereto and may be used in lieu of the original Indenture for all purposes. Signatures of the parties hereto transmitted by facsimile, PDF or other electronic methods shall be deemed to be their original signatures for all purposes. Unless otherwise provided in this Indenture or in any Note, the words “execute”, “execution”, “signed”, and “signature” and words of similar import used in or related to any document to be signed in connection with this Indenture, any Note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notwithstanding anything to the contrary set forth herein, the Trustee is under no obligation to agree to accept electronic signatures in any form or format unless expressly agreed to by the Trustee pursuant to procedures approved by the Trustee.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13.14 </w:t>
      </w:r>
      <w:r>
        <w:rPr>
          <w:rFonts w:ascii="Times New Roman" w:cs="Times New Roman" w:eastAsia="Times New Roman" w:hAnsi="Times New Roman"/>
          <w:sz w:val="18"/>
          <w:szCs w:val="18"/>
          <w:u w:val="single" w:color="auto"/>
          <w:color w:val="auto"/>
        </w:rPr>
        <w:t>Table of Contents; Headings</w:t>
      </w:r>
      <w:r>
        <w:rPr>
          <w:rFonts w:ascii="Times New Roman" w:cs="Times New Roman" w:eastAsia="Times New Roman" w:hAnsi="Times New Roman"/>
          <w:sz w:val="18"/>
          <w:szCs w:val="18"/>
          <w:color w:val="auto"/>
        </w:rPr>
        <w:t>. The table of contents, cross-reference table and headings of the Articles and Sections of this Indenture have been inserted for convenience of reference only, are not intended to be considered a part hereof and shall not modify or restrict any of the terms or provisions hereof.</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SECTION 13.15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In no event shall the Trustee or any agent be responsible or liable for any failure or delay in the performance of its obligations hereunder arising out of or caused by, directly or indirectly, forces beyond its control, including, without limitation, strikes, pandemics, epidemics,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SECTION 13.16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provision in this Indenture or in the Notes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SECTION 13.17 </w:t>
      </w:r>
      <w:r>
        <w:rPr>
          <w:rFonts w:ascii="Times New Roman" w:cs="Times New Roman" w:eastAsia="Times New Roman" w:hAnsi="Times New Roman"/>
          <w:sz w:val="18"/>
          <w:szCs w:val="18"/>
          <w:u w:val="single" w:color="auto"/>
          <w:color w:val="auto"/>
        </w:rPr>
        <w:t>Waiver of Immunities</w:t>
      </w:r>
      <w:r>
        <w:rPr>
          <w:rFonts w:ascii="Times New Roman" w:cs="Times New Roman" w:eastAsia="Times New Roman" w:hAnsi="Times New Roman"/>
          <w:sz w:val="18"/>
          <w:szCs w:val="18"/>
          <w:color w:val="auto"/>
        </w:rPr>
        <w:t>. To the extent that any of the Issuer or any Guarantor or any of its properties, assets or revenues may have or may hereafter become entitled to, or have attributed to them, any right of immunity, on the grounds of sovereignty, from any legal action, suit or proceeding, from set-off or counterclaim, from the jurisdiction of any court, from service of process, from attachment upon or prior to judgment, or from attachment in aid of execution of judgment, or from execution of judgment, or other legal process or proceeding for the giving of any relief or for the enforcement of any judgment, in any jurisdiction in which proceedings may at any time be commenced, with respect to their obligations, liabilities or any other matter under or arising out of or in connection with this Indenture, the Notes or the Note Guarantees, the Issuer and each Guarantor hereby irrevocably and unconditionally, to the extent permitted by applicable law, waives and agrees not to plead or claim any such immunity and consents to such relief and enforcement.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SECTION 13.18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The Issuer and each Guarantor agrees to indemnify the recipient against any loss incurred by such recipient as a result of any judgment or order being given or made against the Issuer or any Guarantor for any amount due hereunder and such judgment or order being expressed and paid in a currency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other than U.S. Dollars and as a result of any variation as between (i) the rate of exchange at which the U.S. Dollar amount is converted into the Judgment Currency for the purpose of such judgment or order, and (ii) the rate of exchange in The City of New York at which such party on the date of payment of such judgment or order is able to purchase U.S. Dollars with the amount of the Judgment Currency actually received by such party if such party had utilized such amount of Judgment Currency to purchase U.S. Dollars as promptly as practicable upon such party’s receipt thereof. The foregoing indemnity shall constitute a separate and independent obligation of the Issuer and each Guarantor and shall continue in full force and effect notwithstanding any such judgment or order as aforesaid. The term “rate of exchange” shall include any premiums and costs of exchange payable in connection with the purchase of, or conversion into, the relevant currency.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on following pages]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color w:val="auto"/>
        </w:rPr>
        <w:t>IN WITNESS WHEREOF, the parties have caused this Indenture to be duly executed all as of the date and year first written above.</w:t>
      </w:r>
    </w:p>
    <w:p>
      <w:pPr>
        <w:spacing w:after="0" w:line="2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Issuer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Andrew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Andrew Boll</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&amp; Chief Financial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IP,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EYE,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ANALYTICAL SERVICES, LLC</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Harrow, Inc.</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Sole Member</w:t>
      </w:r>
    </w:p>
    <w:p>
      <w:pPr>
        <w:spacing w:after="0" w:line="20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Andrew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Andrew Boll</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&amp; Chief Financial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IMPRIMISRX,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IMPRIMIS NJOF,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IMPRIMISRX NJ,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IMPRIMISRX NASHVILLE, LLC</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Harrow, Inc.</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Sole Member</w:t>
      </w:r>
    </w:p>
    <w:p>
      <w:pPr>
        <w:spacing w:after="0" w:line="20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Andrew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Andrew Boll</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&amp; Chief Financial Officer</w:t>
      </w:r>
    </w:p>
    <w:p>
      <w:pPr>
        <w:spacing w:after="0" w:line="20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i w:val="1"/>
          <w:iCs w:val="1"/>
          <w:color w:val="auto"/>
        </w:rPr>
        <w:t>[Signature Page to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32" w:name="page133"/>
    <w:bookmarkEnd w:id="132"/>
    <w:p>
      <w:pPr>
        <w:ind w:left="4520"/>
        <w:spacing w:after="0" w:line="286" w:lineRule="auto"/>
        <w:rPr>
          <w:sz w:val="20"/>
          <w:szCs w:val="20"/>
          <w:color w:val="auto"/>
        </w:rPr>
      </w:pPr>
      <w:r>
        <w:rPr>
          <w:rFonts w:ascii="Times New Roman" w:cs="Times New Roman" w:eastAsia="Times New Roman" w:hAnsi="Times New Roman"/>
          <w:sz w:val="18"/>
          <w:szCs w:val="18"/>
          <w:b w:val="1"/>
          <w:bCs w:val="1"/>
          <w:color w:val="auto"/>
        </w:rPr>
        <w:t>U.S. BANK TRUST COMPANY, NATIONAL ASSOCIATION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Trustee, Registrar and Paying Agent</w:t>
      </w:r>
    </w:p>
    <w:p>
      <w:pPr>
        <w:spacing w:after="0" w:line="157"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18415</wp:posOffset>
            </wp:positionV>
            <wp:extent cx="320611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Wally Jones</w:t>
      </w:r>
    </w:p>
    <w:p>
      <w:pPr>
        <w:spacing w:after="0" w:line="23"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w:t>
      </w:r>
    </w:p>
    <w:p>
      <w:pPr>
        <w:spacing w:after="0" w:line="20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i w:val="1"/>
          <w:iCs w:val="1"/>
          <w:color w:val="auto"/>
        </w:rPr>
        <w:t>[Signature Page to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309880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380"/>
          </w:cols>
          <w:pgMar w:left="1440" w:top="684" w:right="1079" w:bottom="1440" w:gutter="0" w:footer="0" w:header="0"/>
        </w:sectPr>
      </w:pPr>
    </w:p>
    <w:bookmarkStart w:id="133" w:name="page134"/>
    <w:bookmarkEnd w:id="133"/>
    <w:p>
      <w:pPr>
        <w:ind w:left="1030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FACE OF GLOBAL RESTRICTED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[Global Notes Legend]</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NEW YORK, NEW YORK, TO THE ISSUER OR THE AGENT OF THE ISSUER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TRANSFERS OF THIS GLOBAL NOTE SHALL BE LIMITED TO TRANSFERS IN WHOLE, BUT NOT IN PART, TO DTC, TO NOMINEES OF DTC OR TO A SUCCESSOR THEREOF OR SUCH SUCCESSOR’S NOMINEE AND TRANSFERS OF PORTIONS OF THIS GLOBAL NOTE SHALL BE LIMITED TO TRANSFERS MADE IN ACCORDANCE WITH THE RESTRICTIONS SET FORTH IN THE INDENTURE REFERRED TO ON THE REVERSE 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[Restricted Notes Legend]</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NOTES HAVE NOT BEEN REGISTERED UNDER THE SECURITIES ACT OF 1933, AS AMENDED (THE “SECURITIES ACT”), OR THE SECURITIES LAWS OF ANY STATE OR OTHER JURISDICTION. NEITHER THIS NOTE NOR ANY INTEREST OR PARTICIPATION HEREIN MAY BE REOFFERED, SOLD, ASSIGNED, TRANSFERRED, PLEDGED, ENCUMBERED OR OTHERWISE DISPOSED OF IN THE ABSENCE OF SUCH REGISTRATION OR UNLESS SUCH TRANSACTION IS EXEMPT FROM, OR NOT SUBJECT TO, REGISTRATION AS SET FORTH BELOW. BY ITS ACQUISITION HEREOF, THE HOLDER (1) REPRESENTS THAT (A) IT IS A “QUALIFIED INSTITUTIONAL BUYER” (AS DEFINED IN RULE 144A UNDER THE SECURITIES ACT (“RULE 144A”)), OR (B) IT IS NOT A U.S. PERSON AND IS ACQUIRING THIS NOTE IN AN OFFSHORE TRANSACTION IN COMPLIANCE WITH REGULATION S UNDER THE SECURITIES ACT (“REGULATION S”), (2) AGREES TO OFFER, SELL, PLEDGE OR OTHERWISE TRANSFER SUCH NOTE PRIOR TO THE DATE THAT IS [IN THE CASE OF RULE 144A NOTES: ONE YEAR] [IN THE CASE OF REGULATION S NOTES: 40 DAYS] AFTER THE LATER OF THE DATE THE NOTES WERE ISSUED AND THE LAST DATE THAT THE ISSUER OR ANY OF ITS AFFILIATES WERE THE OWNER OF THE NOTES OR ANY PREDECESSOR OF THE NOTES ONLY (A) TO THE ISSUER, (B) PURSUANT TO A REGISTRATION STATEMENT WHICH HAS BEEN DECLARED EFFECTIVE UNDER THE SECURITIES ACT, (C) FOR SO LONG AS THE NOTES ARE ELIGIBLE FOR RESALE PURSUANT TO RULE 144A TO A PERSON IT REASONABLY BELIEVES IS A QUALIFIED INSTITUTIONAL BUYER THAT PURCHASES FOR ITS OWN ACCOUNT OR FOR THE ACCOUNT OF A QUALIFIED INSTITUTIONAL BUYER TO WHOM NOTICE IS GIVEN THAT THE TRANSFER IS BEING MADE IN RELIANCE ON RULE 144A, (D) OUTSIDE THE UNITED STATES PURSUANT TO OFFERS AND SALES TO NON-U.S. PERSONS IN AN OFFSHORE TRANSACTION PURSUANT TO REGULATION S IN A TRANSACTION MEETING THE REQUIREMENTS OF RULE 903 OR RULE 904 UNDER THE SECURITIES ACT OR (E) PURSUANT TO ANOTHER AVAILABLE EXEMPTION FROM THE REGISTRATION REQUIREMENTS OF THE SECURITIES ACT, SUBJECT TO THE ISSUER’S OR THE TRUSTEE’S RIGHT PRIOR TO ANY SUCH OFFER, SALE OR TRANSFER PURSUANT TO CLAUSE (D) OR (E) TO REQUIRE THE DELIVERY OF AN OPINION OF COUNSEL, CERTIFICATION AND/OR OTHER INFORMATION SATISFACTORY TO EACH OF THEM.</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4" w:name="page135"/>
    <w:bookmarkEnd w:id="134"/>
    <w:p>
      <w:pPr>
        <w:jc w:val="center"/>
        <w:ind w:right="-19"/>
        <w:spacing w:after="0"/>
        <w:rPr>
          <w:sz w:val="20"/>
          <w:szCs w:val="20"/>
          <w:color w:val="auto"/>
        </w:rPr>
      </w:pPr>
      <w:r>
        <w:rPr>
          <w:rFonts w:ascii="Times New Roman" w:cs="Times New Roman" w:eastAsia="Times New Roman" w:hAnsi="Times New Roman"/>
          <w:sz w:val="18"/>
          <w:szCs w:val="18"/>
          <w:color w:val="auto"/>
        </w:rPr>
        <w:t>[Definitive Notes Legend]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5" w:name="page136"/>
    <w:bookmarkEnd w:id="135"/>
    <w:p>
      <w:pPr>
        <w:jc w:val="center"/>
        <w:ind w:right="-19"/>
        <w:spacing w:after="0"/>
        <w:rPr>
          <w:sz w:val="20"/>
          <w:szCs w:val="20"/>
          <w:color w:val="auto"/>
        </w:rPr>
      </w:pPr>
      <w:r>
        <w:rPr>
          <w:rFonts w:ascii="Times New Roman" w:cs="Times New Roman" w:eastAsia="Times New Roman" w:hAnsi="Times New Roman"/>
          <w:sz w:val="18"/>
          <w:szCs w:val="18"/>
          <w:color w:val="auto"/>
        </w:rPr>
        <w:t>8.625% Senior Note Due 2030</w:t>
      </w:r>
    </w:p>
    <w:p>
      <w:pPr>
        <w:sectPr>
          <w:pgSz w:w="11900" w:h="16838" w:orient="portrait"/>
          <w:cols w:equalWidth="0" w:num="1">
            <w:col w:w="11240"/>
          </w:cols>
          <w:pgMar w:left="320" w:top="688"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w:t>
      </w:r>
    </w:p>
    <w:p>
      <w:pPr>
        <w:spacing w:after="0" w:line="211" w:lineRule="exact"/>
        <w:rPr>
          <w:sz w:val="20"/>
          <w:szCs w:val="20"/>
          <w:color w:val="auto"/>
        </w:rPr>
      </w:pPr>
    </w:p>
    <w:p>
      <w:pPr>
        <w:sectPr>
          <w:pgSz w:w="11900" w:h="16838" w:orient="portrait"/>
          <w:cols w:equalWidth="0" w:num="2">
            <w:col w:w="9360" w:space="720"/>
            <w:col w:w="1160"/>
          </w:cols>
          <w:pgMar w:left="320" w:top="688" w:right="339" w:bottom="1440" w:gutter="0" w:footer="0" w:header="0"/>
          <w:type w:val="continuous"/>
        </w:sectPr>
      </w:pPr>
    </w:p>
    <w:p>
      <w:pPr>
        <w:spacing w:after="0" w:line="25" w:lineRule="exact"/>
        <w:rPr>
          <w:sz w:val="20"/>
          <w:szCs w:val="20"/>
          <w:color w:val="auto"/>
        </w:rPr>
      </w:pPr>
    </w:p>
    <w:p>
      <w:pPr>
        <w:ind w:left="9340"/>
        <w:spacing w:after="0"/>
        <w:rPr>
          <w:sz w:val="20"/>
          <w:szCs w:val="20"/>
          <w:color w:val="auto"/>
        </w:rPr>
      </w:pPr>
      <w:r>
        <w:rPr>
          <w:rFonts w:ascii="Times New Roman" w:cs="Times New Roman" w:eastAsia="Times New Roman" w:hAnsi="Times New Roman"/>
          <w:sz w:val="17"/>
          <w:szCs w:val="17"/>
          <w:color w:val="auto"/>
        </w:rPr>
        <w:t>CUSIP No.____________</w:t>
      </w:r>
    </w:p>
    <w:p>
      <w:pPr>
        <w:sectPr>
          <w:pgSz w:w="11900" w:h="16838" w:orient="portrait"/>
          <w:cols w:equalWidth="0" w:num="1">
            <w:col w:w="11240"/>
          </w:cols>
          <w:pgMar w:left="320" w:top="688" w:right="339" w:bottom="1440" w:gutter="0" w:footer="0" w:header="0"/>
          <w:type w:val="continuous"/>
        </w:sectPr>
      </w:pPr>
    </w:p>
    <w:p>
      <w:pPr>
        <w:spacing w:after="0" w:line="17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Harrow, Inc.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 Delaware corporation, promises to pay to [________]</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or registered assigns, the principal sum [of</w:t>
      </w:r>
    </w:p>
    <w:p>
      <w:pPr>
        <w:spacing w:after="0"/>
        <w:rPr>
          <w:sz w:val="20"/>
          <w:szCs w:val="20"/>
          <w:color w:val="auto"/>
        </w:rPr>
      </w:pPr>
      <w:r>
        <w:rPr>
          <w:rFonts w:ascii="Times New Roman" w:cs="Times New Roman" w:eastAsia="Times New Roman" w:hAnsi="Times New Roman"/>
          <w:sz w:val="18"/>
          <w:szCs w:val="18"/>
          <w:color w:val="auto"/>
        </w:rPr>
        <w:t>________ U.S. Dollars]</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on September 15, 2030.</w:t>
      </w:r>
    </w:p>
    <w:p>
      <w:pPr>
        <w:spacing w:after="0" w:line="11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Interest Payment Dates: March 15 and September 15 (commencing on March 15, 2026).</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Regular Record Dates: March 1 and September 1.</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Additional provisions of this Note are set forth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21" w:lineRule="exact"/>
        <w:rPr>
          <w:sz w:val="20"/>
          <w:szCs w:val="20"/>
          <w:color w:val="auto"/>
        </w:rPr>
      </w:pPr>
    </w:p>
    <w:p>
      <w:pPr>
        <w:ind w:left="340" w:hanging="332"/>
        <w:spacing w:after="0"/>
        <w:tabs>
          <w:tab w:leader="none" w:pos="340" w:val="left"/>
        </w:tabs>
        <w:numPr>
          <w:ilvl w:val="0"/>
          <w:numId w:val="17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Global Notes insert: Cede &amp; Co.</w:t>
      </w:r>
    </w:p>
    <w:p>
      <w:pPr>
        <w:spacing w:after="0" w:line="1" w:lineRule="exact"/>
        <w:rPr>
          <w:sz w:val="20"/>
          <w:szCs w:val="20"/>
          <w:color w:val="auto"/>
        </w:rPr>
      </w:pPr>
    </w:p>
    <w:p>
      <w:pPr>
        <w:ind w:left="5480" w:right="3200" w:hanging="5472"/>
        <w:spacing w:after="0" w:line="349" w:lineRule="auto"/>
        <w:tabs>
          <w:tab w:leader="none" w:pos="328" w:val="left"/>
        </w:tabs>
        <w:numPr>
          <w:ilvl w:val="0"/>
          <w:numId w:val="17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For Global Notes insert: set forth on the Schedule of Increases or Decreases in Global Note attached hereto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auto"/>
        </w:rPr>
        <w:t>IN WITNESS WHEREOF, the Issuer has caused this instrument to be duly executed.</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HARROW, INC.</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Andrew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Andrew Boll</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&amp; Chief Financial Officer</w:t>
      </w:r>
    </w:p>
    <w:p>
      <w:pPr>
        <w:spacing w:after="0" w:line="20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bookmarkStart w:id="137" w:name="page138"/>
    <w:bookmarkEnd w:id="137"/>
    <w:p>
      <w:pPr>
        <w:ind w:left="3700"/>
        <w:spacing w:after="0"/>
        <w:rPr>
          <w:sz w:val="20"/>
          <w:szCs w:val="20"/>
          <w:color w:val="auto"/>
        </w:rPr>
      </w:pPr>
      <w:r>
        <w:rPr>
          <w:rFonts w:ascii="Times New Roman" w:cs="Times New Roman" w:eastAsia="Times New Roman" w:hAnsi="Times New Roman"/>
          <w:sz w:val="18"/>
          <w:szCs w:val="18"/>
          <w:color w:val="auto"/>
        </w:rPr>
        <w:t>TRUSTEE CERTIFICATE OF AUTHENTICATION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Note is one of the 8.625% Senior Notes due 2030 referred to in the within-mentioned Indenture.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3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Trustee</w:t>
      </w: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Wally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Dated: September 12, 2025</w:t>
      </w:r>
    </w:p>
    <w:p>
      <w:pPr>
        <w:spacing w:after="0" w:line="20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00"/>
          </w:cols>
          <w:pgMar w:left="320" w:top="688" w:right="127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color w:val="auto"/>
        </w:rPr>
        <w:t>[FORM OF REVERSE SIDE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HARROW,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8.625% SENIOR NOTES DUE 2030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herein and not defined herein have the meanings ascribed thereto in the Indenture.</w:t>
      </w:r>
    </w:p>
    <w:p>
      <w:pPr>
        <w:spacing w:after="0" w:line="225" w:lineRule="exact"/>
        <w:rPr>
          <w:sz w:val="20"/>
          <w:szCs w:val="20"/>
          <w:color w:val="auto"/>
        </w:rPr>
      </w:pPr>
    </w:p>
    <w:p>
      <w:pPr>
        <w:ind w:left="340" w:hanging="332"/>
        <w:spacing w:after="0"/>
        <w:tabs>
          <w:tab w:leader="none" w:pos="34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Issuer promises to pay interest on the principal amount of this Note at 8.625% per annum from September 12, 2025 until maturity. The Issuer shall pay interest semi-annually in arrears every March 15 and September 15 of each year, or if any such day is not a Business Day, on the next succeeding Business Day (each, an “</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Interest on the Notes shall accrue from the most recent date to which interest has been paid or, if no interest has been paid, from the date of issuance;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first Interest Payment Date shall be March 15, 2026. The Issuer shall pay interest on overdue principal at the rate specified herein, and it shall pay interest (including post-petition interest in any proceeding under any Bankruptcy Law) on overdue installments of interest (without regard to any applicable grace period) at the same rate to the extent lawful. Interest on the Notes will be computed on the basis of a 360-day year comprised of twelve 30-day months.</w:t>
      </w:r>
    </w:p>
    <w:p>
      <w:pPr>
        <w:spacing w:after="0" w:line="189" w:lineRule="exact"/>
        <w:rPr>
          <w:sz w:val="20"/>
          <w:szCs w:val="20"/>
          <w:color w:val="auto"/>
        </w:rPr>
      </w:pPr>
    </w:p>
    <w:p>
      <w:pPr>
        <w:ind w:left="340" w:hanging="332"/>
        <w:spacing w:after="0"/>
        <w:tabs>
          <w:tab w:leader="none" w:pos="3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By no later than 11:00 a.m. (New York City time) on the date on which any principal of, premium, if any, or interest, on any Note is due and payable, the Issuer shall deposit with the Paying Agent a sum sufficient in immediately available funds to pay such principal, premium, interest when due. Interest on any Note which is payable, and is timely paid or duly provided for, on any Interest Payment Date shall be paid to the Person in whose name such Note (or one or more Predecessor Notes) is registered at the close of business on the preceding March 1 and September 1 at the office or agency of the Issuer maintained for such purpose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of the Indenture. The principal of (and premium, if any) and interest on the Notes shall be payable at the office or agency of Paying Agent or Registrar designated by the Issuer maintained for such purpose (which shall initially be the office of the Trustee maintained for such purpose), or at such other office or agency of the Issuer as may be maintained for such purpose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of the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the option of the Paying Agent, each installment of interest may be paid by (i) check mailed to addresses of the Persons entitled thereto as such addresses shall appear on the Notes Register or (ii) wire transfer to an account located in the United States maintained by the payee, subject to the third to the last sentence of this paragraph. Payments in respect of Notes represented by a Global Note (including principal, premium, if any, and interest) will be made by wire transfer of immediately available funds to the accounts specified by The Depository Trust Company or any successor depository. Payments in respect of Notes represented by Definitive Notes (including principal, premium, if any, and interest) held by a Holder of at least $1,000,000 aggregate principal amount of Notes represented by Definitive Notes will be made in accordance with the Notes Register, or by wire transfer to a U.S. Dollar account maintained by the payee with a bank in the United States if such Holder elects payment by wire transfer by giving written notice to the Trustee or the Paying Agent to such effect designating such account no later than 15 days immediately preceding the relevant due date for payment (or such other date as the Trustee may accept in its discretion). If any payment date is a Legal Holiday, payment shall be made on the next succeeding day that is not a Legal Holiday, and no interest shall accrue for the intervening period. If a regular record date is a Legal Holiday, the record date shall not be affected.</w:t>
      </w:r>
    </w:p>
    <w:p>
      <w:pPr>
        <w:spacing w:after="0" w:line="192" w:lineRule="exact"/>
        <w:rPr>
          <w:sz w:val="20"/>
          <w:szCs w:val="20"/>
          <w:color w:val="auto"/>
        </w:rPr>
      </w:pPr>
    </w:p>
    <w:p>
      <w:pPr>
        <w:ind w:left="340" w:hanging="332"/>
        <w:spacing w:after="0"/>
        <w:tabs>
          <w:tab w:leader="none" w:pos="3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 and Registrar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Issuer has initially appointed U.S. Bank Trust Company, National Association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as Registrar and Paying Agent for the Notes. The Issuer may change any Registrar or Paying Agent without prior notice to the Holders. The Issuer or any Guarantor may act as Paying Agent, Registrar or transfer agent.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9" w:name="page140"/>
    <w:bookmarkEnd w:id="139"/>
    <w:p>
      <w:pPr>
        <w:ind w:left="340" w:hanging="332"/>
        <w:spacing w:after="0"/>
        <w:tabs>
          <w:tab w:leader="none" w:pos="3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Issuer issued the Notes under an Indenture dated as of September 12, 2025, among the Issuer, the Guarantors named therein and the Trustee (as it may be amended or supplemented from time to time in accordance with the terms thereof,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The terms of the Notes include those stated in the Indenture. The Notes are subject to all terms and provisions of the Indenture, and Holders are referred to the Indenture for a statement of those terms. In the event of a conflict between the terms of the Notes and the terms of the Indenture, the terms of the Indenture shall control.</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Notes are senior obligations of the Issuer. The aggregate principal amount of Notes that may be authenticated and delivered under the Indenture is unlimited. This Note is one of the 8.625% Senior Notes due 2030 referred to in the Indenture. The Notes include (i) $250,000,000 principal amount of the Issuer’s 8.625% Senior Notes due 2030 issued under the Indenture on September 12, 2025 (the “</w:t>
      </w:r>
      <w:r>
        <w:rPr>
          <w:rFonts w:ascii="Times New Roman" w:cs="Times New Roman" w:eastAsia="Times New Roman" w:hAnsi="Times New Roman"/>
          <w:sz w:val="18"/>
          <w:szCs w:val="18"/>
          <w:u w:val="single" w:color="auto"/>
          <w:color w:val="auto"/>
        </w:rPr>
        <w:t>Initial Notes</w:t>
      </w:r>
      <w:r>
        <w:rPr>
          <w:rFonts w:ascii="Times New Roman" w:cs="Times New Roman" w:eastAsia="Times New Roman" w:hAnsi="Times New Roman"/>
          <w:sz w:val="18"/>
          <w:szCs w:val="18"/>
          <w:color w:val="auto"/>
        </w:rPr>
        <w:t>”) and (ii) if and when issued, additional Notes that may be issued from time to time under the Indenture subsequent to September 12, 2025 (the “</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xml:space="preserve">”) as provided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of the Indenture. The Initial Notes and the Additional Notes shall be considered collectively as a single class for all purposes of the Indenture;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Additional Notes will not be issued with the same CUSIP as the existing Notes unless such Additional Notes are fungible with the existing Notes for U.S. federal income tax purposes. The Indenture imposes certain limitations on the incurrence of indebtedness, the making of restricted payments, the sale of assets, the incurrence of certain liens, the making of payments for consents, the entering into of agreements that restrict distribution from restricted subsidiaries and the consummation of mergers and consolidations. The Indenture also imposes requirements with respect to the provision of financial information and the provision of Note Guarantees by certain Subsidiaries.</w:t>
      </w:r>
    </w:p>
    <w:p>
      <w:pPr>
        <w:spacing w:after="0" w:line="194" w:lineRule="exact"/>
        <w:rPr>
          <w:sz w:val="20"/>
          <w:szCs w:val="20"/>
          <w:color w:val="auto"/>
        </w:rPr>
      </w:pPr>
    </w:p>
    <w:p>
      <w:pPr>
        <w:ind w:left="340" w:hanging="332"/>
        <w:spacing w:after="0"/>
        <w:tabs>
          <w:tab w:leader="none" w:pos="3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 Guarantees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and after the Issue Date, to Guarantee the due and punctual payment of the principal, premium, if any, interest (including post-filing or post-petition interest in any proceeding under Bankruptcy Law) on the Notes and all other amounts payable by the Issuer under the Indenture and the Notes when and as the same shall be due and payable, whether at maturity, by acceleration or otherwise, according to the terms of the Notes and the Indenture, each Guarantor will unconditionally Guarantee (and future guarantors, jointly and severally with the Guarantors, will fully and unconditionally Guarantee) such obligations on a senior basis pursuant to the terms of the Indenture.</w:t>
      </w:r>
    </w:p>
    <w:p>
      <w:pPr>
        <w:spacing w:after="0" w:line="183" w:lineRule="exact"/>
        <w:rPr>
          <w:sz w:val="20"/>
          <w:szCs w:val="20"/>
          <w:color w:val="auto"/>
        </w:rPr>
      </w:pPr>
    </w:p>
    <w:p>
      <w:pPr>
        <w:ind w:left="340" w:hanging="332"/>
        <w:spacing w:after="0"/>
        <w:tabs>
          <w:tab w:leader="none" w:pos="3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p>
    <w:p>
      <w:pPr>
        <w:spacing w:after="0" w:line="225" w:lineRule="exact"/>
        <w:rPr>
          <w:sz w:val="20"/>
          <w:szCs w:val="20"/>
          <w:color w:val="auto"/>
        </w:rPr>
      </w:pPr>
    </w:p>
    <w:p>
      <w:pPr>
        <w:jc w:val="both"/>
        <w:ind w:firstLine="8"/>
        <w:spacing w:after="0" w:line="258" w:lineRule="auto"/>
        <w:tabs>
          <w:tab w:leader="none" w:pos="24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September 15, 2027, the Company may redeem the Notes in whole or in part, at its option, upon not less than 10 nor more than 60 days’ prior notice, with a copy to the Trustee, to each Holder of Notes to the address of such Holder appearing in the Notes Register, at a redemption price (expressed as a percentage of the principal amount of the Notes to be redeemed) equal to 100.000% plus the relevant Applicable Premium as of, and accrued and unpaid interest, if any, to but excluding the date of redemption (the “</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subject to the rights of Holders on the relevant record date to receive interest due on the relevant Interest Payment Date.</w:t>
      </w:r>
    </w:p>
    <w:p>
      <w:pPr>
        <w:spacing w:after="0" w:line="183" w:lineRule="exact"/>
        <w:rPr>
          <w:rFonts w:ascii="Times New Roman" w:cs="Times New Roman" w:eastAsia="Times New Roman" w:hAnsi="Times New Roman"/>
          <w:sz w:val="18"/>
          <w:szCs w:val="18"/>
          <w:color w:val="auto"/>
        </w:rPr>
      </w:pPr>
    </w:p>
    <w:p>
      <w:pPr>
        <w:jc w:val="both"/>
        <w:ind w:firstLine="8"/>
        <w:spacing w:after="0" w:line="254" w:lineRule="auto"/>
        <w:tabs>
          <w:tab w:leader="none" w:pos="253"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and from time to time prior to September 15, 2027, the Company may on one or more occasions, upon not less than 10 nor more than 60 days’ prior notice, with a copy to the Trustee, to each Holder of Notes to the address of such Holder appearing in the Notes Register, redeem up to 40.0% of the original principal amount of Notes issued under the Indenture on the Issue Date (together with Additional Notes) at a redemption price (expressed as a percentage of the principal amount of Notes to be redeemed) equal to 108.625%, plus accrued and unpaid interest, if any, to but excluding, the applicable Redemption Date, subject to the right of Holders of record of the Notes on the relevant record date to receive interest due on the relevant Interest Payment Date, with the Net Cash Proceeds received by the Company of one or more Equity Offerings of the Company;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not less than 50.0% of the original principal amount of the then-outstanding Notes issued under the Indenture remains outstanding immediately after the occurrence of each such redemption (excluding Notes held by the Company or any of its Restricted Subsidiaries);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each such redemption occurs not later than 180 days after the date of closing of the related Equity Offering.</w:t>
      </w:r>
    </w:p>
    <w:p>
      <w:pPr>
        <w:spacing w:after="0" w:line="18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pursuant to clauses (a) and (b) of this paragraph 6, the Notes will not be redeemable at the Company’s option prior to September 15, 2027.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0" w:name="page141"/>
    <w:bookmarkEnd w:id="140"/>
    <w:p>
      <w:pPr>
        <w:jc w:val="both"/>
        <w:ind w:firstLine="8"/>
        <w:spacing w:after="0" w:line="256" w:lineRule="auto"/>
        <w:tabs>
          <w:tab w:leader="none" w:pos="251"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and from time to time on or after September 15, 2027, the Company may redeem the Notes, in whole or in part, upon not less than 10 nor more than 60 days’ prior notice, with a copy to the Trustee, to each Holder of Notes to the address of such Holder appearing in the Notes Register at the redemption prices (expressed as percentages of principal amount of the Notes to be redeemed) set forth in the table below, plus accrued and unpaid interest thereon, if any, to but excluding the applicable Redemption Date, subject to the right of Holders of record of the Notes on the relevant record date to receive interest due on the relevant Interest Payment Date, if redeemed during the twelve-month period beginning on September 15 of each of the years indicated in the table below:</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Year</w:t>
            </w:r>
          </w:p>
        </w:tc>
        <w:tc>
          <w:tcPr>
            <w:tcW w:w="1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Percentage</w:t>
            </w:r>
          </w:p>
        </w:tc>
      </w:tr>
      <w:tr>
        <w:trPr>
          <w:trHeight w:val="210"/>
        </w:trPr>
        <w:tc>
          <w:tcPr>
            <w:tcW w:w="7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52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104.31250%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102.15625%</w:t>
            </w:r>
          </w:p>
        </w:tc>
        <w:tc>
          <w:tcPr>
            <w:tcW w:w="80" w:type="dxa"/>
            <w:vAlign w:val="bottom"/>
          </w:tcPr>
          <w:p>
            <w:pPr>
              <w:spacing w:after="0"/>
              <w:rPr>
                <w:sz w:val="18"/>
                <w:szCs w:val="18"/>
                <w:color w:val="auto"/>
              </w:rPr>
            </w:pPr>
          </w:p>
        </w:tc>
      </w:tr>
      <w:tr>
        <w:trPr>
          <w:trHeight w:val="216"/>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 and thereafter</w:t>
            </w:r>
          </w:p>
        </w:tc>
        <w:tc>
          <w:tcPr>
            <w:tcW w:w="1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100.00000%</w:t>
            </w:r>
          </w:p>
        </w:tc>
        <w:tc>
          <w:tcPr>
            <w:tcW w:w="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8"/>
        <w:spacing w:after="0" w:line="253" w:lineRule="auto"/>
        <w:tabs>
          <w:tab w:leader="none" w:pos="269"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connection with any tender offer for the Notes, including a Change of Control Triggering Event Offer or Asset Disposition Offer, if Holders of not less than 90.0% in aggregate principal amount of the outstanding Notes validly tender and do not withdraw such Notes in such tender offer and the Company, or any third party making such tender offer in lieu of the Company, purchases all of the Notes validly tendered and not withdrawn by such Holders, the Company or such third party shall have the right upon not less than 15 nor more than 60 days’ prior notice, with a copy to the Trustee, to each Holder of Notes to the address of such Holder appearing in the Notes Register, given not more than 10 days following such purchase date to redeem all Notes that remain outstanding following such purchase at a redemption price equal to the price offered to each other Holder (excluding any early tender or incentive fee) in such tender offer plus, to the extent not included in the tender offer payment, accrued and unpaid interest, if any, thereon, to but not including, the date of such redemption. In determining whether the Holders of at least 90% of the aggregate principal amount of the outstanding Notes have validly tendered and not validly withdrawn such Notes in a tender offer, including a Change of Control Triggering Event Offer or Asset Disposition Offer, Notes owned by the Company or its Affiliates or by funds controlled or managed by any Affiliate of the Company, or any successor thereof, shall be deemed to be outstanding for the purposes of such tender offer.</w:t>
      </w:r>
    </w:p>
    <w:p>
      <w:pPr>
        <w:spacing w:after="0" w:line="191" w:lineRule="exact"/>
        <w:rPr>
          <w:rFonts w:ascii="Times New Roman" w:cs="Times New Roman" w:eastAsia="Times New Roman" w:hAnsi="Times New Roman"/>
          <w:sz w:val="18"/>
          <w:szCs w:val="18"/>
          <w:color w:val="auto"/>
        </w:rPr>
      </w:pPr>
    </w:p>
    <w:p>
      <w:pPr>
        <w:ind w:right="20" w:firstLine="8"/>
        <w:spacing w:after="0" w:line="282" w:lineRule="auto"/>
        <w:tabs>
          <w:tab w:leader="none" w:pos="226"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defaults in the payment of the redemption price, interest will cease to accrue on the Notes or portions thereof called for redemption on the applicable Redemption Date.</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redemption pursuant to this paragraph 6 shall be made pursuant to the provisions of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5.6</w:t>
      </w:r>
      <w:r>
        <w:rPr>
          <w:rFonts w:ascii="Times New Roman" w:cs="Times New Roman" w:eastAsia="Times New Roman" w:hAnsi="Times New Roman"/>
          <w:sz w:val="18"/>
          <w:szCs w:val="18"/>
          <w:color w:val="auto"/>
        </w:rPr>
        <w:t xml:space="preserve"> of the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required to make mandatory redemption or sinking fund payments with respect to the Notes.</w:t>
      </w:r>
    </w:p>
    <w:p>
      <w:pPr>
        <w:spacing w:after="0" w:line="225" w:lineRule="exact"/>
        <w:rPr>
          <w:sz w:val="20"/>
          <w:szCs w:val="20"/>
          <w:color w:val="auto"/>
        </w:rPr>
      </w:pPr>
    </w:p>
    <w:p>
      <w:pPr>
        <w:ind w:left="340" w:hanging="332"/>
        <w:spacing w:after="0"/>
        <w:tabs>
          <w:tab w:leader="none" w:pos="3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Repurchase Provisions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If a Change of Control Triggering Event occurs, unless the Company has previously or substantially concurrently therewith delivered a redemption notice with respect to all of the outstanding Notes, each Holder will have the right to require the Issuer to repurchase from each Holder all or any part (equal to a minimum denomination of $2,000 or an integral multiple of $1,000 in excess thereof) of such Holder’s Notes at a purchase price in cash equal to 101.0% of the aggregate principal amount thereof plus accrued and unpaid interest, to but excluding the date of purchase;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if the repurchase date is on or after the record date and on or before the corresponding Interest Payment Date, then Holders in whose name the Notes are registered at the close of business on such record date will receive the interest due on the repurchase date, as provided in, and subject to the terms of, the Indenture.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Upon certain Asset Dispositions, the Issuer may be required to use the Excess Proceeds from such Asset Dispositions to offer to purchase Notes and, at the Issuer’s option, Pari Passu Indebtedness out of the Excess Proceeds in accordance with the procedures set forth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of the Indenture.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1" w:name="page142"/>
    <w:bookmarkEnd w:id="141"/>
    <w:p>
      <w:pPr>
        <w:ind w:left="340" w:hanging="332"/>
        <w:spacing w:after="0"/>
        <w:tabs>
          <w:tab w:leader="none" w:pos="34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Transfer; Exchange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Notes shall be issuable only in fully registered form in minimum denominations of principal amount of $2,000 and any integral multiple of $1,000 in excess thereof. A Holder may transfer or exchange Notes in accordance with the Indenture. The Registrar may require a Holder, among other things, to furnish appropriate endorsements or transfer documents and to pay a sum sufficient to cover any tax and fees required by law or permitted by the Indenture. The Registrar need not register the transfer of or exchange of any Note (A) for a period beginning (1) fifteen (15) calendar days before the mailing of a notice of an offer to repurchase or redeem Notes and ending at the close of business on the day of such mailing or (2) fifteen (15) calendar days before an Interest Payment Date and ending on such Interest Payment Date or (B) called for redemption, except the unredeemed portion of any Note being redeemed in part.</w:t>
      </w:r>
    </w:p>
    <w:p>
      <w:pPr>
        <w:spacing w:after="0" w:line="189" w:lineRule="exact"/>
        <w:rPr>
          <w:sz w:val="20"/>
          <w:szCs w:val="20"/>
          <w:color w:val="auto"/>
        </w:rPr>
      </w:pPr>
    </w:p>
    <w:p>
      <w:pPr>
        <w:ind w:left="340" w:hanging="332"/>
        <w:spacing w:after="0"/>
        <w:tabs>
          <w:tab w:leader="none" w:pos="3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Deemed Owners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registered Holder of this Note may be treated as the owner of it for all purposes.</w:t>
      </w:r>
    </w:p>
    <w:p>
      <w:pPr>
        <w:spacing w:after="0" w:line="225" w:lineRule="exact"/>
        <w:rPr>
          <w:sz w:val="20"/>
          <w:szCs w:val="20"/>
          <w:color w:val="auto"/>
        </w:rPr>
      </w:pPr>
    </w:p>
    <w:p>
      <w:pPr>
        <w:ind w:left="340" w:hanging="332"/>
        <w:spacing w:after="0"/>
        <w:tabs>
          <w:tab w:leader="none" w:pos="3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Unclaimed Money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money for the payment of principal, premium, if any, interest remains unclaimed for two years, the Trustee or Paying Agent shall pay the money back to the Issuer at its written request unless an abandoned property law designates another Person to receive such money. After any such payment, Holders entitled to the money must look only to the Issuer and not to the Trustee for payment as general creditors unless an abandoned property law designates another person for payment.</w:t>
      </w:r>
    </w:p>
    <w:p>
      <w:pPr>
        <w:spacing w:after="0" w:line="180" w:lineRule="exact"/>
        <w:rPr>
          <w:sz w:val="20"/>
          <w:szCs w:val="20"/>
          <w:color w:val="auto"/>
        </w:rPr>
      </w:pPr>
    </w:p>
    <w:p>
      <w:pPr>
        <w:ind w:left="340" w:hanging="332"/>
        <w:spacing w:after="0"/>
        <w:tabs>
          <w:tab w:leader="none" w:pos="3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Discharge and Defeasance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certain exceptions and conditions set forth in the Indenture, the Issuer at any time may terminate some or all of its obligations under the Notes and the Indenture if the Issuer deposits with the Trustee money or U.S. Government Obligations for the payment of principal, premium, if any and interest on the Notes to redemption or maturity, as the case may be.</w:t>
      </w:r>
    </w:p>
    <w:p>
      <w:pPr>
        <w:spacing w:after="0" w:line="176" w:lineRule="exact"/>
        <w:rPr>
          <w:sz w:val="20"/>
          <w:szCs w:val="20"/>
          <w:color w:val="auto"/>
        </w:rPr>
      </w:pPr>
    </w:p>
    <w:p>
      <w:pPr>
        <w:ind w:left="340" w:hanging="332"/>
        <w:spacing w:after="0"/>
        <w:tabs>
          <w:tab w:leader="none" w:pos="34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Supplement, Waiver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certain exceptions contained in the Indenture, the Indenture and the Notes may be amended, or a Default thereunder may be waived, with the consent of the Holders of a majority in aggregate principal amount of the outstanding Notes. Without notice to or the consent of any Holder, the Issuer, the Guarantors and the Trustee may amend or supplement the Indenture and the Notes as provided in the Indenture.</w:t>
      </w:r>
    </w:p>
    <w:p>
      <w:pPr>
        <w:spacing w:after="0" w:line="176" w:lineRule="exact"/>
        <w:rPr>
          <w:sz w:val="20"/>
          <w:szCs w:val="20"/>
          <w:color w:val="auto"/>
        </w:rPr>
      </w:pPr>
    </w:p>
    <w:p>
      <w:pPr>
        <w:ind w:left="340" w:hanging="332"/>
        <w:spacing w:after="0"/>
        <w:tabs>
          <w:tab w:leader="none" w:pos="34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an Event of Default (other than an Event of Default relating to certain events of bankruptcy, insolvency or reorganization of the Issuer or certain Guarantors) occurs and is continuing, the Trustee by notice to the Issuer, or the Holders of at least 30.0% in aggregate principal amount of the outstanding Notes by notice to the Issuer and the Trustee, may declare the principal of and accrued and unpaid interest, and any other monetary obligations on all the Notes to be due and payable immediately. Upon the effectiveness of such declaration, such principal, interest, and other monetary obligations will be due and payable immediately. If a bankruptcy, insolvency or reorganization of the Issuer or a Significant Subsidiary (or any group of Restricted Subsidiaries, that taken together as of the latest audited consolidated financial statements for the Issuer and its Restricted Subsidiaries, would constitute a Significant Subsidiary) occurs and is continuing, the principal of and accrued and unpaid interest and any other monetary obligations on all the Notes will become and be immediately due and payable without any declaration or other act on the part of the Trustee or any Holders. Under certain circumstances, the Holders of a majority in aggregate principal amount of the outstanding Notes may rescind any such acceleration with respect to the Notes and its consequences. A notice of Default may not be given with respect to any action taken, and reported publicly or to Holders, more than two years prior to such notice of Default.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2" w:name="page143"/>
    <w:bookmarkEnd w:id="142"/>
    <w:p>
      <w:pPr>
        <w:jc w:val="both"/>
        <w:spacing w:after="0" w:line="256" w:lineRule="auto"/>
        <w:rPr>
          <w:sz w:val="20"/>
          <w:szCs w:val="20"/>
          <w:color w:val="auto"/>
        </w:rPr>
      </w:pPr>
      <w:r>
        <w:rPr>
          <w:rFonts w:ascii="Times New Roman" w:cs="Times New Roman" w:eastAsia="Times New Roman" w:hAnsi="Times New Roman"/>
          <w:sz w:val="18"/>
          <w:szCs w:val="18"/>
          <w:color w:val="auto"/>
        </w:rPr>
        <w:t>Any Noteholder Direction provided by any one or more Directing Holders must be accompanied by a Position Representation, which representation, in the case of a Noteholder Direction relating to the delivery of a notice of Default shall be deemed a continuing representation until the resulting Event of Default is cured or otherwise ceases to exist or the Notes are accelerated. In addition, each Directing Holder is deemed, at the time of providing a Noteholder Direction, to make a Verification Covenant. In any case in which the Holder is DTC or its nominee, any Position Representation or Verification Covenant required hereunder shall be provided by the beneficial owner of the Notes in lieu of DTC or its nominee and DTC shall be entitled to conclusively rely on such Position Representation and Verification Covenant in delivering its direction to the Trustee.</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following the delivery of a Noteholder Direction, but prior to acceleration of the Notes, the Company determines in good faith that there is a reasonable basis to believe a Directing Holder was, at any relevant time, in breach of its Position Representation and provides to the Trustee an Officer’s Certificate stating that the Company has initiated litigation in a court of competent jurisdiction seeking a determination that such Directing Holder was, at such time, in breach of its Position Representation, and seeking to invalidate any Event of Default or acceleration (or notice thereof)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 If, following the delivery of a Noteholder Direction, but prior to acceleration of the Notes, the Company provides to the Trustee an Officer’s Certificate stating that a Directing Holder failed to satisfy its Verification Covenant, the cure period with respect to such Default shall be automatically stayed and the cure period with respect to any Default or Event of Default that resulted from the applicable Noteholder Direction shall be automatically reinstituted and any remedy stayed pending satisfaction of such Verification Covenant. Any breach of the Position Representation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ab initio, with the effect that such Default or Event of Default shall be deemed never to have occurred, acceleration voided and the Trustee shall be deemed not to have received such Noteholder Direction or any notice of such Default or Event of Default.</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Notwithstanding anything in the preceding two paragraphs, any Noteholder Direction delivered to the Trustee during the pendency of an Event of Default as the result of a bankruptcy or similar proceeding shall not require compliance with the preceding two paragraphs.</w:t>
      </w:r>
    </w:p>
    <w:p>
      <w:pPr>
        <w:spacing w:after="0" w:line="162" w:lineRule="exact"/>
        <w:rPr>
          <w:sz w:val="20"/>
          <w:szCs w:val="20"/>
          <w:color w:val="auto"/>
        </w:rPr>
      </w:pPr>
    </w:p>
    <w:p>
      <w:pPr>
        <w:ind w:left="340" w:hanging="332"/>
        <w:spacing w:after="0"/>
        <w:tabs>
          <w:tab w:leader="none" w:pos="34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Trustee Dealings with the Issuer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certain limitations set forth in the Indenture, the Trustee in its individual or any other capacity may become the owner or pledgee of Notes and may otherwise deal with the Issuer, Guarantors or their Affiliates with the same rights it would have if it were not Trustee. In addition, the Trustee shall be permitted to engage in transactions with the Issuer and its Affiliates and Subsidiaries.</w:t>
      </w:r>
    </w:p>
    <w:p>
      <w:pPr>
        <w:spacing w:after="0" w:line="176" w:lineRule="exact"/>
        <w:rPr>
          <w:sz w:val="20"/>
          <w:szCs w:val="20"/>
          <w:color w:val="auto"/>
        </w:rPr>
      </w:pPr>
    </w:p>
    <w:p>
      <w:pPr>
        <w:ind w:left="340" w:hanging="332"/>
        <w:spacing w:after="0"/>
        <w:tabs>
          <w:tab w:leader="none" w:pos="3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 Against Others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director, officer, employee, incorporator or shareholder of the Issuer or any of its Subsidiaries or Affiliates, as such (other than the Issuer and the Guarantors), shall have any liability for any obligations of the Issuer or the Guarantors under the Notes, the Note Guarantees or the Indenture or for any claim based on, in respect of, or by reason of such obligations or their creation. Each Holder by accepting a note waives and releases all such liability. The waiver and release are part of the consideration for issuance of the Notes. Such waiver may not be effective to waive liabilities under the federal securities laws and it is the view of the SEC that such a waiver is against public policy.</w:t>
      </w:r>
    </w:p>
    <w:p>
      <w:pPr>
        <w:spacing w:after="0" w:line="183" w:lineRule="exact"/>
        <w:rPr>
          <w:sz w:val="20"/>
          <w:szCs w:val="20"/>
          <w:color w:val="auto"/>
        </w:rPr>
      </w:pPr>
    </w:p>
    <w:p>
      <w:pPr>
        <w:ind w:left="340" w:hanging="332"/>
        <w:spacing w:after="0"/>
        <w:tabs>
          <w:tab w:leader="none" w:pos="34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Authentication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Note shall not be valid until an authorized signatory of the Trustee (or an authenticating agent acting on its behalf) manually signs the certificate of authentication on the other side of this Note.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3" w:name="page144"/>
    <w:bookmarkEnd w:id="143"/>
    <w:p>
      <w:pPr>
        <w:ind w:left="340" w:hanging="332"/>
        <w:spacing w:after="0"/>
        <w:tabs>
          <w:tab w:leader="none" w:pos="3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Abbreviations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or an assignee, such as TEN COM (= tenants in common), TEN ENT (= tenants by the entirety), JT TEN (= joint tenants with rights of survivorship and not as tenants in common), CUST (= custodian) and U/G/M/A (= Uniform Gift to Minors Act).</w:t>
      </w:r>
    </w:p>
    <w:p>
      <w:pPr>
        <w:spacing w:after="0" w:line="176" w:lineRule="exact"/>
        <w:rPr>
          <w:sz w:val="20"/>
          <w:szCs w:val="20"/>
          <w:color w:val="auto"/>
        </w:rPr>
      </w:pPr>
    </w:p>
    <w:p>
      <w:pPr>
        <w:ind w:left="340" w:hanging="332"/>
        <w:spacing w:after="0"/>
        <w:tabs>
          <w:tab w:leader="none" w:pos="3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and ISIN Numbers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Issuer has caused CUSIP and ISIN numbers, if applicable, to be printed on the Notes and has directed the Trustee to use CUSIP and ISIN numbers, if applicable, in notices of redemption or purchase as a convenience to Holders. No representation is made as to the accuracy of such numbers either as printed on the Notes or as contained in any notice of redemption or purchase and reliance may be placed only on the other identification numbers placed thereon.</w:t>
      </w:r>
    </w:p>
    <w:p>
      <w:pPr>
        <w:spacing w:after="0" w:line="180" w:lineRule="exact"/>
        <w:rPr>
          <w:sz w:val="20"/>
          <w:szCs w:val="20"/>
          <w:color w:val="auto"/>
        </w:rPr>
      </w:pPr>
    </w:p>
    <w:p>
      <w:pPr>
        <w:ind w:left="340" w:hanging="332"/>
        <w:spacing w:after="0"/>
        <w:tabs>
          <w:tab w:leader="none" w:pos="34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Note shall be governed by, and construed in accordance with, the laws of the State of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 will furnish to any Holder upon written request and without charge to the Holder a copy of the Indenture. Requests may be made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Harrow,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1A Burton Hills Blvd., Suite 200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 37215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 ___________________ agent to transfer this Note on the books of the Issuer. The agent may substitute another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240" w:type="dxa"/>
            <w:vAlign w:val="bottom"/>
            <w:tcBorders>
              <w:bottom w:val="single" w:sz="8" w:color="auto"/>
            </w:tcBorders>
          </w:tcPr>
          <w:p>
            <w:pPr>
              <w:spacing w:after="0"/>
              <w:rPr>
                <w:sz w:val="20"/>
                <w:szCs w:val="20"/>
                <w:color w:val="auto"/>
              </w:rPr>
            </w:pPr>
          </w:p>
        </w:tc>
        <w:tc>
          <w:tcPr>
            <w:tcW w:w="282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Your Signature:</w:t>
            </w:r>
          </w:p>
        </w:tc>
        <w:tc>
          <w:tcPr>
            <w:tcW w:w="5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 Guarantee:</w:t>
            </w: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380" w:type="dxa"/>
            <w:vAlign w:val="bottom"/>
            <w:tcBorders>
              <w:bottom w:val="single" w:sz="8" w:color="auto"/>
            </w:tcBorders>
            <w:gridSpan w:val="2"/>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220" w:type="dxa"/>
            <w:vAlign w:val="bottom"/>
            <w:vMerge w:val="restart"/>
          </w:tcPr>
          <w:p>
            <w:pPr>
              <w:spacing w:after="0"/>
              <w:rPr>
                <w:sz w:val="24"/>
                <w:szCs w:val="24"/>
                <w:color w:val="auto"/>
              </w:rPr>
            </w:pPr>
          </w:p>
        </w:tc>
        <w:tc>
          <w:tcPr>
            <w:tcW w:w="550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 must be guaranteed</w:t>
            </w:r>
          </w:p>
        </w:tc>
        <w:tc>
          <w:tcPr>
            <w:tcW w:w="214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w:t>
            </w: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signature(s) should be guaranteed by an eligible guarantor institution (banks, stockbrokers, savings and loan associations and credit unions with membership in an approved signature guarantee medallion program), pursuant to Exchange Act Rule 17Ad-15.</w:t>
      </w:r>
    </w:p>
    <w:p>
      <w:pPr>
        <w:spacing w:after="0" w:line="121" w:lineRule="exact"/>
        <w:rPr>
          <w:sz w:val="20"/>
          <w:szCs w:val="20"/>
          <w:color w:val="auto"/>
        </w:rPr>
      </w:pPr>
    </w:p>
    <w:p>
      <w:pPr>
        <w:jc w:val="both"/>
        <w:ind w:right="20"/>
        <w:spacing w:after="0" w:line="245" w:lineRule="exact"/>
        <w:rPr>
          <w:sz w:val="20"/>
          <w:szCs w:val="20"/>
          <w:color w:val="auto"/>
        </w:rPr>
      </w:pPr>
      <w:r>
        <w:rPr>
          <w:rFonts w:ascii="Times New Roman" w:cs="Times New Roman" w:eastAsia="Times New Roman" w:hAnsi="Times New Roman"/>
          <w:sz w:val="18"/>
          <w:szCs w:val="18"/>
          <w:color w:val="auto"/>
        </w:rPr>
        <w:t xml:space="preserve">The undersigned hereby certifies that it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 /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 not an Affiliate of the Issuer and that, to its knowledge, the proposed transferee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 /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 not an Affiliate of the Issuer.</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any transfer or exchange of any of the Notes evidenced by this certificate occurring prior to the date that is one year after the later of the date of original issuance of such Notes and the last date, if any, on which such Notes were owned by the Issuer or any Affiliate of the Issuer, the undersigned confirms that such Notes are being: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CHECK ONE BOX BELOW</w:t>
      </w:r>
    </w:p>
    <w:p>
      <w:pPr>
        <w:spacing w:after="0" w:line="184" w:lineRule="exact"/>
        <w:rPr>
          <w:sz w:val="20"/>
          <w:szCs w:val="20"/>
          <w:color w:val="auto"/>
        </w:rPr>
      </w:pPr>
    </w:p>
    <w:p>
      <w:pPr>
        <w:ind w:left="740" w:hanging="408"/>
        <w:spacing w:after="0" w:line="207" w:lineRule="exact"/>
        <w:tabs>
          <w:tab w:leader="none" w:pos="740" w:val="left"/>
        </w:tabs>
        <w:numPr>
          <w:ilvl w:val="0"/>
          <w:numId w:val="19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acquired for the undersigned’s own account, without transfer; or</w:t>
      </w:r>
    </w:p>
    <w:p>
      <w:pPr>
        <w:spacing w:after="0" w:line="225" w:lineRule="exact"/>
        <w:rPr>
          <w:rFonts w:ascii="Times New Roman" w:cs="Times New Roman" w:eastAsia="Times New Roman" w:hAnsi="Times New Roman"/>
          <w:sz w:val="18"/>
          <w:szCs w:val="18"/>
          <w:color w:val="auto"/>
        </w:rPr>
      </w:pPr>
    </w:p>
    <w:p>
      <w:pPr>
        <w:ind w:left="740" w:hanging="408"/>
        <w:spacing w:after="0" w:line="207" w:lineRule="exact"/>
        <w:tabs>
          <w:tab w:leader="none" w:pos="740" w:val="left"/>
        </w:tabs>
        <w:numPr>
          <w:ilvl w:val="0"/>
          <w:numId w:val="19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transferred to the Issuer; or</w:t>
      </w:r>
    </w:p>
    <w:p>
      <w:pPr>
        <w:spacing w:after="0" w:line="225" w:lineRule="exact"/>
        <w:rPr>
          <w:rFonts w:ascii="Times New Roman" w:cs="Times New Roman" w:eastAsia="Times New Roman" w:hAnsi="Times New Roman"/>
          <w:sz w:val="18"/>
          <w:szCs w:val="18"/>
          <w:color w:val="auto"/>
        </w:rPr>
      </w:pPr>
    </w:p>
    <w:p>
      <w:pPr>
        <w:ind w:left="740" w:hanging="408"/>
        <w:spacing w:after="0" w:line="207" w:lineRule="exact"/>
        <w:tabs>
          <w:tab w:leader="none" w:pos="740" w:val="left"/>
        </w:tabs>
        <w:numPr>
          <w:ilvl w:val="0"/>
          <w:numId w:val="19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transferred pursuant to an effective registration statement under the Securities Act; or</w:t>
      </w:r>
    </w:p>
    <w:p>
      <w:pPr>
        <w:spacing w:after="0" w:line="225" w:lineRule="exact"/>
        <w:rPr>
          <w:rFonts w:ascii="Times New Roman" w:cs="Times New Roman" w:eastAsia="Times New Roman" w:hAnsi="Times New Roman"/>
          <w:sz w:val="18"/>
          <w:szCs w:val="18"/>
          <w:color w:val="auto"/>
        </w:rPr>
      </w:pPr>
    </w:p>
    <w:p>
      <w:pPr>
        <w:ind w:left="740" w:hanging="408"/>
        <w:spacing w:after="0" w:line="207" w:lineRule="exact"/>
        <w:tabs>
          <w:tab w:leader="none" w:pos="740" w:val="left"/>
        </w:tabs>
        <w:numPr>
          <w:ilvl w:val="0"/>
          <w:numId w:val="19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transferred pursuant to an effective registration statement under the Securities Act; or</w:t>
      </w:r>
    </w:p>
    <w:p>
      <w:pPr>
        <w:spacing w:after="0" w:line="225" w:lineRule="exact"/>
        <w:rPr>
          <w:rFonts w:ascii="Times New Roman" w:cs="Times New Roman" w:eastAsia="Times New Roman" w:hAnsi="Times New Roman"/>
          <w:sz w:val="18"/>
          <w:szCs w:val="18"/>
          <w:color w:val="auto"/>
        </w:rPr>
      </w:pPr>
    </w:p>
    <w:p>
      <w:pPr>
        <w:ind w:left="740" w:hanging="408"/>
        <w:spacing w:after="0" w:line="207" w:lineRule="exact"/>
        <w:tabs>
          <w:tab w:leader="none" w:pos="740" w:val="left"/>
        </w:tabs>
        <w:numPr>
          <w:ilvl w:val="0"/>
          <w:numId w:val="19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transferred pursuant to and in compliance with Regulation S under the Securities Act; or</w:t>
      </w:r>
    </w:p>
    <w:p>
      <w:pPr>
        <w:spacing w:after="0" w:line="225" w:lineRule="exact"/>
        <w:rPr>
          <w:rFonts w:ascii="Times New Roman" w:cs="Times New Roman" w:eastAsia="Times New Roman" w:hAnsi="Times New Roman"/>
          <w:sz w:val="18"/>
          <w:szCs w:val="18"/>
          <w:color w:val="auto"/>
        </w:rPr>
      </w:pPr>
    </w:p>
    <w:p>
      <w:pPr>
        <w:ind w:left="740" w:hanging="408"/>
        <w:spacing w:after="0" w:line="207" w:lineRule="exact"/>
        <w:tabs>
          <w:tab w:leader="none" w:pos="740" w:val="left"/>
        </w:tabs>
        <w:numPr>
          <w:ilvl w:val="0"/>
          <w:numId w:val="19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transferred pursuant to another available exemption from the registration requirements of the Securities Act of 1933, as amended.</w:t>
      </w:r>
    </w:p>
    <w:p>
      <w:pPr>
        <w:spacing w:after="0" w:line="265"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5" w:name="page146"/>
    <w:bookmarkEnd w:id="145"/>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Unless one of the boxes is checked, the Trustee will refuse to register any of the Notes evidenced by this certificate in the name of any person other than the registered Holder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box (5) or (6) is checked, the Issuer may require, prior to registering any such transfer of the Notes, in its sole discretion, such legal opinions, certifications and other information as the Issuer may reasonably request to confirm that such transfer is being made pursuant to an exemption from, or in a transaction not subject to, the registration requirements of the Securities Act of 1933, as amended, such as the exemption provided by Rule 144 under such Act.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497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0" w:lineRule="exact"/>
        <w:rPr>
          <w:sz w:val="20"/>
          <w:szCs w:val="20"/>
          <w:color w:val="auto"/>
        </w:rPr>
      </w:pPr>
    </w:p>
    <w:p>
      <w:pPr>
        <w:spacing w:after="0" w:line="255" w:lineRule="exact"/>
        <w:rPr>
          <w:sz w:val="20"/>
          <w:szCs w:val="20"/>
          <w:color w:val="auto"/>
        </w:rPr>
      </w:pPr>
    </w:p>
    <w:p>
      <w:pPr>
        <w:spacing w:after="0"/>
        <w:tabs>
          <w:tab w:leader="none" w:pos="5720" w:val="left"/>
        </w:tabs>
        <w:rPr>
          <w:sz w:val="20"/>
          <w:szCs w:val="20"/>
          <w:color w:val="auto"/>
        </w:rPr>
      </w:pPr>
      <w:r>
        <w:rPr>
          <w:rFonts w:ascii="Times New Roman" w:cs="Times New Roman" w:eastAsia="Times New Roman" w:hAnsi="Times New Roman"/>
          <w:sz w:val="18"/>
          <w:szCs w:val="18"/>
          <w:color w:val="auto"/>
        </w:rPr>
        <w:t>Signature must be guaranteed</w:t>
      </w:r>
      <w:r>
        <w:rPr>
          <w:sz w:val="20"/>
          <w:szCs w:val="20"/>
          <w:color w:val="auto"/>
        </w:rPr>
        <w:tab/>
      </w: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signature(s) should be guaranteed by an eligible guarantor institution (banks, stockbrokers, savings and loan associations and credit unions with membership in an approved signature guarantee medallion program), pursuant to Exchange Act Rule 17Ad-15.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TO BE COMPLETED BY PURCHASER IF BOX (1) OR (3) ABOVE IS CHECKED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as amended,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17145</wp:posOffset>
            </wp:positionV>
            <wp:extent cx="641223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Notice: To be executed by</w:t>
      </w:r>
    </w:p>
    <w:p>
      <w:pPr>
        <w:spacing w:after="0" w:line="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an executive officer</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6" w:name="page147"/>
    <w:bookmarkEnd w:id="146"/>
    <w:p>
      <w:pPr>
        <w:jc w:val="center"/>
        <w:ind w:right="-99"/>
        <w:spacing w:after="0"/>
        <w:rPr>
          <w:sz w:val="20"/>
          <w:szCs w:val="20"/>
          <w:color w:val="auto"/>
        </w:rPr>
      </w:pPr>
      <w:r>
        <w:rPr>
          <w:rFonts w:ascii="Times New Roman" w:cs="Times New Roman" w:eastAsia="Times New Roman" w:hAnsi="Times New Roman"/>
          <w:sz w:val="18"/>
          <w:szCs w:val="18"/>
          <w:color w:val="auto"/>
        </w:rPr>
        <w:t>[TO BE ATTACHED TO GLOBAL NOTES]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SCHEDULE OF INCREASES OR DECREASES IN GLOBAL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principal amount of this Global Note is $___________. The following increases or decreases in this Global Note have been made:</w:t>
      </w:r>
    </w:p>
    <w:p>
      <w:pPr>
        <w:sectPr>
          <w:pgSz w:w="11900" w:h="16838" w:orient="portrait"/>
          <w:cols w:equalWidth="0" w:num="1">
            <w:col w:w="11140"/>
          </w:cols>
          <w:pgMar w:left="320" w:top="688" w:right="439" w:bottom="1440" w:gutter="0" w:footer="0" w:header="0"/>
        </w:sect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Amount of decrease</w:t>
            </w:r>
          </w:p>
        </w:tc>
      </w:tr>
      <w:tr>
        <w:trPr>
          <w:trHeight w:val="216"/>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of Increase or</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Principal Amount</w:t>
            </w:r>
          </w:p>
        </w:tc>
      </w:tr>
      <w:tr>
        <w:trPr>
          <w:trHeight w:val="234"/>
        </w:trPr>
        <w:tc>
          <w:tcPr>
            <w:tcW w:w="2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Decrease</w:t>
            </w:r>
          </w:p>
        </w:tc>
        <w:tc>
          <w:tcPr>
            <w:tcW w:w="24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of this Global Note</w:t>
            </w:r>
          </w:p>
        </w:tc>
      </w:tr>
    </w:tbl>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Principal Amount of</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Signature of</w:t>
            </w:r>
          </w:p>
        </w:tc>
      </w:tr>
      <w:tr>
        <w:trPr>
          <w:trHeight w:val="216"/>
        </w:trPr>
        <w:tc>
          <w:tcPr>
            <w:tcW w:w="2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Amount of increase</w:t>
            </w:r>
          </w:p>
        </w:tc>
        <w:tc>
          <w:tcPr>
            <w:tcW w:w="2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this Global Note</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216"/>
        </w:trPr>
        <w:tc>
          <w:tcPr>
            <w:tcW w:w="2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 Principal Amount</w:t>
            </w:r>
          </w:p>
        </w:tc>
        <w:tc>
          <w:tcPr>
            <w:tcW w:w="2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following such</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Trustee or Notes</w:t>
            </w:r>
          </w:p>
        </w:tc>
      </w:tr>
      <w:tr>
        <w:trPr>
          <w:trHeight w:val="234"/>
        </w:trPr>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of this Global Note</w:t>
            </w:r>
          </w:p>
        </w:tc>
        <w:tc>
          <w:tcPr>
            <w:tcW w:w="20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decrease or increase</w:t>
            </w:r>
          </w:p>
        </w:tc>
        <w:tc>
          <w:tcPr>
            <w:tcW w:w="20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Custodian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-3156585</wp:posOffset>
            </wp:positionH>
            <wp:positionV relativeFrom="paragraph">
              <wp:posOffset>-7620</wp:posOffset>
            </wp:positionV>
            <wp:extent cx="7132320" cy="145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200"/>
            <w:col w:w="6160"/>
          </w:cols>
          <w:pgMar w:left="320" w:top="688" w:right="439" w:bottom="1440" w:gutter="0" w:footer="0" w:header="0"/>
          <w:type w:val="continuous"/>
        </w:sectPr>
      </w:pPr>
    </w:p>
    <w:p>
      <w:pPr>
        <w:spacing w:after="0" w:line="2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688" w:right="439" w:bottom="1440" w:gutter="0" w:footer="0" w:header="0"/>
          <w:type w:val="continuous"/>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color w:val="auto"/>
        </w:rPr>
        <w:t>OPTION OF HOLDER TO ELECT PURCHASE</w:t>
      </w:r>
    </w:p>
    <w:p>
      <w:pPr>
        <w:spacing w:after="0" w:line="22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 xml:space="preserve">If you elect to have this Note purchased by the Issuer pursuant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3.9</w:t>
      </w:r>
      <w:r>
        <w:rPr>
          <w:rFonts w:ascii="Times New Roman" w:cs="Times New Roman" w:eastAsia="Times New Roman" w:hAnsi="Times New Roman"/>
          <w:sz w:val="18"/>
          <w:szCs w:val="18"/>
          <w:color w:val="auto"/>
        </w:rPr>
        <w:t xml:space="preserve"> of the Indenture, check either box:</w:t>
      </w:r>
    </w:p>
    <w:p>
      <w:pPr>
        <w:spacing w:after="0" w:line="184" w:lineRule="exact"/>
        <w:rPr>
          <w:sz w:val="20"/>
          <w:szCs w:val="20"/>
          <w:color w:val="auto"/>
        </w:rPr>
      </w:pPr>
    </w:p>
    <w:p>
      <w:pPr>
        <w:ind w:left="1960"/>
        <w:spacing w:after="0" w:line="207" w:lineRule="exact"/>
        <w:tabs>
          <w:tab w:leader="none" w:pos="4740" w:val="left"/>
        </w:tabs>
        <w:rPr>
          <w:sz w:val="20"/>
          <w:szCs w:val="20"/>
          <w:color w:val="auto"/>
        </w:rPr>
      </w:pPr>
      <w:r>
        <w:rPr>
          <w:rFonts w:ascii="Times New Roman" w:cs="Times New Roman" w:eastAsia="Times New Roman" w:hAnsi="Times New Roman"/>
          <w:sz w:val="18"/>
          <w:szCs w:val="18"/>
          <w:color w:val="auto"/>
        </w:rPr>
        <w:t xml:space="preserve">Section 3.5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Section 3.9 </w:t>
      </w:r>
      <w:r>
        <w:rPr>
          <w:rFonts w:ascii="MS PGothic" w:cs="MS PGothic" w:eastAsia="MS PGothic" w:hAnsi="MS PGothic"/>
          <w:sz w:val="17"/>
          <w:szCs w:val="17"/>
          <w:color w:val="auto"/>
        </w:rPr>
        <w:t>☐</w:t>
      </w:r>
    </w:p>
    <w:p>
      <w:pPr>
        <w:spacing w:after="0" w:line="26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If you want to elect to have only part of this Note purchased by the Issuer pursuant to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3.9</w:t>
      </w:r>
      <w:r>
        <w:rPr>
          <w:rFonts w:ascii="Times New Roman" w:cs="Times New Roman" w:eastAsia="Times New Roman" w:hAnsi="Times New Roman"/>
          <w:sz w:val="18"/>
          <w:szCs w:val="18"/>
          <w:color w:val="auto"/>
        </w:rPr>
        <w:t xml:space="preserve"> of the Indenture, state the amount in principal amount (must be in minimum denominations of $2,000 or an integral multiple of $1,000 in excess thereof): $__________ and specify the denomination or</w:t>
      </w:r>
    </w:p>
    <w:p>
      <w:pPr>
        <w:spacing w:after="0" w:line="260" w:lineRule="auto"/>
        <w:rPr>
          <w:sz w:val="20"/>
          <w:szCs w:val="20"/>
          <w:color w:val="auto"/>
        </w:rPr>
      </w:pPr>
      <w:r>
        <w:rPr>
          <w:rFonts w:ascii="Times New Roman" w:cs="Times New Roman" w:eastAsia="Times New Roman" w:hAnsi="Times New Roman"/>
          <w:sz w:val="18"/>
          <w:szCs w:val="18"/>
          <w:color w:val="auto"/>
        </w:rPr>
        <w:t>denominations (which shall not be less than the minimum authorized denomination) of the Notes to be issued to the Holder for the portion of the within Note not being repurchased (in the absence of any such specification, one such Note will be issued for the portion not being repurchased):___________.</w:t>
      </w:r>
    </w:p>
    <w:p>
      <w:pPr>
        <w:spacing w:after="0" w:line="181" w:lineRule="exact"/>
        <w:rPr>
          <w:sz w:val="20"/>
          <w:szCs w:val="20"/>
          <w:color w:val="auto"/>
        </w:rPr>
      </w:pPr>
    </w:p>
    <w:p>
      <w:pPr>
        <w:spacing w:after="0"/>
        <w:tabs>
          <w:tab w:leader="none" w:pos="31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17145</wp:posOffset>
            </wp:positionV>
            <wp:extent cx="655764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the Note)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Guarantee:_______________________________________________________________________________</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must be guaranteed)</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signature(s) should be guaranteed by an eligible guarantor institution (banks, stockbrokers, savings and loan associations and credit unions with membership in an approved signature guarantee medallion program), pursuant to Exchange Act Rule 17Ad-15.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8" w:name="page149"/>
    <w:bookmarkEnd w:id="148"/>
    <w:p>
      <w:pPr>
        <w:ind w:left="103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Supplemental Indenture to Add Guarantors</w:t>
      </w:r>
    </w:p>
    <w:p>
      <w:pPr>
        <w:spacing w:after="0" w:line="229" w:lineRule="exact"/>
        <w:rPr>
          <w:sz w:val="20"/>
          <w:szCs w:val="20"/>
          <w:color w:val="auto"/>
        </w:rPr>
      </w:pPr>
    </w:p>
    <w:p>
      <w:pPr>
        <w:jc w:val="both"/>
        <w:ind w:firstLine="8"/>
        <w:spacing w:after="0" w:line="266" w:lineRule="auto"/>
        <w:tabs>
          <w:tab w:leader="none" w:pos="163"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SUPPLEMENTAL INDENTURE, (this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dated as of [ ], by and among the parties that are signatories hereto as Guarantors (the “</w:t>
      </w:r>
      <w:r>
        <w:rPr>
          <w:rFonts w:ascii="Times New Roman" w:cs="Times New Roman" w:eastAsia="Times New Roman" w:hAnsi="Times New Roman"/>
          <w:sz w:val="18"/>
          <w:szCs w:val="18"/>
          <w:u w:val="single" w:color="auto"/>
          <w:color w:val="auto"/>
        </w:rPr>
        <w:t>Guaranteeing Entities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Guaranteeing Entity</w:t>
      </w:r>
      <w:r>
        <w:rPr>
          <w:rFonts w:ascii="Times New Roman" w:cs="Times New Roman" w:eastAsia="Times New Roman" w:hAnsi="Times New Roman"/>
          <w:sz w:val="18"/>
          <w:szCs w:val="18"/>
          <w:color w:val="auto"/>
        </w:rPr>
        <w:t>”), Harrow, Inc., as Issuer, and U.S. Bank Trust Company, National Association, as Trustee under the Indenture referred to below.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WHEREAS, each of Harrow, Inc., the Guarantors named therein and the Trustee have heretofore executed and delivered an indenture dated as of September 12, 2025 (as amended, supplemented, waived or otherwise modified,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providing for the issuance of the 8.625% Senior Notes due 2030 of the Issuer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each Guaranteeing Entity shall execute and deliver to the Trustee a supplemental indenture pursuant to which such Guaranteeing Entity shall unconditionally guarantee, on a joint and several basis with the other Guarantors, all of the Issuer’s Obligations under the Notes and the Indenture on the terms and conditions set forth herein and under the Indenture (the “</w:t>
      </w:r>
      <w:r>
        <w:rPr>
          <w:rFonts w:ascii="Times New Roman" w:cs="Times New Roman" w:eastAsia="Times New Roman" w:hAnsi="Times New Roman"/>
          <w:sz w:val="18"/>
          <w:szCs w:val="18"/>
          <w:u w:val="single" w:color="auto"/>
          <w:color w:val="auto"/>
        </w:rPr>
        <w:t>Note Guarantee</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WHEREAS,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of the Indenture, the Issuer, any Guarantor and the Trustee are authorized to execute and deliver a supplemental indenture to add additional Guarantors, without the consent of any Holder;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[Entity][Entities], the Issuer and the Trustee mutually covenant and agree for the equal and ratable benefit of the Holders of the Notes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Defined Terms</w:t>
      </w:r>
      <w:r>
        <w:rPr>
          <w:rFonts w:ascii="Times New Roman" w:cs="Times New Roman" w:eastAsia="Times New Roman" w:hAnsi="Times New Roman"/>
          <w:sz w:val="18"/>
          <w:szCs w:val="18"/>
          <w:color w:val="auto"/>
        </w:rPr>
        <w:t>. As used in this Supplemental Indenture, terms defined in the Indenture or in the preamble or recitals hereto are used herein as therein defined. The words “herein,” “hereof” and “hereby” and other words of similar import used in this Supplemental Indenture refer to this Supplemental Indenture as a whole and not to any particular Section hereof.</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 TO BE BOUND; NOTE GUARANTEE</w:t>
      </w:r>
    </w:p>
    <w:p>
      <w:pPr>
        <w:spacing w:after="0" w:line="20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i w:val="1"/>
          <w:iCs w:val="1"/>
          <w:color w:val="auto"/>
        </w:rPr>
        <w:t>Agreement to be Bound</w:t>
      </w:r>
      <w:r>
        <w:rPr>
          <w:rFonts w:ascii="Times New Roman" w:cs="Times New Roman" w:eastAsia="Times New Roman" w:hAnsi="Times New Roman"/>
          <w:sz w:val="18"/>
          <w:szCs w:val="18"/>
          <w:color w:val="auto"/>
        </w:rPr>
        <w:t>. Each Guaranteeing Entity hereby becomes a party to the Indenture as a Guarantor and as such will have all of the rights and be subject to all of the obligations and agreements of a Guarantor under the Indenture.</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i w:val="1"/>
          <w:iCs w:val="1"/>
          <w:color w:val="auto"/>
        </w:rPr>
        <w:t>Note Guarantee</w:t>
      </w:r>
      <w:r>
        <w:rPr>
          <w:rFonts w:ascii="Times New Roman" w:cs="Times New Roman" w:eastAsia="Times New Roman" w:hAnsi="Times New Roman"/>
          <w:sz w:val="18"/>
          <w:szCs w:val="18"/>
          <w:color w:val="auto"/>
        </w:rPr>
        <w:t xml:space="preserve">. Each Guaranteeing Entity agrees, on a joint and several basis with all the existing Guarantors [and the other Guaranteeing Entities], to fully, unconditionally and irrevocably Guarantee to each Holder of the Notes and the Trustee the Guaranteed Obligations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of the Indenture on a senior basis.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and other communications to the Guaranteeing Entities shall be given as provided in the Indenture to such Guaranteeing Entities, at their addresses set forth below, with a copy to the Issuer as provided in the Indenture for notices to the Issuer.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ADDRESS]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9" w:name="page150"/>
    <w:bookmarkEnd w:id="149"/>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i w:val="1"/>
          <w:iCs w:val="1"/>
          <w:color w:val="auto"/>
        </w:rPr>
        <w:t>Merger and Consolidation</w:t>
      </w:r>
      <w:r>
        <w:rPr>
          <w:rFonts w:ascii="Times New Roman" w:cs="Times New Roman" w:eastAsia="Times New Roman" w:hAnsi="Times New Roman"/>
          <w:sz w:val="18"/>
          <w:szCs w:val="18"/>
          <w:color w:val="auto"/>
        </w:rPr>
        <w:t xml:space="preserve">. No Guaranteeing Entity shall sell or otherwise dispose of all or substantially all of its assets to, or consolidate with or merge with or into another Person (other than the Issuer or any Restricted Subsidiary that is a Guarantor or becomes a Guarantor concurrently with the transaction) except in accordance with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of the Indenture.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i w:val="1"/>
          <w:iCs w:val="1"/>
          <w:color w:val="auto"/>
        </w:rPr>
        <w:t>Release of Guarantee</w:t>
      </w:r>
      <w:r>
        <w:rPr>
          <w:rFonts w:ascii="Times New Roman" w:cs="Times New Roman" w:eastAsia="Times New Roman" w:hAnsi="Times New Roman"/>
          <w:sz w:val="18"/>
          <w:szCs w:val="18"/>
          <w:color w:val="auto"/>
        </w:rPr>
        <w:t xml:space="preserve">. A Guaranteeing Entity’s Note Guarantee shall be released in accordance with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of the Indenture.</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Nothing expressed or mentioned herein is intended or shall be construed to give any Person, firm or corporation, other than the Holders and the Trustee, any legal or equitable right, remedy or claim under or in respect of this Supplemental Indenture or the Indenture or any provision herein or therein contained.</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SUPPLEMENTAL INDENTURE AND THE RIGHTS OF THE PARTIES HEREUNDER SHALL BE GOVERNED BY, AND CONSTRUED IN ACCORDANCE WITH, THE LAWS OF THE STATE OF NEW YORK. This Supplemental Indenture shall be subject to the provisions of Section 13.8 and Section 13.9 of the Indenture.</w:t>
      </w:r>
    </w:p>
    <w:p>
      <w:pPr>
        <w:spacing w:after="0" w:line="17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In case any provision in this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i w:val="1"/>
          <w:iCs w:val="1"/>
          <w:color w:val="auto"/>
        </w:rPr>
        <w:t>Benefits Acknowledged</w:t>
      </w:r>
      <w:r>
        <w:rPr>
          <w:rFonts w:ascii="Times New Roman" w:cs="Times New Roman" w:eastAsia="Times New Roman" w:hAnsi="Times New Roman"/>
          <w:sz w:val="18"/>
          <w:szCs w:val="18"/>
          <w:color w:val="auto"/>
        </w:rPr>
        <w:t>. Each Guaranteeing Entity’s Note Guarantee is subject to the terms and conditions set forth in the Indenture. Each Guaranteeing Entity acknowledges that it will receive direct and indirect benefits from the financing arrangements contemplated by the Indenture and this Supplemental Indenture and that the Note Guarantee and waivers made by it pursuant to this Supplemental Indenture are knowingly made in contemplation of such benefits.</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i w:val="1"/>
          <w:iCs w:val="1"/>
          <w:color w:val="auto"/>
        </w:rPr>
        <w:t>Ratification of Indenture; Supplemental Indentures Part of Indenture</w:t>
      </w:r>
      <w:r>
        <w:rPr>
          <w:rFonts w:ascii="Times New Roman" w:cs="Times New Roman" w:eastAsia="Times New Roman" w:hAnsi="Times New Roman"/>
          <w:sz w:val="18"/>
          <w:szCs w:val="18"/>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i w:val="1"/>
          <w:iCs w:val="1"/>
          <w:color w:val="auto"/>
        </w:rPr>
        <w:t>The Trustee</w:t>
      </w:r>
      <w:r>
        <w:rPr>
          <w:rFonts w:ascii="Times New Roman" w:cs="Times New Roman" w:eastAsia="Times New Roman" w:hAnsi="Times New Roman"/>
          <w:sz w:val="18"/>
          <w:szCs w:val="18"/>
          <w:color w:val="auto"/>
        </w:rPr>
        <w:t>. In entering into this Supplemental Indenture, the Trustee shall be entitled to the benefit of every provision of the Indenture relating to the conduct or affecting the liability of or affording protection to the Trustee, whether or not provided elsewhere in this Supplemental Indenture. The Trustee makes no representations as to the validity, execution or sufficiency of this Supplemental Indenture or any Note Guarantee or in respect of the recitals contained in this Supplemental Indenture, all of which recitals are made solely by the other parties hereto.</w:t>
      </w:r>
    </w:p>
    <w:p>
      <w:pPr>
        <w:spacing w:after="0" w:line="18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The parties hereto may sign any number of copies of this Supplemental Indenture. Each signed copy shall be an original, but all of them together represent the same agreement.</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exchange of copies of this Indenture and of signature pages by facsimile, PDF or other electronic transmission (including a digital signature provided by DocuSign) shall constitute effective execution and delivery of this Indenture as to the parties hereto and may be used in lieu of the original Indenture for all purposes. Signatures of the parties hereto transmitted by facsimile, PDF or other electronic methods shall be deemed to be their original signatures for all purposes. Unless otherwise provided in this Indenture or in any Note, the words “execute”, “execution”, “signed”, and “signature” and words of similar import used in or related to any document to be signed in connection with this Indenture, any Note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notwithstanding anything to the contrary set forth herein, the Trustee is under no obligation to agree to accept electronic signatures in any form or format unless expressly agreed to by the Trustee pursuant to procedures approved by the Trustee.</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i w:val="1"/>
          <w:iCs w:val="1"/>
          <w:color w:val="auto"/>
        </w:rPr>
        <w:t>Execution and Delivery</w:t>
      </w:r>
      <w:r>
        <w:rPr>
          <w:rFonts w:ascii="Times New Roman" w:cs="Times New Roman" w:eastAsia="Times New Roman" w:hAnsi="Times New Roman"/>
          <w:sz w:val="18"/>
          <w:szCs w:val="18"/>
          <w:color w:val="auto"/>
        </w:rPr>
        <w:t>. Each Guaranteeing Entity agrees that its Note Guarantee shall remain in full force and effect notwithstanding any failure to endorse on each Note a notation of any such Note Guarantee.</w:t>
      </w:r>
    </w:p>
    <w:p>
      <w:pPr>
        <w:spacing w:after="0" w:line="158"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of the Articles and the Sections in this Supplemental Indenture are for convenience of reference only and shall not be deemed to alter or affect the meaning or interpretation of any provisions hereof.</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as of the date first above written.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[GUARANTEEING ENTITY],</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a Guarantor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HARROW,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23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Trustee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225"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300"/>
          </w:cols>
          <w:pgMar w:left="320" w:top="688" w:right="127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Harrow,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8.625% Senior Notes due 2030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Purchase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BTIG,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Representative of the several Initial Purchasers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listed in Schedule 1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BTIG, LLC</w:t>
      </w:r>
    </w:p>
    <w:p>
      <w:pPr>
        <w:spacing w:after="0" w:line="205" w:lineRule="auto"/>
        <w:rPr>
          <w:sz w:val="20"/>
          <w:szCs w:val="20"/>
          <w:color w:val="auto"/>
        </w:rPr>
      </w:pPr>
      <w:r>
        <w:rPr>
          <w:rFonts w:ascii="Times New Roman" w:cs="Times New Roman" w:eastAsia="Times New Roman" w:hAnsi="Times New Roman"/>
          <w:sz w:val="18"/>
          <w:szCs w:val="18"/>
          <w:color w:val="auto"/>
        </w:rPr>
        <w:t>65 East 55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Harrow,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proposes to issue and sell to the several initial purchasers listed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 for whom you are acting as representative (the “</w:t>
      </w:r>
      <w:r>
        <w:rPr>
          <w:rFonts w:ascii="Times New Roman" w:cs="Times New Roman" w:eastAsia="Times New Roman" w:hAnsi="Times New Roman"/>
          <w:sz w:val="18"/>
          <w:szCs w:val="18"/>
          <w:b w:val="1"/>
          <w:bCs w:val="1"/>
          <w:color w:val="auto"/>
        </w:rPr>
        <w:t>Representative</w:t>
      </w:r>
      <w:r>
        <w:rPr>
          <w:rFonts w:ascii="Times New Roman" w:cs="Times New Roman" w:eastAsia="Times New Roman" w:hAnsi="Times New Roman"/>
          <w:sz w:val="18"/>
          <w:szCs w:val="18"/>
          <w:color w:val="auto"/>
        </w:rPr>
        <w:t>”), $250,000,000 principal amount of its 8.625% Senior Notes due 2030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Securities will be issued pursuant to an Indenture to be dated as of September 12, 2025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xml:space="preserve">”), by and among the Company, the guarantors listed in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and U.S. Bank Trust Company,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and will be guaranteed on an unsecured senior basis by each of the Guarantors (the “</w:t>
      </w:r>
      <w:r>
        <w:rPr>
          <w:rFonts w:ascii="Times New Roman" w:cs="Times New Roman" w:eastAsia="Times New Roman" w:hAnsi="Times New Roman"/>
          <w:sz w:val="18"/>
          <w:szCs w:val="18"/>
          <w:b w:val="1"/>
          <w:bCs w:val="1"/>
          <w:color w:val="auto"/>
        </w:rPr>
        <w:t>Guarantees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Securities will be sold to the Initial Purchasers without being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 reliance upon an exemption therefrom. The Company and the Guarantors have prepared a preliminary offering memorandum dated September 8, 2025 (the “</w:t>
      </w:r>
      <w:r>
        <w:rPr>
          <w:rFonts w:ascii="Times New Roman" w:cs="Times New Roman" w:eastAsia="Times New Roman" w:hAnsi="Times New Roman"/>
          <w:sz w:val="18"/>
          <w:szCs w:val="18"/>
          <w:b w:val="1"/>
          <w:bCs w:val="1"/>
          <w:color w:val="auto"/>
        </w:rPr>
        <w:t>Preliminary Offering Memorandum</w:t>
      </w:r>
      <w:r>
        <w:rPr>
          <w:rFonts w:ascii="Times New Roman" w:cs="Times New Roman" w:eastAsia="Times New Roman" w:hAnsi="Times New Roman"/>
          <w:sz w:val="18"/>
          <w:szCs w:val="18"/>
          <w:color w:val="auto"/>
        </w:rPr>
        <w:t>”) and will prepare an offering memorandum dated the date hereof (the “</w:t>
      </w:r>
      <w:r>
        <w:rPr>
          <w:rFonts w:ascii="Times New Roman" w:cs="Times New Roman" w:eastAsia="Times New Roman" w:hAnsi="Times New Roman"/>
          <w:sz w:val="18"/>
          <w:szCs w:val="18"/>
          <w:b w:val="1"/>
          <w:bCs w:val="1"/>
          <w:color w:val="auto"/>
        </w:rPr>
        <w:t>Offering Memorandum</w:t>
      </w:r>
      <w:r>
        <w:rPr>
          <w:rFonts w:ascii="Times New Roman" w:cs="Times New Roman" w:eastAsia="Times New Roman" w:hAnsi="Times New Roman"/>
          <w:sz w:val="18"/>
          <w:szCs w:val="18"/>
          <w:color w:val="auto"/>
        </w:rPr>
        <w:t>”) setting forth information concerning the Company, the Guarantors and the Securities. Copies of the Preliminary Offering Memorandum have been, and copies of the Offering Memorandum will be, delivered by the Company to the Initial Purchasers pursuant to the terms of this purchase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Company hereby confirms that it has authorized the use of the Preliminary Offering Memorandum, the other Time of Sale Information (as defined below) and the Offering Memorandum in connection with the offering and resale of the Securities by the Initial Purchasers in the manner contemplated by this Agreement. Capitalized terms used but not defined herein shall have the meanings given to such terms in the Preliminary Offering Memorandum. References herein to the Preliminary Offering Memorandum, the Time of Sale Information and the Offering Memorandum include, unless expressly stated otherwise, (i) all amendments or supplements thereto and (ii) all financial statements and schedules and other information contained therein (and references in this Agreement to such information being “contained” or “included” (and other references of like import) in the Preliminary Offering Memorandum, the Time of Sale Information or the Offering Memorandum shall be deemed to mean all such information contained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2" w:name="page153"/>
    <w:bookmarkEnd w:id="152"/>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At or prior to the time when sales of the Securities were first made (the “</w:t>
      </w:r>
      <w:r>
        <w:rPr>
          <w:rFonts w:ascii="Times New Roman" w:cs="Times New Roman" w:eastAsia="Times New Roman" w:hAnsi="Times New Roman"/>
          <w:sz w:val="18"/>
          <w:szCs w:val="18"/>
          <w:b w:val="1"/>
          <w:bCs w:val="1"/>
          <w:color w:val="auto"/>
        </w:rPr>
        <w:t>Time of Sale</w:t>
      </w:r>
      <w:r>
        <w:rPr>
          <w:rFonts w:ascii="Times New Roman" w:cs="Times New Roman" w:eastAsia="Times New Roman" w:hAnsi="Times New Roman"/>
          <w:sz w:val="18"/>
          <w:szCs w:val="18"/>
          <w:color w:val="auto"/>
        </w:rPr>
        <w:t>”), the Company had prepared the following information (collectively, the “</w:t>
      </w:r>
      <w:r>
        <w:rPr>
          <w:rFonts w:ascii="Times New Roman" w:cs="Times New Roman" w:eastAsia="Times New Roman" w:hAnsi="Times New Roman"/>
          <w:sz w:val="18"/>
          <w:szCs w:val="18"/>
          <w:b w:val="1"/>
          <w:bCs w:val="1"/>
          <w:color w:val="auto"/>
        </w:rPr>
        <w:t>Time of Sale Information</w:t>
      </w:r>
      <w:r>
        <w:rPr>
          <w:rFonts w:ascii="Times New Roman" w:cs="Times New Roman" w:eastAsia="Times New Roman" w:hAnsi="Times New Roman"/>
          <w:sz w:val="18"/>
          <w:szCs w:val="18"/>
          <w:color w:val="auto"/>
        </w:rPr>
        <w:t>”): the Preliminary Offering Memorandum, as supplemented and amended by the written communications listed on Annex A hereto.</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and the Guarantors hereby confirm their agreement with the several Initial Purchasers concerning the purchase and resale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as follows:</w:t>
      </w:r>
    </w:p>
    <w:p>
      <w:pPr>
        <w:spacing w:after="0" w:line="207" w:lineRule="exact"/>
        <w:rPr>
          <w:sz w:val="20"/>
          <w:szCs w:val="20"/>
          <w:color w:val="auto"/>
        </w:rPr>
      </w:pPr>
    </w:p>
    <w:p>
      <w:pPr>
        <w:ind w:left="840" w:hanging="184"/>
        <w:spacing w:after="0"/>
        <w:tabs>
          <w:tab w:leader="none" w:pos="8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Resale of the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8" w:lineRule="auto"/>
        <w:tabs>
          <w:tab w:leader="none" w:pos="89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agrees to issue and sell the Securities to the several Initial Purchasers as provided in this Agreement, and each Initial Purchaser, on the basis of the representations, warranties and agreements set forth herein and subject to the conditions set forth herein, agrees, severally and not jointly, to purchase from the Company the respective principal amount of Securities set forth opposite such Initial Purchaser’s name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hereto at a price equal to 97.75% of the principal amount thereof plus accrued interest, if any, from September 12, 2025 to the Closing Date. The Company will not be obligated to deliver any of the Securities except upon payment for all the Securities to be purchased as provided herein.</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29"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understands that the Initial Purchasers intend to offer the Securities for resale on the terms set forth in the Time of Sale Information. Each Initial Purchaser, severally and not jointly, represents, warrants and agrees that:</w:t>
      </w:r>
    </w:p>
    <w:p>
      <w:pPr>
        <w:spacing w:after="0" w:line="157" w:lineRule="exact"/>
        <w:rPr>
          <w:rFonts w:ascii="Times New Roman" w:cs="Times New Roman" w:eastAsia="Times New Roman" w:hAnsi="Times New Roman"/>
          <w:sz w:val="18"/>
          <w:szCs w:val="18"/>
          <w:color w:val="auto"/>
        </w:rPr>
      </w:pPr>
    </w:p>
    <w:p>
      <w:pPr>
        <w:ind w:left="660" w:firstLine="644"/>
        <w:spacing w:after="0" w:line="286" w:lineRule="auto"/>
        <w:tabs>
          <w:tab w:leader="none" w:pos="155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 qualified institutional buyer (a “</w:t>
      </w:r>
      <w:r>
        <w:rPr>
          <w:rFonts w:ascii="Times New Roman" w:cs="Times New Roman" w:eastAsia="Times New Roman" w:hAnsi="Times New Roman"/>
          <w:sz w:val="18"/>
          <w:szCs w:val="18"/>
          <w:b w:val="1"/>
          <w:bCs w:val="1"/>
          <w:color w:val="auto"/>
        </w:rPr>
        <w:t>QIB</w:t>
      </w:r>
      <w:r>
        <w:rPr>
          <w:rFonts w:ascii="Times New Roman" w:cs="Times New Roman" w:eastAsia="Times New Roman" w:hAnsi="Times New Roman"/>
          <w:sz w:val="18"/>
          <w:szCs w:val="18"/>
          <w:color w:val="auto"/>
        </w:rPr>
        <w:t>”) within the meaning of Rule 144A under the Securities Act (“</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and an accredited investor within the meaning of Rule 501(a) of Regulation D under the Securities Act (“</w:t>
      </w:r>
      <w:r>
        <w:rPr>
          <w:rFonts w:ascii="Times New Roman" w:cs="Times New Roman" w:eastAsia="Times New Roman" w:hAnsi="Times New Roman"/>
          <w:sz w:val="18"/>
          <w:szCs w:val="18"/>
          <w:b w:val="1"/>
          <w:bCs w:val="1"/>
          <w:color w:val="auto"/>
        </w:rPr>
        <w:t>Regulation D</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78"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not solicited offers for, or offered or sold, and will not solicit offers for, or offer or sell, the Securities by means of any form of general solicitation or general advertising within the meaning of Rule 502(c) of Regulation D or in any manner involving a public offering within the meaning of Section 4(a)(2) of the Securities Act; and</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1" w:lineRule="auto"/>
        <w:tabs>
          <w:tab w:leader="none" w:pos="1636"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has not solicited offers for, or offered or sold, and will not solicit offers for, or offer or sell, the Securities as part of their initial offering except: (A) to persons whom it reasonably believes to be QIBs in transactions pursuant to Rule 144A and in connection with each such sale, it has taken or will take reasonable steps to ensure that the purchaser of the Securities is aware that such sale is being made in reliance on Rule 144A; or (B) in accordance with the restrictions set forth in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hereto.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3" w:name="page154"/>
    <w:bookmarkEnd w:id="153"/>
    <w:p>
      <w:pPr>
        <w:jc w:val="both"/>
        <w:ind w:firstLine="656"/>
        <w:spacing w:after="0" w:line="261" w:lineRule="auto"/>
        <w:tabs>
          <w:tab w:leader="none" w:pos="907"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Initial Purchaser acknowledges and agrees that the Company and, for purposes of the “no registration” opinions to be delivered to the Initial Purchasers pursuant to Sections 6(e) and 6(f), counsel for the Company and the Guarantors and counsel for the Initial Purchasers, respectively, may rely upon the accuracy of the representations and warranties of the Initial Purchasers, and compliance by the Initial Purchasers with their agreements, contained in paragraph (b) above (including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hereto), and each Initial Purchaser hereby consents to such reliance.</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3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the Initial Purchasers may offer and sell Securities to or through any affiliate of an Initial Purchaser and that any such affiliate may offer and sell Securities purchased by it to or through any Initial Purchaser.</w:t>
      </w:r>
    </w:p>
    <w:p>
      <w:pPr>
        <w:spacing w:after="0" w:line="161" w:lineRule="exact"/>
        <w:rPr>
          <w:rFonts w:ascii="Times New Roman" w:cs="Times New Roman" w:eastAsia="Times New Roman" w:hAnsi="Times New Roman"/>
          <w:sz w:val="18"/>
          <w:szCs w:val="18"/>
          <w:color w:val="auto"/>
        </w:rPr>
      </w:pPr>
    </w:p>
    <w:p>
      <w:pPr>
        <w:jc w:val="both"/>
        <w:ind w:firstLine="656"/>
        <w:spacing w:after="0" w:line="253" w:lineRule="auto"/>
        <w:tabs>
          <w:tab w:leader="none" w:pos="92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Guarantors acknowledge and agree that each Initial Purchaser is acting solely in the capacity of an arm’s length contractual counterparty to the Company and the Guarantors with respect to the offering of Securities contemplated hereby (including in connection with determining the terms of the offering) and not as a financial advisor or a fiduciary to, or an agent of, the Company, the Guarantors or any other person. Additionally, neither the Representative nor any other Initial Purchaser is advising the Company, the Guarantors or any other person as to any legal, tax, investment, accounting or regulatory matters in any jurisdiction. The Company and the Guarantors shall consult with their own advisors concerning such matters and shall be responsible for making their own independent investigation and appraisal of the transactions contemplated hereby, and neither the Representative nor any other Initial Purchaser shall have any responsibility or liability to the Company or the Guarantors with respect thereto. Any review by the Representative or any Initial Purchaser of the Company, the Guarantors, and the transactions contemplated hereby or other matters relating to such transactions will be performed solely for the benefit of the Representative or such Initial Purchaser, as the case may be, and shall not be on behalf of the Company, the Guarantors or any other person.</w:t>
      </w:r>
    </w:p>
    <w:p>
      <w:pPr>
        <w:spacing w:after="0" w:line="194" w:lineRule="exact"/>
        <w:rPr>
          <w:sz w:val="20"/>
          <w:szCs w:val="20"/>
          <w:color w:val="auto"/>
        </w:rPr>
      </w:pPr>
    </w:p>
    <w:p>
      <w:pPr>
        <w:ind w:left="840" w:hanging="184"/>
        <w:spacing w:after="0"/>
        <w:tabs>
          <w:tab w:leader="none" w:pos="84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and Delivery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66" w:lineRule="auto"/>
        <w:tabs>
          <w:tab w:leader="none" w:pos="9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and delivery of the Securities will be made at 10:00 A.M., New York City time, on September 12, 2025, or at such other time or place on the same or such other date, not later than the third business day thereafter, as the Representative and the Company may agree upon in writing. The time and date of such payment and delivery is referred to herein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the Securities shall be made by wire transfer in immediately available funds to the account(s) specified by the Company to the Representative against delivery to the nominee of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for the account of the Initial Purchasers, of one or more global notes representing the Securities (collectively, the “</w:t>
      </w:r>
      <w:r>
        <w:rPr>
          <w:rFonts w:ascii="Times New Roman" w:cs="Times New Roman" w:eastAsia="Times New Roman" w:hAnsi="Times New Roman"/>
          <w:sz w:val="18"/>
          <w:szCs w:val="18"/>
          <w:b w:val="1"/>
          <w:bCs w:val="1"/>
          <w:color w:val="auto"/>
        </w:rPr>
        <w:t>Global Note</w:t>
      </w:r>
      <w:r>
        <w:rPr>
          <w:rFonts w:ascii="Times New Roman" w:cs="Times New Roman" w:eastAsia="Times New Roman" w:hAnsi="Times New Roman"/>
          <w:sz w:val="18"/>
          <w:szCs w:val="18"/>
          <w:color w:val="auto"/>
        </w:rPr>
        <w:t>”), with any transfer taxes payable in connection with the sale of the Securities duly paid by the Company. The Global Note will be made available for inspection by the Representative not later than 1:00 P.M., New York City time, on the business day prior to the Closing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4" w:name="page155"/>
    <w:bookmarkEnd w:id="154"/>
    <w:p>
      <w:pPr>
        <w:ind w:firstLine="656"/>
        <w:spacing w:after="0" w:line="282" w:lineRule="auto"/>
        <w:tabs>
          <w:tab w:leader="none" w:pos="841"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Company and the Guarantors</w:t>
      </w:r>
      <w:r>
        <w:rPr>
          <w:rFonts w:ascii="Times New Roman" w:cs="Times New Roman" w:eastAsia="Times New Roman" w:hAnsi="Times New Roman"/>
          <w:sz w:val="18"/>
          <w:szCs w:val="18"/>
          <w:color w:val="auto"/>
        </w:rPr>
        <w:t>. The Company and the Guarantors jointly and severally represent and warrant to each Initial Purchaser that:</w:t>
      </w:r>
    </w:p>
    <w:p>
      <w:pPr>
        <w:spacing w:after="0" w:line="160" w:lineRule="exact"/>
        <w:rPr>
          <w:sz w:val="20"/>
          <w:szCs w:val="20"/>
          <w:color w:val="auto"/>
        </w:rPr>
      </w:pPr>
    </w:p>
    <w:p>
      <w:pPr>
        <w:jc w:val="both"/>
        <w:ind w:firstLine="656"/>
        <w:spacing w:after="0" w:line="256" w:lineRule="auto"/>
        <w:tabs>
          <w:tab w:leader="none" w:pos="892"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Preliminary Offering Memorandum, Time of Sale Information and Offering Memorandum. </w:t>
      </w:r>
      <w:r>
        <w:rPr>
          <w:rFonts w:ascii="Times New Roman" w:cs="Times New Roman" w:eastAsia="Times New Roman" w:hAnsi="Times New Roman"/>
          <w:sz w:val="18"/>
          <w:szCs w:val="18"/>
          <w:color w:val="auto"/>
        </w:rPr>
        <w:t>The Preliminary Offering Memorandum, as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did not, and the Time of Sale Information, at the Time of Sale, did not, and at the Closing Date, will not, and the Offering Memorandum, in the form first used by the Initial Purchasers to confirm the sales of Securities and as of the Closing Date, did not and will not, contain any untrue statement of a material fact or omit to state a material fact necessary in order to make the statements therein, in the light of the circumstances under which they were made, not misleading; provided that the Company and the Guarantors make no representation or warranty with respect to any statements or omissions made in reliance upon and in conformity with information relating to any Initial Purchaser furnished to the Company in writing by such Initial Purchaser through the Representative expressly for use in the Time of Sale Information or the Offering Memorandum.</w:t>
      </w:r>
    </w:p>
    <w:p>
      <w:pPr>
        <w:spacing w:after="0" w:line="182" w:lineRule="exact"/>
        <w:rPr>
          <w:rFonts w:ascii="Times New Roman" w:cs="Times New Roman" w:eastAsia="Times New Roman" w:hAnsi="Times New Roman"/>
          <w:sz w:val="18"/>
          <w:szCs w:val="18"/>
          <w:color w:val="auto"/>
        </w:rPr>
      </w:pPr>
    </w:p>
    <w:p>
      <w:pPr>
        <w:jc w:val="both"/>
        <w:ind w:firstLine="656"/>
        <w:spacing w:after="0" w:line="253" w:lineRule="auto"/>
        <w:tabs>
          <w:tab w:leader="none" w:pos="93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Written Communications. </w:t>
      </w:r>
      <w:r>
        <w:rPr>
          <w:rFonts w:ascii="Times New Roman" w:cs="Times New Roman" w:eastAsia="Times New Roman" w:hAnsi="Times New Roman"/>
          <w:sz w:val="18"/>
          <w:szCs w:val="18"/>
          <w:color w:val="auto"/>
        </w:rPr>
        <w:t>The Company and the Guarantors (including their agents and representatives, other than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Purchasers in their capacity as such) have not prepared, made, used, authorized, approved or referred to and will not prepare, make, use, authorize, approve or refer to any written communication that constitutes an offer to sell or solicitation of an offer to buy the Securities (each such communication by the Company and the Guarantors or their agents and representatives) other than (i) the Preliminary Offering Memorandum, (ii) the Offering Memorandum, (iii) the documents listed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including a term sheet substantially in the form of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 which constitute part of the Time of Sale Information, (iv) any electronic road show or other written communications and (vi) any pre-recorded or written investor presentation used in meetings with investors (other than a communication referred to in clauses (i) and (ii) above, an “</w:t>
      </w:r>
      <w:r>
        <w:rPr>
          <w:rFonts w:ascii="Times New Roman" w:cs="Times New Roman" w:eastAsia="Times New Roman" w:hAnsi="Times New Roman"/>
          <w:sz w:val="18"/>
          <w:szCs w:val="18"/>
          <w:b w:val="1"/>
          <w:bCs w:val="1"/>
          <w:color w:val="auto"/>
        </w:rPr>
        <w:t>Issuer Written Communication</w:t>
      </w:r>
      <w:r>
        <w:rPr>
          <w:rFonts w:ascii="Times New Roman" w:cs="Times New Roman" w:eastAsia="Times New Roman" w:hAnsi="Times New Roman"/>
          <w:sz w:val="18"/>
          <w:szCs w:val="18"/>
          <w:color w:val="auto"/>
        </w:rPr>
        <w:t>”), in each case used in accordance with Section 4(c). Each such Issuer Written Communication, when taken together with the Time of Sale Information at the Time of Sale, did not, and at the Closing Date will not, contain any untrue statement of a material fact or omit to state a material fact necessary in order to make the statements therein, in the light of the circumstances under which they were made, not misleading; provided that the Company and the Guarantors make no representation or warranty with respect to any statements or omissions made in each such Issuer Written Communication in reliance upon and in conformity with information relating to any Initial Purchaser furnished to the Company in writing by such Initial Purchaser through the Representative expressly for use in any Issuer Written Communication.</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892"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financial statements and the related notes thereto included in each of the Time of Sale Information and the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present fairly in all material respects the financial position of the Company and its consolidated subsidiaries, as of the dates indicated and the results of their operations and the changes in their cash flows for the periods specified; such financial statements have been prepared in conformity with accounting principles generally accepted in the United States (“</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applied on a consistent basis throughout the periods covered thereby; and the other financial information included in each of the Time of Sale Information and the Offering Memorandum has been derived from the accounting records of the Company and its consolidated subsidiaries and presents fairly the information shown thereby. There are no financial statements (historical or pro forma) that would be required by the Securities Act to be described in a registration statement to be filed with the Commission that are not included in each of the Time of Sale Information and the Offering Memorandum.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5" w:name="page156"/>
    <w:bookmarkEnd w:id="155"/>
    <w:p>
      <w:pPr>
        <w:jc w:val="both"/>
        <w:ind w:left="-20" w:firstLine="656"/>
        <w:spacing w:after="0" w:line="254" w:lineRule="auto"/>
        <w:tabs>
          <w:tab w:leader="none" w:pos="883"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 and Good Standing. </w:t>
      </w:r>
      <w:r>
        <w:rPr>
          <w:rFonts w:ascii="Times New Roman" w:cs="Times New Roman" w:eastAsia="Times New Roman" w:hAnsi="Times New Roman"/>
          <w:sz w:val="18"/>
          <w:szCs w:val="18"/>
          <w:color w:val="auto"/>
        </w:rPr>
        <w:t>Each of the Company and each Guarantor has been duly organized and is validly existing as a corporation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legal entity in good standing under the laws of its jurisdiction of incorporation or organization. The Company and each Guarantor is duly qualified to do business and is in good standing as a foreign corporation or other legal entity in each jurisdiction in which its ownership or lease of its properties or the conduct of its business requires such qualification and has all power and authority (corporate or other) necessary to own or hold its properties and to conduct the businesses in which each is engaged, except where the failure to so qualify or have such power or authority would not (i) have, singularly or in the aggregate, a material adverse effect on the condition (financial or otherwise), results of operations, assets, or business of the Company and its Subsidiaries, taken as a whole, or (ii) impair in any material respect the ability of the Company to perform its obligations under this Agreement or to consummate any transactions contemplated by this Agreement, the Time of Sale Information or the Offering Memorandum (any such effect as described in clauses (i) or (ii), a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any subsidiary of the Company as defined in Rule 405 under the Securities Act.</w:t>
      </w:r>
    </w:p>
    <w:p>
      <w:pPr>
        <w:spacing w:after="0" w:line="188" w:lineRule="exact"/>
        <w:rPr>
          <w:rFonts w:ascii="Times New Roman" w:cs="Times New Roman" w:eastAsia="Times New Roman" w:hAnsi="Times New Roman"/>
          <w:sz w:val="18"/>
          <w:szCs w:val="18"/>
          <w:color w:val="auto"/>
        </w:rPr>
      </w:pPr>
    </w:p>
    <w:p>
      <w:pPr>
        <w:jc w:val="both"/>
        <w:ind w:left="-20" w:firstLine="656"/>
        <w:spacing w:after="0" w:line="258" w:lineRule="auto"/>
        <w:tabs>
          <w:tab w:leader="none" w:pos="872"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Due Authorization. </w:t>
      </w:r>
      <w:r>
        <w:rPr>
          <w:rFonts w:ascii="Times New Roman" w:cs="Times New Roman" w:eastAsia="Times New Roman" w:hAnsi="Times New Roman"/>
          <w:sz w:val="18"/>
          <w:szCs w:val="18"/>
          <w:color w:val="auto"/>
        </w:rPr>
        <w:t>The Company and each of the Guarantors have the full right, power and authority to execute and deliver, and perform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under, this Agreement, the Securities and the Indenture (including each Guarantee set forth therein) (collectively, the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and to perform their respective obligations hereunder and thereunder; and all action required to be taken for the due and proper authorization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execution and delivery of each of the Transaction Documents and the consummation of the transactions contemplated thereby has been duly and validly taken.</w:t>
      </w:r>
    </w:p>
    <w:p>
      <w:pPr>
        <w:spacing w:after="0" w:line="183" w:lineRule="exact"/>
        <w:rPr>
          <w:rFonts w:ascii="Times New Roman" w:cs="Times New Roman" w:eastAsia="Times New Roman" w:hAnsi="Times New Roman"/>
          <w:sz w:val="18"/>
          <w:szCs w:val="18"/>
          <w:color w:val="auto"/>
        </w:rPr>
      </w:pPr>
    </w:p>
    <w:p>
      <w:pPr>
        <w:ind w:left="860" w:hanging="224"/>
        <w:spacing w:after="0"/>
        <w:tabs>
          <w:tab w:leader="none" w:pos="86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Purchase Agreement. </w:t>
      </w:r>
      <w:r>
        <w:rPr>
          <w:rFonts w:ascii="Times New Roman" w:cs="Times New Roman" w:eastAsia="Times New Roman" w:hAnsi="Times New Roman"/>
          <w:sz w:val="18"/>
          <w:szCs w:val="18"/>
          <w:color w:val="auto"/>
        </w:rPr>
        <w:t>This Agreement has been duly authorized, executed and delivered by the Company and each of the Guarantors.</w:t>
      </w:r>
    </w:p>
    <w:p>
      <w:pPr>
        <w:spacing w:after="0" w:line="225" w:lineRule="exact"/>
        <w:rPr>
          <w:rFonts w:ascii="Times New Roman" w:cs="Times New Roman" w:eastAsia="Times New Roman" w:hAnsi="Times New Roman"/>
          <w:sz w:val="18"/>
          <w:szCs w:val="18"/>
          <w:color w:val="auto"/>
        </w:rPr>
      </w:pPr>
    </w:p>
    <w:p>
      <w:pPr>
        <w:jc w:val="both"/>
        <w:ind w:left="-20" w:firstLine="656"/>
        <w:spacing w:after="0" w:line="253" w:lineRule="auto"/>
        <w:tabs>
          <w:tab w:leader="none" w:pos="883"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Capitalization. </w:t>
      </w:r>
      <w:r>
        <w:rPr>
          <w:rFonts w:ascii="Times New Roman" w:cs="Times New Roman" w:eastAsia="Times New Roman" w:hAnsi="Times New Roman"/>
          <w:sz w:val="18"/>
          <w:szCs w:val="18"/>
          <w:color w:val="auto"/>
        </w:rPr>
        <w:t>The Company has capitalization as set forth in the Time of Sale Information and the Offering Memorandum under the heading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“Capitalization” as of the date thereof. The shares of capital stock outstanding have been duly authorized and were validly issued, fully paid and non-assessable and were issued in compliance in all material respects with U.S. federal and applicable state securities laws. The membership interests, capital stock, partnership interests or other similar equity interests, as applicable, of each Subsidiary have been duly authorized and validly issued, were fully paid and nonassessable and were issued in compliance in all material respects with U.S. federal and applicable state securities laws and, except to the extent set forth in the Time of Sale Information and the Offering Memorandum, are owned by the Company directly, free and clear of any claim, lien, encumbrance, security interest, restriction upon voting or transfer or any other claim of any third party. None of the outstanding shares of capital stock of the Company and its Subsidiaries was issued in violation of any preemptive rights, rights of first refusal or other similar rights to subscribe for or purchase securities of the Company. Except as set forth in the Time of Sale Information and the Offering Memorandum (exclusive of any amendment or supplement thereto), there are no outstanding options, warrants or other rights to acquire or purchase, or instruments convertible into or exchangeable for, any equity interests of the Company or any of its Subsidiaries.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86" w:right="339" w:bottom="1440" w:gutter="0" w:footer="0" w:header="0"/>
        </w:sectPr>
      </w:pPr>
    </w:p>
    <w:bookmarkStart w:id="156" w:name="page157"/>
    <w:bookmarkEnd w:id="156"/>
    <w:p>
      <w:pPr>
        <w:jc w:val="both"/>
        <w:ind w:firstLine="656"/>
        <w:spacing w:after="0" w:line="256" w:lineRule="auto"/>
        <w:tabs>
          <w:tab w:leader="none" w:pos="91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Violation or Default. </w:t>
      </w:r>
      <w:r>
        <w:rPr>
          <w:rFonts w:ascii="Times New Roman" w:cs="Times New Roman" w:eastAsia="Times New Roman" w:hAnsi="Times New Roman"/>
          <w:sz w:val="18"/>
          <w:szCs w:val="18"/>
          <w:color w:val="auto"/>
        </w:rPr>
        <w:t>Neither the Company nor any Guarantor is (i) in violation of its charter, bylaws, certificate of formation,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company agreement, partnership agreement or other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Subsidiary is a party or by which the Company or any Subsidiary is bound or to which any property, right or asset of the Company or any Subsidiary is subject; or (iii) in violation of any law or statute or any judgment, order, rule or regulation of any court or arbitrator or governmental or regulatory authority, except, in the case of clauses (ii) and (iii) above, for any such default or violation that would not, individually or in the aggregate, have a Material Adverse Effect.</w:t>
      </w:r>
    </w:p>
    <w:p>
      <w:pPr>
        <w:spacing w:after="0" w:line="182" w:lineRule="exact"/>
        <w:rPr>
          <w:rFonts w:ascii="Times New Roman" w:cs="Times New Roman" w:eastAsia="Times New Roman" w:hAnsi="Times New Roman"/>
          <w:sz w:val="18"/>
          <w:szCs w:val="18"/>
          <w:color w:val="auto"/>
        </w:rPr>
      </w:pPr>
    </w:p>
    <w:p>
      <w:pPr>
        <w:jc w:val="both"/>
        <w:ind w:firstLine="656"/>
        <w:spacing w:after="0" w:line="258" w:lineRule="auto"/>
        <w:tabs>
          <w:tab w:leader="none" w:pos="863"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Consents Required. </w:t>
      </w:r>
      <w:r>
        <w:rPr>
          <w:rFonts w:ascii="Times New Roman" w:cs="Times New Roman" w:eastAsia="Times New Roman" w:hAnsi="Times New Roman"/>
          <w:sz w:val="18"/>
          <w:szCs w:val="18"/>
          <w:color w:val="auto"/>
        </w:rPr>
        <w:t>No consent, approval, authorization, order of, registration or qualification with, any court or arbitrator or governmental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body or agency or self-regulatory authority is required for the execution, delivery and performance by the Company and each the Guarantors of each of the Transaction Documents to which it is a party, the issuance and sale of the Securities and the issuance of the Guarantees and compliance by the Company and each of the Guarantors with the terms thereof and the consummation of the transactions contemplated by the Transaction Documents, except as have been obtained or as may be required by the securities or Blue Sky laws of the various states.</w:t>
      </w:r>
    </w:p>
    <w:p>
      <w:pPr>
        <w:spacing w:after="0" w:line="183" w:lineRule="exact"/>
        <w:rPr>
          <w:rFonts w:ascii="Times New Roman" w:cs="Times New Roman" w:eastAsia="Times New Roman" w:hAnsi="Times New Roman"/>
          <w:sz w:val="18"/>
          <w:szCs w:val="18"/>
          <w:color w:val="auto"/>
        </w:rPr>
      </w:pPr>
    </w:p>
    <w:p>
      <w:pPr>
        <w:jc w:val="both"/>
        <w:ind w:firstLine="656"/>
        <w:spacing w:after="0" w:line="257" w:lineRule="auto"/>
        <w:tabs>
          <w:tab w:leader="none" w:pos="863"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Accountants. </w:t>
      </w:r>
      <w:r>
        <w:rPr>
          <w:rFonts w:ascii="Times New Roman" w:cs="Times New Roman" w:eastAsia="Times New Roman" w:hAnsi="Times New Roman"/>
          <w:sz w:val="18"/>
          <w:szCs w:val="18"/>
          <w:color w:val="auto"/>
        </w:rPr>
        <w:t>Crowe LLP and KMJ Corbin &amp; Company LLP, which have audited certain financial statements of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consolidated subsidiaries, are independent registered public accounting firms with respect to the Company and its consolidated subsidiaries as required by the Securities Act and the Rules and Regulations and the Public Company Accounting Oversight Board (United States). Except as pre-approved in accordance with the requirements set forth in Section 10A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the independent registered public accounting firms above have not been engaged by the Company or any of its Subsidiaries, as applicable, to perform any “prohibited activities” (as defined in Section 10A of the Exchange Act).</w:t>
      </w:r>
    </w:p>
    <w:p>
      <w:pPr>
        <w:spacing w:after="0" w:line="182" w:lineRule="exact"/>
        <w:rPr>
          <w:rFonts w:ascii="Times New Roman" w:cs="Times New Roman" w:eastAsia="Times New Roman" w:hAnsi="Times New Roman"/>
          <w:sz w:val="18"/>
          <w:szCs w:val="18"/>
          <w:color w:val="auto"/>
        </w:rPr>
      </w:pPr>
    </w:p>
    <w:p>
      <w:pPr>
        <w:jc w:val="both"/>
        <w:ind w:firstLine="656"/>
        <w:spacing w:after="0" w:line="267" w:lineRule="auto"/>
        <w:tabs>
          <w:tab w:leader="none" w:pos="903"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Liabilities/Obligations. </w:t>
      </w:r>
      <w:r>
        <w:rPr>
          <w:rFonts w:ascii="Times New Roman" w:cs="Times New Roman" w:eastAsia="Times New Roman" w:hAnsi="Times New Roman"/>
          <w:sz w:val="18"/>
          <w:szCs w:val="18"/>
          <w:color w:val="auto"/>
        </w:rPr>
        <w:t>The Company and its Subsidiaries do not have any material liabilities or obligations, direct or contingent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any off-balance sheet obligations or any “variable interest entities” within the meaning of the Financial Accounting Standards Board’s Accounting Standards Codification Topic 810), which are not disclosed in the Time of Sale Information or the Offering Memorandum.</w:t>
      </w:r>
    </w:p>
    <w:p>
      <w:pPr>
        <w:spacing w:after="0" w:line="173" w:lineRule="exact"/>
        <w:rPr>
          <w:rFonts w:ascii="Times New Roman" w:cs="Times New Roman" w:eastAsia="Times New Roman" w:hAnsi="Times New Roman"/>
          <w:sz w:val="18"/>
          <w:szCs w:val="18"/>
          <w:color w:val="auto"/>
        </w:rPr>
      </w:pPr>
    </w:p>
    <w:p>
      <w:pPr>
        <w:jc w:val="both"/>
        <w:ind w:firstLine="656"/>
        <w:spacing w:after="0" w:line="258" w:lineRule="auto"/>
        <w:tabs>
          <w:tab w:leader="none" w:pos="863"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Since the date of the most recent financial statements of the Company included in the Time of Sale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the Offering Memorandum, (i) there has not occurred any event or circumstance that has had or would reasonably be expected to have, individually or in the aggregate, a Material Adverse Effect and (ii) each of the Company and its Subsidiaries, considered as one entity, has not incurred any material liability or obligation, indirect, direct or contingent, not in the ordinary course of business nor entered into any material transaction or agreement not in the ordinary course of business, in each case, other than is set forth or contemplated therein.</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57" w:name="page158"/>
    <w:bookmarkEnd w:id="157"/>
    <w:p>
      <w:pPr>
        <w:jc w:val="both"/>
        <w:ind w:firstLine="656"/>
        <w:spacing w:after="0" w:line="262" w:lineRule="auto"/>
        <w:tabs>
          <w:tab w:leader="none" w:pos="953"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Legal Proceedings. </w:t>
      </w:r>
      <w:r>
        <w:rPr>
          <w:rFonts w:ascii="Times New Roman" w:cs="Times New Roman" w:eastAsia="Times New Roman" w:hAnsi="Times New Roman"/>
          <w:sz w:val="18"/>
          <w:szCs w:val="18"/>
          <w:color w:val="auto"/>
        </w:rPr>
        <w:t>There is no legal or governmental proceeding, action, suit or claim pending or, to the Company’s knowledge, threatened,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which the Company or any of its Subsidiaries is a party, or to which any of the properties or assets of the Company or any of its Subsidiaries is subject,</w:t>
      </w:r>
    </w:p>
    <w:p>
      <w:pPr>
        <w:jc w:val="both"/>
        <w:ind w:firstLine="8"/>
        <w:spacing w:after="0" w:line="253" w:lineRule="auto"/>
        <w:tabs>
          <w:tab w:leader="none" w:pos="23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proceedings described in the Time of Sale Information and/or the Offering Memorandum or proceedings that would not have a Material Adverse Effect or (ii) that are required to be described in the Time of Sale Information or the Offering Memorandum and are not so described; and there are no statutes, regulations, contracts or other documents to which the Company or any of its Subsidiaries is subject or by which the Company or any of its Subsidiaries is bound that are required to be described in the Time of Sale Information or the Offering Memorandum that are not described as required.</w:t>
      </w:r>
    </w:p>
    <w:p>
      <w:pPr>
        <w:spacing w:after="0" w:line="186"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Investment Company Act. </w:t>
      </w:r>
      <w:r>
        <w:rPr>
          <w:rFonts w:ascii="Times New Roman" w:cs="Times New Roman" w:eastAsia="Times New Roman" w:hAnsi="Times New Roman"/>
          <w:sz w:val="18"/>
          <w:szCs w:val="18"/>
          <w:color w:val="auto"/>
        </w:rPr>
        <w:t>Neither the Company nor any Guarantor is or, after giving effect to the offering and sale of the Securities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of the proceeds thereof as described in the Time of Sale Information and the Offering Memorandum, will be, an “investment company” within the meaning of the Investment Company Act of 1940, as amended, and the rules and regulations of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thereunder (collectively,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 that is required to be registered under the Investment Company Act.</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Property. </w:t>
      </w:r>
      <w:r>
        <w:rPr>
          <w:rFonts w:ascii="Times New Roman" w:cs="Times New Roman" w:eastAsia="Times New Roman" w:hAnsi="Times New Roman"/>
          <w:sz w:val="18"/>
          <w:szCs w:val="18"/>
          <w:color w:val="auto"/>
        </w:rPr>
        <w:t>The Company and its Subsidiaries have good and marketable title to all real and personal property owned by them which is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business of the Company and its Subsidiaries, taken as a whole, in each case free and clear of all liens, encumbrances and defects of title except such as are described in the Time of Sale Information or the Offering Memorandum or would not individually or in the aggregate have a Material Adverse Effect; and any real property and buildings held under lease by the Company and its Subsidiaries are held by them under valid, subsisting and enforceable leases except such as are described in the Time of Sale Information or the Offering Memorandum or would not have a Material Adverse Effect.</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930"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Environmental Laws. </w:t>
      </w:r>
      <w:r>
        <w:rPr>
          <w:rFonts w:ascii="Times New Roman" w:cs="Times New Roman" w:eastAsia="Times New Roman" w:hAnsi="Times New Roman"/>
          <w:sz w:val="18"/>
          <w:szCs w:val="18"/>
          <w:color w:val="auto"/>
        </w:rPr>
        <w:t>Except as disclosed in the Time of Sale Information or the Offering Memorandum, neither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nor any of its Subsidiaries is in violation of any statute, rule, regulation, decision or order of any governmental agency or body or any court, relating to the use, disposal or release of hazardous or toxic substances or relating to the protection or restoration of the environment or human exposure to hazardous or toxic substances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operates any real property contaminated with any substance that is subject to any Environmental Laws, is liable for any off-site disposal or contamination pursuant to any Environmental Laws, or is subject to any claim relating to any Environmental Laws, which violation, contamination, liability or claim would individually or in the aggregate have a Material Adverse Effect; and the Company and the Guarantors are not aware of any pending investigation which might lead to such a claim.</w:t>
      </w:r>
    </w:p>
    <w:p>
      <w:pPr>
        <w:spacing w:after="0" w:line="182" w:lineRule="exact"/>
        <w:rPr>
          <w:rFonts w:ascii="Times New Roman" w:cs="Times New Roman" w:eastAsia="Times New Roman" w:hAnsi="Times New Roman"/>
          <w:sz w:val="18"/>
          <w:szCs w:val="18"/>
          <w:color w:val="auto"/>
        </w:rPr>
      </w:pPr>
    </w:p>
    <w:p>
      <w:pPr>
        <w:jc w:val="both"/>
        <w:ind w:firstLine="656"/>
        <w:spacing w:after="0" w:line="252" w:lineRule="auto"/>
        <w:tabs>
          <w:tab w:leader="none" w:pos="903" w:val="left"/>
        </w:tabs>
        <w:numPr>
          <w:ilvl w:val="1"/>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Intellectual Property. </w:t>
      </w:r>
      <w:r>
        <w:rPr>
          <w:rFonts w:ascii="Times New Roman" w:cs="Times New Roman" w:eastAsia="Times New Roman" w:hAnsi="Times New Roman"/>
          <w:sz w:val="18"/>
          <w:szCs w:val="18"/>
          <w:color w:val="auto"/>
        </w:rPr>
        <w:t>Except as disclosed in the Time of Sale Information and the Offering Memorandum, the Company and its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 or possess or have rights to or can acquire on reasonable terms enforceable rights to use all patents, patent applications, trademarks (both registered and unregistered), service marks, trade names, trademark registrations, service mark registrations, copyrights, licenses and know-how (including trade secrets and other unpatented and/or unpatentable proprietary or confidential information, systems or procedures) (collectively, the “</w:t>
      </w:r>
      <w:r>
        <w:rPr>
          <w:rFonts w:ascii="Times New Roman" w:cs="Times New Roman" w:eastAsia="Times New Roman" w:hAnsi="Times New Roman"/>
          <w:sz w:val="18"/>
          <w:szCs w:val="18"/>
          <w:b w:val="1"/>
          <w:bCs w:val="1"/>
          <w:color w:val="auto"/>
        </w:rPr>
        <w:t>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necessary for the conduct of their respective businesses as conducted as of the date hereof, except to the extent that the failure to own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possess or have rights to or acquire adequate rights to use such Intellectual Property would not, individually or in the aggregate, reasonably be expected to have a Material Adverse Effect; the Company and its Subsidiaries have not received any written notice of any claim of infringement or conflict which asserted Intellectual Property rights of others, which infringement or conflict, if the subject of an unfavorable decision, would result in a Material Adverse Effect; there are no pending, or to the knowledge of the Company and the Guarantors, threatened judicial proceedings or interference proceedings against the Company or its Subsidiaries challenging the Company’s or any of its Subsidiaries’ rights in or to or the validity of the scope of any of the Company’s or any Subsidiaries’ patents, patent applications or proprietary information, except such proceedings that have been disclosed in writing to the Representative or would not, individually or in the aggregate, reasonably be expected to have a Material Adverse Effect; no other entity or individual has any right or claim in any of the Company’s or any of its Subsidiaries’ patents, patent applications or any patent to be issued therefrom by virtue of any contract, license or other agreement entered into between such entity or individual and the Company or any Subsidiary or by any non-contractual obligation, other than by written licenses granted by the Company or any Subsidiary except for such right or claim that would not, individually or in the aggregate, reasonably be expected to have a Material Adverse Effect; the Company and its Subsidiaries have not received any written notice of any claim challenging the rights of the Company or its Subsidiaries in or to any Intellectual Property owned, licensed or optioned by the Company or any Subsidiary which claim, if the subject of an unfavorable decision would reasonably be expected to result in a Material Adverse Effect.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58" w:name="page159"/>
    <w:bookmarkEnd w:id="158"/>
    <w:p>
      <w:pPr>
        <w:jc w:val="both"/>
        <w:ind w:firstLine="656"/>
        <w:spacing w:after="0" w:line="251" w:lineRule="auto"/>
        <w:tabs>
          <w:tab w:leader="none" w:pos="88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Health Care Laws. </w:t>
      </w:r>
      <w:r>
        <w:rPr>
          <w:rFonts w:ascii="Times New Roman" w:cs="Times New Roman" w:eastAsia="Times New Roman" w:hAnsi="Times New Roman"/>
          <w:sz w:val="18"/>
          <w:szCs w:val="18"/>
          <w:color w:val="auto"/>
        </w:rPr>
        <w:t>The Company and its Subsidiaries: (A) are and at all times during the last six (6) years have been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 compliance with all applicable Health Care Laws (as defined below) relating to the ownership, testing, development, manufacture, compounding packaging, processing, use, distribution, marketing, labeling, promotion, sale, offer for sale, storage, import, export or disposal of any pharmaceutical or other medical product under development, manufactured, marketed, sold or distributed by the Company or its Subsidiaries; (B) have not received any Form 483 from the U.S. Food and Drug Administration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that remains unresolved or open, written notice of adverse finding, warning letter, or other written correspondence or notice from the FDA, the European Medicines Agency (the “</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or any other federal, state, local or foreign governmental or regulatory authority (each, a “</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that remains unresolved or open alleging or asserting noncompliance with any Health Care Laws or any licenses, certificates, approvals, clearances, authorizations, permits and supplements or amendments thereto required by any such applicable laws (“</w:t>
      </w:r>
      <w:r>
        <w:rPr>
          <w:rFonts w:ascii="Times New Roman" w:cs="Times New Roman" w:eastAsia="Times New Roman" w:hAnsi="Times New Roman"/>
          <w:sz w:val="18"/>
          <w:szCs w:val="18"/>
          <w:b w:val="1"/>
          <w:bCs w:val="1"/>
          <w:color w:val="auto"/>
        </w:rPr>
        <w:t>Authorizations</w:t>
      </w:r>
      <w:r>
        <w:rPr>
          <w:rFonts w:ascii="Times New Roman" w:cs="Times New Roman" w:eastAsia="Times New Roman" w:hAnsi="Times New Roman"/>
          <w:sz w:val="18"/>
          <w:szCs w:val="18"/>
          <w:color w:val="auto"/>
        </w:rPr>
        <w:t>”), which would, individually or in the aggregate, result in a Material Adverse Effect; (C) possess all Authorizations material to the Company and such Authorizations are valid and in full force and effect and neither the Company nor its Subsidiaries is in violation of any material term of any such Authorizations; (D) have not received notice of any claim, action, suit, proceeding, hearing, enforcement, investigation, arbitration or other action from any third party alleging that any product, operation or activity of the Company, the Guarantors or any of their respective Subsidiaries is in violation of any applicable Health Care Laws or Authorizations which would, individually or in the aggregate, result in a Material Adverse Effect, and each has no knowledge that any Regulatory Authority or third party is considering any material claim, litigation, arbitration, action, suit, investigation or proceeding against the Company, the Guarantors or any of their respective Subsidiaries; (E) have not received written notice that any Regulatory Authority has taken, is taking or, to the knowledge of the Company and the Guarantors, intends to take action to limit, suspend, modify or revoke any Authorizations material to the Company and has no knowledge that any Regulatory Authority is considering such action; (F) have filed, obtained, maintained or submitted all reports, documents, forms, notices, applications, records, claims, submissions and supplements or amendments as required by any applicable Health Care Laws or Authorizations, except where the failure to file such reports, documents, forms, notices, applications, records, claims, submissions and supplements or amendments would not result in a Material Adverse Effect, and that all such reports, documents, forms, notices, applications, records, claims, submissions and supplements or amendments were materially complete and correct on the date filed (or were corrected or supplemented by a subsequent submission); and (G) have not initiated any recalls, field notifications, field corrections, market withdrawals or replacements, warnings, “dear doctor” letters, investigator notices, safety alerts or other notice of action relating to an alleged lack of safety, efficacy, or regulatory compliance of any product marketed by the Company or any Subsidiary which would, individually or in the aggregate, result in a Material Adverse Effect. For purposes of this Agreement,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means: (i) the Federal Food, Drug, and Cosmetic Act, the Public Health Service Act, the Controlled Substances Act, and the regulations promulgated thereunder; (ii) all applicable federal, state, local and all applicable foreign health care related fraud and abuse laws, including, without limitation, the U.S. Anti-Kickback Statute (42 U.S.C. Section 1320a-7b(b)), the U.S. Physician Payments Sunshine Act (42 U.S.C. § 1320a-7h), the U.S. Civil False Claims Act (31 U.S.C. Section 3729 et seq.), the criminal False Claims Law (42 U.S.C. § 1320a-7b(a)), all criminal laws relating to health care fraud and abuse, including but not limited to 18 U.S.C. Sections 286 and 287, and the health care fraud criminal provisions under the U.S. Health Insurance Portability and Accountability Act of 1996 (“HIPAA”) (42 U.S.C. Section 1320d et seq.), the exclusion laws (42 U.S.C. § 1320a-7), the civil monetary penalties law (42 U.S.C. § 1320a-7a), the statutes, regulations and directives of applicable government funded or sponsored healthcare programs, and the regulations promulgated pursuant to such statutes; (iii) HIPAA, as amended by the Health Information Technology for Economic and Clinical Health Act (42 U.S.C. Section 17921 et seq.), and the regulations promulgated thereunder and any state or non-U.S. counterpart thereof or other law or regulation the purpose of which is to protect the privacy of individuals or prescribers; (iv) the Medicare statute (Title XVIII of the Social Security Act) and all applicable regulations promulgated thereto; (v) the Medicaid statute (Title XIX of the Social Security Act) and all applicable regulations promulgated thereto; and (vi) any and all other applicable federal or state health care laws and regulations.</w:t>
      </w:r>
    </w:p>
    <w:p>
      <w:pPr>
        <w:spacing w:after="0" w:line="199" w:lineRule="exact"/>
        <w:rPr>
          <w:rFonts w:ascii="Times New Roman" w:cs="Times New Roman" w:eastAsia="Times New Roman" w:hAnsi="Times New Roman"/>
          <w:sz w:val="18"/>
          <w:szCs w:val="18"/>
          <w:color w:val="auto"/>
        </w:rPr>
      </w:pPr>
    </w:p>
    <w:p>
      <w:pPr>
        <w:jc w:val="both"/>
        <w:ind w:firstLine="656"/>
        <w:spacing w:after="0" w:line="254" w:lineRule="auto"/>
        <w:tabs>
          <w:tab w:leader="none" w:pos="883"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of Studies &amp; Trials with Health Care Laws. </w:t>
      </w:r>
      <w:r>
        <w:rPr>
          <w:rFonts w:ascii="Times New Roman" w:cs="Times New Roman" w:eastAsia="Times New Roman" w:hAnsi="Times New Roman"/>
          <w:sz w:val="18"/>
          <w:szCs w:val="18"/>
          <w:color w:val="auto"/>
        </w:rPr>
        <w:t>All clinical trials conducted by the Company or on behalf of the Company were,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still pending are, to the knowledge of the Company and the Guarantors, being conducted in all material respects in compliance with all applicable Health Care Laws and in accordance with experimental protocols, procedures and controls generally used by qualified experts in the clinical trials of drugs and biologics comparable to the Company’s products; the descriptions of the results of such clinical trials contained in the Time of Sale Information and the Offering Memorandum are accurate in all material respects, and the Company and the Guarantors have no knowledge of any other clinical trials, the results of which reasonably call into question the clinical trial results described or referred to in the Time of Sale Information and the Offering Memorandum when viewed in the context in which such results are described; and the Company has not received any written notices or correspondence from the FDA, the EMA, or any other domestic or foreign governmental agency requiring the termination or suspension of any clinical trials conducted by or on behalf of the Company or any Subsidiary that are described in the Time of Sale Information and the Offering Memorandum or the results of which are referred to in the Time of Sale Information and the Offering Memorandum.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59" w:name="page160"/>
    <w:bookmarkEnd w:id="159"/>
    <w:p>
      <w:pPr>
        <w:jc w:val="both"/>
        <w:ind w:firstLine="656"/>
        <w:spacing w:after="0" w:line="261" w:lineRule="auto"/>
        <w:tabs>
          <w:tab w:leader="none" w:pos="863"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Regulatory Compliance Program. </w:t>
      </w:r>
      <w:r>
        <w:rPr>
          <w:rFonts w:ascii="Times New Roman" w:cs="Times New Roman" w:eastAsia="Times New Roman" w:hAnsi="Times New Roman"/>
          <w:sz w:val="18"/>
          <w:szCs w:val="18"/>
          <w:color w:val="auto"/>
        </w:rPr>
        <w:t>The Company has established and administers a compliance program applicable to the Company to assist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the directors, officers and employees of the Company in complying with applicable Health Care Laws and other regulatory guidelines (including, without limitation, those administered by the FDA, the EMA, and any other foreign, federal, state or local governmental or regulatory authority having jurisdiction over the Company and performing functions similar to those performed by the FDA or EMA).</w:t>
      </w:r>
    </w:p>
    <w:p>
      <w:pPr>
        <w:spacing w:after="0" w:line="179" w:lineRule="exact"/>
        <w:rPr>
          <w:rFonts w:ascii="Times New Roman" w:cs="Times New Roman" w:eastAsia="Times New Roman" w:hAnsi="Times New Roman"/>
          <w:sz w:val="18"/>
          <w:szCs w:val="18"/>
          <w:color w:val="auto"/>
        </w:rPr>
      </w:pPr>
    </w:p>
    <w:p>
      <w:pPr>
        <w:jc w:val="both"/>
        <w:ind w:firstLine="656"/>
        <w:spacing w:after="0" w:line="252" w:lineRule="auto"/>
        <w:tabs>
          <w:tab w:leader="none" w:pos="903"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Accounting and Disclosure Controls. </w:t>
      </w:r>
      <w:r>
        <w:rPr>
          <w:rFonts w:ascii="Times New Roman" w:cs="Times New Roman" w:eastAsia="Times New Roman" w:hAnsi="Times New Roman"/>
          <w:sz w:val="18"/>
          <w:szCs w:val="18"/>
          <w:color w:val="auto"/>
        </w:rPr>
        <w:t>The Company maintains a system of “internal control over financial reporting” (as defined in Rule 13a-15(f) of the Exchange Act) that has been designed by, or under the supervision of, the Company’s principal executive and principal financial officer to provide reasonable assurance regarding the reliability of financial reporting and the preparation of financial statements for external purposes in accordance with GAAP. The Company maintains a system of internal accounting and other controls (A) sufficient to provide reasonable assurances that (i) transactions are executed in accordance with management’s general or specific authorizations; (ii) transactions are recorded as necessary to permit preparation of financial statements in conformity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and (B) which are effective in all material respects to perform the functions for which they were established. Since the end of the Company’s most recent audited fiscal year, there has been (A) no material weakness or significant deficiencies in the Company’s internal control over financial reporting (whether or not remediated), (B) no change in the Company’s internal control over financial reporting that has materially affected, or is reasonably likely to materially affect, the Company’s internal control over financial reporting, and (C) no fraud, whether or not material, that involves management or other employees who have a significant role in the Company’s internal control over financial reporting. The Company employs disclosure controls and procedures that are designed to ensure that information required to be disclosed by the Company in the reports that it files or submits under the Exchange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 The Company has carried out evaluations of the effectiveness of its disclosure controls and procedures as required by Rule 13a-15 of the Exchange Act.</w:t>
      </w:r>
    </w:p>
    <w:p>
      <w:pPr>
        <w:spacing w:after="0" w:line="193"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Undisclosed Relationship. </w:t>
      </w:r>
      <w:r>
        <w:rPr>
          <w:rFonts w:ascii="Times New Roman" w:cs="Times New Roman" w:eastAsia="Times New Roman" w:hAnsi="Times New Roman"/>
          <w:sz w:val="18"/>
          <w:szCs w:val="18"/>
          <w:color w:val="auto"/>
        </w:rPr>
        <w:t>No relationship, direct or indirect, exists between or among the Company and any of its Subsidiaries, on the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hand, and the directors, officers, stockholders (or analogous interest holders), customers or suppliers of the Company or any of its Subsidiaries or any of their affiliates, on the other hand, which is required to be described in the Time of Sale Information, the Offering Memorandum and which is not so described.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60" w:name="page161"/>
    <w:bookmarkEnd w:id="160"/>
    <w:p>
      <w:pPr>
        <w:jc w:val="both"/>
        <w:ind w:firstLine="656"/>
        <w:spacing w:after="0" w:line="254" w:lineRule="auto"/>
        <w:tabs>
          <w:tab w:leader="none" w:pos="943"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Unlawful Payments. </w:t>
      </w:r>
      <w:r>
        <w:rPr>
          <w:rFonts w:ascii="Times New Roman" w:cs="Times New Roman" w:eastAsia="Times New Roman" w:hAnsi="Times New Roman"/>
          <w:sz w:val="18"/>
          <w:szCs w:val="18"/>
          <w:color w:val="auto"/>
        </w:rPr>
        <w:t>Neither the Company nor any of its Subsidiaries, nor, to the knowledge of the Company, any of its directors,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agents, employees, affiliates or other person acting on their behalf is aware of or has taken any action, directly or indirectly, that has violated or would result in a violation by such persons of the Foreign Corrupt Practices Act of 1977, as amended, and the rules and regulations thereunder (the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The Company and its Subsidiaries have instituted and maintain policies and procedures designed to ensure, and which are reasonably expected to continue to ensure, continued compliance therewith.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laws.</w:t>
      </w:r>
    </w:p>
    <w:p>
      <w:pPr>
        <w:spacing w:after="0" w:line="185" w:lineRule="exact"/>
        <w:rPr>
          <w:rFonts w:ascii="Times New Roman" w:cs="Times New Roman" w:eastAsia="Times New Roman" w:hAnsi="Times New Roman"/>
          <w:sz w:val="18"/>
          <w:szCs w:val="18"/>
          <w:color w:val="auto"/>
        </w:rPr>
      </w:pPr>
    </w:p>
    <w:p>
      <w:pPr>
        <w:jc w:val="both"/>
        <w:ind w:firstLine="656"/>
        <w:spacing w:after="0" w:line="257" w:lineRule="auto"/>
        <w:tabs>
          <w:tab w:leader="none" w:pos="903"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Anti-Money Laundering Laws. </w:t>
      </w:r>
      <w:r>
        <w:rPr>
          <w:rFonts w:ascii="Times New Roman" w:cs="Times New Roman" w:eastAsia="Times New Roman" w:hAnsi="Times New Roman"/>
          <w:sz w:val="18"/>
          <w:szCs w:val="18"/>
          <w:color w:val="auto"/>
        </w:rPr>
        <w:t>The operations of the Company and its Subsidiaries are, and have been conducted at all times,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and the Guarantors, threatened.</w:t>
      </w:r>
    </w:p>
    <w:p>
      <w:pPr>
        <w:spacing w:after="0" w:line="182" w:lineRule="exact"/>
        <w:rPr>
          <w:rFonts w:ascii="Times New Roman" w:cs="Times New Roman" w:eastAsia="Times New Roman" w:hAnsi="Times New Roman"/>
          <w:sz w:val="18"/>
          <w:szCs w:val="18"/>
          <w:color w:val="auto"/>
        </w:rPr>
      </w:pPr>
    </w:p>
    <w:p>
      <w:pPr>
        <w:jc w:val="both"/>
        <w:ind w:firstLine="656"/>
        <w:spacing w:after="0" w:line="255" w:lineRule="auto"/>
        <w:tabs>
          <w:tab w:leader="none" w:pos="93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Conflicts with Sanctions Laws. </w:t>
      </w:r>
      <w:r>
        <w:rPr>
          <w:rFonts w:ascii="Times New Roman" w:cs="Times New Roman" w:eastAsia="Times New Roman" w:hAnsi="Times New Roman"/>
          <w:sz w:val="18"/>
          <w:szCs w:val="18"/>
          <w:color w:val="auto"/>
        </w:rPr>
        <w:t>Neither the Company nor any of its Subsidiaries, directors or officers, nor, to the knowledge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the Guarantors, any of its employees or agents is currently (a) the subject or target of any U.S. sanctions administered by the Office of Foreign Assets Control of the U.S. Treasury Department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or any other applicable sanctions authority, (b) located, organized or resident in a country or territory that is the subject or target of Sanctions, including, without limitation, the Crimea, the so-called Donetsk People’s Republic, the so-called Luhansk People’s Republic, Kherson, or Zaporizhzhia regions of Ukraine, Cuba, Iran, North Korea and Syria (each, a “</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or</w:t>
      </w:r>
    </w:p>
    <w:p>
      <w:pPr>
        <w:jc w:val="both"/>
        <w:ind w:firstLine="8"/>
        <w:spacing w:after="0" w:line="252" w:lineRule="auto"/>
        <w:tabs>
          <w:tab w:leader="none" w:pos="249"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or greater owned or controlled by one or more persons set forth in (a)-(b) (collectively, “</w:t>
      </w:r>
      <w:r>
        <w:rPr>
          <w:rFonts w:ascii="Times New Roman" w:cs="Times New Roman" w:eastAsia="Times New Roman" w:hAnsi="Times New Roman"/>
          <w:sz w:val="18"/>
          <w:szCs w:val="18"/>
          <w:b w:val="1"/>
          <w:bCs w:val="1"/>
          <w:color w:val="auto"/>
        </w:rPr>
        <w:t>Sanctioned Parties</w:t>
      </w:r>
      <w:r>
        <w:rPr>
          <w:rFonts w:ascii="Times New Roman" w:cs="Times New Roman" w:eastAsia="Times New Roman" w:hAnsi="Times New Roman"/>
          <w:sz w:val="18"/>
          <w:szCs w:val="18"/>
          <w:color w:val="auto"/>
        </w:rPr>
        <w:t>”); and the Company will not directly or indirectly use the proceeds from the offering and sale of the Securities, or lend, contribute or otherwise make available such proceeds to any Subsidiary, joint venture partner or other person or entity, for the purpose of financing the activities of any Sanctioned Party, or otherwise in violation of, any U.S. sanctions administered by OFAC or any other applicable sanctions authority. Since April 24, 2019, neither the Company nor any of its Subsidiaries have engaged in, and are not now engaged in, any dealings or transactions, directly or indirectly, in violation of U.S. sanctions administered by OFAC or any other applicable sanctions authority.</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06"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Broker’s Fees. </w:t>
      </w:r>
      <w:r>
        <w:rPr>
          <w:rFonts w:ascii="Times New Roman" w:cs="Times New Roman" w:eastAsia="Times New Roman" w:hAnsi="Times New Roman"/>
          <w:sz w:val="18"/>
          <w:szCs w:val="18"/>
          <w:color w:val="auto"/>
        </w:rPr>
        <w:t>Neither the Company nor any of its Subsidiaries is a party to any contract, agreement or understanding with any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this Agreement) that would give rise to a valid claim against the Company or the Initial Purchasers for a brokerage commission, finder’s fee or like payment in connection with the offering and sale of the Securities or any transaction contemplated by this Agreement, the Time of Sale Information and the Offering Memorandum.</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61" w:name="page162"/>
    <w:bookmarkEnd w:id="161"/>
    <w:p>
      <w:pPr>
        <w:jc w:val="both"/>
        <w:ind w:right="20" w:firstLine="656"/>
        <w:spacing w:after="0" w:line="267" w:lineRule="auto"/>
        <w:tabs>
          <w:tab w:leader="none" w:pos="972"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Forward-Looking Statements. </w:t>
      </w:r>
      <w:r>
        <w:rPr>
          <w:rFonts w:ascii="Times New Roman" w:cs="Times New Roman" w:eastAsia="Times New Roman" w:hAnsi="Times New Roman"/>
          <w:sz w:val="18"/>
          <w:szCs w:val="18"/>
          <w:color w:val="auto"/>
        </w:rPr>
        <w:t>No forward-looking statement (within the meaning of Section 27A of the Securities Act and Section 21E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contained in any of the Time of Sale Information or the Offering Memorandum has been made or reaffirmed without a reasonable basis or has been disclosed other than in good faith.</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993"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Sarbanes-Oxley Act. </w:t>
      </w:r>
      <w:r>
        <w:rPr>
          <w:rFonts w:ascii="Times New Roman" w:cs="Times New Roman" w:eastAsia="Times New Roman" w:hAnsi="Times New Roman"/>
          <w:sz w:val="18"/>
          <w:szCs w:val="18"/>
          <w:color w:val="auto"/>
        </w:rPr>
        <w:t>The Company is in compliance in all material respects with all applicable provisions of the Sarbanes-Oxley Act of 2002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all applicable rules and regulations promulgated thereunder or is implementing the provisions thereof that are currently in effect.</w:t>
      </w:r>
    </w:p>
    <w:p>
      <w:pPr>
        <w:spacing w:after="0" w:line="158" w:lineRule="exact"/>
        <w:rPr>
          <w:rFonts w:ascii="Times New Roman" w:cs="Times New Roman" w:eastAsia="Times New Roman" w:hAnsi="Times New Roman"/>
          <w:sz w:val="18"/>
          <w:szCs w:val="18"/>
          <w:color w:val="auto"/>
        </w:rPr>
      </w:pPr>
    </w:p>
    <w:p>
      <w:pPr>
        <w:jc w:val="both"/>
        <w:ind w:firstLine="656"/>
        <w:spacing w:after="0" w:line="267" w:lineRule="auto"/>
        <w:tabs>
          <w:tab w:leader="none" w:pos="999"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Industry Statistical and Market Data. </w:t>
      </w:r>
      <w:r>
        <w:rPr>
          <w:rFonts w:ascii="Times New Roman" w:cs="Times New Roman" w:eastAsia="Times New Roman" w:hAnsi="Times New Roman"/>
          <w:sz w:val="18"/>
          <w:szCs w:val="18"/>
          <w:color w:val="auto"/>
        </w:rPr>
        <w:t>The statistical and market-related data included in the Time of Sale Information and the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are based on or derived from sources that the Company and the Guarantors believe to be reliable and accurate and such data agree with the sources from which they are derived.</w:t>
      </w:r>
    </w:p>
    <w:p>
      <w:pPr>
        <w:spacing w:after="0" w:line="173" w:lineRule="exact"/>
        <w:rPr>
          <w:rFonts w:ascii="Times New Roman" w:cs="Times New Roman" w:eastAsia="Times New Roman" w:hAnsi="Times New Roman"/>
          <w:sz w:val="18"/>
          <w:szCs w:val="18"/>
          <w:color w:val="auto"/>
        </w:rPr>
      </w:pPr>
    </w:p>
    <w:p>
      <w:pPr>
        <w:jc w:val="both"/>
        <w:ind w:firstLine="656"/>
        <w:spacing w:after="0" w:line="257" w:lineRule="auto"/>
        <w:tabs>
          <w:tab w:leader="none" w:pos="100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Permits and Authorizations. </w:t>
      </w:r>
      <w:r>
        <w:rPr>
          <w:rFonts w:ascii="Times New Roman" w:cs="Times New Roman" w:eastAsia="Times New Roman" w:hAnsi="Times New Roman"/>
          <w:sz w:val="18"/>
          <w:szCs w:val="18"/>
          <w:color w:val="auto"/>
        </w:rPr>
        <w:t>Except as otherwise disclosed in the Time of Sale Information and the Offering Memorandum,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its Subsidiaries possesses such valid and current material licenses, certificates, authorizations or permits issued by the appropriate state, federal or foreign regulatory agencies or bodies necessary to conduct their respective businesses, and neither the Company nor any Subsidiary has received, or has any reason to believe that it will receive, any notice of proceedings relating to the revocation or modification of, or non-compliance with, any such license, certificate, authorization or permit which, individually or in the aggregate, if the subject of an unfavorable decision, ruling or finding, would reasonably be expected to result in a Material Adverse Effect.</w:t>
      </w:r>
    </w:p>
    <w:p>
      <w:pPr>
        <w:spacing w:after="0" w:line="182" w:lineRule="exact"/>
        <w:rPr>
          <w:rFonts w:ascii="Times New Roman" w:cs="Times New Roman" w:eastAsia="Times New Roman" w:hAnsi="Times New Roman"/>
          <w:sz w:val="18"/>
          <w:szCs w:val="18"/>
          <w:color w:val="auto"/>
        </w:rPr>
      </w:pPr>
    </w:p>
    <w:p>
      <w:pPr>
        <w:jc w:val="both"/>
        <w:ind w:firstLine="656"/>
        <w:spacing w:after="0" w:line="267" w:lineRule="auto"/>
        <w:tabs>
          <w:tab w:leader="none" w:pos="98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Each of the Company and its Subsidiaries has filed all material federal, state and foreign income and franchise tax returns or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properly requested extensions thereof and have paid all material taxes required to be paid by any of them and, if due and payable, any related or similar assessment, fine or penalty levied against any of them except as may be being contested in good faith and by appropriate proceedings.</w:t>
      </w:r>
    </w:p>
    <w:p>
      <w:pPr>
        <w:spacing w:after="0" w:line="173" w:lineRule="exact"/>
        <w:rPr>
          <w:rFonts w:ascii="Times New Roman" w:cs="Times New Roman" w:eastAsia="Times New Roman" w:hAnsi="Times New Roman"/>
          <w:sz w:val="18"/>
          <w:szCs w:val="18"/>
          <w:color w:val="auto"/>
        </w:rPr>
      </w:pPr>
    </w:p>
    <w:p>
      <w:pPr>
        <w:jc w:val="both"/>
        <w:ind w:firstLine="656"/>
        <w:spacing w:after="0" w:line="257" w:lineRule="auto"/>
        <w:tabs>
          <w:tab w:leader="none" w:pos="95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Except as otherwise disclosed in the Time of Sale Information and the Offering Memorandum, each of the Company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maintains insurance issued by nationally recognized insurers covering their respective properties, operations, personnel and businesses, with policies in such amounts and with such deductibles and covering such risks as the Company reasonably deems adequate. The Company and the Guarantors have no reason to believe that they or any of their respective Subsidiaries will not be able (i) to renew their existing insurance coverage as and when such policies expire or (ii) to obtain comparable coverage from similar institutions as may be necessary or appropriate to conduct its business as now conducted and at a cost that would not result in a Material Adverse Effect.</w:t>
      </w:r>
    </w:p>
    <w:p>
      <w:pPr>
        <w:spacing w:after="0" w:line="182"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993"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Solicitation. </w:t>
      </w:r>
      <w:r>
        <w:rPr>
          <w:rFonts w:ascii="Times New Roman" w:cs="Times New Roman" w:eastAsia="Times New Roman" w:hAnsi="Times New Roman"/>
          <w:sz w:val="18"/>
          <w:szCs w:val="18"/>
          <w:color w:val="auto"/>
        </w:rPr>
        <w:t>None of the Company or any of its affiliates or any other person acting on its or their behalf (other than the Initial Purchasers,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to which no representation is made) has (i) solicited offers for, or offered or sold, the Securities by means of any form of general solicitation or general advertising within the meaning of Rule 502(c) of Regulation D or in any manner involving a public offering within the meaning of Section 4(a)(2) of the Securities Act or (ii) engaged in any directed selling efforts within the meaning of Regulation S under the Securities Act (“</w:t>
      </w:r>
      <w:r>
        <w:rPr>
          <w:rFonts w:ascii="Times New Roman" w:cs="Times New Roman" w:eastAsia="Times New Roman" w:hAnsi="Times New Roman"/>
          <w:sz w:val="18"/>
          <w:szCs w:val="18"/>
          <w:b w:val="1"/>
          <w:bCs w:val="1"/>
          <w:color w:val="auto"/>
        </w:rPr>
        <w:t>Regulation S</w:t>
      </w:r>
      <w:r>
        <w:rPr>
          <w:rFonts w:ascii="Times New Roman" w:cs="Times New Roman" w:eastAsia="Times New Roman" w:hAnsi="Times New Roman"/>
          <w:sz w:val="18"/>
          <w:szCs w:val="18"/>
          <w:color w:val="auto"/>
        </w:rPr>
        <w:t>”), and all such persons have complied with the offering restrictions requirement of Regulation 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62" w:name="page163"/>
    <w:bookmarkEnd w:id="162"/>
    <w:p>
      <w:pPr>
        <w:jc w:val="both"/>
        <w:ind w:firstLine="656"/>
        <w:spacing w:after="0" w:line="258" w:lineRule="auto"/>
        <w:tabs>
          <w:tab w:leader="none" w:pos="92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Indenture. </w:t>
      </w:r>
      <w:r>
        <w:rPr>
          <w:rFonts w:ascii="Times New Roman" w:cs="Times New Roman" w:eastAsia="Times New Roman" w:hAnsi="Times New Roman"/>
          <w:sz w:val="18"/>
          <w:szCs w:val="18"/>
          <w:color w:val="auto"/>
        </w:rPr>
        <w:t>The Indenture has been duly authorized by the Company and each of the Guarantors and on the Closing Date, will be duly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executed and delivered by the Company and each of the Guarantors and, when duly executed and delivered in accordance with its terms by each of the parties thereto, will constitute a valid and legally binding agreement of the Company and each of the Guarantors enforceable against the Company and each of the Guarantors in accordance with its terms, except as enforceability may be limited by applicable bankruptcy, insolvency or similar laws affecting the enforcement of creditors’ rights generally or by equitable principles relating to enforceability (collectively,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656"/>
        <w:spacing w:after="0" w:line="256" w:lineRule="auto"/>
        <w:tabs>
          <w:tab w:leader="none" w:pos="91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Securities and the Guarantees. </w:t>
      </w:r>
      <w:r>
        <w:rPr>
          <w:rFonts w:ascii="Times New Roman" w:cs="Times New Roman" w:eastAsia="Times New Roman" w:hAnsi="Times New Roman"/>
          <w:sz w:val="18"/>
          <w:szCs w:val="18"/>
          <w:color w:val="auto"/>
        </w:rPr>
        <w:t>The Securities have been duly authorized by the Company and, when duly executed, authenticated,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delivered as provided in the Indenture and paid for as provided herein, will be duly and validly issued and outstanding and will constitute valid and legally binding obligations of the Company enforceable against the Company in accordance with their terms, subject to the Enforceability Exceptions, and will be entitled to the benefits of the Indenture; and the Guarantees have been duly authorized by each of the Guarantors and, when the Securities have been duly executed, authenticated, issued and delivered as provided in the Indenture and paid for as provided herein, will be valid and legally binding obligations of each of the Guarantors, enforceable against each of the Guarantors in accordance with their terms, subject to the Enforceability Exceptions, and will be entitled to the benefits of the Indenture.</w:t>
      </w:r>
    </w:p>
    <w:p>
      <w:pPr>
        <w:spacing w:after="0" w:line="182" w:lineRule="exact"/>
        <w:rPr>
          <w:rFonts w:ascii="Times New Roman" w:cs="Times New Roman" w:eastAsia="Times New Roman" w:hAnsi="Times New Roman"/>
          <w:sz w:val="18"/>
          <w:szCs w:val="18"/>
          <w:color w:val="auto"/>
        </w:rPr>
      </w:pPr>
    </w:p>
    <w:p>
      <w:pPr>
        <w:jc w:val="both"/>
        <w:ind w:firstLine="656"/>
        <w:spacing w:after="0" w:line="258" w:lineRule="auto"/>
        <w:tabs>
          <w:tab w:leader="none" w:pos="99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Rule 144A Eligibility. </w:t>
      </w:r>
      <w:r>
        <w:rPr>
          <w:rFonts w:ascii="Times New Roman" w:cs="Times New Roman" w:eastAsia="Times New Roman" w:hAnsi="Times New Roman"/>
          <w:sz w:val="18"/>
          <w:szCs w:val="18"/>
          <w:color w:val="auto"/>
        </w:rPr>
        <w:t>On the Closing Date, the Securities and the Guarantees will not be of the same class as securities listed on a national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exchange registered under Section 6 of the Exchange Act or quoted in an automated inter-dealer quotation system; and each of the Preliminary Offering Memorandum and the Offering Memorandum, as of its respective date, contains or will contain all the information that, if requested by a prospective purchaser of the Securities, would be required to be provided to such prospective purchaser pursuant to Rule 144A(d)(4) under the Securities Act.</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91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Securities Laws Exemptions. </w:t>
      </w:r>
      <w:r>
        <w:rPr>
          <w:rFonts w:ascii="Times New Roman" w:cs="Times New Roman" w:eastAsia="Times New Roman" w:hAnsi="Times New Roman"/>
          <w:sz w:val="18"/>
          <w:szCs w:val="18"/>
          <w:color w:val="auto"/>
        </w:rPr>
        <w:t>Assuming the accuracy of the representations and warranties of the Initial Purchasers contained in Section 1(b)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hereto) and their compliance with their agreements set forth therein, it is not necessary, in connection with the issuance and sale of the Securities to the Initial Purchasers and the offer, resale and delivery of the Securities by the Initial Purchasers in the manner contemplated by this Agreement, the Time of Sale Information and the Offering Memorandum, to register the Securities under the Securities Act or to qualify the Indenture under the Trust Indenture Act.</w:t>
      </w:r>
    </w:p>
    <w:p>
      <w:pPr>
        <w:spacing w:after="0" w:line="183" w:lineRule="exact"/>
        <w:rPr>
          <w:rFonts w:ascii="Times New Roman" w:cs="Times New Roman" w:eastAsia="Times New Roman" w:hAnsi="Times New Roman"/>
          <w:sz w:val="18"/>
          <w:szCs w:val="18"/>
          <w:color w:val="auto"/>
        </w:rPr>
      </w:pPr>
    </w:p>
    <w:p>
      <w:pPr>
        <w:jc w:val="both"/>
        <w:ind w:firstLine="656"/>
        <w:spacing w:after="0" w:line="258" w:lineRule="auto"/>
        <w:tabs>
          <w:tab w:leader="none" w:pos="109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Labor Disputes. </w:t>
      </w:r>
      <w:r>
        <w:rPr>
          <w:rFonts w:ascii="Times New Roman" w:cs="Times New Roman" w:eastAsia="Times New Roman" w:hAnsi="Times New Roman"/>
          <w:sz w:val="18"/>
          <w:szCs w:val="18"/>
          <w:color w:val="auto"/>
        </w:rPr>
        <w:t>No labor problem or dispute with the employees of the Company or its Subsidiaries exists or, to the knowledge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the Guarantors, is threatened or imminent, and neither the Company nor the Guarantors are aware of any existing or imminent labor disturbance by the employees of the Company’s, the Guarantors’ or any of its Subsidiaries’ principal suppliers, contractors or customers that would have a Material Adverse Effect, except as set forth in or contemplated in the Time of Sale Information and the Offering Memorandum (exclusive of any amendment or supplement thereto).</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63" w:name="page164"/>
    <w:bookmarkEnd w:id="163"/>
    <w:p>
      <w:pPr>
        <w:jc w:val="both"/>
        <w:ind w:firstLine="656"/>
        <w:spacing w:after="0" w:line="257" w:lineRule="auto"/>
        <w:tabs>
          <w:tab w:leader="none" w:pos="993"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Outbound Investment Security Program. </w:t>
      </w:r>
      <w:r>
        <w:rPr>
          <w:rFonts w:ascii="Times New Roman" w:cs="Times New Roman" w:eastAsia="Times New Roman" w:hAnsi="Times New Roman"/>
          <w:sz w:val="18"/>
          <w:szCs w:val="18"/>
          <w:color w:val="auto"/>
        </w:rPr>
        <w:t>The Company and its Subsidiaries either are (i) not a “person of a country of concern”; or (ii)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engaged in any “covered activity,” as these terms are defined in 31 C.F.R. Part 850, as implemented or revised from time to time (the “</w:t>
      </w:r>
      <w:r>
        <w:rPr>
          <w:rFonts w:ascii="Times New Roman" w:cs="Times New Roman" w:eastAsia="Times New Roman" w:hAnsi="Times New Roman"/>
          <w:sz w:val="18"/>
          <w:szCs w:val="18"/>
          <w:b w:val="1"/>
          <w:bCs w:val="1"/>
          <w:color w:val="auto"/>
        </w:rPr>
        <w:t>Outbound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Investment Security Program</w:t>
      </w:r>
      <w:r>
        <w:rPr>
          <w:rFonts w:ascii="Times New Roman" w:cs="Times New Roman" w:eastAsia="Times New Roman" w:hAnsi="Times New Roman"/>
          <w:sz w:val="18"/>
          <w:szCs w:val="18"/>
          <w:color w:val="auto"/>
        </w:rPr>
        <w:t>”). The Company and its Subsidiaries have no intention of becoming a “person of a country of concern” that engages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“covered activity.” Each of the Company and its Subsidiaries is not a person that directly or indirectly holds a board seat on, a voting or equity interest in, or any contractual power to direct or cause the direction of the management of policies of any “covered foreign person” (as defined in the Outbound Investment Security Program).</w:t>
      </w:r>
    </w:p>
    <w:p>
      <w:pPr>
        <w:spacing w:after="0" w:line="182" w:lineRule="exact"/>
        <w:rPr>
          <w:rFonts w:ascii="Times New Roman" w:cs="Times New Roman" w:eastAsia="Times New Roman" w:hAnsi="Times New Roman"/>
          <w:sz w:val="18"/>
          <w:szCs w:val="18"/>
          <w:color w:val="auto"/>
        </w:rPr>
      </w:pPr>
    </w:p>
    <w:p>
      <w:pPr>
        <w:jc w:val="both"/>
        <w:ind w:firstLine="656"/>
        <w:spacing w:after="0" w:line="267" w:lineRule="auto"/>
        <w:tabs>
          <w:tab w:leader="none" w:pos="993"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Restrictions on Guarantors. </w:t>
      </w:r>
      <w:r>
        <w:rPr>
          <w:rFonts w:ascii="Times New Roman" w:cs="Times New Roman" w:eastAsia="Times New Roman" w:hAnsi="Times New Roman"/>
          <w:sz w:val="18"/>
          <w:szCs w:val="18"/>
          <w:color w:val="auto"/>
        </w:rPr>
        <w:t>No Guarantor is currently prohibited, directly or indirectly, from paying any dividends to the Company,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making any other distribution on such Guarantor’s capital stock or membership or other interests, from repaying to the Company any loans or advances to such Guarantor from the Company or from transferring any of such Guarantor’s property or assets to the Company or any Guarantor.</w:t>
      </w:r>
    </w:p>
    <w:p>
      <w:pPr>
        <w:spacing w:after="0" w:line="173" w:lineRule="exact"/>
        <w:rPr>
          <w:rFonts w:ascii="Times New Roman" w:cs="Times New Roman" w:eastAsia="Times New Roman" w:hAnsi="Times New Roman"/>
          <w:sz w:val="18"/>
          <w:szCs w:val="18"/>
          <w:color w:val="auto"/>
        </w:rPr>
      </w:pPr>
    </w:p>
    <w:p>
      <w:pPr>
        <w:jc w:val="both"/>
        <w:ind w:firstLine="656"/>
        <w:spacing w:after="0" w:line="252" w:lineRule="auto"/>
        <w:tabs>
          <w:tab w:leader="none" w:pos="993"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with ERISA. </w:t>
      </w:r>
      <w:r>
        <w:rPr>
          <w:rFonts w:ascii="Times New Roman" w:cs="Times New Roman" w:eastAsia="Times New Roman" w:hAnsi="Times New Roman"/>
          <w:sz w:val="18"/>
          <w:szCs w:val="18"/>
          <w:color w:val="auto"/>
        </w:rPr>
        <w:t>None of the following events has occurred or exists: (i) a failure to fulfill the obligations, if any, under the minimum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funding standards of Section 302 of the United States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and the regulations and published interpretations thereunder with respect to a Plan, determined without regard to any waiver of such obligations or extension of any amortization period; (ii) an audit or investigation by the Internal Revenue Service, the U.S. Department of Labor, the Pension Benefit Guaranty Corporation or any other federal or state governmental agency or any foreign regulatory agency with respect to the employment or compensation of employees by the Company or any of its Subsidiaries that would reasonably be expected to have a Material Adverse Effect; (iii) any breach of any contractual obligation, or any violation of law or applicable qualification standards, with respect to the employment or compensation of employees by the Company or any of its Subsidiaries that would reasonably be expected to have a Material Adverse Effect. None of the following events has occurred or is reasonably likely to occur: (i) a material increase in the aggregate amount of contributions required to be made to all Plans in the current fiscal year of the Company and its Subsidiaries compared to the amount of such contributions made in the most recently completed fiscal year of the Company and its Subsidiaries other than as a result of the growth in the number of employees; (ii) a material increase in the “accumulated post-retirement benefit obligations” (within the meaning of Statement of Financial Accounting Standards 106) of the Company and its Subsidiaries compared to the amount of such obligations in the most recently completed fiscal year of the Company and its Subsidiaries; (iii) any event or condition giving rise to a liability under Title IV of ERISA that would reasonably be expected to have a Material Adverse Effect; or (iv) the filing of a claim by one or more employees or former employees of the Company or any of its Subsidiaries related to their employment that would reasonably be expected to have a Material Adverse Effect. For purposes of this paragraph, the term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a plan (within the meaning of Section 3(3) of ERISA) subject to Title IV of ERISA with respect to which the Company or any of its Subsidiaries may have any liability.</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64" w:name="page165"/>
    <w:bookmarkEnd w:id="164"/>
    <w:p>
      <w:pPr>
        <w:jc w:val="both"/>
        <w:ind w:firstLine="656"/>
        <w:spacing w:after="0" w:line="253" w:lineRule="auto"/>
        <w:tabs>
          <w:tab w:leader="none" w:pos="100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Cybersecurity; Data Protection. </w:t>
      </w:r>
      <w:r>
        <w:rPr>
          <w:rFonts w:ascii="Times New Roman" w:cs="Times New Roman" w:eastAsia="Times New Roman" w:hAnsi="Times New Roman"/>
          <w:sz w:val="18"/>
          <w:szCs w:val="18"/>
          <w:color w:val="auto"/>
        </w:rPr>
        <w:t>The Company’s and its Subsidiaries’ information technology assets and equipment, computers,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networks, hardware, software, websites, applications, and databases (collectively,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reasonably adequate in all material respects for the operation of the business of the Company and its Subsidiaries as currently conducted, and, to the knowledge of the Company and the Guarantors, are free and clear of all material bugs, errors, defects, Trojan horses, time bombs, malware and other corruptants. The Company and its Subsidiaries have implemented and maintained commercially reasonable controls, policies, procedures, and safeguards to maintain and protect their material confidential information and the integrity, continuous operation, redundancy and security of all IT Systems and data (including all personal, personally identifiable, sensitive, confidential or regulated data (“</w:t>
      </w:r>
      <w:r>
        <w:rPr>
          <w:rFonts w:ascii="Times New Roman" w:cs="Times New Roman" w:eastAsia="Times New Roman" w:hAnsi="Times New Roman"/>
          <w:sz w:val="18"/>
          <w:szCs w:val="18"/>
          <w:b w:val="1"/>
          <w:bCs w:val="1"/>
          <w:color w:val="auto"/>
        </w:rPr>
        <w:t>Personal Data</w:t>
      </w:r>
      <w:r>
        <w:rPr>
          <w:rFonts w:ascii="Times New Roman" w:cs="Times New Roman" w:eastAsia="Times New Roman" w:hAnsi="Times New Roman"/>
          <w:sz w:val="18"/>
          <w:szCs w:val="18"/>
          <w:color w:val="auto"/>
        </w:rPr>
        <w:t>”)) used in connection with their businesses, and, except as would not reasonably be expected to have a Material Adverse Effect, to the knowledge of the Company and the Guarantors,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The Company and its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94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Solvency. </w:t>
      </w:r>
      <w:r>
        <w:rPr>
          <w:rFonts w:ascii="Times New Roman" w:cs="Times New Roman" w:eastAsia="Times New Roman" w:hAnsi="Times New Roman"/>
          <w:sz w:val="18"/>
          <w:szCs w:val="18"/>
          <w:color w:val="auto"/>
        </w:rPr>
        <w:t>On the date hereof and on and immediately after the Closing Date, the Company and each Guarantor (after giving effect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and sale of the Securities, the issuance of the Guarantees and the other transactions related thereto as described in each of the Time of Sale Information and the Offering Memorandum) will be Solvent. As used in this paragraph, the term “</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means, with respect to a particular date and entity, that on such date (i) the fair value (and present fair saleable value) of the assets of such entity is not less than the total amount required to pay the probable liability of such entity on its total existing debts and liabilities (including contingent liabilities) as they become absolute and matured; (ii) such entity is able to realize upon its assets and pay its debts and other liabilities, contingent obligations and commitments as they mature and become due in the normal course of business; (iii) assuming consummation of the issuance and sale of the Securities and the issuance of the Guarantees as contemplated by this Agreement, the Time of Sale Information and the Offering Memorandum, such entity does not have, intend to incur or believe that it will incur debts or liabilities beyond its ability to pay as such debts and liabilities mature; (iv) such entity is not engaged in any business or transaction, and does not propose to engage in any business or transaction, for which its property would constitute unreasonably small capital; and (v) such entity is not a defendant in any civil action that would result in a judgment that such entity is or would become unable to satisfy.</w:t>
      </w:r>
    </w:p>
    <w:p>
      <w:pPr>
        <w:spacing w:after="0" w:line="191" w:lineRule="exact"/>
        <w:rPr>
          <w:rFonts w:ascii="Times New Roman" w:cs="Times New Roman" w:eastAsia="Times New Roman" w:hAnsi="Times New Roman"/>
          <w:sz w:val="18"/>
          <w:szCs w:val="18"/>
          <w:color w:val="auto"/>
        </w:rPr>
      </w:pPr>
    </w:p>
    <w:p>
      <w:pPr>
        <w:jc w:val="both"/>
        <w:ind w:firstLine="656"/>
        <w:spacing w:after="0" w:line="267" w:lineRule="auto"/>
        <w:tabs>
          <w:tab w:leader="none" w:pos="953"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Certificates. </w:t>
      </w:r>
      <w:r>
        <w:rPr>
          <w:rFonts w:ascii="Times New Roman" w:cs="Times New Roman" w:eastAsia="Times New Roman" w:hAnsi="Times New Roman"/>
          <w:sz w:val="18"/>
          <w:szCs w:val="18"/>
          <w:color w:val="auto"/>
        </w:rPr>
        <w:t>Any certificate signed by or on behalf of the Company or the Guarantors and delivered to the Representative or to counsel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Purchasers shall be deemed to be a representation and warranty by the Company and/or the Guarantors to the Initial Purchasers as to the matters covered thereby.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65" w:name="page166"/>
    <w:bookmarkEnd w:id="165"/>
    <w:p>
      <w:pPr>
        <w:ind w:firstLine="656"/>
        <w:spacing w:after="0" w:line="282" w:lineRule="auto"/>
        <w:tabs>
          <w:tab w:leader="none" w:pos="82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Agreements of the Company and the Guarantors</w:t>
      </w:r>
      <w:r>
        <w:rPr>
          <w:rFonts w:ascii="Times New Roman" w:cs="Times New Roman" w:eastAsia="Times New Roman" w:hAnsi="Times New Roman"/>
          <w:sz w:val="18"/>
          <w:szCs w:val="18"/>
          <w:color w:val="auto"/>
        </w:rPr>
        <w:t>. The Company and the Guarantors jointly and severally covenant and agree with each Initial Purchaser that:</w:t>
      </w:r>
    </w:p>
    <w:p>
      <w:pPr>
        <w:spacing w:after="0" w:line="160" w:lineRule="exact"/>
        <w:rPr>
          <w:sz w:val="20"/>
          <w:szCs w:val="20"/>
          <w:color w:val="auto"/>
        </w:rPr>
      </w:pPr>
    </w:p>
    <w:p>
      <w:pPr>
        <w:jc w:val="both"/>
        <w:ind w:firstLine="656"/>
        <w:spacing w:after="0" w:line="267" w:lineRule="auto"/>
        <w:tabs>
          <w:tab w:leader="none" w:pos="933"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of Copies. </w:t>
      </w:r>
      <w:r>
        <w:rPr>
          <w:rFonts w:ascii="Times New Roman" w:cs="Times New Roman" w:eastAsia="Times New Roman" w:hAnsi="Times New Roman"/>
          <w:sz w:val="18"/>
          <w:szCs w:val="18"/>
          <w:color w:val="auto"/>
        </w:rPr>
        <w:t>The Company will deliver, without charge, to the Initial Purchasers as many copies of the Preliminary Offering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any other Time of Sale Information, any Issuer Written Communication and the Offering Memorandum (including all amendments and supplements thereto) as the Representative may reasonably request.</w:t>
      </w:r>
    </w:p>
    <w:p>
      <w:pPr>
        <w:spacing w:after="0" w:line="173" w:lineRule="exact"/>
        <w:rPr>
          <w:rFonts w:ascii="Times New Roman" w:cs="Times New Roman" w:eastAsia="Times New Roman" w:hAnsi="Times New Roman"/>
          <w:sz w:val="18"/>
          <w:szCs w:val="18"/>
          <w:color w:val="auto"/>
        </w:rPr>
      </w:pPr>
    </w:p>
    <w:p>
      <w:pPr>
        <w:jc w:val="both"/>
        <w:ind w:firstLine="656"/>
        <w:spacing w:after="0" w:line="258" w:lineRule="auto"/>
        <w:tabs>
          <w:tab w:leader="none" w:pos="903"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Offering Memorandum, Amendments or Supplements. </w:t>
      </w:r>
      <w:r>
        <w:rPr>
          <w:rFonts w:ascii="Times New Roman" w:cs="Times New Roman" w:eastAsia="Times New Roman" w:hAnsi="Times New Roman"/>
          <w:sz w:val="18"/>
          <w:szCs w:val="18"/>
          <w:color w:val="auto"/>
        </w:rPr>
        <w:t>Before finalizing the Offering Memorandum or making or distributing any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supplement to any of the Time of Sale Information or the Offering Memorandum or filing with the Commission any document, the Company will furnish to the Representative and counsel for the Initial Purchasers a copy of the proposed Offering Memorandum or such amendment or supplement or document for review, and will not distribute any such proposed Offering Memorandum, amendment or supplement or file any such document with the Commission to which the Representative reasonably objects.</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6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Written Communications. </w:t>
      </w:r>
      <w:r>
        <w:rPr>
          <w:rFonts w:ascii="Times New Roman" w:cs="Times New Roman" w:eastAsia="Times New Roman" w:hAnsi="Times New Roman"/>
          <w:sz w:val="18"/>
          <w:szCs w:val="18"/>
          <w:color w:val="auto"/>
        </w:rPr>
        <w:t>Before making, preparing, using, authorizing, approving or referring to any Issuer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Communication, the Company and the Guarantors will furnish to the Representative and counsel for the Initial Purchasers a copy of such written communication for review and will not make, prepare, use, authorize, approve or refer to any such written communication to which the Representative reasonably objects.</w:t>
      </w:r>
    </w:p>
    <w:p>
      <w:pPr>
        <w:spacing w:after="0" w:line="179" w:lineRule="exact"/>
        <w:rPr>
          <w:rFonts w:ascii="Times New Roman" w:cs="Times New Roman" w:eastAsia="Times New Roman" w:hAnsi="Times New Roman"/>
          <w:sz w:val="18"/>
          <w:szCs w:val="18"/>
          <w:color w:val="auto"/>
        </w:rPr>
      </w:pPr>
    </w:p>
    <w:p>
      <w:pPr>
        <w:jc w:val="both"/>
        <w:ind w:firstLine="656"/>
        <w:spacing w:after="0" w:line="253" w:lineRule="auto"/>
        <w:tabs>
          <w:tab w:leader="none" w:pos="903"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to the Representative. </w:t>
      </w:r>
      <w:r>
        <w:rPr>
          <w:rFonts w:ascii="Times New Roman" w:cs="Times New Roman" w:eastAsia="Times New Roman" w:hAnsi="Times New Roman"/>
          <w:sz w:val="18"/>
          <w:szCs w:val="18"/>
          <w:color w:val="auto"/>
        </w:rPr>
        <w:t>The Company will advise the Representative promptly, and confirm such advice in writing, (i) of the issuance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governmental or regulatory authority of any order preventing or suspending the use of any of the Time of Sale Information, any Issuer Written Communication or the Offering Memorandum or the initiation or threatening of any proceeding for that purpose; (ii) of the occurrence of any event at any time prior to the completion of the initial offering of the Securities as a result of which any of the Time of Sale Information, any Issuer Written Communication or the Offering Memorandum as then amended or supplemented would include any untrue statement of a material fact or omit to state a material fact necessary in order to make the statements therein, in the light of the circumstances existing when such Time of Sale Information, Issuer Written Communication or the Offering Memorandum is delivered to a purchaser, not misleading; and (iii) of the receipt by the Company of any notice with respect to any suspension of the qualification of the Securities for offer and sale in any jurisdiction or the initiation or threatening of any proceeding for such purpose; and the Company will use its reasonable best efforts to prevent the issuance of any such order preventing or suspending the use of any of the Time of Sale Information, any Issuer Written Communication or the Offering Memorandum or suspending any such qualification of the Securities and, if any such order is issued, will use its reasonable best efforts to obtain as soon as possible the withdrawal thereof.</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892"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Time of Sale Information. </w:t>
      </w:r>
      <w:r>
        <w:rPr>
          <w:rFonts w:ascii="Times New Roman" w:cs="Times New Roman" w:eastAsia="Times New Roman" w:hAnsi="Times New Roman"/>
          <w:sz w:val="18"/>
          <w:szCs w:val="18"/>
          <w:color w:val="auto"/>
        </w:rPr>
        <w:t>If at any time prior to the Closing Date (i) any event shall occur or condition shall exist as a result of which any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Time of Sale Information as then amended or supplemented would include any untrue statement of a material fact or omit to state any material fact necessary in order to make the statements therein, in the light of the circumstances under which they were made, not misleading or (ii) it is necessary to amend or supplement the Time of Sale Information to comply with law, the Company will promptly notify the Initial Purchasers thereof and forthwith prepare and, subject to paragraph (b) above, furnish to the Initial Purchasers such amendments or supplements to the Time of Sale Information (or any document to be filed with the Commission) as may be necessary so that the statements in any of the Time of Sale Information as so amended or supplemented will not, in the light of the circumstances under which they were made, be misleading or so that any of the Time of Sale Information will comply with law.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6" w:name="page167"/>
    <w:bookmarkEnd w:id="166"/>
    <w:p>
      <w:pPr>
        <w:jc w:val="both"/>
        <w:ind w:firstLine="656"/>
        <w:spacing w:after="0" w:line="255" w:lineRule="auto"/>
        <w:tabs>
          <w:tab w:leader="none" w:pos="873"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Ongoing Compliance. </w:t>
      </w:r>
      <w:r>
        <w:rPr>
          <w:rFonts w:ascii="Times New Roman" w:cs="Times New Roman" w:eastAsia="Times New Roman" w:hAnsi="Times New Roman"/>
          <w:sz w:val="18"/>
          <w:szCs w:val="18"/>
          <w:color w:val="auto"/>
        </w:rPr>
        <w:t>If at any time prior to the completion of the initial offering of the Securities (i) any event shall occur or condition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 as a result of which the Offering Memorandum as then amended or supplemented would include any untrue statement of a material fact or omit to state any material fact necessary in order to make the statements therein, in the light of the circumstances existing when the Offering Memorandum is delivered to a purchaser, not misleading or (ii) it is necessary to amend or supplement the Offering Memorandum to comply with law, the Company will promptly notify the Initial Purchasers thereof and forthwith prepare and, subject to paragraph (b) above, furnish to the Initial Purchasers such amendments or supplements to the Offering Memorandum (or any document to be filed with the Commission) as may be necessary so that the statements in the Offering Memorandum as so amended or supplemented will not, in the light of the circumstances existing when the Offering Memorandum is delivered to a purchaser, be misleading or so that the Offering Memorandum will comply with law.</w:t>
      </w:r>
    </w:p>
    <w:p>
      <w:pPr>
        <w:spacing w:after="0" w:line="184" w:lineRule="exact"/>
        <w:rPr>
          <w:rFonts w:ascii="Times New Roman" w:cs="Times New Roman" w:eastAsia="Times New Roman" w:hAnsi="Times New Roman"/>
          <w:sz w:val="18"/>
          <w:szCs w:val="18"/>
          <w:color w:val="auto"/>
        </w:rPr>
      </w:pPr>
    </w:p>
    <w:p>
      <w:pPr>
        <w:jc w:val="both"/>
        <w:ind w:firstLine="656"/>
        <w:spacing w:after="0" w:line="256" w:lineRule="auto"/>
        <w:tabs>
          <w:tab w:leader="none" w:pos="903"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Blue Sky Compliance. </w:t>
      </w:r>
      <w:r>
        <w:rPr>
          <w:rFonts w:ascii="Times New Roman" w:cs="Times New Roman" w:eastAsia="Times New Roman" w:hAnsi="Times New Roman"/>
          <w:sz w:val="18"/>
          <w:szCs w:val="18"/>
          <w:color w:val="auto"/>
        </w:rPr>
        <w:t>The Company will qualify the Securities for offer and sale under the securities or Blue Sky laws of such jurisdictions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Representative shall reasonably request and will continue such qualifications in effect so long as required for the offering and resale of the Securities; </w:t>
      </w:r>
      <w:r>
        <w:rPr>
          <w:rFonts w:ascii="Times New Roman" w:cs="Times New Roman" w:eastAsia="Times New Roman" w:hAnsi="Times New Roman"/>
          <w:sz w:val="18"/>
          <w:szCs w:val="18"/>
          <w:i w:val="1"/>
          <w:iCs w:val="1"/>
          <w:color w:val="auto"/>
        </w:rPr>
        <w:t xml:space="preserve">provided that </w:t>
      </w:r>
      <w:r>
        <w:rPr>
          <w:rFonts w:ascii="Times New Roman" w:cs="Times New Roman" w:eastAsia="Times New Roman" w:hAnsi="Times New Roman"/>
          <w:sz w:val="18"/>
          <w:szCs w:val="18"/>
          <w:color w:val="auto"/>
        </w:rPr>
        <w:t>neither the Company nor any Guarantor shall be required to (i) qualify as a foreign corporation or other entity or as a dealer in securities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such jurisdiction where it would not otherwise be required to so qualify, (ii) file any general consent to service of process in any such jurisdiction or</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itself to taxation in any such jurisdiction if it is not otherwise so subject.</w:t>
      </w:r>
    </w:p>
    <w:p>
      <w:pPr>
        <w:spacing w:after="0" w:line="204"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Clear Market. </w:t>
      </w:r>
      <w:r>
        <w:rPr>
          <w:rFonts w:ascii="Times New Roman" w:cs="Times New Roman" w:eastAsia="Times New Roman" w:hAnsi="Times New Roman"/>
          <w:sz w:val="18"/>
          <w:szCs w:val="18"/>
          <w:color w:val="auto"/>
        </w:rPr>
        <w:t>During the period from the date hereof through and including the date that is 90 days after the date hereof, the Company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of the Guarantors will not, without the prior written consent of the Representative, directly or indirectly, issue, sell, offer to, contract or grant any option to sell, pledge, transfer or otherwise dispose of, any debt securities or securities exchangeable for or convertible into debt securities, in each case, that have a tenor of more than one year.</w:t>
      </w:r>
    </w:p>
    <w:p>
      <w:pPr>
        <w:spacing w:after="0" w:line="179" w:lineRule="exact"/>
        <w:rPr>
          <w:rFonts w:ascii="Times New Roman" w:cs="Times New Roman" w:eastAsia="Times New Roman" w:hAnsi="Times New Roman"/>
          <w:sz w:val="18"/>
          <w:szCs w:val="18"/>
          <w:color w:val="auto"/>
        </w:rPr>
      </w:pPr>
    </w:p>
    <w:p>
      <w:pPr>
        <w:ind w:right="20" w:firstLine="656"/>
        <w:spacing w:after="0" w:line="284" w:lineRule="auto"/>
        <w:tabs>
          <w:tab w:leader="none" w:pos="863"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Proceeds. </w:t>
      </w:r>
      <w:r>
        <w:rPr>
          <w:rFonts w:ascii="Times New Roman" w:cs="Times New Roman" w:eastAsia="Times New Roman" w:hAnsi="Times New Roman"/>
          <w:sz w:val="18"/>
          <w:szCs w:val="18"/>
          <w:color w:val="auto"/>
        </w:rPr>
        <w:t>The Company will apply the net proceeds from the sale of the Securities as described in each of the Time of Sale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Offering Memorandum under the heading “Use of Proceeds.”</w:t>
      </w:r>
    </w:p>
    <w:p>
      <w:pPr>
        <w:spacing w:after="0" w:line="158" w:lineRule="exact"/>
        <w:rPr>
          <w:rFonts w:ascii="Times New Roman" w:cs="Times New Roman" w:eastAsia="Times New Roman" w:hAnsi="Times New Roman"/>
          <w:sz w:val="18"/>
          <w:szCs w:val="18"/>
          <w:color w:val="auto"/>
        </w:rPr>
      </w:pPr>
    </w:p>
    <w:p>
      <w:pPr>
        <w:jc w:val="both"/>
        <w:ind w:firstLine="656"/>
        <w:spacing w:after="0" w:line="261" w:lineRule="auto"/>
        <w:tabs>
          <w:tab w:leader="none" w:pos="863"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Supplying Information. </w:t>
      </w:r>
      <w:r>
        <w:rPr>
          <w:rFonts w:ascii="Times New Roman" w:cs="Times New Roman" w:eastAsia="Times New Roman" w:hAnsi="Times New Roman"/>
          <w:sz w:val="18"/>
          <w:szCs w:val="18"/>
          <w:color w:val="auto"/>
        </w:rPr>
        <w:t>While the Securities remain outstanding and are “restricted securities” within the meaning of Rule 144(a)(3)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Act, the Company and each of the Guarantors will, during any period in which the Company is not subject to and in compliance with Section 13 or 15(d) of the Exchange Act, furnish to holders of the Securities and prospective purchasers of the Securities designated by such holders, upon the request of such holders or such prospective purchasers, the information required to be delivered pursuant to Rule 144A(d)(4) under the Securities Act.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67" w:name="page168"/>
    <w:bookmarkEnd w:id="167"/>
    <w:p>
      <w:pPr>
        <w:ind w:left="920" w:hanging="264"/>
        <w:spacing w:after="0"/>
        <w:tabs>
          <w:tab w:leader="none" w:pos="92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DTC. </w:t>
      </w:r>
      <w:r>
        <w:rPr>
          <w:rFonts w:ascii="Times New Roman" w:cs="Times New Roman" w:eastAsia="Times New Roman" w:hAnsi="Times New Roman"/>
          <w:sz w:val="18"/>
          <w:szCs w:val="18"/>
          <w:color w:val="auto"/>
        </w:rPr>
        <w:t>The Company will assist the Initial Purchasers in arranging for the Securities to be eligible for clearance and settlement through DTC.</w:t>
      </w:r>
    </w:p>
    <w:p>
      <w:pPr>
        <w:spacing w:after="0" w:line="225" w:lineRule="exact"/>
        <w:rPr>
          <w:rFonts w:ascii="Times New Roman" w:cs="Times New Roman" w:eastAsia="Times New Roman" w:hAnsi="Times New Roman"/>
          <w:sz w:val="18"/>
          <w:szCs w:val="18"/>
          <w:color w:val="auto"/>
        </w:rPr>
      </w:pPr>
    </w:p>
    <w:p>
      <w:pPr>
        <w:jc w:val="both"/>
        <w:ind w:firstLine="656"/>
        <w:spacing w:after="0" w:line="267" w:lineRule="auto"/>
        <w:tabs>
          <w:tab w:leader="none" w:pos="87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Resales by the Company. </w:t>
      </w:r>
      <w:r>
        <w:rPr>
          <w:rFonts w:ascii="Times New Roman" w:cs="Times New Roman" w:eastAsia="Times New Roman" w:hAnsi="Times New Roman"/>
          <w:sz w:val="18"/>
          <w:szCs w:val="18"/>
          <w:color w:val="auto"/>
        </w:rPr>
        <w:t>The Company will not, and will not permit any of its affiliates (as defined in Rule 144) to, resell 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that have been acquired by any of them, except for Securities purchased by the Company or any of its affiliates and resold in a transaction registered under the Securities Act.</w:t>
      </w:r>
    </w:p>
    <w:p>
      <w:pPr>
        <w:spacing w:after="0" w:line="173" w:lineRule="exact"/>
        <w:rPr>
          <w:rFonts w:ascii="Times New Roman" w:cs="Times New Roman" w:eastAsia="Times New Roman" w:hAnsi="Times New Roman"/>
          <w:sz w:val="18"/>
          <w:szCs w:val="18"/>
          <w:color w:val="auto"/>
        </w:rPr>
      </w:pPr>
    </w:p>
    <w:p>
      <w:pPr>
        <w:jc w:val="both"/>
        <w:ind w:right="20" w:firstLine="656"/>
        <w:spacing w:after="0" w:line="267" w:lineRule="auto"/>
        <w:tabs>
          <w:tab w:leader="none" w:pos="953"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Integration. </w:t>
      </w:r>
      <w:r>
        <w:rPr>
          <w:rFonts w:ascii="Times New Roman" w:cs="Times New Roman" w:eastAsia="Times New Roman" w:hAnsi="Times New Roman"/>
          <w:sz w:val="18"/>
          <w:szCs w:val="18"/>
          <w:color w:val="auto"/>
        </w:rPr>
        <w:t>Neither the Company nor any of its affiliates (as defined in Rule 501(b) of Regulation D) will, directly or through any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 offer for sale, solicit offers to buy or otherwise negotiate in respect of, any security (as defined in the Securities Act), that is or will be integrated with the sale of the Securities in a manner that would require registration of the Securities under the Securities Act.</w:t>
      </w:r>
    </w:p>
    <w:p>
      <w:pPr>
        <w:spacing w:after="0" w:line="173"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General Solicitation or Directed Selling Efforts. </w:t>
      </w:r>
      <w:r>
        <w:rPr>
          <w:rFonts w:ascii="Times New Roman" w:cs="Times New Roman" w:eastAsia="Times New Roman" w:hAnsi="Times New Roman"/>
          <w:sz w:val="18"/>
          <w:szCs w:val="18"/>
          <w:color w:val="auto"/>
        </w:rPr>
        <w:t>None of the Company or any of its affiliates or any other person acting on its or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behalf (other than the Initial Purchasers, as to which no covenant is given) will (i) solicit offers for, or offer or sell, the Securities by means of any form of general solicitation or general advertising within the meaning of Rule 502(c) of Regulation D or in any manner involving a public offering within the meaning of Section 4(a)(2) of the Securities Act or (ii) engage in any directed selling efforts within the meaning of Regulation S, and all such persons will comply with the offering restrictions requirement of Regulation S.</w:t>
      </w:r>
    </w:p>
    <w:p>
      <w:pPr>
        <w:spacing w:after="0" w:line="183" w:lineRule="exact"/>
        <w:rPr>
          <w:rFonts w:ascii="Times New Roman" w:cs="Times New Roman" w:eastAsia="Times New Roman" w:hAnsi="Times New Roman"/>
          <w:sz w:val="18"/>
          <w:szCs w:val="18"/>
          <w:color w:val="auto"/>
        </w:rPr>
      </w:pPr>
    </w:p>
    <w:p>
      <w:pPr>
        <w:ind w:firstLine="656"/>
        <w:spacing w:after="0" w:line="284" w:lineRule="auto"/>
        <w:tabs>
          <w:tab w:leader="none" w:pos="93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Stabilization. </w:t>
      </w:r>
      <w:r>
        <w:rPr>
          <w:rFonts w:ascii="Times New Roman" w:cs="Times New Roman" w:eastAsia="Times New Roman" w:hAnsi="Times New Roman"/>
          <w:sz w:val="18"/>
          <w:szCs w:val="18"/>
          <w:color w:val="auto"/>
        </w:rPr>
        <w:t>Neither the Company nor any of the Guarantors will take, directly or indirectly, any action designed to or that could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be expected to cause or result in any stabilization or manipulation of the price of the Securities.</w:t>
      </w:r>
    </w:p>
    <w:p>
      <w:pPr>
        <w:spacing w:after="0" w:line="160" w:lineRule="exact"/>
        <w:rPr>
          <w:sz w:val="20"/>
          <w:szCs w:val="20"/>
          <w:color w:val="auto"/>
        </w:rPr>
      </w:pPr>
    </w:p>
    <w:p>
      <w:pPr>
        <w:jc w:val="both"/>
        <w:ind w:firstLine="656"/>
        <w:spacing w:after="0" w:line="254" w:lineRule="auto"/>
        <w:tabs>
          <w:tab w:leader="none" w:pos="82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Agreements of the Initial Purchasers</w:t>
      </w:r>
      <w:r>
        <w:rPr>
          <w:rFonts w:ascii="Times New Roman" w:cs="Times New Roman" w:eastAsia="Times New Roman" w:hAnsi="Times New Roman"/>
          <w:sz w:val="18"/>
          <w:szCs w:val="18"/>
          <w:color w:val="auto"/>
        </w:rPr>
        <w:t xml:space="preserve">. Each Initial Purchaser hereby represents and agrees that it has not and will not use, authorize use of, refer to, or participate in the planning for use of, any written communication that constitutes an offer to sell or the solicitation of an offer to buy the Securities other than (i) the Preliminary Offering Memorandum and the Offering Memorandum, (ii) any written communication that contains either (a) no “issuer information” (as defined in Rule 433(h)(2) under the Securities Act) or (b) “issuer information” that was included in the Time of Sale Information or the Offering Memorandum, (iii) any written communication listed on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or prepared pursuant to Section 4(c) (including any electronic road show) above, (iv) any written communication prepared by such Initial Purchaser and approved by the Company and the Representative in advance in writing, (v) any written communication relating to or that contains the terms of the Securities and/or other information that was included in the Time of Sale Information or the Offering Memorandum or (vi) any written communication relating to or that contains the preliminary or final terms of the Securities or their offering and/or other information that was included in the Time of Sale Information or the Offering Memorandum.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68" w:name="page169"/>
    <w:bookmarkEnd w:id="168"/>
    <w:p>
      <w:pPr>
        <w:jc w:val="both"/>
        <w:ind w:firstLine="656"/>
        <w:spacing w:after="0" w:line="258" w:lineRule="auto"/>
        <w:tabs>
          <w:tab w:leader="none" w:pos="828"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of Initial Purchasers’ Obligations.</w:t>
      </w:r>
      <w:r>
        <w:rPr>
          <w:rFonts w:ascii="Times New Roman" w:cs="Times New Roman" w:eastAsia="Times New Roman" w:hAnsi="Times New Roman"/>
          <w:sz w:val="18"/>
          <w:szCs w:val="18"/>
          <w:color w:val="auto"/>
        </w:rPr>
        <w:t xml:space="preserve"> The obligation of each Initial Purchaser, and the closing of the sale of the Securities, are subject to the accuracy, when made and as of the date hereof and at the Closing Date, of the representations and warranties of the Company and the Guarantors contained herein, to the accuracy of the statements of the Company, the Guarantors and their respective officers made in any certificates pursuant to the provisions hereof, to the performance by the Company and the Guarantors, in all material respects, of its obligations hereunder, and to each of the following additional terms and conditions:</w:t>
      </w:r>
    </w:p>
    <w:p>
      <w:pPr>
        <w:spacing w:after="0" w:line="181" w:lineRule="exact"/>
        <w:rPr>
          <w:sz w:val="20"/>
          <w:szCs w:val="20"/>
          <w:color w:val="auto"/>
        </w:rPr>
      </w:pPr>
    </w:p>
    <w:p>
      <w:pPr>
        <w:jc w:val="both"/>
        <w:ind w:firstLine="656"/>
        <w:spacing w:after="0" w:line="257" w:lineRule="auto"/>
        <w:tabs>
          <w:tab w:leader="none" w:pos="892"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Downgrade. </w:t>
      </w:r>
      <w:r>
        <w:rPr>
          <w:rFonts w:ascii="Times New Roman" w:cs="Times New Roman" w:eastAsia="Times New Roman" w:hAnsi="Times New Roman"/>
          <w:sz w:val="18"/>
          <w:szCs w:val="18"/>
          <w:color w:val="auto"/>
        </w:rPr>
        <w:t>Subsequent to the earlier of (A) the Time of Sale and (B) the execution and delivery of this Agreement, (i) no downgrading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occurred in the rating accorded the Securities or any other debt securities or preferred stock issued or guaranteed by the Company or any of the Subsidiaries by any “nationally recognized statistical rating organization,” as such term is defined under Section 3(a)(62) under the Exchange Act and (ii) no such organization shall have publicly announced that it has under surveillance or review, or has changed its outlook with respect to, its rating of the Securities or of any other debt securities or preferred stock issued or guaranteed by the Company or any of its Subsidiaries (other than an announcement with positive implications of a possible upgrading).</w:t>
      </w:r>
    </w:p>
    <w:p>
      <w:pPr>
        <w:spacing w:after="0" w:line="182" w:lineRule="exact"/>
        <w:rPr>
          <w:rFonts w:ascii="Times New Roman" w:cs="Times New Roman" w:eastAsia="Times New Roman" w:hAnsi="Times New Roman"/>
          <w:sz w:val="18"/>
          <w:szCs w:val="18"/>
          <w:color w:val="auto"/>
        </w:rPr>
      </w:pPr>
    </w:p>
    <w:p>
      <w:pPr>
        <w:jc w:val="both"/>
        <w:ind w:firstLine="656"/>
        <w:spacing w:after="0" w:line="254" w:lineRule="auto"/>
        <w:tabs>
          <w:tab w:leader="none" w:pos="93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Material Adverse Change. </w:t>
      </w:r>
      <w:r>
        <w:rPr>
          <w:rFonts w:ascii="Times New Roman" w:cs="Times New Roman" w:eastAsia="Times New Roman" w:hAnsi="Times New Roman"/>
          <w:sz w:val="18"/>
          <w:szCs w:val="18"/>
          <w:color w:val="auto"/>
        </w:rPr>
        <w:t>Since the date of the latest audited financial statements with respect to the Company and its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the Time of Sale Information and the Offering Memorandum as of the date hereof, (i) none of the Company, its Subsidiaries, nor the Guarantors shall have sustained any loss or interference with its business from fire, explosion, flood or other calamity, whether or not covered by insurance, or from any labor dispute or court or governmental action, order or decree, otherwise than as set forth in the Time of Sale Information and the Offering Memorandum and (ii) there shall not have been any change in the capital stock of the Company or any change in the long-term debt of the Company, any of its Subsidiaries or the Guarantors, taken as a whole, or any change or any development in or affecting the business, general affairs, management, financial position, stockholders’ equity or results of operations of the Company, any of its Subsidiaries and the Guarantors, taken as a whole, otherwise than as set forth in the Time of Sale Information and the Offering Memorandum, the effect of which, in any such case described in clause (i) or (ii) of this Section 6(b), would result in a Material Adverse Effect.</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90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Officer’s Certificate. </w:t>
      </w:r>
      <w:r>
        <w:rPr>
          <w:rFonts w:ascii="Times New Roman" w:cs="Times New Roman" w:eastAsia="Times New Roman" w:hAnsi="Times New Roman"/>
          <w:sz w:val="18"/>
          <w:szCs w:val="18"/>
          <w:color w:val="auto"/>
        </w:rPr>
        <w:t>The Company shall have furnished to the Representative a certificate, dated the Closing Date, of its Chief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and its Chief Financial Officer (i) confirming that such officer has carefully reviewed the Time of Sale Information and the Offering Memorandum and, to the best knowledge of such officer, the representations set forth in Sections 3(a) and 3(b) hereof are true and correct, (ii) to the best of their knowledge after reasonable investigation, as of such date, the representations and warranties of the Company in this Agreement are true and correct, except for inaccuracies that would not result in a Material Adverse Effect, and the Company has complied, in all material respects, with all agreements and satisfied all conditions on its part to be performed or satisfied hereunder at or prior to such date, and (iii) there has not been, subsequent to the date of the most recent audited financial statements included in the Time of Sale Information or the Offering Memorandum, any material adverse change in the financial position or results of operations of the Company, the Guarantors and their respective Subsidiaries, taken as a whole, or any change or development that, individually or in the aggregate, would reasonably be expected to involve a material adverse change in or affecting the condition (financial or otherwise), results of operations, business or assets of the Company, the Guarantors and their respective Subsidiaries, taken as a whole, except as set forth in the Time of Sale Information and the Offering Memorandum.</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9" w:name="page170"/>
    <w:bookmarkEnd w:id="169"/>
    <w:p>
      <w:pPr>
        <w:jc w:val="both"/>
        <w:ind w:firstLine="656"/>
        <w:spacing w:after="0" w:line="258" w:lineRule="auto"/>
        <w:tabs>
          <w:tab w:leader="none" w:pos="903"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Comfort Letters. </w:t>
      </w:r>
      <w:r>
        <w:rPr>
          <w:rFonts w:ascii="Times New Roman" w:cs="Times New Roman" w:eastAsia="Times New Roman" w:hAnsi="Times New Roman"/>
          <w:sz w:val="18"/>
          <w:szCs w:val="18"/>
          <w:color w:val="auto"/>
        </w:rPr>
        <w:t>The Representative shall have received from (i) Crowe LLP and (ii) KMJ Corbin &amp; Company LLP letters dated,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date hereof and the Closing Date, in form and substance reasonably satisfactory to the Representative containing statements and information of the type ordinarily included in accountants’ “comfort letters” to initial purchasers with respect to the financial statements and certain financial information contained in each of the Time of Sale Information and the Offering Memorandum;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the letter delivered on the Closing Date shall use a “cut-off” date no more than three business days prior to the Closing Date.</w:t>
      </w:r>
    </w:p>
    <w:p>
      <w:pPr>
        <w:spacing w:after="0" w:line="183" w:lineRule="exact"/>
        <w:rPr>
          <w:rFonts w:ascii="Times New Roman" w:cs="Times New Roman" w:eastAsia="Times New Roman" w:hAnsi="Times New Roman"/>
          <w:sz w:val="18"/>
          <w:szCs w:val="18"/>
          <w:color w:val="auto"/>
        </w:rPr>
      </w:pPr>
    </w:p>
    <w:p>
      <w:pPr>
        <w:jc w:val="both"/>
        <w:ind w:firstLine="656"/>
        <w:spacing w:after="0" w:line="261" w:lineRule="auto"/>
        <w:tabs>
          <w:tab w:leader="none" w:pos="90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Opinions and Negative Assurance Letter of Counsel for the Company and the Guarantors. </w:t>
      </w:r>
      <w:r>
        <w:rPr>
          <w:rFonts w:ascii="Times New Roman" w:cs="Times New Roman" w:eastAsia="Times New Roman" w:hAnsi="Times New Roman"/>
          <w:sz w:val="18"/>
          <w:szCs w:val="18"/>
          <w:color w:val="auto"/>
        </w:rPr>
        <w:t>The Representative shall have received (i)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and negative assurance letter of Holland &amp; Knight LLP, counsel for the Company and the Guarantors and (ii) an opinion of Polsinelli PC, intellectual property counsel for the Company and the Guarantors, dated the Closing Dates, covering such matters as the Representative shall reasonably request.</w:t>
      </w:r>
    </w:p>
    <w:p>
      <w:pPr>
        <w:spacing w:after="0" w:line="179" w:lineRule="exact"/>
        <w:rPr>
          <w:rFonts w:ascii="Times New Roman" w:cs="Times New Roman" w:eastAsia="Times New Roman" w:hAnsi="Times New Roman"/>
          <w:sz w:val="18"/>
          <w:szCs w:val="18"/>
          <w:color w:val="auto"/>
        </w:rPr>
      </w:pPr>
    </w:p>
    <w:p>
      <w:pPr>
        <w:jc w:val="both"/>
        <w:ind w:firstLine="656"/>
        <w:spacing w:after="0" w:line="267" w:lineRule="auto"/>
        <w:tabs>
          <w:tab w:leader="none" w:pos="873"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and Negative Assurance Letter of Counsel for the Initial Purchasers. </w:t>
      </w:r>
      <w:r>
        <w:rPr>
          <w:rFonts w:ascii="Times New Roman" w:cs="Times New Roman" w:eastAsia="Times New Roman" w:hAnsi="Times New Roman"/>
          <w:sz w:val="18"/>
          <w:szCs w:val="18"/>
          <w:color w:val="auto"/>
        </w:rPr>
        <w:t>The Representative shall have received an opinion and negative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assurance letter of Goodwin Procter LLP, counsel for the Initial Purchasers, dated as of the Closing Date, and covering such matters as the Representative shall reasonably request.</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91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CFO Certificate</w:t>
      </w:r>
      <w:r>
        <w:rPr>
          <w:rFonts w:ascii="Times New Roman" w:cs="Times New Roman" w:eastAsia="Times New Roman" w:hAnsi="Times New Roman"/>
          <w:sz w:val="18"/>
          <w:szCs w:val="18"/>
          <w:color w:val="auto"/>
        </w:rPr>
        <w:t>. On the date hereof and on the Closing Date, the Representative shall have received a certificate of the Company’s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with respect to certain financial data contained in the Time of Sale Information, the Offering Memorandum and investor presentation providing “management comfort” with respect to such information, in form and substance reasonably satisfactory to the Representative.</w:t>
      </w:r>
    </w:p>
    <w:p>
      <w:pPr>
        <w:spacing w:after="0" w:line="173"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Legal Impediment to Issuance. </w:t>
      </w:r>
      <w:r>
        <w:rPr>
          <w:rFonts w:ascii="Times New Roman" w:cs="Times New Roman" w:eastAsia="Times New Roman" w:hAnsi="Times New Roman"/>
          <w:sz w:val="18"/>
          <w:szCs w:val="18"/>
          <w:color w:val="auto"/>
        </w:rPr>
        <w:t>No action shall have been taken and no law, statute, rule, regulation or order shall have been enacted,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or issued by any governmental agency or body which would prevent the issuance or sale of the Securities or the issuance of the Guarantees or result in a Material Adverse Effect; and no injunction, restraining order or order of any other nature by any United States federal or state court of competent jurisdiction shall have been issued which would prevent the issuance or sale of the Securities or the issuance of the Guarantees or result in a Material Adverse Effect.</w:t>
      </w:r>
    </w:p>
    <w:p>
      <w:pPr>
        <w:spacing w:after="0" w:line="183" w:lineRule="exact"/>
        <w:rPr>
          <w:rFonts w:ascii="Times New Roman" w:cs="Times New Roman" w:eastAsia="Times New Roman" w:hAnsi="Times New Roman"/>
          <w:sz w:val="18"/>
          <w:szCs w:val="18"/>
          <w:color w:val="auto"/>
        </w:rPr>
      </w:pPr>
    </w:p>
    <w:p>
      <w:pPr>
        <w:jc w:val="both"/>
        <w:ind w:firstLine="656"/>
        <w:spacing w:after="0" w:line="253" w:lineRule="auto"/>
        <w:tabs>
          <w:tab w:leader="none" w:pos="863"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Market Conditions. </w:t>
      </w:r>
      <w:r>
        <w:rPr>
          <w:rFonts w:ascii="Times New Roman" w:cs="Times New Roman" w:eastAsia="Times New Roman" w:hAnsi="Times New Roman"/>
          <w:sz w:val="18"/>
          <w:szCs w:val="18"/>
          <w:color w:val="auto"/>
        </w:rPr>
        <w:t>Subsequent to the execution and delivery of this Agreement there shall not have occurred any of the following: (i) trading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securities generally on the New York Stock Exchange or the Nasdaq Stock Market or in the over-the-counter market, or trading in any securities of the Company on any exchange or in the over-the-counter market, shall have been suspended or materially limited, or minimum or maximum prices or maximum range for prices shall have been established on any such exchange or such market by the Commission, by such exchange or market or by any other regulatory body or governmental authority having jurisdiction; (ii) a banking moratorium shall have been declared by United States federal or state authorities or a material disruption has occurred in commercial banking or securities settlement or clearance services in the United States; (iii) the United States shall have become engaged in hostilities, or the subject of an act of terrorism, or there shall have been an outbreak of or escalation in hostilities involving the United States, or there shall have been a declaration of a national emergency or war by the United States; (iv) if there has been, in the judgment of the Representative, since the time of execution of this Agreement or since the respective dates as of which information is given in the Time of Sale Information and the Offering Memorandum, any material adverse change in the condition, financial or otherwise, or in the earnings, business affairs or business prospects of the Company and its Subsidiaries, considered as one enterprise, whether or not arising in the ordinary course of business, or (v) there shall have occurred such a material adverse change in general economic, political or financial conditions (or the effect of international conditions on the financial markets in the United States shall be such) as to make it, in the reasonable judgment of the Representative, impracticable or inadvisable to proceed with the sale or delivery of the Securities on the terms and in the manner contemplated in the Time of Sale Information and the Offering Memorandum.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0" w:name="page171"/>
    <w:bookmarkEnd w:id="170"/>
    <w:p>
      <w:pPr>
        <w:jc w:val="both"/>
        <w:ind w:firstLine="656"/>
        <w:spacing w:after="0" w:line="267" w:lineRule="auto"/>
        <w:tabs>
          <w:tab w:leader="none" w:pos="89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Good Standings</w:t>
      </w:r>
      <w:r>
        <w:rPr>
          <w:rFonts w:ascii="Times New Roman" w:cs="Times New Roman" w:eastAsia="Times New Roman" w:hAnsi="Times New Roman"/>
          <w:sz w:val="18"/>
          <w:szCs w:val="18"/>
          <w:color w:val="auto"/>
        </w:rPr>
        <w:t>. The Representative shall have received on and as of the Closing Date satisfactory evidence of the good standing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the Guarantors in their respective jurisdictions of organization and their good standing in such other jurisdictions as the Representative may reasonably request, in each case in writing or any standard form of telecommunication from the appropriate governmental authorities of such jurisdictions.</w:t>
      </w:r>
    </w:p>
    <w:p>
      <w:pPr>
        <w:spacing w:after="0" w:line="17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The Securities shall be eligible for clearance and settlement through DTC.</w:t>
      </w:r>
    </w:p>
    <w:p>
      <w:pPr>
        <w:spacing w:after="0" w:line="225" w:lineRule="exact"/>
        <w:rPr>
          <w:rFonts w:ascii="Times New Roman" w:cs="Times New Roman" w:eastAsia="Times New Roman" w:hAnsi="Times New Roman"/>
          <w:sz w:val="18"/>
          <w:szCs w:val="18"/>
          <w:color w:val="auto"/>
        </w:rPr>
      </w:pPr>
    </w:p>
    <w:p>
      <w:pPr>
        <w:jc w:val="both"/>
        <w:ind w:firstLine="656"/>
        <w:spacing w:after="0" w:line="267" w:lineRule="auto"/>
        <w:tabs>
          <w:tab w:leader="none" w:pos="86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Duly Executed</w:t>
      </w:r>
      <w:r>
        <w:rPr>
          <w:rFonts w:ascii="Times New Roman" w:cs="Times New Roman" w:eastAsia="Times New Roman" w:hAnsi="Times New Roman"/>
          <w:sz w:val="18"/>
          <w:szCs w:val="18"/>
          <w:color w:val="auto"/>
        </w:rPr>
        <w:t>. The Indenture shall have been duly executed and delivered by a duly authorized officer of the Company, each of the Guarantors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Trustee, and the Securities shall have been duly executed and delivered by a duly authorized officer of the Company and duly authenticated by the Trustee.</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98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Certificates</w:t>
      </w:r>
      <w:r>
        <w:rPr>
          <w:rFonts w:ascii="Times New Roman" w:cs="Times New Roman" w:eastAsia="Times New Roman" w:hAnsi="Times New Roman"/>
          <w:sz w:val="18"/>
          <w:szCs w:val="18"/>
          <w:color w:val="auto"/>
        </w:rPr>
        <w:t>. On or prior to the Closing Date, the Company and the Guarantors shall have furnished to the Representative such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customary certificates and documents as the Representative may reasonably request.</w:t>
      </w:r>
    </w:p>
    <w:p>
      <w:pPr>
        <w:spacing w:after="0" w:line="158" w:lineRule="exact"/>
        <w:rPr>
          <w:rFonts w:ascii="Times New Roman" w:cs="Times New Roman" w:eastAsia="Times New Roman" w:hAnsi="Times New Roman"/>
          <w:sz w:val="18"/>
          <w:szCs w:val="18"/>
          <w:color w:val="auto"/>
        </w:rPr>
      </w:pPr>
    </w:p>
    <w:p>
      <w:pPr>
        <w:jc w:val="both"/>
        <w:ind w:firstLine="656"/>
        <w:spacing w:after="0" w:line="267" w:lineRule="auto"/>
        <w:tabs>
          <w:tab w:leader="none" w:pos="90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the Credit and Guaranty Agreement</w:t>
      </w:r>
      <w:r>
        <w:rPr>
          <w:rFonts w:ascii="Times New Roman" w:cs="Times New Roman" w:eastAsia="Times New Roman" w:hAnsi="Times New Roman"/>
          <w:sz w:val="18"/>
          <w:szCs w:val="18"/>
          <w:color w:val="auto"/>
        </w:rPr>
        <w:t>. On or prior to the Closing Date, the Company shall have delivered evidence satisfactory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Representative that the Credit Agreement and Guaranty dated March 27, 2023, as amended on July 18, 2023 and October 25, 2024, has been repaid and terminated.</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93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 Notice</w:t>
      </w:r>
      <w:r>
        <w:rPr>
          <w:rFonts w:ascii="Times New Roman" w:cs="Times New Roman" w:eastAsia="Times New Roman" w:hAnsi="Times New Roman"/>
          <w:sz w:val="18"/>
          <w:szCs w:val="18"/>
          <w:color w:val="auto"/>
        </w:rPr>
        <w:t>. On or prior to the Closing Date, the Company shall have delivered redemption notices for redemption in full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8.625% Senior Notes due 2026 (the “2026 Notes”) and the Company’s 11.875% Senior Notes due December 2027 (the “2027 Notes”) pursuant to the terms of the indentures governing the 2026 Notes and the 2027 Notes, and provided evidence thereof satisfactory to the Representative.</w:t>
      </w:r>
    </w:p>
    <w:p>
      <w:pPr>
        <w:spacing w:after="0" w:line="173" w:lineRule="exact"/>
        <w:rPr>
          <w:rFonts w:ascii="Times New Roman" w:cs="Times New Roman" w:eastAsia="Times New Roman" w:hAnsi="Times New Roman"/>
          <w:sz w:val="18"/>
          <w:szCs w:val="18"/>
          <w:color w:val="auto"/>
        </w:rPr>
      </w:pPr>
    </w:p>
    <w:p>
      <w:pPr>
        <w:ind w:firstLine="656"/>
        <w:spacing w:after="0" w:line="284" w:lineRule="auto"/>
        <w:tabs>
          <w:tab w:leader="none" w:pos="90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Satisfaction and Discharge</w:t>
      </w:r>
      <w:r>
        <w:rPr>
          <w:rFonts w:ascii="Times New Roman" w:cs="Times New Roman" w:eastAsia="Times New Roman" w:hAnsi="Times New Roman"/>
          <w:sz w:val="18"/>
          <w:szCs w:val="18"/>
          <w:color w:val="auto"/>
        </w:rPr>
        <w:t>. On or prior to the Closing Date, the Company shall have satisfied and discharged each of the indentures governing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2026 Notes and the 2027 Notes, and provided evidence thereof satisfactory to the Representative.</w:t>
      </w:r>
    </w:p>
    <w:p>
      <w:pPr>
        <w:spacing w:after="0" w:line="16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opinions, letters, certificates and evidence mentioned above or elsewhere in this Agreement shall be deemed to be in compliance with the provisions hereof only if they are in form and substance reasonably satisfactory to counsel for the Initial Purchasers.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1" w:name="page172"/>
    <w:bookmarkEnd w:id="171"/>
    <w:p>
      <w:pPr>
        <w:ind w:left="840" w:hanging="184"/>
        <w:spacing w:after="0"/>
        <w:tabs>
          <w:tab w:leader="none" w:pos="84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p>
    <w:p>
      <w:pPr>
        <w:spacing w:after="0" w:line="223" w:lineRule="exact"/>
        <w:rPr>
          <w:sz w:val="20"/>
          <w:szCs w:val="20"/>
          <w:color w:val="auto"/>
        </w:rPr>
      </w:pPr>
    </w:p>
    <w:p>
      <w:pPr>
        <w:jc w:val="both"/>
        <w:ind w:firstLine="656"/>
        <w:spacing w:after="0" w:line="252" w:lineRule="auto"/>
        <w:tabs>
          <w:tab w:leader="none" w:pos="892"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Initial Purchasers. </w:t>
      </w:r>
      <w:r>
        <w:rPr>
          <w:rFonts w:ascii="Times New Roman" w:cs="Times New Roman" w:eastAsia="Times New Roman" w:hAnsi="Times New Roman"/>
          <w:sz w:val="18"/>
          <w:szCs w:val="18"/>
          <w:color w:val="auto"/>
        </w:rPr>
        <w:t>The Company and each of the Guarantors jointly and severally agree to indemnify and hold harmless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Initial Purchaser, its respective affiliates and each of their respective directors, officers, members, employees, representatives and agents and their respective affiliates, and each person, if any, who controls such Initial Purchaser within the meaning of Section 15 of the Securities Act or Section 20 of the Exchange Act (collectively the “</w:t>
      </w:r>
      <w:r>
        <w:rPr>
          <w:rFonts w:ascii="Times New Roman" w:cs="Times New Roman" w:eastAsia="Times New Roman" w:hAnsi="Times New Roman"/>
          <w:sz w:val="18"/>
          <w:szCs w:val="18"/>
          <w:b w:val="1"/>
          <w:bCs w:val="1"/>
          <w:color w:val="auto"/>
        </w:rPr>
        <w:t>Initial Purchaser Indemnified Parties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b w:val="1"/>
          <w:bCs w:val="1"/>
          <w:color w:val="auto"/>
        </w:rPr>
        <w:t>Initial Purchaser Indemnified Party</w:t>
      </w:r>
      <w:r>
        <w:rPr>
          <w:rFonts w:ascii="Times New Roman" w:cs="Times New Roman" w:eastAsia="Times New Roman" w:hAnsi="Times New Roman"/>
          <w:sz w:val="18"/>
          <w:szCs w:val="18"/>
          <w:color w:val="auto"/>
        </w:rPr>
        <w:t xml:space="preserve">”) against any loss, claim, damage, expense or liability whatsoever (or any action, investigation or proceeding in respect thereof), joint or several, to which such Initial Purchaser Indemnified Party may become subject, under the Securities Act or otherwise, insofar as such loss, claim, damage, expense, liability, action, investigation or proceeding arises out of or is based upon (A) any untrue statement or alleged untrue statement of a material fact contained in the Preliminary Offering Memorandum, any of the other Time of Sale Information, any Issuer Written Communication or the Offering Memorandum (or any amendment or supplement thereto), (B) the omission or alleged omission to state therein a material fact required to be stated therein or necessary to make the statements therein not misleading, or (C) any breach of the representations and warranties of the Company and/or the Guarantors contained herein or failure of the Company or the Guarantors to perform their obligations hereunder or pursuant to any law, and shall reimburse the Initial Purchaser Indemnified Party promptly upon demand for any legal fees or other expenses reasonably incurred by such Initial Purchaser Indemnified Party in connection with investigating, or preparing to defend, or defending against, or appearing as a third party witness in respect of, or otherwise incurred in connection with, any such loss, claim, damage, expense, liability, action, investigation or proceeding, as such fees and expenses are incurred;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and the Guarantors shall not be liable in any such case to the extent that any such loss, claim, damage, expense or liability arises out of or is based upon an untrue statement or alleged untrue statement in, or omission or alleged omission from, the Preliminary Offering Memorandum, any of the other Time of Sale Information, any Issuer Written Communication or the Offering Memorandum (or any amendment or supplement thereto) made in reliance upon and in conformity with written information concerning the Initial Purchasers furnished to the Company by or on behalf of the Initial Purchasers specifically for use therein. This indemnity agreement is not exclusive and will be in addition to any liability, which the Company and the Guarantors may otherwise have and shall not limit any rights or remedies which may otherwise be available at law or in equity to each Initial Purchaser Indemnified Party.</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903"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the Company and the Guarantors. </w:t>
      </w:r>
      <w:r>
        <w:rPr>
          <w:rFonts w:ascii="Times New Roman" w:cs="Times New Roman" w:eastAsia="Times New Roman" w:hAnsi="Times New Roman"/>
          <w:sz w:val="18"/>
          <w:szCs w:val="18"/>
          <w:color w:val="auto"/>
        </w:rPr>
        <w:t>Each Initial Purchaser severally and not jointly agrees to indemnify and hold harmless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each of the Guarantors and their respective directors, officers and each person, if any, who controls the Company within the meaning of Section 15 of the Securities Act or Section 20 of the Exchange Act (collectively the “</w:t>
      </w:r>
      <w:r>
        <w:rPr>
          <w:rFonts w:ascii="Times New Roman" w:cs="Times New Roman" w:eastAsia="Times New Roman" w:hAnsi="Times New Roman"/>
          <w:sz w:val="18"/>
          <w:szCs w:val="18"/>
          <w:b w:val="1"/>
          <w:bCs w:val="1"/>
          <w:color w:val="auto"/>
        </w:rPr>
        <w:t>Company Indemnified 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Company Indemnified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against any loss, claim, damage, expense or liability whatsoever (or any action, investigation or proceeding in respect thereof), joint or several,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such Company Indemnified Party may become subject, under the Securities Act or otherwise, insofar as such loss, claim, damage, expense, liability, action, investigation or proceeding arises out of or is based upon (A) any untrue statement or alleged untrue statement of a material fact contained in the Preliminary Offering Memorandum, any of the other Time of Sale Information, any Issuer Written Communication or the Offering Memorandum (or any amendment or supplement thereto) or (B) the omission or alleged omission to state in any Preliminary Offering Memorandum, any of the other Time of Sale Information, any Issuer Written Communication or the Offering Memorandum (or any amendment or supplement thereto), a material fact required to be stated therein or necessary to make the statements therein not misleading, but in each case only to the extent that the untrue statement or alleged untrue statement or omission or alleged omission was made in reliance upon and in conformity with written information furnished to the Company by or on behalf of such Initial Purchaser specifically for use therein, it being understood and agreed that the only such information consists of the following paragraphs in the section titled “Plan of Distribution” in the Preliminary Offering Memorandum and the Offering Memorandum: the first sentence of the fourth paragraph and the third sentence of the sixth paragraph. Each Initial Purchaser severally and not jointly shall reimburse the Company Indemnified Parties for any legal fees or other expenses reasonably incurred by such party in connection with investigating or preparing to defend or defending against or appearing as third party witness in connection with any such loss, claim, damage, liability, action, investigation or proceeding, as such fees and expenses are incurred. This indemnity agreement is not exclusive and will be in addition to any liability which such Initial Purchaser might otherwise have and shall not limit any rights or remedies which may otherwise be available under this Agreement, at law or in equity to the Company Indemnified Parties.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2" w:name="page173"/>
    <w:bookmarkEnd w:id="172"/>
    <w:p>
      <w:pPr>
        <w:jc w:val="both"/>
        <w:ind w:firstLine="656"/>
        <w:spacing w:after="0" w:line="251" w:lineRule="auto"/>
        <w:tabs>
          <w:tab w:leader="none" w:pos="90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and Procedures. </w:t>
      </w:r>
      <w:r>
        <w:rPr>
          <w:rFonts w:ascii="Times New Roman" w:cs="Times New Roman" w:eastAsia="Times New Roman" w:hAnsi="Times New Roman"/>
          <w:sz w:val="18"/>
          <w:szCs w:val="18"/>
          <w:color w:val="auto"/>
        </w:rPr>
        <w:t>If any suit, action, proceeding (including any governmental or regulatory investigation), claim or demand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brought or asserted against any person in respect of which indemnification may be sought pursuant to either paragraph (a) or (b) above, such person (the “</w:t>
      </w:r>
      <w:r>
        <w:rPr>
          <w:rFonts w:ascii="Times New Roman" w:cs="Times New Roman" w:eastAsia="Times New Roman" w:hAnsi="Times New Roman"/>
          <w:sz w:val="18"/>
          <w:szCs w:val="18"/>
          <w:b w:val="1"/>
          <w:bCs w:val="1"/>
          <w:color w:val="auto"/>
        </w:rPr>
        <w:t>Indemnified Person</w:t>
      </w:r>
      <w:r>
        <w:rPr>
          <w:rFonts w:ascii="Times New Roman" w:cs="Times New Roman" w:eastAsia="Times New Roman" w:hAnsi="Times New Roman"/>
          <w:sz w:val="18"/>
          <w:szCs w:val="18"/>
          <w:color w:val="auto"/>
        </w:rPr>
        <w:t>”) shall promptly notify the person in writing against whom such indemnification may be sought (the “</w:t>
      </w:r>
      <w:r>
        <w:rPr>
          <w:rFonts w:ascii="Times New Roman" w:cs="Times New Roman" w:eastAsia="Times New Roman" w:hAnsi="Times New Roman"/>
          <w:sz w:val="18"/>
          <w:szCs w:val="18"/>
          <w:b w:val="1"/>
          <w:bCs w:val="1"/>
          <w:color w:val="auto"/>
        </w:rPr>
        <w:t>Indemnifying Person</w:t>
      </w:r>
      <w:r>
        <w:rPr>
          <w:rFonts w:ascii="Times New Roman" w:cs="Times New Roman" w:eastAsia="Times New Roman" w:hAnsi="Times New Roman"/>
          <w:sz w:val="18"/>
          <w:szCs w:val="18"/>
          <w:color w:val="auto"/>
        </w:rPr>
        <w:t xml:space="preserve">”), of the commencement of that 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failure to notify the Indemnifying Person shall not relieve it from any liability which it may have under this Section 7 except to the extent it has been materially prejudiced by such failure;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the failure to notify an Indemnifying Person shall not relieve it from any liability which it may have to an Indemnified Person otherwise than under this Section 7. If any such action shall be brought against an Indemnified Person, and it shall notify the Indemnifying Person thereof, the Indemnifying Person shall be entitled to participate therein and, to the extent that it wishes, jointly with any other similarly notified Indemnifying Person, to assume the defense of such action with counsel reasonably satisfactory to the Indemnified Person (which counsel shall not, except with the written consent of the Indemnified Person, be counsel to the Indemnifying Person). After notice from the Indemnifying Person to the Indemnified Person of its election to assume the defense of such action and approval by the Indemnified Person of counsel as set forth herein, except as provided herein, the Indemnifying Person shall not be liable to the Indemnified Person under Section 7 for any legal or other expenses subsequently incurred by the Indemnified Person in connection with the defense of such action other than reasonable costs of investigation; provided, however, that any Indemnified Person shall have the right to employ separate counsel in any such action and to participate in the defense of such action but the fees and expenses of such counsel (other than reasonable costs of investigation which shall remain the expense of the Company and the Guarantors) shall be at the expense of such Indemnified Person unless (i) in the case of an Initial Purchaser Indemnified Party, the employment thereof has been specifically authorized in writing by the Company in the case of a claim for indemnification under Section 7(a), or (ii) such Indemnified Person shall have been advised by its counsel that there may be one or more legal defenses available to it which are different from or additional to those available to the Indemnifying Person or (iii) the Indemnifying Person has failed to assume the defense of such action and employ counsel reasonably satisfactory to the Indemnified Person within a reasonable period of time after notice of the commencement of the action or the Indemnifying Person does not diligently defend the action after assumption of the defense, in which case, if such Indemnified Person notifies the Indemnifying Person in writing that it elects to employ separate counsel at the expense of the Indemnifying Person, the Indemnifying Person shall not have the right to assume the defense of (or, in the case of a failure to diligently defend the action after assumption of the defense, to continue to defend) such action on behalf of such Indemnified Person and the Indemnifying Person shall be responsible for legal or other expenses subsequently incurred by such Indemnified Person in connection with the defense of such action; provided, however, that the Indemnifying Person shall not, in connection with any one such action or separate but substantially similar or related actions in the same jurisdiction arising out of the same general allegations or circumstances, be liable for the reasonable fees and expenses of more than one separate firm of attorneys at any time for all such Indemnified Persons (in addition to any local counsel), which firm shall be designated in writing by the Initial Purchaser if the Indemnified Persons under this Section 7 consist of any Initial Purchaser Indemnified Party or by the Company and the Guarantors if the Indemnified Persons under this Section 7 consist of any Company Indemnified Persons. Subject to this Section 7(c), the amount payable by an Indemnifying Person under Section 7 shall include, but not be limited to, (x) reasonable legal fees and expenses of counsel to the Indemnified Person and any other expenses in investigating, or preparing to defend or defending against, or appearing as a third party witness in respect of, or otherwise incurred in connection with, any action, investigation, proceeding or claim, and (y) all amounts paid in settlement of any of the foregoing. No Indemnifying Person shall, without the prior written consent of the Indemnified Persons, settle or compromise or consent to the entry of judgment with respect to any pending or threatened action or any claim whatsoever, in respect of which indemnification or contribution could be sought under this Section 7 (whether or not the Indemnified Persons are actual or potential parties thereto), unless such settlement, compromise or consent (i) includes an unconditional release of each Indemnified Person in form and substance reasonably satisfactory to such Indemnified Person from all liability arising out of such action or claim and (ii) does not include a statement as to or an admission of fault, culpability or a failure to act by or on behalf of any Indemnified Person. Subject to the provisions of the following sentence, no Indemnifying Person shall be liable for settlement of any pending or threatened action or any claim whatsoever that is effected without its written consent (which consent shall not be unreasonably withheld or delayed), but if settled with its written consent, or if its consent has been unreasonably withheld or delayed, or if there be a judgment for the plaintiff in any such matter, the Indemnifying Person agrees to indemnify and hold harmless any Indemnified Person from and against any loss or liability by reason of such settlement or judgment. In addition, if at any time an Indemnified Person shall have requested that an Indemnifying Person reimburse the Indemnified Person for reasonable fees and expenses of counsel, such Indemnifying Person agrees that it shall be liable for any settlement of the nature contemplated herein effected without its written consent if (i) such settlement is entered into more than forty-five (45) days after receipt by such Indemnifying Person of the request for reimbursement, (ii) such Indemnifying Person shall have received notice of the terms of such settlement at least thirty (30) days prior to such settlement being entered into and (iii) such Indemnifying Person shall not have reimbursed such Indemnified Person in accordance with such request prior to the date of such settlement.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3" w:name="page174"/>
    <w:bookmarkEnd w:id="173"/>
    <w:p>
      <w:pPr>
        <w:jc w:val="both"/>
        <w:ind w:firstLine="656"/>
        <w:spacing w:after="0" w:line="251" w:lineRule="auto"/>
        <w:tabs>
          <w:tab w:leader="none" w:pos="903"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Contribution. </w:t>
      </w:r>
      <w:r>
        <w:rPr>
          <w:rFonts w:ascii="Times New Roman" w:cs="Times New Roman" w:eastAsia="Times New Roman" w:hAnsi="Times New Roman"/>
          <w:sz w:val="18"/>
          <w:szCs w:val="18"/>
          <w:color w:val="auto"/>
        </w:rPr>
        <w:t>If the indemnification provided for in this Section 7 is unavailable or insufficient to hold harmless an Indemnified Person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7(a) or Section 7(b), then each applicable Indemnifying Person shall, in lieu of indemnifying such Indemnified Person, contribute to the amount paid, payable or otherwise incurred by such Indemnified Person as a result of such loss, claim, damage, expense or liability (or any action, investigation or proceeding in respect thereof), as incurred, (i) in such proportion as shall be appropriate to reflect the relative benefits received by the Company and the Guarantors on the one hand and the Initial Purchasers on the other hand from the offering and sale of the Securities or (ii) if the allocation provided by clause (i) of this Section 7(d) is not permitted by applicable law, in such proportion as is appropriate to reflect not only the relative benefits referred to in clause (i) of this Section 7(d) but also the relative fault of the Company and the Guarantors on the one hand and each of the respective Initial Purchasers on the other with respect to the statements, omissions, acts or failures to act which resulted in such loss, claim, damage, expense or liability (or any action, investigation or proceeding in respect thereof) as well as any other relevant equitable considerations. The relative benefits received by the Company and the Guarantors on the one hand and the Initial Purchasers on the other hand with respect to such offering and sale of the Securities shall be deemed to be in the same proportion as the total net proceeds from the offering and sale of the Securities pursuant to this Agreement (before deducting expenses) received by the Company and the Guarantors bear to the total compensation received by the Initial Purchasers in connection with the offering and sale of the Securities. The relative fault of the Company and the Guarantors on the one hand and the Initial Purchasers on the other hand shall be determined by reference to, among other things, whether the untrue or alleged untrue statement of a material fact or the omission or alleged omission to state a material fact relates to information supplied by the Company and/or the Guarantors on the one hand or the Initial Purchasers on the other hand, the intent of the parties and their relative knowledge, access to information and opportunity to correct or prevent such untrue statement, omission, act or failure to act. The Company and the Initial Purchasers agree that it would not be just and equitable if contributions pursuant to this Section 7(d) were to be determined by pro rata allocation or by any other method of allocation that does not take into account the equitable considerations referred to herein. The amount paid or payable by an Indemnified Person as a result of the loss, claim, damage, expense, liability, action, investigation or proceeding referred to above in this Section 7(d) shall be deemed to include, for purposes of this Section 7(d), any legal or other expenses reasonably incurred by such Indemnified Person in connection with investigating, preparing to defend or defending against or appearing as a third party witness in respect of, or otherwise incurred in connection with, any such loss, claim, damage, expense, liability, action, investigation or proceeding. Notwithstanding the provisions of this Section 7(d), no Initial Purchaser shall be required to contribute any amount in excess of the total compensation received by such Initial Purchaser hereunder less the amount of any damages which such Initial Purchaser has otherwise paid or become liable to pay by reason of any untrue or alleged untrue statement, omission or alleged omission, act or alleged act or failure to act or alleged failure to act. No person guilty of fraudulent misrepresentation (within the meaning of Section 10(f) of the Securities Act) shall be entitled to contribution from any person who was not guilty of such fraudulent misrepresentation.</w:t>
      </w:r>
    </w:p>
    <w:p>
      <w:pPr>
        <w:spacing w:after="0" w:line="206" w:lineRule="exact"/>
        <w:rPr>
          <w:sz w:val="20"/>
          <w:szCs w:val="20"/>
          <w:color w:val="auto"/>
        </w:rPr>
      </w:pPr>
    </w:p>
    <w:p>
      <w:pPr>
        <w:jc w:val="both"/>
        <w:ind w:firstLine="656"/>
        <w:spacing w:after="0" w:line="254" w:lineRule="auto"/>
        <w:tabs>
          <w:tab w:leader="none" w:pos="85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in the absolute discretion of the Representative, by notice to the Company, if after the execution and delivery of this Agreement and on or prior to the Closing Date (i) trading generally shall have been suspended or materially limited on the New York Stock Exchange, the Nasdaq Stock Market or the over-the-counter market; (ii) trading of any securities issued or guaranteed by the Company or any of the Guarantors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the judgment of the Representative, is material and adverse and makes it impracticable or inadvisable to proceed with the offering, sale or delivery of the Securities on the terms and in the manner contemplated by this Agreement, the Time of Sale Information and the Offering Memorandum.</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4" w:name="page175"/>
    <w:bookmarkEnd w:id="174"/>
    <w:p>
      <w:pPr>
        <w:ind w:left="840" w:hanging="184"/>
        <w:spacing w:after="0"/>
        <w:tabs>
          <w:tab w:leader="none" w:pos="84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Initial Purchaser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6"/>
        <w:spacing w:after="0" w:line="253" w:lineRule="auto"/>
        <w:tabs>
          <w:tab w:leader="none" w:pos="901"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Closing Date, any Initial Purchaser defaults on its obligation to purchase the Securities that it has agreed to purchase hereunder, the non-defaulting Initial Purchasers may in their discretion arrange for the purchase of such Securities by other persons satisfactory to the Company on the terms contained in this Agreement. If, within 36 hours after any such default by any Initial Purchaser, the non-defaulting Initial Purchasers do not arrange for the purchase of such Securities, then the Company shall be entitled to a further period of 36 hours within which to procure other persons satisfactory to the non-defaulting Initial Purchasers to purchase such Securities on such terms. If other persons become obligated or agree to purchase the Securities of a defaulting Initial Purchaser, either the non-defaulting Initial Purchasers or the Company may postpone the Closing Date for up to five full business days in order to effect any changes that in the opinion of counsel for the Company and the Guarantors or counsel for the Initial Purchasers may be necessary in the Time of Sale Information, the Offering Memorandum or in any other document or arrangement, and the Company agrees to promptly prepare any amendment or supplement to the Time of Sale Information or the Offering Memorandum that effects any such changes. As used in this Agreement, the term “Initial Purchaser” includes, for all purposes of this Agreement unless the context otherwise requires, any person not listed in Schedule 1 hereto that, pursuant to this Section 9, purchases Securities that a defaulting Initial Purchaser agreed but failed to purchase.</w:t>
      </w:r>
    </w:p>
    <w:p>
      <w:pPr>
        <w:spacing w:after="0" w:line="191" w:lineRule="exact"/>
        <w:rPr>
          <w:rFonts w:ascii="Times New Roman" w:cs="Times New Roman" w:eastAsia="Times New Roman" w:hAnsi="Times New Roman"/>
          <w:sz w:val="18"/>
          <w:szCs w:val="18"/>
          <w:color w:val="auto"/>
        </w:rPr>
      </w:pPr>
    </w:p>
    <w:p>
      <w:pPr>
        <w:jc w:val="both"/>
        <w:ind w:firstLine="656"/>
        <w:spacing w:after="0" w:line="256" w:lineRule="auto"/>
        <w:tabs>
          <w:tab w:leader="none" w:pos="912"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giving effect to any arrangements for the purchase of the Securities of a defaulting Initial Purchaser or Initial Purchasers by the non-defaulting Initial Purchasers and the Company as provided in paragraph (a) above, the aggregate principal amount of such Securities that remains unpurchased does not exceed one-eleventh of the aggregate principal amount of all the Securities, then the Company shall have the right to require each non-defaulting Initial Purchaser to purchase the principal amount of Securities that such Initial Purchaser agreed to purchase hereunder plus such Initial Purchaser’s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(based on the principal amount of Securities that such Initial Purchaser agreed to purchase hereunder) of the Securities of such defaulting Initial Purchaser or Initial Purchasers for which such arrangements have not been made.</w:t>
      </w:r>
    </w:p>
    <w:p>
      <w:pPr>
        <w:spacing w:after="0" w:line="187" w:lineRule="exact"/>
        <w:rPr>
          <w:rFonts w:ascii="Times New Roman" w:cs="Times New Roman" w:eastAsia="Times New Roman" w:hAnsi="Times New Roman"/>
          <w:sz w:val="18"/>
          <w:szCs w:val="18"/>
          <w:color w:val="auto"/>
        </w:rPr>
      </w:pPr>
    </w:p>
    <w:p>
      <w:pPr>
        <w:jc w:val="both"/>
        <w:ind w:firstLine="656"/>
        <w:spacing w:after="0" w:line="255" w:lineRule="auto"/>
        <w:tabs>
          <w:tab w:leader="none" w:pos="902"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arrangements for the purchase of the Securities of a defaulting Initial Purchaser or Initial Purchasers by the non-defaulting Initial Purchasers and the Company as provided in paragraph (a) above, the aggregate principal amount of such Securities that remains unpurchased exceeds one-eleventh of the aggregate principal amount of all the Securities, or if the Company shall not exercise the right described in paragraph (b) above, then this Agreement shall terminate without liability on the part of the non-defaulting Initial Purchasers. Any termination of this Agreement pursuant to this Section 9 shall be without liability on the part of the Company or the Guarantors, except that the Company and each of the Guarantors will continue to be liable for the payment of expenses as set forth in Section 10 hereof and except that the provisions of Section 7 hereof shall not terminate and shall remain in effect.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5" w:name="page176"/>
    <w:bookmarkEnd w:id="175"/>
    <w:p>
      <w:pPr>
        <w:ind w:firstLine="656"/>
        <w:spacing w:after="0" w:line="282" w:lineRule="auto"/>
        <w:tabs>
          <w:tab w:leader="none" w:pos="913"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herein shall relieve a defaulting Initial Purchaser of any liability it may have to the Company, the Guarantors or any non-defaulting Initial Purchaser for damages caused by its default.</w:t>
      </w:r>
    </w:p>
    <w:p>
      <w:pPr>
        <w:spacing w:after="0" w:line="162" w:lineRule="exact"/>
        <w:rPr>
          <w:sz w:val="20"/>
          <w:szCs w:val="20"/>
          <w:color w:val="auto"/>
        </w:rPr>
      </w:pPr>
    </w:p>
    <w:p>
      <w:pPr>
        <w:ind w:left="920" w:hanging="264"/>
        <w:spacing w:after="0"/>
        <w:tabs>
          <w:tab w:leader="none" w:pos="92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p>
    <w:p>
      <w:pPr>
        <w:spacing w:after="0" w:line="225" w:lineRule="exact"/>
        <w:rPr>
          <w:sz w:val="20"/>
          <w:szCs w:val="20"/>
          <w:color w:val="auto"/>
        </w:rPr>
      </w:pPr>
    </w:p>
    <w:p>
      <w:pPr>
        <w:jc w:val="both"/>
        <w:ind w:firstLine="656"/>
        <w:spacing w:after="0" w:line="253" w:lineRule="auto"/>
        <w:tabs>
          <w:tab w:leader="none" w:pos="89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by this Agreement are consummated or this Agreement is terminated, the Company and each of the Guarantors jointly and severally agree to pay or cause to be paid all costs and expenses incident to the performance of their respective obligations hereunder, including without limitation, (i) the costs incident to the authorization, issuance, sale, preparation and delivery of the Securities, including any stamp, transfer, issuance or similar taxes payable in respect of the sale of the Securities to the Initial Purchasers and the resale by the Initial Purchasers to the initial investors; (ii) the costs incident to the preparation and printing of the Preliminary Offering Memorandum, any other Time of Sale Information, any Issuer Written Communication and the Offering Memorandum (including any amendment or supplement thereto) and the distribution thereof; (iii) the costs of reproducing and distributing each of the Transaction Documents; (iv) the fees and expenses of the Company’s and the Guarantors’ counsel and independent accountants; (v) the fees and expenses incurred in connection with the registration or qualification and determination of eligibility for investment of the Securities under the laws of such jurisdictions as the Representative may designate and the preparation, printing and distribution of a Blue Sky Memorandum (including the related reasonable fees and expenses of counsel for the Initial Purchasers); (vi) any fees charged by rating agencies for rating the Securities; (vii) the fees and expenses of the Trustee and any paying agent (including related fees and expenses of any counsel to such parties); (viii) all expenses and application fees incurred in connection with the approval of the Securities for book-entry transfer by DTC; and (ix) all expenses incurred by the Company in connection with any “road show” presentation to potential investors.</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9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set forth in that certain Engagement Letter, dated August 20, 2025, by and between the Representative and the Company, whether or not the offering and sale of the Securities is consummated or this Agreement is terminated, the Company and each of the Guarantors jointly and severally agree to pay or cause to be paid all reasonable and documented out-of-pocket expenses incurred by the Representative in connection with the offering and sale of the Securities, including reasonable and documented travel expenses, miscellaneous printing, shipping/delivery and other expenses such as background checks and other third party services including the reasonable and documented fees and disbursements of its counsel, promptly upon request and, in any case, within 30 days after the Representative submits an invoice in respect thereof.</w:t>
      </w:r>
    </w:p>
    <w:p>
      <w:pPr>
        <w:spacing w:after="0" w:line="187" w:lineRule="exact"/>
        <w:rPr>
          <w:sz w:val="20"/>
          <w:szCs w:val="20"/>
          <w:color w:val="auto"/>
        </w:rPr>
      </w:pPr>
    </w:p>
    <w:p>
      <w:pPr>
        <w:jc w:val="both"/>
        <w:ind w:firstLine="656"/>
        <w:spacing w:after="0" w:line="258" w:lineRule="auto"/>
        <w:tabs>
          <w:tab w:leader="none" w:pos="938"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Entitled to Benefit of Agreement</w:t>
      </w:r>
      <w:r>
        <w:rPr>
          <w:rFonts w:ascii="Times New Roman" w:cs="Times New Roman" w:eastAsia="Times New Roman" w:hAnsi="Times New Roman"/>
          <w:sz w:val="18"/>
          <w:szCs w:val="18"/>
          <w:color w:val="auto"/>
        </w:rPr>
        <w:t>. This Agreement shall inure to the benefit of and be binding upon the parties hereto and their respective successors and the officers and directors and any controlling persons referred to herein, and the affiliates of each Initial Purchaser referred to in Section 7 hereof. Nothing in this Agreement is intended or shall be construed to give any other person any legal or equitable right, remedy or claim under or in respect of this Agreement or any provision contained herein. No purchaser of Securities from any Initial Purchaser shall be deemed to be a successor merely by reason of such purchase.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6" w:name="page177"/>
    <w:bookmarkEnd w:id="176"/>
    <w:p>
      <w:pPr>
        <w:jc w:val="both"/>
        <w:ind w:firstLine="656"/>
        <w:spacing w:after="0" w:line="261" w:lineRule="auto"/>
        <w:tabs>
          <w:tab w:leader="none" w:pos="91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respective indemnities, rights of contribution, representations, warranties and agreements of the Company, the Guarantors and the Initial Purchasers contained in this Agreement or made by or on behalf of the Company, the Guarantors or the Initial Purchasers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the Guarantors or the Initial Purchasers.</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1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Defined Terms</w:t>
      </w:r>
      <w:r>
        <w:rPr>
          <w:rFonts w:ascii="Times New Roman" w:cs="Times New Roman" w:eastAsia="Times New Roman" w:hAnsi="Times New Roman"/>
          <w:sz w:val="18"/>
          <w:szCs w:val="18"/>
          <w:color w:val="auto"/>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and (c) the term “written communication” has the meaning set forth in Rule 405 under the Securities Act.</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USA Patriot Act</w:t>
      </w:r>
      <w:r>
        <w:rPr>
          <w:rFonts w:ascii="Times New Roman" w:cs="Times New Roman" w:eastAsia="Times New Roman" w:hAnsi="Times New Roman"/>
          <w:sz w:val="18"/>
          <w:szCs w:val="18"/>
          <w:color w:val="auto"/>
        </w:rPr>
        <w:t>. In accordance with the requirements of the USA Patriot Act (Title III of Pub. L. 107-56 (signed into law October 26, 2001)), the Initial Purchasers are required to obtain, verify and record information that identifies their respective clients, including the Company, which information may include the name and address of their respective clients, as well as other information that will allow the Initial Purchasers to properly identify their respective clients.</w:t>
      </w:r>
    </w:p>
    <w:p>
      <w:pPr>
        <w:spacing w:after="0" w:line="17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p>
    <w:p>
      <w:pPr>
        <w:spacing w:after="0" w:line="223" w:lineRule="exact"/>
        <w:rPr>
          <w:sz w:val="20"/>
          <w:szCs w:val="20"/>
          <w:color w:val="auto"/>
        </w:rPr>
      </w:pPr>
    </w:p>
    <w:p>
      <w:pPr>
        <w:ind w:firstLine="656"/>
        <w:spacing w:after="0" w:line="284" w:lineRule="auto"/>
        <w:tabs>
          <w:tab w:leader="none" w:pos="892"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Authority of the Representative. </w:t>
      </w:r>
      <w:r>
        <w:rPr>
          <w:rFonts w:ascii="Times New Roman" w:cs="Times New Roman" w:eastAsia="Times New Roman" w:hAnsi="Times New Roman"/>
          <w:sz w:val="18"/>
          <w:szCs w:val="18"/>
          <w:color w:val="auto"/>
        </w:rPr>
        <w:t>Any action by the Initial Purchasers hereunder may be taken by BTIG, LLC on behalf of the Initial Purchasers,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any such action taken by BTIG, LLC shall be binding upon the Initial Purchasers.</w:t>
      </w:r>
    </w:p>
    <w:p>
      <w:pPr>
        <w:spacing w:after="0" w:line="158" w:lineRule="exact"/>
        <w:rPr>
          <w:rFonts w:ascii="Times New Roman" w:cs="Times New Roman" w:eastAsia="Times New Roman" w:hAnsi="Times New Roman"/>
          <w:sz w:val="18"/>
          <w:szCs w:val="18"/>
          <w:color w:val="auto"/>
        </w:rPr>
      </w:pPr>
    </w:p>
    <w:p>
      <w:pPr>
        <w:jc w:val="both"/>
        <w:ind w:firstLine="656"/>
        <w:spacing w:after="0" w:line="262" w:lineRule="auto"/>
        <w:tabs>
          <w:tab w:leader="none" w:pos="93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notices and other communications hereunder shall be in writing and shall be deemed to have been duly given if mailed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transmitted and confirmed by any standard form of telecommunication. Notices to the Initial Purchasers shall be given to the Representative c/o BTIG,</w:t>
      </w:r>
    </w:p>
    <w:p>
      <w:pPr>
        <w:spacing w:after="0" w:line="192" w:lineRule="auto"/>
        <w:rPr>
          <w:sz w:val="20"/>
          <w:szCs w:val="20"/>
          <w:color w:val="auto"/>
        </w:rPr>
      </w:pPr>
      <w:r>
        <w:rPr>
          <w:rFonts w:ascii="Times New Roman" w:cs="Times New Roman" w:eastAsia="Times New Roman" w:hAnsi="Times New Roman"/>
          <w:sz w:val="17"/>
          <w:szCs w:val="17"/>
          <w:color w:val="auto"/>
        </w:rPr>
        <w:t>LLC, 350 Bush Street, 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San Francisco, CA 94104, Attention: Forrest Koenig, with a copy to 350 Bush Street, 9</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Floor, San Francisco, CA 94104,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IBLegal@btig.com, Attention: General Counsel (which shall not constitute notice hereunder) and with a copy to Goodwin Procter LLP, 620 Eighth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Avenue, New York, New York 10018 (fax: 617-523-1231), Attention: James P. Barri (which shall not constitute notice hereunder). Notices to the Company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Guarantors shall be given to them at Harrow, Inc., 1A Burton Hills Blvd., Suite 200, Nashville, TN 37215, Attention: Andrew R. Boll, with a copy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Holland &amp; Knight, LLP, 511 Union Street, Suite 2700, Nashville, TN 37219, Attention: James H. Nixon III (which shall not constitute notice hereunder).</w:t>
      </w:r>
    </w:p>
    <w:p>
      <w:pPr>
        <w:spacing w:after="0" w:line="216" w:lineRule="exact"/>
        <w:rPr>
          <w:sz w:val="20"/>
          <w:szCs w:val="20"/>
          <w:color w:val="auto"/>
        </w:rPr>
      </w:pPr>
    </w:p>
    <w:p>
      <w:pPr>
        <w:ind w:firstLine="656"/>
        <w:spacing w:after="0" w:line="284" w:lineRule="auto"/>
        <w:tabs>
          <w:tab w:leader="none" w:pos="906"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This Agreement and any claim, controversy or dispute arising under or related to this Agreement shall be governed by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construed in accordance with the laws of the State of New York.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7" w:name="page178"/>
    <w:bookmarkEnd w:id="177"/>
    <w:p>
      <w:pPr>
        <w:jc w:val="both"/>
        <w:ind w:firstLine="656"/>
        <w:spacing w:after="0" w:line="257" w:lineRule="auto"/>
        <w:tabs>
          <w:tab w:leader="none" w:pos="903"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Submission to Jurisdiction</w:t>
      </w:r>
      <w:r>
        <w:rPr>
          <w:rFonts w:ascii="Times New Roman" w:cs="Times New Roman" w:eastAsia="Times New Roman" w:hAnsi="Times New Roman"/>
          <w:sz w:val="18"/>
          <w:szCs w:val="18"/>
          <w:color w:val="auto"/>
        </w:rPr>
        <w:t>. The Company and each of the Guarantors hereby submit to the exclusive jurisdiction of the U.S. federal and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York state courts in the Borough of Manhattan in The City of New York in any suit or proceeding arising out of or relating to this Agreement or the transactions contemplated hereby. Each of the Company and each of the Guarantors waive any objection which it may now or hereafter have to the laying of venue of any such suit or proceeding in such courts. The Company and each of the Guarantors agrees that final judgment in any such suit, action or proceeding brought in such court shall be conclusive and binding upon the Company and each Guarantor, as applicable, and may be enforced in any court to the jurisdiction of which the Company and each Guarantor, as applicable, is subject by a suit upon such judgment.</w:t>
      </w:r>
    </w:p>
    <w:p>
      <w:pPr>
        <w:spacing w:after="0" w:line="182" w:lineRule="exact"/>
        <w:rPr>
          <w:rFonts w:ascii="Times New Roman" w:cs="Times New Roman" w:eastAsia="Times New Roman" w:hAnsi="Times New Roman"/>
          <w:sz w:val="18"/>
          <w:szCs w:val="18"/>
          <w:color w:val="auto"/>
        </w:rPr>
      </w:pPr>
    </w:p>
    <w:p>
      <w:pPr>
        <w:ind w:firstLine="656"/>
        <w:spacing w:after="0" w:line="284" w:lineRule="auto"/>
        <w:tabs>
          <w:tab w:leader="none" w:pos="892"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Waiver of Jury Trial. </w:t>
      </w:r>
      <w:r>
        <w:rPr>
          <w:rFonts w:ascii="Times New Roman" w:cs="Times New Roman" w:eastAsia="Times New Roman" w:hAnsi="Times New Roman"/>
          <w:sz w:val="18"/>
          <w:szCs w:val="18"/>
          <w:color w:val="auto"/>
        </w:rPr>
        <w:t>Each of the parties hereto hereby waives any right to trial by jury in any suit or proceeding arising out of or relating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w:t>
      </w:r>
    </w:p>
    <w:p>
      <w:pPr>
        <w:spacing w:after="0" w:line="158" w:lineRule="exact"/>
        <w:rPr>
          <w:rFonts w:ascii="Times New Roman" w:cs="Times New Roman" w:eastAsia="Times New Roman" w:hAnsi="Times New Roman"/>
          <w:sz w:val="18"/>
          <w:szCs w:val="18"/>
          <w:color w:val="auto"/>
        </w:rPr>
      </w:pPr>
    </w:p>
    <w:p>
      <w:pPr>
        <w:jc w:val="both"/>
        <w:ind w:firstLine="656"/>
        <w:spacing w:after="0" w:line="254" w:lineRule="auto"/>
        <w:tabs>
          <w:tab w:leader="none" w:pos="927"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w:t>
      </w:r>
      <w:r>
        <w:rPr>
          <w:rFonts w:ascii="Times New Roman" w:cs="Times New Roman" w:eastAsia="Times New Roman" w:hAnsi="Times New Roman"/>
          <w:sz w:val="18"/>
          <w:szCs w:val="18"/>
          <w:color w:val="auto"/>
        </w:rPr>
        <w:t>This Agreement may be signed in counterparts (which may include counterparts delivered by any standard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 each of which shall be an original and all of which together shall constitute one and the same instrument. The words “execution,” “signed,” “signature,” “delivery,” and words of like import in or relating to any document to be signed in connection with this Agreement and the transactions contemplated hereby shall be deemed to include an electronic symbol or process attached to a contract or other record and adopted by a person with the intent to sign, authenticate or accept such contract or record (each an “</w:t>
      </w:r>
      <w:r>
        <w:rPr>
          <w:rFonts w:ascii="Times New Roman" w:cs="Times New Roman" w:eastAsia="Times New Roman" w:hAnsi="Times New Roman"/>
          <w:sz w:val="18"/>
          <w:szCs w:val="18"/>
          <w:b w:val="1"/>
          <w:bCs w:val="1"/>
          <w:color w:val="auto"/>
        </w:rPr>
        <w:t>Electronic Signature</w:t>
      </w:r>
      <w:r>
        <w:rPr>
          <w:rFonts w:ascii="Times New Roman" w:cs="Times New Roman" w:eastAsia="Times New Roman" w:hAnsi="Times New Roman"/>
          <w:sz w:val="18"/>
          <w:szCs w:val="18"/>
          <w:color w:val="auto"/>
        </w:rPr>
        <w:t xml:space="preserve">”),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nothing herein shall require the Representative to accept Electronic Signatures in any form or format without its prior written consent.</w:t>
      </w:r>
    </w:p>
    <w:p>
      <w:pPr>
        <w:spacing w:after="0" w:line="185" w:lineRule="exact"/>
        <w:rPr>
          <w:rFonts w:ascii="Times New Roman" w:cs="Times New Roman" w:eastAsia="Times New Roman" w:hAnsi="Times New Roman"/>
          <w:sz w:val="18"/>
          <w:szCs w:val="18"/>
          <w:color w:val="auto"/>
        </w:rPr>
      </w:pPr>
    </w:p>
    <w:p>
      <w:pPr>
        <w:ind w:right="20" w:firstLine="656"/>
        <w:spacing w:after="0" w:line="284" w:lineRule="auto"/>
        <w:tabs>
          <w:tab w:leader="none" w:pos="93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Amendments or Waivers. </w:t>
      </w:r>
      <w:r>
        <w:rPr>
          <w:rFonts w:ascii="Times New Roman" w:cs="Times New Roman" w:eastAsia="Times New Roman" w:hAnsi="Times New Roman"/>
          <w:sz w:val="18"/>
          <w:szCs w:val="18"/>
          <w:color w:val="auto"/>
        </w:rPr>
        <w:t>No amendment or waiver of any provision of this Agreement, nor any consent or approval to any departure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therefrom, shall in any event be effective unless the same shall be in writing and signed by the parties hereto.</w:t>
      </w:r>
    </w:p>
    <w:p>
      <w:pPr>
        <w:spacing w:after="0" w:line="158" w:lineRule="exact"/>
        <w:rPr>
          <w:rFonts w:ascii="Times New Roman" w:cs="Times New Roman" w:eastAsia="Times New Roman" w:hAnsi="Times New Roman"/>
          <w:sz w:val="18"/>
          <w:szCs w:val="18"/>
          <w:color w:val="auto"/>
        </w:rPr>
      </w:pPr>
    </w:p>
    <w:p>
      <w:pPr>
        <w:ind w:firstLine="656"/>
        <w:spacing w:after="0" w:line="284" w:lineRule="auto"/>
        <w:tabs>
          <w:tab w:leader="none" w:pos="903"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Headings. </w:t>
      </w:r>
      <w:r>
        <w:rPr>
          <w:rFonts w:ascii="Times New Roman" w:cs="Times New Roman" w:eastAsia="Times New Roman" w:hAnsi="Times New Roman"/>
          <w:sz w:val="18"/>
          <w:szCs w:val="18"/>
          <w:color w:val="auto"/>
        </w:rPr>
        <w:t>The headings herein are included for convenience of reference only and are not intended to be part of, or to affect the meaning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this Agreement.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8" w:name="page179"/>
    <w:bookmarkEnd w:id="178"/>
    <w:p>
      <w:pPr>
        <w:ind w:left="660"/>
        <w:spacing w:after="0"/>
        <w:rPr>
          <w:sz w:val="20"/>
          <w:szCs w:val="20"/>
          <w:color w:val="auto"/>
        </w:rPr>
      </w:pPr>
      <w:r>
        <w:rPr>
          <w:rFonts w:ascii="Times New Roman" w:cs="Times New Roman" w:eastAsia="Times New Roman" w:hAnsi="Times New Roman"/>
          <w:sz w:val="18"/>
          <w:szCs w:val="18"/>
          <w:color w:val="auto"/>
        </w:rPr>
        <w:t>If the foregoing is in accordance with your understanding, please indicate your acceptance of this Agreement by signing in the space provided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INC.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Andrew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Andrew Boll</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&amp; Chief Financial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IP,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EYE,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HARROW ANALYTICAL SERVICES, LLC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Harrow, Inc.</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Sole Member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Andrew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Andrew Boll</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&amp; Chief Financial Officer</w:t>
      </w:r>
    </w:p>
    <w:p>
      <w:pPr>
        <w:spacing w:after="0" w:line="20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IMPRIMISRX, LLC</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IMPRIMIS NJOF,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New Jersey limited liability company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IMPRIMISRX NJ,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New Jersey limited liability company</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IMPRIMISRX NASHVILLE, LLC</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Harrow, Inc.</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Sole Member</w:t>
      </w:r>
    </w:p>
    <w:p>
      <w:pPr>
        <w:spacing w:after="0" w:line="20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Andrew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Andrew Boll</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&amp; Chief Financial Officer</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color w:val="auto"/>
        </w:rPr>
        <w:t>Accepted: As of the date first written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BTIG,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and on behalf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several Initial Purchasers listed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Schedule 1 hereto.</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i w:val="1"/>
                <w:iCs w:val="1"/>
                <w:color w:val="auto"/>
              </w:rPr>
              <w:t>Forest Koenig</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Forest Koenig</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96"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i w:val="1"/>
          <w:iCs w:val="1"/>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292735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15" w:right="1440"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color w:val="auto"/>
        </w:rPr>
        <w:t>Schedule 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Initial Purchaser</w:t>
            </w:r>
          </w:p>
        </w:tc>
        <w:tc>
          <w:tcPr>
            <w:tcW w:w="1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2260" w:type="dxa"/>
            <w:vAlign w:val="bottom"/>
          </w:tcPr>
          <w:p>
            <w:pPr>
              <w:spacing w:after="0"/>
              <w:rPr>
                <w:sz w:val="20"/>
                <w:szCs w:val="20"/>
                <w:color w:val="auto"/>
              </w:rPr>
            </w:pPr>
          </w:p>
        </w:tc>
      </w:tr>
      <w:tr>
        <w:trPr>
          <w:trHeight w:val="209"/>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BTIG, LLC</w:t>
            </w:r>
          </w:p>
        </w:tc>
        <w:tc>
          <w:tcPr>
            <w:tcW w:w="1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Cantor Fitzgerald &amp; Co.</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35,000,000</w:t>
            </w:r>
          </w:p>
        </w:tc>
        <w:tc>
          <w:tcPr>
            <w:tcW w:w="2260" w:type="dxa"/>
            <w:vAlign w:val="bottom"/>
          </w:tcPr>
          <w:p>
            <w:pPr>
              <w:spacing w:after="0"/>
              <w:rPr>
                <w:sz w:val="18"/>
                <w:szCs w:val="18"/>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 Riley Securities, Inc.</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17,500,000</w:t>
            </w:r>
          </w:p>
        </w:tc>
        <w:tc>
          <w:tcPr>
            <w:tcW w:w="2260" w:type="dxa"/>
            <w:vAlign w:val="bottom"/>
          </w:tcPr>
          <w:p>
            <w:pPr>
              <w:spacing w:after="0"/>
              <w:rPr>
                <w:sz w:val="18"/>
                <w:szCs w:val="18"/>
                <w:color w:val="auto"/>
              </w:rPr>
            </w:pP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Fifth Third Securities, Inc.</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15,000,000</w:t>
            </w:r>
          </w:p>
        </w:tc>
        <w:tc>
          <w:tcPr>
            <w:tcW w:w="2260" w:type="dxa"/>
            <w:vAlign w:val="bottom"/>
          </w:tcPr>
          <w:p>
            <w:pPr>
              <w:spacing w:after="0"/>
              <w:rPr>
                <w:sz w:val="18"/>
                <w:szCs w:val="18"/>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Craig-Hallum Capital Group LLC</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10,000,000</w:t>
            </w:r>
          </w:p>
        </w:tc>
        <w:tc>
          <w:tcPr>
            <w:tcW w:w="2260" w:type="dxa"/>
            <w:vAlign w:val="bottom"/>
          </w:tcPr>
          <w:p>
            <w:pPr>
              <w:spacing w:after="0"/>
              <w:rPr>
                <w:sz w:val="18"/>
                <w:szCs w:val="18"/>
                <w:color w:val="auto"/>
              </w:rPr>
            </w:pP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H.C. Wainwright &amp; Co., LLC</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7,500,000</w:t>
            </w:r>
          </w:p>
        </w:tc>
        <w:tc>
          <w:tcPr>
            <w:tcW w:w="2260" w:type="dxa"/>
            <w:vAlign w:val="bottom"/>
          </w:tcPr>
          <w:p>
            <w:pPr>
              <w:spacing w:after="0"/>
              <w:rPr>
                <w:sz w:val="18"/>
                <w:szCs w:val="18"/>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Ladenburg Thalmann &amp; Co. Inc.</w:t>
            </w: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7,500,000</w:t>
            </w:r>
          </w:p>
        </w:tc>
        <w:tc>
          <w:tcPr>
            <w:tcW w:w="2260" w:type="dxa"/>
            <w:vAlign w:val="bottom"/>
          </w:tcPr>
          <w:p>
            <w:pPr>
              <w:spacing w:after="0"/>
              <w:rPr>
                <w:sz w:val="18"/>
                <w:szCs w:val="18"/>
                <w:color w:val="auto"/>
              </w:rPr>
            </w:pPr>
          </w:p>
        </w:tc>
      </w:tr>
      <w:tr>
        <w:trPr>
          <w:trHeight w:val="216"/>
        </w:trPr>
        <w:tc>
          <w:tcPr>
            <w:tcW w:w="7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Blair &amp; Company, L.L.C.</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7,500,000</w:t>
            </w:r>
          </w:p>
        </w:tc>
        <w:tc>
          <w:tcPr>
            <w:tcW w:w="2260" w:type="dxa"/>
            <w:vAlign w:val="bottom"/>
          </w:tcPr>
          <w:p>
            <w:pPr>
              <w:spacing w:after="0"/>
              <w:rPr>
                <w:sz w:val="18"/>
                <w:szCs w:val="18"/>
                <w:color w:val="auto"/>
              </w:rPr>
            </w:pPr>
          </w:p>
        </w:tc>
      </w:tr>
      <w:tr>
        <w:trPr>
          <w:trHeight w:val="216"/>
        </w:trPr>
        <w:tc>
          <w:tcPr>
            <w:tcW w:w="7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34"/>
        </w:trPr>
        <w:tc>
          <w:tcPr>
            <w:tcW w:w="7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250,000,000</w:t>
            </w:r>
          </w:p>
        </w:tc>
        <w:tc>
          <w:tcPr>
            <w:tcW w:w="2260" w:type="dxa"/>
            <w:vAlign w:val="bottom"/>
          </w:tcPr>
          <w:p>
            <w:pPr>
              <w:spacing w:after="0"/>
              <w:rPr>
                <w:sz w:val="20"/>
                <w:szCs w:val="20"/>
                <w:color w:val="auto"/>
              </w:rPr>
            </w:pPr>
          </w:p>
        </w:tc>
      </w:tr>
      <w:tr>
        <w:trPr>
          <w:trHeight w:val="414"/>
        </w:trPr>
        <w:tc>
          <w:tcPr>
            <w:tcW w:w="7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color w:val="auto"/>
        </w:rPr>
        <w:t>Schedule 2</w:t>
      </w:r>
    </w:p>
    <w:p>
      <w:pPr>
        <w:spacing w:after="0" w:line="22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u w:val="single" w:color="auto"/>
          <w:color w:val="auto"/>
        </w:rPr>
        <w:t>Guarantors</w:t>
      </w:r>
    </w:p>
    <w:p>
      <w:pPr>
        <w:spacing w:after="0" w:line="229" w:lineRule="exact"/>
        <w:rPr>
          <w:sz w:val="20"/>
          <w:szCs w:val="20"/>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IP, LLC;</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Eye, LLC;</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Harrow Analytical Services, LLC</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ImprimisRx, LLC;</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Imprimis NJOF, LLC;</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ImprimisRx NJ, LLC; and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ImprimisRx Nashville,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360045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8"/>
          <w:szCs w:val="18"/>
          <w:color w:val="auto"/>
        </w:rPr>
        <w:t>ANNEX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Time of Sale Information</w:t>
      </w:r>
    </w:p>
    <w:p>
      <w:pPr>
        <w:spacing w:after="0" w:line="229" w:lineRule="exact"/>
        <w:rPr>
          <w:sz w:val="20"/>
          <w:szCs w:val="20"/>
          <w:color w:val="auto"/>
        </w:rPr>
      </w:pPr>
    </w:p>
    <w:p>
      <w:pPr>
        <w:ind w:left="660" w:hanging="652"/>
        <w:spacing w:after="0"/>
        <w:tabs>
          <w:tab w:leader="none" w:pos="6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sheet containing the terms of the Securities, substantially in the form of 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3" w:name="page184"/>
    <w:bookmarkEnd w:id="183"/>
    <w:p>
      <w:pPr>
        <w:ind w:left="10440"/>
        <w:spacing w:after="0"/>
        <w:rPr>
          <w:sz w:val="20"/>
          <w:szCs w:val="20"/>
          <w:color w:val="auto"/>
        </w:rPr>
      </w:pPr>
      <w:r>
        <w:rPr>
          <w:rFonts w:ascii="Times New Roman" w:cs="Times New Roman" w:eastAsia="Times New Roman" w:hAnsi="Times New Roman"/>
          <w:sz w:val="18"/>
          <w:szCs w:val="18"/>
          <w:color w:val="auto"/>
        </w:rPr>
        <w:t>ANNEX B</w:t>
      </w:r>
    </w:p>
    <w:p>
      <w:pPr>
        <w:spacing w:after="0" w:line="221" w:lineRule="exact"/>
        <w:rPr>
          <w:sz w:val="20"/>
          <w:szCs w:val="20"/>
          <w:color w:val="auto"/>
        </w:rPr>
      </w:pPr>
    </w:p>
    <w:p>
      <w:pPr>
        <w:spacing w:after="0"/>
        <w:tabs>
          <w:tab w:leader="none" w:pos="8880" w:val="left"/>
        </w:tabs>
        <w:rPr>
          <w:sz w:val="20"/>
          <w:szCs w:val="20"/>
          <w:color w:val="auto"/>
        </w:rPr>
      </w:pPr>
      <w:r>
        <w:rPr>
          <w:rFonts w:ascii="Times New Roman" w:cs="Times New Roman" w:eastAsia="Times New Roman" w:hAnsi="Times New Roman"/>
          <w:sz w:val="18"/>
          <w:szCs w:val="18"/>
          <w:b w:val="1"/>
          <w:bCs w:val="1"/>
          <w:color w:val="auto"/>
        </w:rPr>
        <w:t>PRICING SUPPLEMENT</w:t>
      </w:r>
      <w:r>
        <w:rPr>
          <w:sz w:val="20"/>
          <w:szCs w:val="20"/>
          <w:color w:val="auto"/>
        </w:rPr>
        <w:tab/>
      </w:r>
      <w:r>
        <w:rPr>
          <w:rFonts w:ascii="Times New Roman" w:cs="Times New Roman" w:eastAsia="Times New Roman" w:hAnsi="Times New Roman"/>
          <w:sz w:val="17"/>
          <w:szCs w:val="17"/>
          <w:b w:val="1"/>
          <w:bCs w:val="1"/>
          <w:color w:val="auto"/>
        </w:rPr>
        <w:t>STRICTLY CONFIDENTIAL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4" w:name="page185"/>
    <w:bookmarkEnd w:id="184"/>
    <w:p>
      <w:pPr>
        <w:jc w:val="right"/>
        <w:spacing w:after="0"/>
        <w:rPr>
          <w:sz w:val="20"/>
          <w:szCs w:val="20"/>
          <w:color w:val="auto"/>
        </w:rPr>
      </w:pPr>
      <w:r>
        <w:rPr>
          <w:rFonts w:ascii="Times New Roman" w:cs="Times New Roman" w:eastAsia="Times New Roman" w:hAnsi="Times New Roman"/>
          <w:sz w:val="18"/>
          <w:szCs w:val="18"/>
          <w:color w:val="auto"/>
        </w:rPr>
        <w:t>ANNEX C</w:t>
      </w:r>
    </w:p>
    <w:p>
      <w:pPr>
        <w:spacing w:after="0" w:line="22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u w:val="single" w:color="auto"/>
          <w:color w:val="auto"/>
        </w:rPr>
        <w:t>Restrictions on Offers and Sales Outside the United States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offers and sales of Securities outside the United States:</w:t>
      </w:r>
    </w:p>
    <w:p>
      <w:pPr>
        <w:spacing w:after="0" w:line="225" w:lineRule="exact"/>
        <w:rPr>
          <w:sz w:val="20"/>
          <w:szCs w:val="20"/>
          <w:color w:val="auto"/>
        </w:rPr>
      </w:pPr>
    </w:p>
    <w:p>
      <w:pPr>
        <w:jc w:val="both"/>
        <w:ind w:firstLine="656"/>
        <w:spacing w:after="0" w:line="266" w:lineRule="auto"/>
        <w:tabs>
          <w:tab w:leader="none" w:pos="893"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Initial Purchaser acknowledges that the Securities have not been registered under the Securities Act and may not be offered or sold within the United States or to, or for the account or benefit of, U.S. persons except pursuant to an exemption from, or in transactions not subject to, the registration requirements of the Securities Act.</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Initial Purchaser, severally and not jointly, represents, warrants and agrees that: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29"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Initial Purchaser has offered and sold the Securities, and will offer and sell the Securities, (A) as part of their distribution at any time and (B) otherwise until 40 days after the later of the commencement of the offering of the Securities and the Closing Date, only in accordance with Regulation S or Rule 144A or any other available exemption from registration under the Securities Act.</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584"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such Initial Purchaser or any of its affiliates or any other person acting on its or their behalf has engaged or will engage in any directed selling efforts with respect to the Securities, and all such persons have complied and will comply with the offering restrictions requirement of Regulation S.</w:t>
      </w:r>
    </w:p>
    <w:p>
      <w:pPr>
        <w:spacing w:after="0" w:line="175" w:lineRule="exact"/>
        <w:rPr>
          <w:rFonts w:ascii="Times New Roman" w:cs="Times New Roman" w:eastAsia="Times New Roman" w:hAnsi="Times New Roman"/>
          <w:sz w:val="18"/>
          <w:szCs w:val="18"/>
          <w:color w:val="auto"/>
        </w:rPr>
      </w:pPr>
    </w:p>
    <w:p>
      <w:pPr>
        <w:jc w:val="both"/>
        <w:ind w:left="660" w:firstLine="644"/>
        <w:spacing w:after="0" w:line="266" w:lineRule="auto"/>
        <w:tabs>
          <w:tab w:leader="none" w:pos="1615"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confirmation of sale of any Securities sold in reliance on Regulation S, such Initial Purchaser will have sent to each distributor, dealer or other person receiving a selling concession, fee or other remuneration that purchases Securities from it during the distribution compliance period a confirmation or notice to substantially the following effect:</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Securities covered hereby have not been registered under the Securities Act, and may not be offered or sold within the United States or to, or for the account or benefit of, U.S. persons (i) as part of their distribution at any time or (ii) otherwise until 40 days after the later of the commencement of the offering of the Securities and the date of original issuance of the Securities, except in accordance with Regulation S or Rule 144A or any other available exemption from registration under the Securities Act. Terms used above have the meanings given to them by Regulation S.</w:t>
      </w:r>
    </w:p>
    <w:p>
      <w:pPr>
        <w:spacing w:after="0" w:line="183" w:lineRule="exact"/>
        <w:rPr>
          <w:sz w:val="20"/>
          <w:szCs w:val="20"/>
          <w:color w:val="auto"/>
        </w:rPr>
      </w:pPr>
    </w:p>
    <w:p>
      <w:pPr>
        <w:ind w:left="660" w:firstLine="644"/>
        <w:spacing w:after="0" w:line="282" w:lineRule="auto"/>
        <w:tabs>
          <w:tab w:leader="none" w:pos="161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Initial Purchaser has not and will not enter into any contractual arrangement with any distributor with respect to the distribution of the Securities, except with its affiliates or with the prior written consent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used in paragraph (a) and this paragraph (b) and not otherwise defined in this Agreement have the meanings given to them by Regulation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25ACE2"/>
    <w:multiLevelType w:val="hybridMultilevel"/>
    <w:lvl w:ilvl="0">
      <w:lvlJc w:val="left"/>
      <w:lvlText w:val="☐"/>
      <w:numFmt w:val="bullet"/>
      <w:start w:val="1"/>
    </w:lvl>
  </w:abstractNum>
  <w:abstractNum w:abstractNumId="1">
    <w:nsid w:val="175DFCF0"/>
    <w:multiLevelType w:val="hybridMultilevel"/>
    <w:lvl w:ilvl="0">
      <w:lvlJc w:val="left"/>
      <w:lvlText w:val="(%1)"/>
      <w:numFmt w:val="lowerLetter"/>
      <w:start w:val="4"/>
    </w:lvl>
  </w:abstractNum>
  <w:abstractNum w:abstractNumId="2">
    <w:nsid w:val="4F97E3E4"/>
    <w:multiLevelType w:val="hybridMultilevel"/>
    <w:lvl w:ilvl="0">
      <w:lvlJc w:val="left"/>
      <w:lvlText w:val="(%1)"/>
      <w:numFmt w:val="lowerLetter"/>
      <w:start w:val="1"/>
    </w:lvl>
  </w:abstractNum>
  <w:abstractNum w:abstractNumId="3">
    <w:nsid w:val="53B0A9E"/>
    <w:multiLevelType w:val="hybridMultilevel"/>
    <w:lvl w:ilvl="0">
      <w:lvlJc w:val="left"/>
      <w:lvlText w:val="(%1)"/>
      <w:numFmt w:val="decimal"/>
      <w:start w:val="1"/>
    </w:lvl>
  </w:abstractNum>
  <w:abstractNum w:abstractNumId="4">
    <w:nsid w:val="34FD6B4F"/>
    <w:multiLevelType w:val="hybridMultilevel"/>
    <w:lvl w:ilvl="0">
      <w:lvlJc w:val="left"/>
      <w:lvlText w:val="(%1)"/>
      <w:numFmt w:val="lowerLetter"/>
      <w:start w:val="1"/>
    </w:lvl>
  </w:abstractNum>
  <w:abstractNum w:abstractNumId="5">
    <w:nsid w:val="5915FF32"/>
    <w:multiLevelType w:val="hybridMultilevel"/>
    <w:lvl w:ilvl="0">
      <w:lvlJc w:val="left"/>
      <w:lvlText w:val="(%1)"/>
      <w:numFmt w:val="decimal"/>
      <w:start w:val="1"/>
    </w:lvl>
  </w:abstractNum>
  <w:abstractNum w:abstractNumId="6">
    <w:nsid w:val="56438D15"/>
    <w:multiLevelType w:val="hybridMultilevel"/>
    <w:lvl w:ilvl="0">
      <w:lvlJc w:val="left"/>
      <w:lvlText w:val="(%1)"/>
      <w:numFmt w:val="decimal"/>
      <w:start w:val="3"/>
    </w:lvl>
  </w:abstractNum>
  <w:abstractNum w:abstractNumId="7">
    <w:nsid w:val="519E3149"/>
    <w:multiLevelType w:val="hybridMultilevel"/>
    <w:lvl w:ilvl="0">
      <w:lvlJc w:val="left"/>
      <w:lvlText w:val="(%1)"/>
      <w:numFmt w:val="decimal"/>
      <w:start w:val="15"/>
    </w:lvl>
  </w:abstractNum>
  <w:abstractNum w:abstractNumId="8">
    <w:nsid w:val="2C6E4AFD"/>
    <w:multiLevelType w:val="hybridMultilevel"/>
    <w:lvl w:ilvl="0">
      <w:lvlJc w:val="left"/>
      <w:lvlText w:val="(%1)"/>
      <w:numFmt w:val="decimal"/>
      <w:start w:val="28"/>
    </w:lvl>
  </w:abstractNum>
  <w:abstractNum w:abstractNumId="9">
    <w:nsid w:val="17A1B582"/>
    <w:multiLevelType w:val="hybridMultilevel"/>
    <w:lvl w:ilvl="0">
      <w:lvlJc w:val="left"/>
      <w:lvlText w:val="(%1)"/>
      <w:numFmt w:val="decimal"/>
      <w:start w:val="1"/>
    </w:lvl>
  </w:abstractNum>
  <w:abstractNum w:abstractNumId="10">
    <w:nsid w:val="4DF72E4E"/>
    <w:multiLevelType w:val="hybridMultilevel"/>
    <w:lvl w:ilvl="0">
      <w:lvlJc w:val="left"/>
      <w:lvlText w:val="(%1)"/>
      <w:numFmt w:val="decimal"/>
      <w:start w:val="9"/>
    </w:lvl>
  </w:abstractNum>
  <w:abstractNum w:abstractNumId="11">
    <w:nsid w:val="5046B5A9"/>
    <w:multiLevelType w:val="hybridMultilevel"/>
    <w:lvl w:ilvl="0">
      <w:lvlJc w:val="left"/>
      <w:lvlText w:val="(%1)"/>
      <w:numFmt w:val="decimal"/>
      <w:start w:val="1"/>
    </w:lvl>
  </w:abstractNum>
  <w:abstractNum w:abstractNumId="12">
    <w:nsid w:val="5D888A08"/>
    <w:multiLevelType w:val="hybridMultilevel"/>
    <w:lvl w:ilvl="0">
      <w:lvlJc w:val="left"/>
      <w:lvlText w:val="(%1)"/>
      <w:numFmt w:val="decimal"/>
      <w:start w:val="2"/>
    </w:lvl>
  </w:abstractNum>
  <w:abstractNum w:abstractNumId="13">
    <w:nsid w:val="2A082C70"/>
    <w:multiLevelType w:val="hybridMultilevel"/>
    <w:lvl w:ilvl="0">
      <w:lvlJc w:val="left"/>
      <w:lvlText w:val="(%1)"/>
      <w:numFmt w:val="decimal"/>
      <w:start w:val="1"/>
    </w:lvl>
    <w:lvl w:ilvl="1">
      <w:lvlJc w:val="left"/>
      <w:lvlText w:val="(%2)"/>
      <w:numFmt w:val="lowerLetter"/>
      <w:start w:val="1"/>
    </w:lvl>
  </w:abstractNum>
  <w:abstractNum w:abstractNumId="14">
    <w:nsid w:val="5EC6AFD4"/>
    <w:multiLevelType w:val="hybridMultilevel"/>
    <w:lvl w:ilvl="0">
      <w:lvlJc w:val="left"/>
      <w:lvlText w:val="(%1)"/>
      <w:numFmt w:val="lowerLetter"/>
      <w:start w:val="3"/>
    </w:lvl>
  </w:abstractNum>
  <w:abstractNum w:abstractNumId="15">
    <w:nsid w:val="19E21BB2"/>
    <w:multiLevelType w:val="hybridMultilevel"/>
    <w:lvl w:ilvl="0">
      <w:lvlJc w:val="left"/>
      <w:lvlText w:val="(%1)"/>
      <w:numFmt w:val="lowerLetter"/>
      <w:start w:val="7"/>
    </w:lvl>
  </w:abstractNum>
  <w:abstractNum w:abstractNumId="16">
    <w:nsid w:val="75E0858A"/>
    <w:multiLevelType w:val="hybridMultilevel"/>
    <w:lvl w:ilvl="0">
      <w:lvlJc w:val="left"/>
      <w:lvlText w:val="(%1)"/>
      <w:numFmt w:val="lowerLetter"/>
      <w:start w:val="10"/>
    </w:lvl>
  </w:abstractNum>
  <w:abstractNum w:abstractNumId="17">
    <w:nsid w:val="57A61A29"/>
    <w:multiLevelType w:val="hybridMultilevel"/>
    <w:lvl w:ilvl="0">
      <w:lvlJc w:val="left"/>
      <w:lvlText w:val="(%1)"/>
      <w:numFmt w:val="lowerLetter"/>
      <w:start w:val="21"/>
    </w:lvl>
  </w:abstractNum>
  <w:abstractNum w:abstractNumId="18">
    <w:nsid w:val="5399C654"/>
    <w:multiLevelType w:val="hybridMultilevel"/>
    <w:lvl w:ilvl="0">
      <w:lvlJc w:val="left"/>
      <w:lvlText w:val="(%1)"/>
      <w:numFmt w:val="decimal"/>
      <w:start w:val="2"/>
    </w:lvl>
  </w:abstractNum>
  <w:abstractNum w:abstractNumId="19">
    <w:nsid w:val="20EE1348"/>
    <w:multiLevelType w:val="hybridMultilevel"/>
    <w:lvl w:ilvl="0">
      <w:lvlJc w:val="left"/>
      <w:lvlText w:val="(%1)"/>
      <w:numFmt w:val="decimal"/>
      <w:start w:val="1"/>
    </w:lvl>
  </w:abstractNum>
  <w:abstractNum w:abstractNumId="20">
    <w:nsid w:val="4427069A"/>
    <w:multiLevelType w:val="hybridMultilevel"/>
    <w:lvl w:ilvl="0">
      <w:lvlJc w:val="left"/>
      <w:lvlText w:val="(%1)"/>
      <w:numFmt w:val="decimal"/>
      <w:start w:val="1"/>
    </w:lvl>
  </w:abstractNum>
  <w:abstractNum w:abstractNumId="21">
    <w:nsid w:val="B37E80A"/>
    <w:multiLevelType w:val="hybridMultilevel"/>
    <w:lvl w:ilvl="0">
      <w:lvlJc w:val="left"/>
      <w:lvlText w:val="%1"/>
      <w:numFmt w:val="lowerLetter"/>
      <w:start w:val="1"/>
    </w:lvl>
    <w:lvl w:ilvl="1">
      <w:lvlJc w:val="left"/>
      <w:lvlText w:val="(%2)"/>
      <w:numFmt w:val="decimal"/>
      <w:start w:val="5"/>
    </w:lvl>
  </w:abstractNum>
  <w:abstractNum w:abstractNumId="22">
    <w:nsid w:val="2157F6BC"/>
    <w:multiLevelType w:val="hybridMultilevel"/>
    <w:lvl w:ilvl="0">
      <w:lvlJc w:val="left"/>
      <w:lvlText w:val="(%1)"/>
      <w:numFmt w:val="lowerLetter"/>
      <w:start w:val="3"/>
    </w:lvl>
    <w:lvl w:ilvl="1">
      <w:lvlJc w:val="left"/>
      <w:lvlText w:val="(%2)"/>
      <w:numFmt w:val="decimal"/>
      <w:start w:val="7"/>
    </w:lvl>
  </w:abstractNum>
  <w:abstractNum w:abstractNumId="23">
    <w:nsid w:val="704E1DD5"/>
    <w:multiLevelType w:val="hybridMultilevel"/>
    <w:lvl w:ilvl="0">
      <w:lvlJc w:val="left"/>
      <w:lvlText w:val="(%1)"/>
      <w:numFmt w:val="decimal"/>
      <w:start w:val="10"/>
    </w:lvl>
  </w:abstractNum>
  <w:abstractNum w:abstractNumId="24">
    <w:nsid w:val="57D2F10E"/>
    <w:multiLevelType w:val="hybridMultilevel"/>
    <w:lvl w:ilvl="0">
      <w:lvlJc w:val="left"/>
      <w:lvlText w:val="(%1)"/>
      <w:numFmt w:val="decimal"/>
      <w:start w:val="16"/>
    </w:lvl>
  </w:abstractNum>
  <w:abstractNum w:abstractNumId="25">
    <w:nsid w:val="BFFAE18"/>
    <w:multiLevelType w:val="hybridMultilevel"/>
    <w:lvl w:ilvl="0">
      <w:lvlJc w:val="left"/>
      <w:lvlText w:val="(%1)"/>
      <w:numFmt w:val="decimal"/>
      <w:start w:val="1"/>
    </w:lvl>
    <w:lvl w:ilvl="1">
      <w:lvlJc w:val="left"/>
      <w:lvlText w:val="(%2)"/>
      <w:numFmt w:val="lowerLetter"/>
      <w:start w:val="1"/>
    </w:lvl>
  </w:abstractNum>
  <w:abstractNum w:abstractNumId="26">
    <w:nsid w:val="E3E47A8"/>
    <w:multiLevelType w:val="hybridMultilevel"/>
    <w:lvl w:ilvl="0">
      <w:lvlJc w:val="left"/>
      <w:lvlText w:val="(%1)"/>
      <w:numFmt w:val="decimal"/>
      <w:start w:val="1"/>
    </w:lvl>
  </w:abstractNum>
  <w:abstractNum w:abstractNumId="27">
    <w:nsid w:val="2E48F044"/>
    <w:multiLevelType w:val="hybridMultilevel"/>
    <w:lvl w:ilvl="0">
      <w:lvlJc w:val="left"/>
      <w:lvlText w:val="(%1)"/>
      <w:numFmt w:val="decimal"/>
      <w:start w:val="2"/>
    </w:lvl>
  </w:abstractNum>
  <w:abstractNum w:abstractNumId="28">
    <w:nsid w:val="49D0FEAC"/>
    <w:multiLevelType w:val="hybridMultilevel"/>
    <w:lvl w:ilvl="0">
      <w:lvlJc w:val="left"/>
      <w:lvlText w:val="(%1)"/>
      <w:numFmt w:val="decimal"/>
      <w:start w:val="1"/>
    </w:lvl>
  </w:abstractNum>
  <w:abstractNum w:abstractNumId="29">
    <w:nsid w:val="4BEE5A5B"/>
    <w:multiLevelType w:val="hybridMultilevel"/>
    <w:lvl w:ilvl="0">
      <w:lvlJc w:val="left"/>
      <w:lvlText w:val="(%1)"/>
      <w:numFmt w:val="decimal"/>
      <w:start w:val="1"/>
    </w:lvl>
  </w:abstractNum>
  <w:abstractNum w:abstractNumId="30">
    <w:nsid w:val="5551B9F3"/>
    <w:multiLevelType w:val="hybridMultilevel"/>
    <w:lvl w:ilvl="0">
      <w:lvlJc w:val="left"/>
      <w:lvlText w:val="(%1)"/>
      <w:numFmt w:val="decimal"/>
      <w:start w:val="1"/>
    </w:lvl>
  </w:abstractNum>
  <w:abstractNum w:abstractNumId="31">
    <w:nsid w:val="24F6AB8E"/>
    <w:multiLevelType w:val="hybridMultilevel"/>
    <w:lvl w:ilvl="0">
      <w:lvlJc w:val="left"/>
      <w:lvlText w:val="(%1)"/>
      <w:numFmt w:val="decimal"/>
      <w:start w:val="6"/>
    </w:lvl>
  </w:abstractNum>
  <w:abstractNum w:abstractNumId="32">
    <w:nsid w:val="634C574C"/>
    <w:multiLevelType w:val="hybridMultilevel"/>
    <w:lvl w:ilvl="0">
      <w:lvlJc w:val="left"/>
      <w:lvlText w:val="(%1)"/>
      <w:numFmt w:val="lowerRoman"/>
      <w:start w:val="1"/>
    </w:lvl>
  </w:abstractNum>
  <w:abstractNum w:abstractNumId="33">
    <w:nsid w:val="24E99DD7"/>
    <w:multiLevelType w:val="hybridMultilevel"/>
    <w:lvl w:ilvl="0">
      <w:lvlJc w:val="left"/>
      <w:lvlText w:val="(%1)"/>
      <w:numFmt w:val="lowerRoman"/>
      <w:start w:val="7"/>
    </w:lvl>
  </w:abstractNum>
  <w:abstractNum w:abstractNumId="34">
    <w:nsid w:val="2A31B62D"/>
    <w:multiLevelType w:val="hybridMultilevel"/>
    <w:lvl w:ilvl="0">
      <w:lvlJc w:val="left"/>
      <w:lvlText w:val="(%1)"/>
      <w:numFmt w:val="decimal"/>
      <w:start w:val="1"/>
    </w:lvl>
  </w:abstractNum>
  <w:abstractNum w:abstractNumId="35">
    <w:nsid w:val="1849C29B"/>
    <w:multiLevelType w:val="hybridMultilevel"/>
    <w:lvl w:ilvl="0">
      <w:lvlJc w:val="left"/>
      <w:lvlText w:val="(%1)"/>
      <w:numFmt w:val="decimal"/>
      <w:start w:val="2"/>
    </w:lvl>
  </w:abstractNum>
  <w:abstractNum w:abstractNumId="36">
    <w:nsid w:val="7DFF9D09"/>
    <w:multiLevelType w:val="hybridMultilevel"/>
    <w:lvl w:ilvl="0">
      <w:lvlJc w:val="left"/>
      <w:lvlText w:val="(%1)"/>
      <w:numFmt w:val="decimal"/>
      <w:start w:val="1"/>
    </w:lvl>
  </w:abstractNum>
  <w:abstractNum w:abstractNumId="37">
    <w:nsid w:val="754342"/>
    <w:multiLevelType w:val="hybridMultilevel"/>
    <w:lvl w:ilvl="0">
      <w:lvlJc w:val="left"/>
      <w:lvlText w:val="(%1)"/>
      <w:numFmt w:val="decimal"/>
      <w:start w:val="1"/>
    </w:lvl>
  </w:abstractNum>
  <w:abstractNum w:abstractNumId="38">
    <w:nsid w:val="69E7F3E5"/>
    <w:multiLevelType w:val="hybridMultilevel"/>
    <w:lvl w:ilvl="0">
      <w:lvlJc w:val="left"/>
      <w:lvlText w:val="(%1)"/>
      <w:numFmt w:val="decimal"/>
      <w:start w:val="1"/>
    </w:lvl>
  </w:abstractNum>
  <w:abstractNum w:abstractNumId="39">
    <w:nsid w:val="2A6DE806"/>
    <w:multiLevelType w:val="hybridMultilevel"/>
    <w:lvl w:ilvl="0">
      <w:lvlJc w:val="left"/>
      <w:lvlText w:val="(%1)"/>
      <w:numFmt w:val="decimal"/>
      <w:start w:val="1"/>
    </w:lvl>
  </w:abstractNum>
  <w:abstractNum w:abstractNumId="40">
    <w:nsid w:val="1816F8C4"/>
    <w:multiLevelType w:val="hybridMultilevel"/>
    <w:lvl w:ilvl="0">
      <w:lvlJc w:val="left"/>
      <w:lvlText w:val="(%1)"/>
      <w:numFmt w:val="decimal"/>
      <w:start w:val="1"/>
    </w:lvl>
  </w:abstractNum>
  <w:abstractNum w:abstractNumId="41">
    <w:nsid w:val="37DF2233"/>
    <w:multiLevelType w:val="hybridMultilevel"/>
    <w:lvl w:ilvl="0">
      <w:lvlJc w:val="left"/>
      <w:lvlText w:val="(%1)"/>
      <w:numFmt w:val="decimal"/>
      <w:start w:val="2"/>
    </w:lvl>
  </w:abstractNum>
  <w:abstractNum w:abstractNumId="42">
    <w:nsid w:val="7AB49DAF"/>
    <w:multiLevelType w:val="hybridMultilevel"/>
    <w:lvl w:ilvl="0">
      <w:lvlJc w:val="left"/>
      <w:lvlText w:val="(%1)"/>
      <w:numFmt w:val="decimal"/>
      <w:start w:val="1"/>
    </w:lvl>
  </w:abstractNum>
  <w:abstractNum w:abstractNumId="43">
    <w:nsid w:val="759F82CD"/>
    <w:multiLevelType w:val="hybridMultilevel"/>
    <w:lvl w:ilvl="0">
      <w:lvlJc w:val="left"/>
      <w:lvlText w:val="(%1)"/>
      <w:numFmt w:val="decimal"/>
      <w:start w:val="9"/>
    </w:lvl>
  </w:abstractNum>
  <w:abstractNum w:abstractNumId="44">
    <w:nsid w:val="61E74EA3"/>
    <w:multiLevelType w:val="hybridMultilevel"/>
    <w:lvl w:ilvl="0">
      <w:lvlJc w:val="left"/>
      <w:lvlText w:val="%1"/>
      <w:numFmt w:val="decimal"/>
      <w:start w:val="1"/>
    </w:lvl>
    <w:lvl w:ilvl="1">
      <w:lvlJc w:val="left"/>
      <w:lvlText w:val="(%2)"/>
      <w:numFmt w:val="decimal"/>
      <w:start w:val="22"/>
    </w:lvl>
  </w:abstractNum>
  <w:abstractNum w:abstractNumId="45">
    <w:nsid w:val="597B4D84"/>
    <w:multiLevelType w:val="hybridMultilevel"/>
    <w:lvl w:ilvl="0">
      <w:lvlJc w:val="left"/>
      <w:lvlText w:val="(%1)"/>
      <w:numFmt w:val="decimal"/>
      <w:start w:val="22"/>
    </w:lvl>
    <w:lvl w:ilvl="1">
      <w:lvlJc w:val="left"/>
      <w:lvlText w:val="(%2)"/>
      <w:numFmt w:val="decimal"/>
      <w:start w:val="23"/>
    </w:lvl>
  </w:abstractNum>
  <w:abstractNum w:abstractNumId="46">
    <w:nsid w:val="F819E7F"/>
    <w:multiLevelType w:val="hybridMultilevel"/>
    <w:lvl w:ilvl="0">
      <w:lvlJc w:val="left"/>
      <w:lvlText w:val="(%1)"/>
      <w:numFmt w:val="decimal"/>
      <w:start w:val="34"/>
    </w:lvl>
  </w:abstractNum>
  <w:abstractNum w:abstractNumId="47">
    <w:nsid w:val="57C7D42D"/>
    <w:multiLevelType w:val="hybridMultilevel"/>
    <w:lvl w:ilvl="0">
      <w:lvlJc w:val="left"/>
      <w:lvlText w:val="%1"/>
      <w:numFmt w:val="lowerLetter"/>
      <w:start w:val="1"/>
    </w:lvl>
    <w:lvl w:ilvl="1">
      <w:lvlJc w:val="left"/>
      <w:lvlText w:val="(%2)"/>
      <w:numFmt w:val="decimal"/>
      <w:start w:val="1"/>
    </w:lvl>
  </w:abstractNum>
  <w:abstractNum w:abstractNumId="48">
    <w:nsid w:val="312167AD"/>
    <w:multiLevelType w:val="hybridMultilevel"/>
    <w:lvl w:ilvl="0">
      <w:lvlJc w:val="left"/>
      <w:lvlText w:val="(%1)"/>
      <w:numFmt w:val="lowerLetter"/>
      <w:start w:val="4"/>
    </w:lvl>
    <w:lvl w:ilvl="1">
      <w:lvlJc w:val="left"/>
      <w:lvlText w:val="%2"/>
      <w:numFmt w:val="decimal"/>
      <w:start w:val="1"/>
    </w:lvl>
  </w:abstractNum>
  <w:abstractNum w:abstractNumId="49">
    <w:nsid w:val="631B64D4"/>
    <w:multiLevelType w:val="hybridMultilevel"/>
    <w:lvl w:ilvl="0">
      <w:lvlJc w:val="left"/>
      <w:lvlText w:val="(%1)"/>
      <w:numFmt w:val="decimal"/>
      <w:start w:val="7"/>
    </w:lvl>
  </w:abstractNum>
  <w:abstractNum w:abstractNumId="50">
    <w:nsid w:val="78B5E776"/>
    <w:multiLevelType w:val="hybridMultilevel"/>
    <w:lvl w:ilvl="0">
      <w:lvlJc w:val="left"/>
      <w:lvlText w:val="(%1)"/>
      <w:numFmt w:val="decimal"/>
      <w:start w:val="14"/>
    </w:lvl>
  </w:abstractNum>
  <w:abstractNum w:abstractNumId="51">
    <w:nsid w:val="75486E47"/>
    <w:multiLevelType w:val="hybridMultilevel"/>
    <w:lvl w:ilvl="0">
      <w:lvlJc w:val="left"/>
      <w:lvlText w:val="(%1)"/>
      <w:numFmt w:val="decimal"/>
      <w:start w:val="25"/>
    </w:lvl>
  </w:abstractNum>
  <w:abstractNum w:abstractNumId="52">
    <w:nsid w:val="6E534CDE"/>
    <w:multiLevelType w:val="hybridMultilevel"/>
    <w:lvl w:ilvl="0">
      <w:lvlJc w:val="left"/>
      <w:lvlText w:val="(%1)"/>
      <w:numFmt w:val="decimal"/>
      <w:start w:val="38"/>
    </w:lvl>
  </w:abstractNum>
  <w:abstractNum w:abstractNumId="53">
    <w:nsid w:val="1A0DDE32"/>
    <w:multiLevelType w:val="hybridMultilevel"/>
    <w:lvl w:ilvl="0">
      <w:lvlJc w:val="left"/>
      <w:lvlText w:val="(%1)"/>
      <w:numFmt w:val="decimal"/>
      <w:start w:val="1"/>
    </w:lvl>
  </w:abstractNum>
  <w:abstractNum w:abstractNumId="54">
    <w:nsid w:val="65968C1C"/>
    <w:multiLevelType w:val="hybridMultilevel"/>
    <w:lvl w:ilvl="0">
      <w:lvlJc w:val="left"/>
      <w:lvlText w:val="(%1)"/>
      <w:numFmt w:val="decimal"/>
      <w:start w:val="1"/>
    </w:lvl>
    <w:lvl w:ilvl="1">
      <w:lvlJc w:val="left"/>
      <w:lvlText w:val="(%2)"/>
      <w:numFmt w:val="lowerRoman"/>
      <w:start w:val="1"/>
    </w:lvl>
  </w:abstractNum>
  <w:abstractNum w:abstractNumId="55">
    <w:nsid w:val="46263DEC"/>
    <w:multiLevelType w:val="hybridMultilevel"/>
    <w:lvl w:ilvl="0">
      <w:lvlJc w:val="left"/>
      <w:lvlText w:val="(%1)"/>
      <w:numFmt w:val="decimal"/>
      <w:start w:val="1"/>
    </w:lvl>
    <w:lvl w:ilvl="1">
      <w:lvlJc w:val="left"/>
      <w:lvlText w:val="(%2)"/>
      <w:numFmt w:val="lowerLetter"/>
      <w:start w:val="1"/>
    </w:lvl>
  </w:abstractNum>
  <w:abstractNum w:abstractNumId="56">
    <w:nsid w:val="260D8C4A"/>
    <w:multiLevelType w:val="hybridMultilevel"/>
    <w:lvl w:ilvl="0">
      <w:lvlJc w:val="left"/>
      <w:lvlText w:val="(%1)"/>
      <w:numFmt w:val="decimal"/>
      <w:start w:val="1"/>
    </w:lvl>
    <w:lvl w:ilvl="1">
      <w:lvlJc w:val="left"/>
      <w:lvlText w:val="(%2)"/>
      <w:numFmt w:val="lowerLetter"/>
      <w:start w:val="3"/>
    </w:lvl>
  </w:abstractNum>
  <w:abstractNum w:abstractNumId="57">
    <w:nsid w:val="73D4D3C4"/>
    <w:multiLevelType w:val="hybridMultilevel"/>
    <w:lvl w:ilvl="0">
      <w:lvlJc w:val="left"/>
      <w:lvlText w:val="(%1)"/>
      <w:numFmt w:val="decimal"/>
      <w:start w:val="1"/>
    </w:lvl>
  </w:abstractNum>
  <w:abstractNum w:abstractNumId="58">
    <w:nsid w:val="746F2E30"/>
    <w:multiLevelType w:val="hybridMultilevel"/>
    <w:lvl w:ilvl="0">
      <w:lvlJc w:val="left"/>
      <w:lvlText w:val="(%1)"/>
      <w:numFmt w:val="decimal"/>
      <w:start w:val="1"/>
    </w:lvl>
  </w:abstractNum>
  <w:abstractNum w:abstractNumId="59">
    <w:nsid w:val="6FDE8AF6"/>
    <w:multiLevelType w:val="hybridMultilevel"/>
    <w:lvl w:ilvl="0">
      <w:lvlJc w:val="left"/>
      <w:lvlText w:val="(%1)"/>
      <w:numFmt w:val="decimal"/>
      <w:start w:val="1"/>
    </w:lvl>
  </w:abstractNum>
  <w:abstractNum w:abstractNumId="60">
    <w:nsid w:val="3FC32E20"/>
    <w:multiLevelType w:val="hybridMultilevel"/>
    <w:lvl w:ilvl="0">
      <w:lvlJc w:val="left"/>
      <w:lvlText w:val="(%1)"/>
      <w:numFmt w:val="decimal"/>
      <w:start w:val="1"/>
    </w:lvl>
  </w:abstractNum>
  <w:abstractNum w:abstractNumId="61">
    <w:nsid w:val="49C0E823"/>
    <w:multiLevelType w:val="hybridMultilevel"/>
    <w:lvl w:ilvl="0">
      <w:lvlJc w:val="left"/>
      <w:lvlText w:val="(%1)"/>
      <w:numFmt w:val="lowerLetter"/>
      <w:start w:val="1"/>
    </w:lvl>
    <w:lvl w:ilvl="1">
      <w:lvlJc w:val="left"/>
      <w:lvlText w:val="(%2)"/>
      <w:numFmt w:val="decimal"/>
      <w:start w:val="1"/>
    </w:lvl>
  </w:abstractNum>
  <w:abstractNum w:abstractNumId="62">
    <w:nsid w:val="14D53685"/>
    <w:multiLevelType w:val="hybridMultilevel"/>
    <w:lvl w:ilvl="0">
      <w:lvlJc w:val="left"/>
      <w:lvlText w:val="%1"/>
      <w:numFmt w:val="lowerLetter"/>
      <w:start w:val="1"/>
    </w:lvl>
    <w:lvl w:ilvl="1">
      <w:lvlJc w:val="left"/>
      <w:lvlText w:val="(%2)"/>
      <w:numFmt w:val="decimal"/>
      <w:start w:val="8"/>
    </w:lvl>
  </w:abstractNum>
  <w:abstractNum w:abstractNumId="63">
    <w:nsid w:val="230F856C"/>
    <w:multiLevelType w:val="hybridMultilevel"/>
    <w:lvl w:ilvl="0">
      <w:lvlJc w:val="left"/>
      <w:lvlText w:val="(%1)"/>
      <w:numFmt w:val="lowerLetter"/>
      <w:start w:val="2"/>
    </w:lvl>
    <w:lvl w:ilvl="1">
      <w:lvlJc w:val="left"/>
      <w:lvlText w:val="%2"/>
      <w:numFmt w:val="decimal"/>
      <w:start w:val="1"/>
    </w:lvl>
  </w:abstractNum>
  <w:abstractNum w:abstractNumId="64">
    <w:nsid w:val="6EAA85FB"/>
    <w:multiLevelType w:val="hybridMultilevel"/>
    <w:lvl w:ilvl="0">
      <w:lvlJc w:val="left"/>
      <w:lvlText w:val="(%1)"/>
      <w:numFmt w:val="lowerLetter"/>
      <w:start w:val="3"/>
    </w:lvl>
  </w:abstractNum>
  <w:abstractNum w:abstractNumId="65">
    <w:nsid w:val="3F06ECB2"/>
    <w:multiLevelType w:val="hybridMultilevel"/>
    <w:lvl w:ilvl="0">
      <w:lvlJc w:val="left"/>
      <w:lvlText w:val="(%1)"/>
      <w:numFmt w:val="lowerLetter"/>
      <w:start w:val="1"/>
    </w:lvl>
  </w:abstractNum>
  <w:abstractNum w:abstractNumId="66">
    <w:nsid w:val="3B594807"/>
    <w:multiLevelType w:val="hybridMultilevel"/>
    <w:lvl w:ilvl="0">
      <w:lvlJc w:val="left"/>
      <w:lvlText w:val="(%1)"/>
      <w:numFmt w:val="upperLetter"/>
      <w:start w:val="1"/>
    </w:lvl>
  </w:abstractNum>
  <w:abstractNum w:abstractNumId="67">
    <w:nsid w:val="6CAA2304"/>
    <w:multiLevelType w:val="hybridMultilevel"/>
    <w:lvl w:ilvl="0">
      <w:lvlJc w:val="left"/>
      <w:lvlText w:val="(%1)"/>
      <w:numFmt w:val="upperLetter"/>
      <w:start w:val="2"/>
    </w:lvl>
  </w:abstractNum>
  <w:abstractNum w:abstractNumId="68">
    <w:nsid w:val="3F7C2FF4"/>
    <w:multiLevelType w:val="hybridMultilevel"/>
    <w:lvl w:ilvl="0">
      <w:lvlJc w:val="left"/>
      <w:lvlText w:val="%1"/>
      <w:numFmt w:val="upperLetter"/>
      <w:start w:val="1"/>
    </w:lvl>
    <w:lvl w:ilvl="1">
      <w:lvlJc w:val="left"/>
      <w:lvlText w:val="(%2)"/>
      <w:numFmt w:val="lowerLetter"/>
      <w:start w:val="2"/>
    </w:lvl>
  </w:abstractNum>
  <w:abstractNum w:abstractNumId="69">
    <w:nsid w:val="25413BEC"/>
    <w:multiLevelType w:val="hybridMultilevel"/>
    <w:lvl w:ilvl="0">
      <w:lvlJc w:val="left"/>
      <w:lvlText w:val="(%1)"/>
      <w:numFmt w:val="upperLetter"/>
      <w:start w:val="1"/>
    </w:lvl>
    <w:lvl w:ilvl="1">
      <w:lvlJc w:val="left"/>
      <w:lvlText w:val="%2"/>
      <w:numFmt w:val="lowerLetter"/>
      <w:start w:val="1"/>
    </w:lvl>
  </w:abstractNum>
  <w:abstractNum w:abstractNumId="70">
    <w:nsid w:val="17180B0B"/>
    <w:multiLevelType w:val="hybridMultilevel"/>
    <w:lvl w:ilvl="0">
      <w:lvlJc w:val="left"/>
      <w:lvlText w:val="(%1)"/>
      <w:numFmt w:val="lowerLetter"/>
      <w:start w:val="3"/>
    </w:lvl>
    <w:lvl w:ilvl="1">
      <w:lvlJc w:val="left"/>
      <w:lvlText w:val="(%2)"/>
      <w:numFmt w:val="decimal"/>
      <w:start w:val="1"/>
    </w:lvl>
  </w:abstractNum>
  <w:abstractNum w:abstractNumId="71">
    <w:nsid w:val="579328B9"/>
    <w:multiLevelType w:val="hybridMultilevel"/>
    <w:lvl w:ilvl="0">
      <w:lvlJc w:val="left"/>
      <w:lvlText w:val="(%1)"/>
      <w:numFmt w:val="lowerLetter"/>
      <w:start w:val="5"/>
    </w:lvl>
    <w:lvl w:ilvl="1">
      <w:lvlJc w:val="left"/>
      <w:lvlText w:val="(%2)"/>
      <w:numFmt w:val="decimal"/>
      <w:start w:val="1"/>
    </w:lvl>
  </w:abstractNum>
  <w:abstractNum w:abstractNumId="72">
    <w:nsid w:val="5D205E20"/>
    <w:multiLevelType w:val="hybridMultilevel"/>
    <w:lvl w:ilvl="0">
      <w:lvlJc w:val="left"/>
      <w:lvlText w:val="%1"/>
      <w:numFmt w:val="lowerLetter"/>
      <w:start w:val="1"/>
    </w:lvl>
    <w:lvl w:ilvl="1">
      <w:lvlJc w:val="left"/>
      <w:lvlText w:val="(%2)"/>
      <w:numFmt w:val="decimal"/>
      <w:start w:val="3"/>
    </w:lvl>
  </w:abstractNum>
  <w:abstractNum w:abstractNumId="73">
    <w:nsid w:val="11CCA8BA"/>
    <w:multiLevelType w:val="hybridMultilevel"/>
    <w:lvl w:ilvl="0">
      <w:lvlJc w:val="left"/>
      <w:lvlText w:val="(%1)"/>
      <w:numFmt w:val="lowerLetter"/>
      <w:start w:val="6"/>
    </w:lvl>
    <w:lvl w:ilvl="1">
      <w:lvlJc w:val="left"/>
      <w:lvlText w:val="(%2)"/>
      <w:numFmt w:val="decimal"/>
      <w:start w:val="1"/>
    </w:lvl>
  </w:abstractNum>
  <w:abstractNum w:abstractNumId="74">
    <w:nsid w:val="4D32AB86"/>
    <w:multiLevelType w:val="hybridMultilevel"/>
    <w:lvl w:ilvl="0">
      <w:lvlJc w:val="left"/>
      <w:lvlText w:val="(%1)"/>
      <w:numFmt w:val="decimal"/>
      <w:start w:val="4"/>
    </w:lvl>
  </w:abstractNum>
  <w:abstractNum w:abstractNumId="75">
    <w:nsid w:val="3F07ACC3"/>
    <w:multiLevelType w:val="hybridMultilevel"/>
    <w:lvl w:ilvl="0">
      <w:lvlJc w:val="left"/>
      <w:lvlText w:val="(%1)"/>
      <w:numFmt w:val="lowerLetter"/>
      <w:start w:val="1"/>
    </w:lvl>
  </w:abstractNum>
  <w:abstractNum w:abstractNumId="76">
    <w:nsid w:val="6B47F63E"/>
    <w:multiLevelType w:val="hybridMultilevel"/>
    <w:lvl w:ilvl="0">
      <w:lvlJc w:val="left"/>
      <w:lvlText w:val="(%1)"/>
      <w:numFmt w:val="lowerLetter"/>
      <w:start w:val="2"/>
    </w:lvl>
    <w:lvl w:ilvl="1">
      <w:lvlJc w:val="left"/>
      <w:lvlText w:val="(%2)"/>
      <w:numFmt w:val="decimal"/>
      <w:start w:val="1"/>
    </w:lvl>
  </w:abstractNum>
  <w:abstractNum w:abstractNumId="77">
    <w:nsid w:val="5CB44A05"/>
    <w:multiLevelType w:val="hybridMultilevel"/>
    <w:lvl w:ilvl="0">
      <w:lvlJc w:val="left"/>
      <w:lvlText w:val="(%1)"/>
      <w:numFmt w:val="lowerLetter"/>
      <w:start w:val="4"/>
    </w:lvl>
  </w:abstractNum>
  <w:abstractNum w:abstractNumId="78">
    <w:nsid w:val="16CF80F1"/>
    <w:multiLevelType w:val="hybridMultilevel"/>
    <w:lvl w:ilvl="0">
      <w:lvlJc w:val="left"/>
      <w:lvlText w:val="(%1)"/>
      <w:numFmt w:val="lowerLetter"/>
      <w:start w:val="6"/>
    </w:lvl>
  </w:abstractNum>
  <w:abstractNum w:abstractNumId="79">
    <w:nsid w:val="1C695DEC"/>
    <w:multiLevelType w:val="hybridMultilevel"/>
    <w:lvl w:ilvl="0">
      <w:lvlJc w:val="left"/>
      <w:lvlText w:val="(%1)"/>
      <w:numFmt w:val="lowerLetter"/>
      <w:start w:val="8"/>
    </w:lvl>
  </w:abstractNum>
  <w:abstractNum w:abstractNumId="80">
    <w:nsid w:val="3FCFAED9"/>
    <w:multiLevelType w:val="hybridMultilevel"/>
    <w:lvl w:ilvl="0">
      <w:lvlJc w:val="left"/>
      <w:lvlText w:val="(%1)"/>
      <w:numFmt w:val="lowerLetter"/>
      <w:start w:val="1"/>
    </w:lvl>
  </w:abstractNum>
  <w:abstractNum w:abstractNumId="81">
    <w:nsid w:val="F856867"/>
    <w:multiLevelType w:val="hybridMultilevel"/>
    <w:lvl w:ilvl="0">
      <w:lvlJc w:val="left"/>
      <w:lvlText w:val="(%1)"/>
      <w:numFmt w:val="lowerLetter"/>
      <w:start w:val="1"/>
    </w:lvl>
  </w:abstractNum>
  <w:abstractNum w:abstractNumId="82">
    <w:nsid w:val="11B1CC33"/>
    <w:multiLevelType w:val="hybridMultilevel"/>
    <w:lvl w:ilvl="0">
      <w:lvlJc w:val="left"/>
      <w:lvlText w:val="(%1)"/>
      <w:numFmt w:val="lowerLetter"/>
      <w:start w:val="1"/>
    </w:lvl>
    <w:lvl w:ilvl="1">
      <w:lvlJc w:val="left"/>
      <w:lvlText w:val="(%2)"/>
      <w:numFmt w:val="decimal"/>
      <w:start w:val="1"/>
    </w:lvl>
  </w:abstractNum>
  <w:abstractNum w:abstractNumId="83">
    <w:nsid w:val="2E22FBB7"/>
    <w:multiLevelType w:val="hybridMultilevel"/>
    <w:lvl w:ilvl="0">
      <w:lvlJc w:val="left"/>
      <w:lvlText w:val="(%1)"/>
      <w:numFmt w:val="decimal"/>
      <w:start w:val="5"/>
    </w:lvl>
    <w:lvl w:ilvl="1">
      <w:lvlJc w:val="left"/>
      <w:lvlText w:val="(%2)"/>
      <w:numFmt w:val="lowerLetter"/>
      <w:start w:val="1"/>
    </w:lvl>
  </w:abstractNum>
  <w:abstractNum w:abstractNumId="84">
    <w:nsid w:val="29934699"/>
    <w:multiLevelType w:val="hybridMultilevel"/>
    <w:lvl w:ilvl="0">
      <w:lvlJc w:val="left"/>
      <w:lvlText w:val="%1"/>
      <w:numFmt w:val="lowerLetter"/>
      <w:start w:val="1"/>
    </w:lvl>
    <w:lvl w:ilvl="1">
      <w:lvlJc w:val="left"/>
      <w:lvlText w:val="(%2)"/>
      <w:numFmt w:val="decimal"/>
      <w:start w:val="6"/>
    </w:lvl>
  </w:abstractNum>
  <w:abstractNum w:abstractNumId="85">
    <w:nsid w:val="77485850"/>
    <w:multiLevelType w:val="hybridMultilevel"/>
    <w:lvl w:ilvl="0">
      <w:lvlJc w:val="left"/>
      <w:lvlText w:val="(%1)"/>
      <w:numFmt w:val="lowerLetter"/>
      <w:start w:val="2"/>
    </w:lvl>
    <w:lvl w:ilvl="1">
      <w:lvlJc w:val="left"/>
      <w:lvlText w:val="(%2)"/>
      <w:numFmt w:val="decimal"/>
      <w:start w:val="8"/>
    </w:lvl>
  </w:abstractNum>
  <w:abstractNum w:abstractNumId="86">
    <w:nsid w:val="744939A3"/>
    <w:multiLevelType w:val="hybridMultilevel"/>
    <w:lvl w:ilvl="0">
      <w:lvlJc w:val="left"/>
      <w:lvlText w:val="(%1)"/>
      <w:numFmt w:val="decimal"/>
      <w:start w:val="9"/>
    </w:lvl>
  </w:abstractNum>
  <w:abstractNum w:abstractNumId="87">
    <w:nsid w:val="4FA0D2E3"/>
    <w:multiLevelType w:val="hybridMultilevel"/>
    <w:lvl w:ilvl="0">
      <w:lvlJc w:val="left"/>
      <w:lvlText w:val="%1"/>
      <w:numFmt w:val="lowerLetter"/>
      <w:start w:val="1"/>
    </w:lvl>
    <w:lvl w:ilvl="1">
      <w:lvlJc w:val="left"/>
      <w:lvlText w:val="(%2)"/>
      <w:numFmt w:val="decimal"/>
      <w:start w:val="18"/>
    </w:lvl>
  </w:abstractNum>
  <w:abstractNum w:abstractNumId="88">
    <w:nsid w:val="6B1D2C14"/>
    <w:multiLevelType w:val="hybridMultilevel"/>
    <w:lvl w:ilvl="0">
      <w:lvlJc w:val="left"/>
      <w:lvlText w:val="(%1)"/>
      <w:numFmt w:val="lowerLetter"/>
      <w:start w:val="3"/>
    </w:lvl>
    <w:lvl w:ilvl="1">
      <w:lvlJc w:val="left"/>
      <w:lvlText w:val="(%2)"/>
      <w:numFmt w:val="decimal"/>
      <w:start w:val="1"/>
    </w:lvl>
  </w:abstractNum>
  <w:abstractNum w:abstractNumId="89">
    <w:nsid w:val="68B867D3"/>
    <w:multiLevelType w:val="hybridMultilevel"/>
    <w:lvl w:ilvl="0">
      <w:lvlJc w:val="left"/>
      <w:lvlText w:val="(%1)"/>
      <w:numFmt w:val="decimal"/>
      <w:start w:val="8"/>
    </w:lvl>
  </w:abstractNum>
  <w:abstractNum w:abstractNumId="90">
    <w:nsid w:val="3F7F5DD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1">
    <w:nsid w:val="2AE05A34"/>
    <w:multiLevelType w:val="hybridMultilevel"/>
    <w:lvl w:ilvl="0">
      <w:lvlJc w:val="left"/>
      <w:lvlText w:val="(%1)"/>
      <w:numFmt w:val="lowerRoman"/>
      <w:start w:val="1"/>
    </w:lvl>
    <w:lvl w:ilvl="1">
      <w:lvlJc w:val="left"/>
      <w:lvlText w:val="(%2)"/>
      <w:numFmt w:val="upperLetter"/>
      <w:start w:val="1"/>
    </w:lvl>
  </w:abstractNum>
  <w:abstractNum w:abstractNumId="92">
    <w:nsid w:val="32794FF7"/>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6"/>
    </w:lvl>
  </w:abstractNum>
  <w:abstractNum w:abstractNumId="93">
    <w:nsid w:val="5454945E"/>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94">
    <w:nsid w:val="4DEFDFA0"/>
    <w:multiLevelType w:val="hybridMultilevel"/>
    <w:lvl w:ilvl="0">
      <w:lvlJc w:val="left"/>
      <w:lvlText w:val="(%1)"/>
      <w:numFmt w:val="decimal"/>
      <w:start w:val="5"/>
    </w:lvl>
    <w:lvl w:ilvl="1">
      <w:lvlJc w:val="left"/>
      <w:lvlText w:val="(%2)"/>
      <w:numFmt w:val="lowerRoman"/>
      <w:start w:val="1"/>
    </w:lvl>
  </w:abstractNum>
  <w:abstractNum w:abstractNumId="95">
    <w:nsid w:val="2123D5F2"/>
    <w:multiLevelType w:val="hybridMultilevel"/>
    <w:lvl w:ilvl="0">
      <w:lvlJc w:val="left"/>
      <w:lvlText w:val="(%1)"/>
      <w:numFmt w:val="lowerRoman"/>
      <w:start w:val="2"/>
    </w:lvl>
    <w:lvl w:ilvl="1">
      <w:lvlJc w:val="left"/>
      <w:lvlText w:val="(%2)"/>
      <w:numFmt w:val="decimal"/>
      <w:start w:val="7"/>
    </w:lvl>
    <w:lvl w:ilvl="2">
      <w:lvlJc w:val="left"/>
      <w:lvlText w:val="(%3)"/>
      <w:numFmt w:val="lowerRoman"/>
      <w:start w:val="1"/>
    </w:lvl>
  </w:abstractNum>
  <w:abstractNum w:abstractNumId="96">
    <w:nsid w:val="135B8110"/>
    <w:multiLevelType w:val="hybridMultilevel"/>
    <w:lvl w:ilvl="0">
      <w:lvlJc w:val="left"/>
      <w:lvlText w:val="%1"/>
      <w:numFmt w:val="lowerRoman"/>
      <w:start w:val="1"/>
    </w:lvl>
    <w:lvl w:ilvl="1">
      <w:lvlJc w:val="left"/>
      <w:lvlText w:val="(%2)"/>
      <w:numFmt w:val="decimal"/>
      <w:start w:val="3"/>
    </w:lvl>
    <w:lvl w:ilvl="2">
      <w:lvlJc w:val="left"/>
      <w:lvlText w:val="(%3)"/>
      <w:numFmt w:val="lowerRoman"/>
      <w:start w:val="3"/>
    </w:lvl>
  </w:abstractNum>
  <w:abstractNum w:abstractNumId="97">
    <w:nsid w:val="94927A8"/>
    <w:multiLevelType w:val="hybridMultilevel"/>
    <w:lvl w:ilvl="0">
      <w:lvlJc w:val="left"/>
      <w:lvlText w:val="%1"/>
      <w:numFmt w:val="lowerRoman"/>
      <w:start w:val="1"/>
    </w:lvl>
    <w:lvl w:ilvl="1">
      <w:lvlJc w:val="left"/>
      <w:lvlText w:val="(%2)"/>
      <w:numFmt w:val="decimal"/>
      <w:start w:val="10"/>
    </w:lvl>
    <w:lvl w:ilvl="2">
      <w:lvlJc w:val="left"/>
      <w:lvlText w:val="%3"/>
      <w:numFmt w:val="lowerRoman"/>
      <w:start w:val="1"/>
    </w:lvl>
  </w:abstractNum>
  <w:abstractNum w:abstractNumId="98">
    <w:nsid w:val="DCDF8F6"/>
    <w:multiLevelType w:val="hybridMultilevel"/>
    <w:lvl w:ilvl="0">
      <w:lvlJc w:val="left"/>
      <w:lvlText w:val="%1"/>
      <w:numFmt w:val="lowerRoman"/>
      <w:start w:val="1"/>
    </w:lvl>
    <w:lvl w:ilvl="1">
      <w:lvlJc w:val="left"/>
      <w:lvlText w:val="(%2)"/>
      <w:numFmt w:val="decimal"/>
      <w:start w:val="12"/>
    </w:lvl>
  </w:abstractNum>
  <w:abstractNum w:abstractNumId="99">
    <w:nsid w:val="52D7B105"/>
    <w:multiLevelType w:val="hybridMultilevel"/>
    <w:lvl w:ilvl="0">
      <w:lvlJc w:val="left"/>
      <w:lvlText w:val="(%1)"/>
      <w:numFmt w:val="lowerRoman"/>
      <w:start w:val="2"/>
    </w:lvl>
    <w:lvl w:ilvl="1">
      <w:lvlJc w:val="left"/>
      <w:lvlText w:val="(%2)"/>
      <w:numFmt w:val="decimal"/>
      <w:start w:val="17"/>
    </w:lvl>
  </w:abstractNum>
  <w:abstractNum w:abstractNumId="100">
    <w:nsid w:val="2E8A6394"/>
    <w:multiLevelType w:val="hybridMultilevel"/>
    <w:lvl w:ilvl="0">
      <w:lvlJc w:val="left"/>
      <w:lvlText w:val="%1"/>
      <w:numFmt w:val="decimal"/>
      <w:start w:val="1"/>
    </w:lvl>
    <w:lvl w:ilvl="1">
      <w:lvlJc w:val="left"/>
      <w:lvlText w:val="(%2)"/>
      <w:numFmt w:val="decimal"/>
      <w:start w:val="21"/>
    </w:lvl>
  </w:abstractNum>
  <w:abstractNum w:abstractNumId="101">
    <w:nsid w:val="24E60401"/>
    <w:multiLevelType w:val="hybridMultilevel"/>
    <w:lvl w:ilvl="0">
      <w:lvlJc w:val="left"/>
      <w:lvlText w:val="(%1)"/>
      <w:numFmt w:val="decimal"/>
      <w:start w:val="12"/>
    </w:lvl>
    <w:lvl w:ilvl="1">
      <w:lvlJc w:val="left"/>
      <w:lvlText w:val="(%2)"/>
      <w:numFmt w:val="decimal"/>
      <w:start w:val="22"/>
    </w:lvl>
  </w:abstractNum>
  <w:abstractNum w:abstractNumId="102">
    <w:nsid w:val="2A6AD9BE"/>
    <w:multiLevelType w:val="hybridMultilevel"/>
    <w:lvl w:ilvl="0">
      <w:lvlJc w:val="left"/>
      <w:lvlText w:val="(%1)"/>
      <w:numFmt w:val="lowerLetter"/>
      <w:start w:val="1"/>
    </w:lvl>
    <w:lvl w:ilvl="1">
      <w:lvlJc w:val="left"/>
      <w:lvlText w:val="(%2)"/>
      <w:numFmt w:val="decimal"/>
      <w:start w:val="1"/>
    </w:lvl>
  </w:abstractNum>
  <w:abstractNum w:abstractNumId="103">
    <w:nsid w:val="BAAC1B4"/>
    <w:multiLevelType w:val="hybridMultilevel"/>
    <w:lvl w:ilvl="0">
      <w:lvlJc w:val="left"/>
      <w:lvlText w:val="(%1)"/>
      <w:numFmt w:val="lowerLetter"/>
      <w:start w:val="2"/>
    </w:lvl>
    <w:lvl w:ilvl="1">
      <w:lvlJc w:val="left"/>
      <w:lvlText w:val="(%2)"/>
      <w:numFmt w:val="decimal"/>
      <w:start w:val="1"/>
    </w:lvl>
  </w:abstractNum>
  <w:abstractNum w:abstractNumId="104">
    <w:nsid w:val="36B2ACBC"/>
    <w:multiLevelType w:val="hybridMultilevel"/>
    <w:lvl w:ilvl="0">
      <w:lvlJc w:val="left"/>
      <w:lvlText w:val="%1"/>
      <w:numFmt w:val="lowerRoman"/>
      <w:start w:val="1"/>
    </w:lvl>
    <w:lvl w:ilvl="1">
      <w:lvlJc w:val="left"/>
      <w:lvlText w:val="(%2)"/>
      <w:numFmt w:val="decimal"/>
      <w:start w:val="6"/>
    </w:lvl>
  </w:abstractNum>
  <w:abstractNum w:abstractNumId="105">
    <w:nsid w:val="779D8544"/>
    <w:multiLevelType w:val="hybridMultilevel"/>
    <w:lvl w:ilvl="0">
      <w:lvlJc w:val="left"/>
      <w:lvlText w:val="(%1)"/>
      <w:numFmt w:val="lowerRoman"/>
      <w:start w:val="2"/>
    </w:lvl>
    <w:lvl w:ilvl="1">
      <w:lvlJc w:val="left"/>
      <w:lvlText w:val="(%2)"/>
      <w:numFmt w:val="decimal"/>
      <w:start w:val="15"/>
    </w:lvl>
  </w:abstractNum>
  <w:abstractNum w:abstractNumId="106">
    <w:nsid w:val="4AB26E7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07">
    <w:nsid w:val="21FAA2FA"/>
    <w:multiLevelType w:val="hybridMultilevel"/>
    <w:lvl w:ilvl="0">
      <w:lvlJc w:val="left"/>
      <w:lvlText w:val="(%1)"/>
      <w:numFmt w:val="lowerLetter"/>
      <w:start w:val="2"/>
    </w:lvl>
    <w:lvl w:ilvl="1">
      <w:lvlJc w:val="left"/>
      <w:lvlText w:val="(%2)"/>
      <w:numFmt w:val="lowerLetter"/>
      <w:start w:val="9"/>
    </w:lvl>
  </w:abstractNum>
  <w:abstractNum w:abstractNumId="108">
    <w:nsid w:val="5451CF4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abstractNum>
  <w:abstractNum w:abstractNumId="109">
    <w:nsid w:val="6181EF69"/>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abstractNum>
  <w:abstractNum w:abstractNumId="110">
    <w:nsid w:val="3E6400E6"/>
    <w:multiLevelType w:val="hybridMultilevel"/>
    <w:lvl w:ilvl="0">
      <w:lvlJc w:val="left"/>
      <w:lvlText w:val="(%1)"/>
      <w:numFmt w:val="decimal"/>
      <w:start w:val="7"/>
    </w:lvl>
  </w:abstractNum>
  <w:abstractNum w:abstractNumId="111">
    <w:nsid w:val="14217E23"/>
    <w:multiLevelType w:val="hybridMultilevel"/>
    <w:lvl w:ilvl="0">
      <w:lvlJc w:val="left"/>
      <w:lvlText w:val="(%1)"/>
      <w:numFmt w:val="lowerLetter"/>
      <w:start w:val="1"/>
    </w:lvl>
    <w:lvl w:ilvl="1">
      <w:lvlJc w:val="left"/>
      <w:lvlText w:val="(%2)"/>
      <w:numFmt w:val="decimal"/>
      <w:start w:val="1"/>
    </w:lvl>
  </w:abstractNum>
  <w:abstractNum w:abstractNumId="112">
    <w:nsid w:val="710757D0"/>
    <w:multiLevelType w:val="hybridMultilevel"/>
    <w:lvl w:ilvl="0">
      <w:lvlJc w:val="left"/>
      <w:lvlText w:val="(%1)"/>
      <w:numFmt w:val="lowerLetter"/>
      <w:start w:val="1"/>
    </w:lvl>
    <w:lvl w:ilvl="1">
      <w:lvlJc w:val="left"/>
      <w:lvlText w:val="(%2)"/>
      <w:numFmt w:val="decimal"/>
      <w:start w:val="1"/>
    </w:lvl>
  </w:abstractNum>
  <w:abstractNum w:abstractNumId="113">
    <w:nsid w:val="5015CD1A"/>
    <w:multiLevelType w:val="hybridMultilevel"/>
    <w:lvl w:ilvl="0">
      <w:lvlJc w:val="left"/>
      <w:lvlText w:val="(%1)"/>
      <w:numFmt w:val="lowerLetter"/>
      <w:start w:val="2"/>
    </w:lvl>
    <w:lvl w:ilvl="1">
      <w:lvlJc w:val="left"/>
      <w:lvlText w:val="(%2)"/>
      <w:numFmt w:val="decimal"/>
      <w:start w:val="1"/>
    </w:lvl>
  </w:abstractNum>
  <w:abstractNum w:abstractNumId="114">
    <w:nsid w:val="424479DA"/>
    <w:multiLevelType w:val="hybridMultilevel"/>
    <w:lvl w:ilvl="0">
      <w:lvlJc w:val="left"/>
      <w:lvlText w:val="(%1)"/>
      <w:numFmt w:val="decimal"/>
      <w:start w:val="6"/>
    </w:lvl>
  </w:abstractNum>
  <w:abstractNum w:abstractNumId="115">
    <w:nsid w:val="1A9A9E69"/>
    <w:multiLevelType w:val="hybridMultilevel"/>
    <w:lvl w:ilvl="0">
      <w:lvlJc w:val="left"/>
      <w:lvlText w:val="(%1)"/>
      <w:numFmt w:val="decimal"/>
      <w:start w:val="17"/>
    </w:lvl>
  </w:abstractNum>
  <w:abstractNum w:abstractNumId="116">
    <w:nsid w:val="475E256A"/>
    <w:multiLevelType w:val="hybridMultilevel"/>
    <w:lvl w:ilvl="0">
      <w:lvlJc w:val="left"/>
      <w:lvlText w:val="(%1)"/>
      <w:numFmt w:val="decimal"/>
      <w:start w:val="27"/>
    </w:lvl>
  </w:abstractNum>
  <w:abstractNum w:abstractNumId="117">
    <w:nsid w:val="368DB37E"/>
    <w:multiLevelType w:val="hybridMultilevel"/>
    <w:lvl w:ilvl="0">
      <w:lvlJc w:val="left"/>
      <w:lvlText w:val="(%1)"/>
      <w:numFmt w:val="lowerLetter"/>
      <w:start w:val="1"/>
    </w:lvl>
    <w:lvl w:ilvl="1">
      <w:lvlJc w:val="left"/>
      <w:lvlText w:val="(%2)"/>
      <w:numFmt w:val="decimal"/>
      <w:start w:val="1"/>
    </w:lvl>
  </w:abstractNum>
  <w:abstractNum w:abstractNumId="118">
    <w:nsid w:val="6A3B714C"/>
    <w:multiLevelType w:val="hybridMultilevel"/>
    <w:lvl w:ilvl="0">
      <w:lvlJc w:val="left"/>
      <w:lvlText w:val="(%1)"/>
      <w:numFmt w:val="decimal"/>
      <w:start w:val="7"/>
    </w:lvl>
  </w:abstractNum>
  <w:abstractNum w:abstractNumId="119">
    <w:nsid w:val="327B517E"/>
    <w:multiLevelType w:val="hybridMultilevel"/>
    <w:lvl w:ilvl="0">
      <w:lvlJc w:val="left"/>
      <w:lvlText w:val="(%1)"/>
      <w:numFmt w:val="lowerLetter"/>
      <w:start w:val="2"/>
    </w:lvl>
    <w:lvl w:ilvl="1">
      <w:lvlJc w:val="left"/>
      <w:lvlText w:val="(%2)"/>
      <w:numFmt w:val="decimal"/>
      <w:start w:val="1"/>
    </w:lvl>
  </w:abstractNum>
  <w:abstractNum w:abstractNumId="120">
    <w:nsid w:val="1F461B51"/>
    <w:multiLevelType w:val="hybridMultilevel"/>
    <w:lvl w:ilvl="0">
      <w:lvlJc w:val="left"/>
      <w:lvlText w:val="%1"/>
      <w:numFmt w:val="lowerLetter"/>
      <w:start w:val="1"/>
    </w:lvl>
    <w:lvl w:ilvl="1">
      <w:lvlJc w:val="left"/>
      <w:lvlText w:val="(%2)"/>
      <w:numFmt w:val="decimal"/>
      <w:start w:val="2"/>
    </w:lvl>
  </w:abstractNum>
  <w:abstractNum w:abstractNumId="121">
    <w:nsid w:val="29BACF25"/>
    <w:multiLevelType w:val="hybridMultilevel"/>
    <w:lvl w:ilvl="0">
      <w:lvlJc w:val="left"/>
      <w:lvlText w:val="(%1)"/>
      <w:numFmt w:val="lowerLetter"/>
      <w:start w:val="3"/>
    </w:lvl>
    <w:lvl w:ilvl="1">
      <w:lvlJc w:val="left"/>
      <w:lvlText w:val="%2"/>
      <w:numFmt w:val="decimal"/>
      <w:start w:val="1"/>
    </w:lvl>
  </w:abstractNum>
  <w:abstractNum w:abstractNumId="122">
    <w:nsid w:val="5D5BABB3"/>
    <w:multiLevelType w:val="hybridMultilevel"/>
    <w:lvl w:ilvl="0">
      <w:lvlJc w:val="left"/>
      <w:lvlText w:val="(%1)"/>
      <w:numFmt w:val="lowerLetter"/>
      <w:start w:val="6"/>
    </w:lvl>
  </w:abstractNum>
  <w:abstractNum w:abstractNumId="123">
    <w:nsid w:val="51BF6B48"/>
    <w:multiLevelType w:val="hybridMultilevel"/>
    <w:lvl w:ilvl="0">
      <w:lvlJc w:val="left"/>
      <w:lvlText w:val="(%1)"/>
      <w:numFmt w:val="lowerLetter"/>
      <w:start w:val="1"/>
    </w:lvl>
    <w:lvl w:ilvl="1">
      <w:lvlJc w:val="left"/>
      <w:lvlText w:val="(%2)"/>
      <w:numFmt w:val="decimal"/>
      <w:start w:val="1"/>
    </w:lvl>
  </w:abstractNum>
  <w:abstractNum w:abstractNumId="124">
    <w:nsid w:val="7E0F6384"/>
    <w:multiLevelType w:val="hybridMultilevel"/>
    <w:lvl w:ilvl="0">
      <w:lvlJc w:val="left"/>
      <w:lvlText w:val="(%1)"/>
      <w:numFmt w:val="upperLetter"/>
      <w:start w:val="1"/>
    </w:lvl>
  </w:abstractNum>
  <w:abstractNum w:abstractNumId="125">
    <w:nsid w:val="2B4B8B53"/>
    <w:multiLevelType w:val="hybridMultilevel"/>
    <w:lvl w:ilvl="0">
      <w:lvlJc w:val="left"/>
      <w:lvlText w:val="(%1)"/>
      <w:numFmt w:val="upperLetter"/>
      <w:start w:val="6"/>
    </w:lvl>
  </w:abstractNum>
  <w:abstractNum w:abstractNumId="126">
    <w:nsid w:val="72E3413A"/>
    <w:multiLevelType w:val="hybridMultilevel"/>
    <w:lvl w:ilvl="0">
      <w:lvlJc w:val="left"/>
      <w:lvlText w:val="(%1)"/>
      <w:numFmt w:val="lowerLetter"/>
      <w:start w:val="2"/>
    </w:lvl>
  </w:abstractNum>
  <w:abstractNum w:abstractNumId="127">
    <w:nsid w:val="116AE494"/>
    <w:multiLevelType w:val="hybridMultilevel"/>
    <w:lvl w:ilvl="0">
      <w:lvlJc w:val="left"/>
      <w:lvlText w:val="(%1)"/>
      <w:numFmt w:val="lowerLetter"/>
      <w:start w:val="4"/>
    </w:lvl>
  </w:abstractNum>
  <w:abstractNum w:abstractNumId="128">
    <w:nsid w:val="3494B2FB"/>
    <w:multiLevelType w:val="hybridMultilevel"/>
    <w:lvl w:ilvl="0">
      <w:lvlJc w:val="left"/>
      <w:lvlText w:val="(%1)"/>
      <w:numFmt w:val="lowerLetter"/>
      <w:start w:val="1"/>
    </w:lvl>
  </w:abstractNum>
  <w:abstractNum w:abstractNumId="129">
    <w:nsid w:val="B13A31"/>
    <w:multiLevelType w:val="hybridMultilevel"/>
    <w:lvl w:ilvl="0">
      <w:lvlJc w:val="left"/>
      <w:lvlText w:val="(%1)"/>
      <w:numFmt w:val="lowerLetter"/>
      <w:start w:val="1"/>
    </w:lvl>
    <w:lvl w:ilvl="1">
      <w:lvlJc w:val="left"/>
      <w:lvlText w:val="(%2)"/>
      <w:numFmt w:val="decimal"/>
      <w:start w:val="1"/>
    </w:lvl>
  </w:abstractNum>
  <w:abstractNum w:abstractNumId="130">
    <w:nsid w:val="64429599"/>
    <w:multiLevelType w:val="hybridMultilevel"/>
    <w:lvl w:ilvl="0">
      <w:lvlJc w:val="left"/>
      <w:lvlText w:val="(%1)"/>
      <w:numFmt w:val="lowerLetter"/>
      <w:start w:val="1"/>
    </w:lvl>
    <w:lvl w:ilvl="1">
      <w:lvlJc w:val="left"/>
      <w:lvlText w:val="(%2)"/>
      <w:numFmt w:val="decimal"/>
      <w:start w:val="1"/>
    </w:lvl>
  </w:abstractNum>
  <w:abstractNum w:abstractNumId="131">
    <w:nsid w:val="631F1690"/>
    <w:multiLevelType w:val="hybridMultilevel"/>
    <w:lvl w:ilvl="0">
      <w:lvlJc w:val="left"/>
      <w:lvlText w:val="%1"/>
      <w:numFmt w:val="lowerLetter"/>
      <w:start w:val="1"/>
    </w:lvl>
    <w:lvl w:ilvl="1">
      <w:lvlJc w:val="left"/>
      <w:lvlText w:val="(%2)"/>
      <w:numFmt w:val="upperLetter"/>
      <w:start w:val="2"/>
    </w:lvl>
  </w:abstractNum>
  <w:abstractNum w:abstractNumId="132">
    <w:nsid w:val="25973E32"/>
    <w:multiLevelType w:val="hybridMultilevel"/>
    <w:lvl w:ilvl="0">
      <w:lvlJc w:val="left"/>
      <w:lvlText w:val="(%1)"/>
      <w:numFmt w:val="lowerLetter"/>
      <w:start w:val="2"/>
    </w:lvl>
    <w:lvl w:ilvl="1">
      <w:lvlJc w:val="left"/>
      <w:lvlText w:val="%2"/>
      <w:numFmt w:val="upperLetter"/>
      <w:start w:val="1"/>
    </w:lvl>
  </w:abstractNum>
  <w:abstractNum w:abstractNumId="133">
    <w:nsid w:val="EAD6F57"/>
    <w:multiLevelType w:val="hybridMultilevel"/>
    <w:lvl w:ilvl="0">
      <w:lvlJc w:val="left"/>
      <w:lvlText w:val="(%1)"/>
      <w:numFmt w:val="decimal"/>
      <w:start w:val="1"/>
    </w:lvl>
  </w:abstractNum>
  <w:abstractNum w:abstractNumId="134">
    <w:nsid w:val="6EC9D844"/>
    <w:multiLevelType w:val="hybridMultilevel"/>
    <w:lvl w:ilvl="0">
      <w:lvlJc w:val="left"/>
      <w:lvlText w:val="(%1)"/>
      <w:numFmt w:val="decimal"/>
      <w:start w:val="1"/>
    </w:lvl>
  </w:abstractNum>
  <w:abstractNum w:abstractNumId="135">
    <w:nsid w:val="5C49EAEE"/>
    <w:multiLevelType w:val="hybridMultilevel"/>
    <w:lvl w:ilvl="0">
      <w:lvlJc w:val="left"/>
      <w:lvlText w:val="(%1)"/>
      <w:numFmt w:val="lowerLetter"/>
      <w:start w:val="1"/>
    </w:lvl>
  </w:abstractNum>
  <w:abstractNum w:abstractNumId="136">
    <w:nsid w:val="64AF49B"/>
    <w:multiLevelType w:val="hybridMultilevel"/>
    <w:lvl w:ilvl="0">
      <w:lvlJc w:val="left"/>
      <w:lvlText w:val="(%1)"/>
      <w:numFmt w:val="lowerLetter"/>
      <w:start w:val="5"/>
    </w:lvl>
  </w:abstractNum>
  <w:abstractNum w:abstractNumId="137">
    <w:nsid w:val="397C46BC"/>
    <w:multiLevelType w:val="hybridMultilevel"/>
    <w:lvl w:ilvl="0">
      <w:lvlJc w:val="left"/>
      <w:lvlText w:val="(%1)"/>
      <w:numFmt w:val="lowerLetter"/>
      <w:start w:val="1"/>
    </w:lvl>
    <w:lvl w:ilvl="1">
      <w:lvlJc w:val="left"/>
      <w:lvlText w:val="(%2)"/>
      <w:numFmt w:val="decimal"/>
      <w:start w:val="1"/>
    </w:lvl>
  </w:abstractNum>
  <w:abstractNum w:abstractNumId="138">
    <w:nsid w:val="7E448DE9"/>
    <w:multiLevelType w:val="hybridMultilevel"/>
    <w:lvl w:ilvl="0">
      <w:lvlJc w:val="left"/>
      <w:lvlText w:val="(%1)"/>
      <w:numFmt w:val="upperLetter"/>
      <w:start w:val="1"/>
    </w:lvl>
  </w:abstractNum>
  <w:abstractNum w:abstractNumId="139">
    <w:nsid w:val="5A9CC3E5"/>
    <w:multiLevelType w:val="hybridMultilevel"/>
    <w:lvl w:ilvl="0">
      <w:lvlJc w:val="left"/>
      <w:lvlText w:val="(%1)"/>
      <w:numFmt w:val="decimal"/>
      <w:start w:val="5"/>
    </w:lvl>
  </w:abstractNum>
  <w:abstractNum w:abstractNumId="140">
    <w:nsid w:val="1AFE3625"/>
    <w:multiLevelType w:val="hybridMultilevel"/>
    <w:lvl w:ilvl="0">
      <w:lvlJc w:val="left"/>
      <w:lvlText w:val="(%1)"/>
      <w:numFmt w:val="decimal"/>
      <w:start w:val="6"/>
    </w:lvl>
  </w:abstractNum>
  <w:abstractNum w:abstractNumId="141">
    <w:nsid w:val="3CA88ECF"/>
    <w:multiLevelType w:val="hybridMultilevel"/>
    <w:lvl w:ilvl="0">
      <w:lvlJc w:val="left"/>
      <w:lvlText w:val="(%1)"/>
      <w:numFmt w:val="upperLetter"/>
      <w:start w:val="1"/>
    </w:lvl>
  </w:abstractNum>
  <w:abstractNum w:abstractNumId="142">
    <w:nsid w:val="6EBE4208"/>
    <w:multiLevelType w:val="hybridMultilevel"/>
    <w:lvl w:ilvl="0">
      <w:lvlJc w:val="left"/>
      <w:lvlText w:val="(%1)"/>
      <w:numFmt w:val="upperLetter"/>
      <w:start w:val="1"/>
    </w:lvl>
  </w:abstractNum>
  <w:abstractNum w:abstractNumId="143">
    <w:nsid w:val="C058DF5"/>
    <w:multiLevelType w:val="hybridMultilevel"/>
    <w:lvl w:ilvl="0">
      <w:lvlJc w:val="left"/>
      <w:lvlText w:val="(%1)"/>
      <w:numFmt w:val="lowerLetter"/>
      <w:start w:val="2"/>
    </w:lvl>
  </w:abstractNum>
  <w:abstractNum w:abstractNumId="144">
    <w:nsid w:val="CBE5BE9"/>
    <w:multiLevelType w:val="hybridMultilevel"/>
    <w:lvl w:ilvl="0">
      <w:lvlJc w:val="left"/>
      <w:lvlText w:val="(%1)"/>
      <w:numFmt w:val="lowerLetter"/>
      <w:start w:val="3"/>
    </w:lvl>
  </w:abstractNum>
  <w:abstractNum w:abstractNumId="145">
    <w:nsid w:val="3102BBE2"/>
    <w:multiLevelType w:val="hybridMultilevel"/>
    <w:lvl w:ilvl="0">
      <w:lvlJc w:val="left"/>
      <w:lvlText w:val="(%1)"/>
      <w:numFmt w:val="decimal"/>
      <w:start w:val="1"/>
    </w:lvl>
    <w:lvl w:ilvl="1">
      <w:lvlJc w:val="left"/>
      <w:lvlText w:val="(%2)"/>
      <w:numFmt w:val="lowerLetter"/>
      <w:start w:val="25"/>
    </w:lvl>
  </w:abstractNum>
  <w:abstractNum w:abstractNumId="146">
    <w:nsid w:val="26A02C5E"/>
    <w:multiLevelType w:val="hybridMultilevel"/>
    <w:lvl w:ilvl="0">
      <w:lvlJc w:val="left"/>
      <w:lvlText w:val="(%1)"/>
      <w:numFmt w:val="decimal"/>
      <w:start w:val="1"/>
    </w:lvl>
  </w:abstractNum>
  <w:abstractNum w:abstractNumId="147">
    <w:nsid w:val="541C8153"/>
    <w:multiLevelType w:val="hybridMultilevel"/>
    <w:lvl w:ilvl="0">
      <w:lvlJc w:val="left"/>
      <w:lvlText w:val="(%1)"/>
      <w:numFmt w:val="decimal"/>
      <w:start w:val="3"/>
    </w:lvl>
  </w:abstractNum>
  <w:abstractNum w:abstractNumId="148">
    <w:nsid w:val="67906F60"/>
    <w:multiLevelType w:val="hybridMultilevel"/>
    <w:lvl w:ilvl="0">
      <w:lvlJc w:val="left"/>
      <w:lvlText w:val="(%1)"/>
      <w:numFmt w:val="lowerLetter"/>
      <w:start w:val="1"/>
    </w:lvl>
  </w:abstractNum>
  <w:abstractNum w:abstractNumId="149">
    <w:nsid w:val="10DB9DAA"/>
    <w:multiLevelType w:val="hybridMultilevel"/>
    <w:lvl w:ilvl="0">
      <w:lvlJc w:val="left"/>
      <w:lvlText w:val="(%1)"/>
      <w:numFmt w:val="lowerLetter"/>
      <w:start w:val="2"/>
    </w:lvl>
  </w:abstractNum>
  <w:abstractNum w:abstractNumId="150">
    <w:nsid w:val="697D2D2"/>
    <w:multiLevelType w:val="hybridMultilevel"/>
    <w:lvl w:ilvl="0">
      <w:lvlJc w:val="left"/>
      <w:lvlText w:val="(%1)"/>
      <w:numFmt w:val="lowerLetter"/>
      <w:start w:val="1"/>
    </w:lvl>
    <w:lvl w:ilvl="1">
      <w:lvlJc w:val="left"/>
      <w:lvlText w:val="(%2)"/>
      <w:numFmt w:val="decimal"/>
      <w:start w:val="1"/>
    </w:lvl>
  </w:abstractNum>
  <w:abstractNum w:abstractNumId="151">
    <w:nsid w:val="6D68AB2"/>
    <w:multiLevelType w:val="hybridMultilevel"/>
    <w:lvl w:ilvl="0">
      <w:lvlJc w:val="left"/>
      <w:lvlText w:val="(%1)"/>
      <w:numFmt w:val="lowerLetter"/>
      <w:start w:val="1"/>
    </w:lvl>
  </w:abstractNum>
  <w:abstractNum w:abstractNumId="152">
    <w:nsid w:val="3A966CD0"/>
    <w:multiLevelType w:val="hybridMultilevel"/>
    <w:lvl w:ilvl="0">
      <w:lvlJc w:val="left"/>
      <w:lvlText w:val="%1"/>
      <w:numFmt w:val="lowerLetter"/>
      <w:start w:val="1"/>
    </w:lvl>
    <w:lvl w:ilvl="1">
      <w:lvlJc w:val="left"/>
      <w:lvlText w:val="(%2)"/>
      <w:numFmt w:val="lowerLetter"/>
      <w:start w:val="2"/>
    </w:lvl>
  </w:abstractNum>
  <w:abstractNum w:abstractNumId="153">
    <w:nsid w:val="63F37E85"/>
    <w:multiLevelType w:val="hybridMultilevel"/>
    <w:lvl w:ilvl="0">
      <w:lvlJc w:val="left"/>
      <w:lvlText w:val="(%1)"/>
      <w:numFmt w:val="lowerLetter"/>
      <w:start w:val="35"/>
    </w:lvl>
    <w:lvl w:ilvl="1">
      <w:lvlJc w:val="left"/>
      <w:lvlText w:val="(%2)"/>
      <w:numFmt w:val="lowerLetter"/>
      <w:start w:val="7"/>
    </w:lvl>
  </w:abstractNum>
  <w:abstractNum w:abstractNumId="154">
    <w:nsid w:val="5895F5FA"/>
    <w:multiLevelType w:val="hybridMultilevel"/>
    <w:lvl w:ilvl="0">
      <w:lvlJc w:val="left"/>
      <w:lvlText w:val="(%1)"/>
      <w:numFmt w:val="lowerLetter"/>
      <w:start w:val="13"/>
    </w:lvl>
  </w:abstractNum>
  <w:abstractNum w:abstractNumId="155">
    <w:nsid w:val="38A5D054"/>
    <w:multiLevelType w:val="hybridMultilevel"/>
    <w:lvl w:ilvl="0">
      <w:lvlJc w:val="left"/>
      <w:lvlText w:val="(%1)"/>
      <w:numFmt w:val="decimal"/>
      <w:start w:val="2"/>
    </w:lvl>
  </w:abstractNum>
  <w:abstractNum w:abstractNumId="156">
    <w:nsid w:val="F3F09D8"/>
    <w:multiLevelType w:val="hybridMultilevel"/>
    <w:lvl w:ilvl="0">
      <w:lvlJc w:val="left"/>
      <w:lvlText w:val="(%1)"/>
      <w:numFmt w:val="decimal"/>
      <w:start w:val="1"/>
    </w:lvl>
  </w:abstractNum>
  <w:abstractNum w:abstractNumId="157">
    <w:nsid w:val="4B793735"/>
    <w:multiLevelType w:val="hybridMultilevel"/>
    <w:lvl w:ilvl="0">
      <w:lvlJc w:val="left"/>
      <w:lvlText w:val="(%1)"/>
      <w:numFmt w:val="decimal"/>
      <w:start w:val="1"/>
    </w:lvl>
  </w:abstractNum>
  <w:abstractNum w:abstractNumId="158">
    <w:nsid w:val="4A10B4E8"/>
    <w:multiLevelType w:val="hybridMultilevel"/>
    <w:lvl w:ilvl="0">
      <w:lvlJc w:val="left"/>
      <w:lvlText w:val="(%1)"/>
      <w:numFmt w:val="upperLetter"/>
      <w:start w:val="1"/>
    </w:lvl>
  </w:abstractNum>
  <w:abstractNum w:abstractNumId="159">
    <w:nsid w:val="43D3BCD4"/>
    <w:multiLevelType w:val="hybridMultilevel"/>
    <w:lvl w:ilvl="0">
      <w:lvlJc w:val="left"/>
      <w:lvlText w:val="(%1)"/>
      <w:numFmt w:val="decimal"/>
      <w:start w:val="3"/>
    </w:lvl>
  </w:abstractNum>
  <w:abstractNum w:abstractNumId="160">
    <w:nsid w:val="4C2A7166"/>
    <w:multiLevelType w:val="hybridMultilevel"/>
    <w:lvl w:ilvl="0">
      <w:lvlJc w:val="left"/>
      <w:lvlText w:val="(%1)"/>
      <w:numFmt w:val="decimal"/>
      <w:start w:val="7"/>
    </w:lvl>
  </w:abstractNum>
  <w:abstractNum w:abstractNumId="161">
    <w:nsid w:val="2E534A82"/>
    <w:multiLevelType w:val="hybridMultilevel"/>
    <w:lvl w:ilvl="0">
      <w:lvlJc w:val="left"/>
      <w:lvlText w:val="(%1)"/>
      <w:numFmt w:val="decimal"/>
      <w:start w:val="1"/>
    </w:lvl>
  </w:abstractNum>
  <w:abstractNum w:abstractNumId="162">
    <w:nsid w:val="26F2D364"/>
    <w:multiLevelType w:val="hybridMultilevel"/>
    <w:lvl w:ilvl="0">
      <w:lvlJc w:val="left"/>
      <w:lvlText w:val="(%1)"/>
      <w:numFmt w:val="lowerLetter"/>
      <w:start w:val="1"/>
    </w:lvl>
    <w:lvl w:ilvl="1">
      <w:lvlJc w:val="left"/>
      <w:lvlText w:val="(%2)"/>
      <w:numFmt w:val="decimal"/>
      <w:start w:val="1"/>
    </w:lvl>
  </w:abstractNum>
  <w:abstractNum w:abstractNumId="163">
    <w:nsid w:val="71C1AF98"/>
    <w:multiLevelType w:val="hybridMultilevel"/>
    <w:lvl w:ilvl="0">
      <w:lvlJc w:val="left"/>
      <w:lvlText w:val="(%1)"/>
      <w:numFmt w:val="lowerLetter"/>
      <w:start w:val="4"/>
    </w:lvl>
  </w:abstractNum>
  <w:abstractNum w:abstractNumId="164">
    <w:nsid w:val="3D00B9D9"/>
    <w:multiLevelType w:val="hybridMultilevel"/>
    <w:lvl w:ilvl="0">
      <w:lvlJc w:val="left"/>
      <w:lvlText w:val="(%1)"/>
      <w:numFmt w:val="lowerLetter"/>
      <w:start w:val="1"/>
    </w:lvl>
    <w:lvl w:ilvl="1">
      <w:lvlJc w:val="left"/>
      <w:lvlText w:val="(%2)"/>
      <w:numFmt w:val="decimal"/>
      <w:start w:val="1"/>
    </w:lvl>
  </w:abstractNum>
  <w:abstractNum w:abstractNumId="165">
    <w:nsid w:val="15BCABA8"/>
    <w:multiLevelType w:val="hybridMultilevel"/>
    <w:lvl w:ilvl="0">
      <w:lvlJc w:val="left"/>
      <w:lvlText w:val="(%1)"/>
      <w:numFmt w:val="lowerLetter"/>
      <w:start w:val="1"/>
    </w:lvl>
    <w:lvl w:ilvl="1">
      <w:lvlJc w:val="left"/>
      <w:lvlText w:val="(%2)"/>
      <w:numFmt w:val="decimal"/>
      <w:start w:val="1"/>
    </w:lvl>
  </w:abstractNum>
  <w:abstractNum w:abstractNumId="166">
    <w:nsid w:val="4E0B9A87"/>
    <w:multiLevelType w:val="hybridMultilevel"/>
    <w:lvl w:ilvl="0">
      <w:lvlJc w:val="left"/>
      <w:lvlText w:val="(%1)"/>
      <w:numFmt w:val="lowerLetter"/>
      <w:start w:val="2"/>
    </w:lvl>
  </w:abstractNum>
  <w:abstractNum w:abstractNumId="167">
    <w:nsid w:val="434BAE75"/>
    <w:multiLevelType w:val="hybridMultilevel"/>
    <w:lvl w:ilvl="0">
      <w:lvlJc w:val="left"/>
      <w:lvlText w:val="(%1)"/>
      <w:numFmt w:val="decimal"/>
      <w:start w:val="1"/>
    </w:lvl>
  </w:abstractNum>
  <w:abstractNum w:abstractNumId="168">
    <w:nsid w:val="4F38F265"/>
    <w:multiLevelType w:val="hybridMultilevel"/>
    <w:lvl w:ilvl="0">
      <w:lvlJc w:val="left"/>
      <w:lvlText w:val="(%1)"/>
      <w:numFmt w:val="decimal"/>
      <w:start w:val="1"/>
    </w:lvl>
  </w:abstractNum>
  <w:abstractNum w:abstractNumId="169">
    <w:nsid w:val="4C502870"/>
    <w:multiLevelType w:val="hybridMultilevel"/>
    <w:lvl w:ilvl="0">
      <w:lvlJc w:val="left"/>
      <w:lvlText w:val="(%1)"/>
      <w:numFmt w:val="decimal"/>
      <w:start w:val="3"/>
    </w:lvl>
  </w:abstractNum>
  <w:abstractNum w:abstractNumId="170">
    <w:nsid w:val="1DE8725A"/>
    <w:multiLevelType w:val="hybridMultilevel"/>
    <w:lvl w:ilvl="0">
      <w:lvlJc w:val="left"/>
      <w:lvlText w:val="1"/>
      <w:numFmt w:val="bullet"/>
      <w:start w:val="1"/>
    </w:lvl>
  </w:abstractNum>
  <w:abstractNum w:abstractNumId="171">
    <w:nsid w:val="6A37288A"/>
    <w:multiLevelType w:val="hybridMultilevel"/>
    <w:lvl w:ilvl="0">
      <w:lvlJc w:val="left"/>
      <w:lvlText w:val="2"/>
      <w:numFmt w:val="bullet"/>
      <w:start w:val="1"/>
    </w:lvl>
  </w:abstractNum>
  <w:abstractNum w:abstractNumId="172">
    <w:nsid w:val="8F8B73F"/>
    <w:multiLevelType w:val="hybridMultilevel"/>
    <w:lvl w:ilvl="0">
      <w:lvlJc w:val="left"/>
      <w:lvlText w:val="%1."/>
      <w:numFmt w:val="decimal"/>
      <w:start w:val="1"/>
    </w:lvl>
  </w:abstractNum>
  <w:abstractNum w:abstractNumId="173">
    <w:nsid w:val="CA6B462"/>
    <w:multiLevelType w:val="hybridMultilevel"/>
    <w:lvl w:ilvl="0">
      <w:lvlJc w:val="left"/>
      <w:lvlText w:val="%1."/>
      <w:numFmt w:val="decimal"/>
      <w:start w:val="2"/>
    </w:lvl>
  </w:abstractNum>
  <w:abstractNum w:abstractNumId="174">
    <w:nsid w:val="763CB680"/>
    <w:multiLevelType w:val="hybridMultilevel"/>
    <w:lvl w:ilvl="0">
      <w:lvlJc w:val="left"/>
      <w:lvlText w:val="%1."/>
      <w:numFmt w:val="decimal"/>
      <w:start w:val="3"/>
    </w:lvl>
  </w:abstractNum>
  <w:abstractNum w:abstractNumId="175">
    <w:nsid w:val="15B71329"/>
    <w:multiLevelType w:val="hybridMultilevel"/>
    <w:lvl w:ilvl="0">
      <w:lvlJc w:val="left"/>
      <w:lvlText w:val="%1."/>
      <w:numFmt w:val="decimal"/>
      <w:start w:val="4"/>
    </w:lvl>
  </w:abstractNum>
  <w:abstractNum w:abstractNumId="176">
    <w:nsid w:val="3DA97044"/>
    <w:multiLevelType w:val="hybridMultilevel"/>
    <w:lvl w:ilvl="0">
      <w:lvlJc w:val="left"/>
      <w:lvlText w:val="%1."/>
      <w:numFmt w:val="decimal"/>
      <w:start w:val="5"/>
    </w:lvl>
  </w:abstractNum>
  <w:abstractNum w:abstractNumId="177">
    <w:nsid w:val="1CDCE2DE"/>
    <w:multiLevelType w:val="hybridMultilevel"/>
    <w:lvl w:ilvl="0">
      <w:lvlJc w:val="left"/>
      <w:lvlText w:val="%1."/>
      <w:numFmt w:val="decimal"/>
      <w:start w:val="6"/>
    </w:lvl>
  </w:abstractNum>
  <w:abstractNum w:abstractNumId="178">
    <w:nsid w:val="69D3947C"/>
    <w:multiLevelType w:val="hybridMultilevel"/>
    <w:lvl w:ilvl="0">
      <w:lvlJc w:val="left"/>
      <w:lvlText w:val="(%1)"/>
      <w:numFmt w:val="lowerLetter"/>
      <w:start w:val="1"/>
    </w:lvl>
  </w:abstractNum>
  <w:abstractNum w:abstractNumId="179">
    <w:nsid w:val="2539DFA5"/>
    <w:multiLevelType w:val="hybridMultilevel"/>
    <w:lvl w:ilvl="0">
      <w:lvlJc w:val="left"/>
      <w:lvlText w:val="(%1)"/>
      <w:numFmt w:val="lowerLetter"/>
      <w:start w:val="4"/>
    </w:lvl>
  </w:abstractNum>
  <w:abstractNum w:abstractNumId="180">
    <w:nsid w:val="2DB88089"/>
    <w:multiLevelType w:val="hybridMultilevel"/>
    <w:lvl w:ilvl="0">
      <w:lvlJc w:val="left"/>
      <w:lvlText w:val="(%1)"/>
      <w:numFmt w:val="lowerLetter"/>
      <w:start w:val="5"/>
    </w:lvl>
  </w:abstractNum>
  <w:abstractNum w:abstractNumId="181">
    <w:nsid w:val="706B674E"/>
    <w:multiLevelType w:val="hybridMultilevel"/>
    <w:lvl w:ilvl="0">
      <w:lvlJc w:val="left"/>
      <w:lvlText w:val="%1."/>
      <w:numFmt w:val="decimal"/>
      <w:start w:val="7"/>
    </w:lvl>
  </w:abstractNum>
  <w:abstractNum w:abstractNumId="182">
    <w:nsid w:val="2C106A57"/>
    <w:multiLevelType w:val="hybridMultilevel"/>
    <w:lvl w:ilvl="0">
      <w:lvlJc w:val="left"/>
      <w:lvlText w:val="%1."/>
      <w:numFmt w:val="decimal"/>
      <w:start w:val="9"/>
    </w:lvl>
  </w:abstractNum>
  <w:abstractNum w:abstractNumId="183">
    <w:nsid w:val="684EED59"/>
    <w:multiLevelType w:val="hybridMultilevel"/>
    <w:lvl w:ilvl="0">
      <w:lvlJc w:val="left"/>
      <w:lvlText w:val="%1."/>
      <w:numFmt w:val="decimal"/>
      <w:start w:val="10"/>
    </w:lvl>
  </w:abstractNum>
  <w:abstractNum w:abstractNumId="184">
    <w:nsid w:val="545EE5D3"/>
    <w:multiLevelType w:val="hybridMultilevel"/>
    <w:lvl w:ilvl="0">
      <w:lvlJc w:val="left"/>
      <w:lvlText w:val="%1."/>
      <w:numFmt w:val="decimal"/>
      <w:start w:val="11"/>
    </w:lvl>
  </w:abstractNum>
  <w:abstractNum w:abstractNumId="185">
    <w:nsid w:val="4A66051"/>
    <w:multiLevelType w:val="hybridMultilevel"/>
    <w:lvl w:ilvl="0">
      <w:lvlJc w:val="left"/>
      <w:lvlText w:val="%1."/>
      <w:numFmt w:val="decimal"/>
      <w:start w:val="12"/>
    </w:lvl>
  </w:abstractNum>
  <w:abstractNum w:abstractNumId="186">
    <w:nsid w:val="20F4BDAD"/>
    <w:multiLevelType w:val="hybridMultilevel"/>
    <w:lvl w:ilvl="0">
      <w:lvlJc w:val="left"/>
      <w:lvlText w:val="%1."/>
      <w:numFmt w:val="decimal"/>
      <w:start w:val="13"/>
    </w:lvl>
  </w:abstractNum>
  <w:abstractNum w:abstractNumId="187">
    <w:nsid w:val="639DEFAC"/>
    <w:multiLevelType w:val="hybridMultilevel"/>
    <w:lvl w:ilvl="0">
      <w:lvlJc w:val="left"/>
      <w:lvlText w:val="%1."/>
      <w:numFmt w:val="decimal"/>
      <w:start w:val="14"/>
    </w:lvl>
  </w:abstractNum>
  <w:abstractNum w:abstractNumId="188">
    <w:nsid w:val="501F9786"/>
    <w:multiLevelType w:val="hybridMultilevel"/>
    <w:lvl w:ilvl="0">
      <w:lvlJc w:val="left"/>
      <w:lvlText w:val="%1."/>
      <w:numFmt w:val="decimal"/>
      <w:start w:val="15"/>
    </w:lvl>
  </w:abstractNum>
  <w:abstractNum w:abstractNumId="189">
    <w:nsid w:val="6B057295"/>
    <w:multiLevelType w:val="hybridMultilevel"/>
    <w:lvl w:ilvl="0">
      <w:lvlJc w:val="left"/>
      <w:lvlText w:val="%1."/>
      <w:numFmt w:val="decimal"/>
      <w:start w:val="16"/>
    </w:lvl>
  </w:abstractNum>
  <w:abstractNum w:abstractNumId="190">
    <w:nsid w:val="2771AC80"/>
    <w:multiLevelType w:val="hybridMultilevel"/>
    <w:lvl w:ilvl="0">
      <w:lvlJc w:val="left"/>
      <w:lvlText w:val="%1."/>
      <w:numFmt w:val="decimal"/>
      <w:start w:val="17"/>
    </w:lvl>
  </w:abstractNum>
  <w:abstractNum w:abstractNumId="191">
    <w:nsid w:val="1C4A08EC"/>
    <w:multiLevelType w:val="hybridMultilevel"/>
    <w:lvl w:ilvl="0">
      <w:lvlJc w:val="left"/>
      <w:lvlText w:val="%1."/>
      <w:numFmt w:val="decimal"/>
      <w:start w:val="18"/>
    </w:lvl>
  </w:abstractNum>
  <w:abstractNum w:abstractNumId="192">
    <w:nsid w:val="1958BD17"/>
    <w:multiLevelType w:val="hybridMultilevel"/>
    <w:lvl w:ilvl="0">
      <w:lvlJc w:val="left"/>
      <w:lvlText w:val="%1."/>
      <w:numFmt w:val="decimal"/>
      <w:start w:val="19"/>
    </w:lvl>
  </w:abstractNum>
  <w:abstractNum w:abstractNumId="193">
    <w:nsid w:val="4E647FE4"/>
    <w:multiLevelType w:val="hybridMultilevel"/>
    <w:lvl w:ilvl="0">
      <w:lvlJc w:val="left"/>
      <w:lvlText w:val="%1."/>
      <w:numFmt w:val="decimal"/>
      <w:start w:val="20"/>
    </w:lvl>
  </w:abstractNum>
  <w:abstractNum w:abstractNumId="194">
    <w:nsid w:val="E0BB885"/>
    <w:multiLevelType w:val="hybridMultilevel"/>
    <w:lvl w:ilvl="0">
      <w:lvlJc w:val="left"/>
      <w:lvlText w:val="(%1)"/>
      <w:numFmt w:val="decimal"/>
      <w:start w:val="1"/>
    </w:lvl>
  </w:abstractNum>
  <w:abstractNum w:abstractNumId="195">
    <w:nsid w:val="565976F1"/>
    <w:multiLevelType w:val="hybridMultilevel"/>
    <w:lvl w:ilvl="0">
      <w:lvlJc w:val="left"/>
      <w:lvlText w:val="["/>
      <w:numFmt w:val="bullet"/>
      <w:start w:val="1"/>
    </w:lvl>
  </w:abstractNum>
  <w:abstractNum w:abstractNumId="196">
    <w:nsid w:val="64212B8C"/>
    <w:multiLevelType w:val="hybridMultilevel"/>
    <w:lvl w:ilvl="0">
      <w:lvlJc w:val="left"/>
      <w:lvlText w:val="%1."/>
      <w:numFmt w:val="decimal"/>
      <w:start w:val="1"/>
    </w:lvl>
  </w:abstractNum>
  <w:abstractNum w:abstractNumId="197">
    <w:nsid w:val="5C17530C"/>
    <w:multiLevelType w:val="hybridMultilevel"/>
    <w:lvl w:ilvl="0">
      <w:lvlJc w:val="left"/>
      <w:lvlText w:val="(%1)"/>
      <w:numFmt w:val="lowerLetter"/>
      <w:start w:val="1"/>
    </w:lvl>
    <w:lvl w:ilvl="1">
      <w:lvlJc w:val="left"/>
      <w:lvlText w:val="(%2)"/>
      <w:numFmt w:val="lowerRoman"/>
      <w:start w:val="1"/>
    </w:lvl>
  </w:abstractNum>
  <w:abstractNum w:abstractNumId="198">
    <w:nsid w:val="19A52566"/>
    <w:multiLevelType w:val="hybridMultilevel"/>
    <w:lvl w:ilvl="0">
      <w:lvlJc w:val="left"/>
      <w:lvlText w:val="(%1)"/>
      <w:numFmt w:val="lowerLetter"/>
      <w:start w:val="3"/>
    </w:lvl>
  </w:abstractNum>
  <w:abstractNum w:abstractNumId="199">
    <w:nsid w:val="335A1DF1"/>
    <w:multiLevelType w:val="hybridMultilevel"/>
    <w:lvl w:ilvl="0">
      <w:lvlJc w:val="left"/>
      <w:lvlText w:val="%1."/>
      <w:numFmt w:val="decimal"/>
      <w:start w:val="2"/>
    </w:lvl>
  </w:abstractNum>
  <w:abstractNum w:abstractNumId="200">
    <w:nsid w:val="28677B7C"/>
    <w:multiLevelType w:val="hybridMultilevel"/>
    <w:lvl w:ilvl="0">
      <w:lvlJc w:val="left"/>
      <w:lvlText w:val="(%1)"/>
      <w:numFmt w:val="lowerLetter"/>
      <w:start w:val="1"/>
    </w:lvl>
  </w:abstractNum>
  <w:abstractNum w:abstractNumId="201">
    <w:nsid w:val="378D97C0"/>
    <w:multiLevelType w:val="hybridMultilevel"/>
    <w:lvl w:ilvl="0">
      <w:lvlJc w:val="left"/>
      <w:lvlText w:val="%1."/>
      <w:numFmt w:val="decimal"/>
      <w:start w:val="3"/>
    </w:lvl>
  </w:abstractNum>
  <w:abstractNum w:abstractNumId="202">
    <w:nsid w:val="1D91467C"/>
    <w:multiLevelType w:val="hybridMultilevel"/>
    <w:lvl w:ilvl="0">
      <w:lvlJc w:val="left"/>
      <w:lvlText w:val="(%1)"/>
      <w:numFmt w:val="lowerLetter"/>
      <w:start w:val="1"/>
    </w:lvl>
  </w:abstractNum>
  <w:abstractNum w:abstractNumId="203">
    <w:nsid w:val="316032BB"/>
    <w:multiLevelType w:val="hybridMultilevel"/>
    <w:lvl w:ilvl="0">
      <w:lvlJc w:val="left"/>
      <w:lvlText w:val="(%1)"/>
      <w:numFmt w:val="lowerLetter"/>
      <w:start w:val="4"/>
    </w:lvl>
  </w:abstractNum>
  <w:abstractNum w:abstractNumId="204">
    <w:nsid w:val="44344C22"/>
    <w:multiLevelType w:val="hybridMultilevel"/>
    <w:lvl w:ilvl="0">
      <w:lvlJc w:val="left"/>
      <w:lvlText w:val="(%1)"/>
      <w:numFmt w:val="lowerLetter"/>
      <w:start w:val="8"/>
    </w:lvl>
  </w:abstractNum>
  <w:abstractNum w:abstractNumId="205">
    <w:nsid w:val="13CDFCFC"/>
    <w:multiLevelType w:val="hybridMultilevel"/>
    <w:lvl w:ilvl="0">
      <w:lvlJc w:val="left"/>
      <w:lvlText w:val="%1"/>
      <w:numFmt w:val="lowerLetter"/>
      <w:start w:val="1"/>
    </w:lvl>
    <w:lvl w:ilvl="1">
      <w:lvlJc w:val="left"/>
      <w:lvlText w:val="(%2)"/>
      <w:numFmt w:val="lowerLetter"/>
      <w:start w:val="13"/>
    </w:lvl>
  </w:abstractNum>
  <w:abstractNum w:abstractNumId="206">
    <w:nsid w:val="471745E4"/>
    <w:multiLevelType w:val="hybridMultilevel"/>
    <w:lvl w:ilvl="0">
      <w:lvlJc w:val="left"/>
      <w:lvlText w:val="(%1)"/>
      <w:numFmt w:val="lowerLetter"/>
      <w:start w:val="9"/>
    </w:lvl>
    <w:lvl w:ilvl="1">
      <w:lvlJc w:val="left"/>
      <w:lvlText w:val="(%2)"/>
      <w:numFmt w:val="lowerLetter"/>
      <w:start w:val="14"/>
    </w:lvl>
  </w:abstractNum>
  <w:abstractNum w:abstractNumId="207">
    <w:nsid w:val="1DDBC66"/>
    <w:multiLevelType w:val="hybridMultilevel"/>
    <w:lvl w:ilvl="0">
      <w:lvlJc w:val="left"/>
      <w:lvlText w:val="(%1)"/>
      <w:numFmt w:val="lowerLetter"/>
      <w:start w:val="18"/>
    </w:lvl>
  </w:abstractNum>
  <w:abstractNum w:abstractNumId="208">
    <w:nsid w:val="30AADFDA"/>
    <w:multiLevelType w:val="hybridMultilevel"/>
    <w:lvl w:ilvl="0">
      <w:lvlJc w:val="left"/>
      <w:lvlText w:val="(%1)"/>
      <w:numFmt w:val="lowerLetter"/>
      <w:start w:val="20"/>
    </w:lvl>
  </w:abstractNum>
  <w:abstractNum w:abstractNumId="209">
    <w:nsid w:val="30EADA61"/>
    <w:multiLevelType w:val="hybridMultilevel"/>
    <w:lvl w:ilvl="0">
      <w:lvlJc w:val="left"/>
      <w:lvlText w:val="%1"/>
      <w:numFmt w:val="lowerLetter"/>
      <w:start w:val="1"/>
    </w:lvl>
    <w:lvl w:ilvl="1">
      <w:lvlJc w:val="left"/>
      <w:lvlText w:val="(%2)"/>
      <w:numFmt w:val="lowerLetter"/>
      <w:start w:val="23"/>
    </w:lvl>
  </w:abstractNum>
  <w:abstractNum w:abstractNumId="210">
    <w:nsid w:val="27179C0B"/>
    <w:multiLevelType w:val="hybridMultilevel"/>
    <w:lvl w:ilvl="0">
      <w:lvlJc w:val="left"/>
      <w:lvlText w:val="(%1)"/>
      <w:numFmt w:val="lowerLetter"/>
      <w:start w:val="3"/>
    </w:lvl>
    <w:lvl w:ilvl="1">
      <w:lvlJc w:val="left"/>
      <w:lvlText w:val="(%2)"/>
      <w:numFmt w:val="lowerLetter"/>
      <w:start w:val="26"/>
    </w:lvl>
  </w:abstractNum>
  <w:abstractNum w:abstractNumId="211">
    <w:nsid w:val="5E636063"/>
    <w:multiLevelType w:val="hybridMultilevel"/>
    <w:lvl w:ilvl="0">
      <w:lvlJc w:val="left"/>
      <w:lvlText w:val="(%1)"/>
      <w:numFmt w:val="lowerLetter"/>
      <w:start w:val="27"/>
    </w:lvl>
  </w:abstractNum>
  <w:abstractNum w:abstractNumId="212">
    <w:nsid w:val="215641AF"/>
    <w:multiLevelType w:val="hybridMultilevel"/>
    <w:lvl w:ilvl="0">
      <w:lvlJc w:val="left"/>
      <w:lvlText w:val="(%1)"/>
      <w:numFmt w:val="lowerLetter"/>
      <w:start w:val="35"/>
    </w:lvl>
  </w:abstractNum>
  <w:abstractNum w:abstractNumId="213">
    <w:nsid w:val="53280662"/>
    <w:multiLevelType w:val="hybridMultilevel"/>
    <w:lvl w:ilvl="0">
      <w:lvlJc w:val="left"/>
      <w:lvlText w:val="(%1)"/>
      <w:numFmt w:val="lowerLetter"/>
      <w:start w:val="40"/>
    </w:lvl>
  </w:abstractNum>
  <w:abstractNum w:abstractNumId="214">
    <w:nsid w:val="46B24DBC"/>
    <w:multiLevelType w:val="hybridMultilevel"/>
    <w:lvl w:ilvl="0">
      <w:lvlJc w:val="left"/>
      <w:lvlText w:val="(%1)"/>
      <w:numFmt w:val="lowerLetter"/>
      <w:start w:val="43"/>
    </w:lvl>
  </w:abstractNum>
  <w:abstractNum w:abstractNumId="215">
    <w:nsid w:val="75B52783"/>
    <w:multiLevelType w:val="hybridMultilevel"/>
    <w:lvl w:ilvl="0">
      <w:lvlJc w:val="left"/>
      <w:lvlText w:val="%1."/>
      <w:numFmt w:val="decimal"/>
      <w:start w:val="4"/>
    </w:lvl>
  </w:abstractNum>
  <w:abstractNum w:abstractNumId="216">
    <w:nsid w:val="57CE66B4"/>
    <w:multiLevelType w:val="hybridMultilevel"/>
    <w:lvl w:ilvl="0">
      <w:lvlJc w:val="left"/>
      <w:lvlText w:val="(%1)"/>
      <w:numFmt w:val="lowerLetter"/>
      <w:start w:val="1"/>
    </w:lvl>
  </w:abstractNum>
  <w:abstractNum w:abstractNumId="217">
    <w:nsid w:val="67A70B69"/>
    <w:multiLevelType w:val="hybridMultilevel"/>
    <w:lvl w:ilvl="0">
      <w:lvlJc w:val="left"/>
      <w:lvlText w:val="%1"/>
      <w:numFmt w:val="lowerLetter"/>
      <w:start w:val="1"/>
    </w:lvl>
    <w:lvl w:ilvl="1">
      <w:lvlJc w:val="left"/>
      <w:lvlText w:val="(%2)"/>
      <w:numFmt w:val="lowerLetter"/>
      <w:start w:val="6"/>
    </w:lvl>
  </w:abstractNum>
  <w:abstractNum w:abstractNumId="218">
    <w:nsid w:val="5953172F"/>
    <w:multiLevelType w:val="hybridMultilevel"/>
    <w:lvl w:ilvl="0">
      <w:lvlJc w:val="left"/>
      <w:lvlText w:val="(%1)"/>
      <w:numFmt w:val="lowerLetter"/>
      <w:start w:val="61"/>
    </w:lvl>
    <w:lvl w:ilvl="1">
      <w:lvlJc w:val="left"/>
      <w:lvlText w:val="(%2)"/>
      <w:numFmt w:val="lowerLetter"/>
      <w:start w:val="8"/>
    </w:lvl>
  </w:abstractNum>
  <w:abstractNum w:abstractNumId="219">
    <w:nsid w:val="27EDFE3A"/>
    <w:multiLevelType w:val="hybridMultilevel"/>
    <w:lvl w:ilvl="0">
      <w:lvlJc w:val="left"/>
      <w:lvlText w:val="(%1)"/>
      <w:numFmt w:val="lowerLetter"/>
      <w:start w:val="11"/>
    </w:lvl>
  </w:abstractNum>
  <w:abstractNum w:abstractNumId="220">
    <w:nsid w:val="52AC7DFF"/>
    <w:multiLevelType w:val="hybridMultilevel"/>
    <w:lvl w:ilvl="0">
      <w:lvlJc w:val="left"/>
      <w:lvlText w:val="%1."/>
      <w:numFmt w:val="decimal"/>
      <w:start w:val="5"/>
    </w:lvl>
  </w:abstractNum>
  <w:abstractNum w:abstractNumId="221">
    <w:nsid w:val="C4C3AF"/>
    <w:multiLevelType w:val="hybridMultilevel"/>
    <w:lvl w:ilvl="0">
      <w:lvlJc w:val="left"/>
      <w:lvlText w:val="%1."/>
      <w:numFmt w:val="decimal"/>
      <w:start w:val="6"/>
    </w:lvl>
  </w:abstractNum>
  <w:abstractNum w:abstractNumId="222">
    <w:nsid w:val="44380727"/>
    <w:multiLevelType w:val="hybridMultilevel"/>
    <w:lvl w:ilvl="0">
      <w:lvlJc w:val="left"/>
      <w:lvlText w:val="(%1)"/>
      <w:numFmt w:val="lowerLetter"/>
      <w:start w:val="1"/>
    </w:lvl>
  </w:abstractNum>
  <w:abstractNum w:abstractNumId="223">
    <w:nsid w:val="6C053B16"/>
    <w:multiLevelType w:val="hybridMultilevel"/>
    <w:lvl w:ilvl="0">
      <w:lvlJc w:val="left"/>
      <w:lvlText w:val="(%1)"/>
      <w:numFmt w:val="lowerLetter"/>
      <w:start w:val="4"/>
    </w:lvl>
  </w:abstractNum>
  <w:abstractNum w:abstractNumId="224">
    <w:nsid w:val="4F294393"/>
    <w:multiLevelType w:val="hybridMultilevel"/>
    <w:lvl w:ilvl="0">
      <w:lvlJc w:val="left"/>
      <w:lvlText w:val="(%1)"/>
      <w:numFmt w:val="lowerLetter"/>
      <w:start w:val="10"/>
    </w:lvl>
  </w:abstractNum>
  <w:abstractNum w:abstractNumId="225">
    <w:nsid w:val="5243BFAC"/>
    <w:multiLevelType w:val="hybridMultilevel"/>
    <w:lvl w:ilvl="0">
      <w:lvlJc w:val="left"/>
      <w:lvlText w:val="%1."/>
      <w:numFmt w:val="decimal"/>
      <w:start w:val="7"/>
    </w:lvl>
  </w:abstractNum>
  <w:abstractNum w:abstractNumId="226">
    <w:nsid w:val="425EB207"/>
    <w:multiLevelType w:val="hybridMultilevel"/>
    <w:lvl w:ilvl="0">
      <w:lvlJc w:val="left"/>
      <w:lvlText w:val="(%1)"/>
      <w:numFmt w:val="lowerLetter"/>
      <w:start w:val="1"/>
    </w:lvl>
  </w:abstractNum>
  <w:abstractNum w:abstractNumId="227">
    <w:nsid w:val="334A6F1F"/>
    <w:multiLevelType w:val="hybridMultilevel"/>
    <w:lvl w:ilvl="0">
      <w:lvlJc w:val="left"/>
      <w:lvlText w:val="(%1)"/>
      <w:numFmt w:val="lowerLetter"/>
      <w:start w:val="3"/>
    </w:lvl>
  </w:abstractNum>
  <w:abstractNum w:abstractNumId="228">
    <w:nsid w:val="2E5B12B8"/>
    <w:multiLevelType w:val="hybridMultilevel"/>
    <w:lvl w:ilvl="0">
      <w:lvlJc w:val="left"/>
      <w:lvlText w:val="(%1)"/>
      <w:numFmt w:val="lowerLetter"/>
      <w:start w:val="4"/>
    </w:lvl>
  </w:abstractNum>
  <w:abstractNum w:abstractNumId="229">
    <w:nsid w:val="5C03D76D"/>
    <w:multiLevelType w:val="hybridMultilevel"/>
    <w:lvl w:ilvl="0">
      <w:lvlJc w:val="left"/>
      <w:lvlText w:val="%1."/>
      <w:numFmt w:val="decimal"/>
      <w:start w:val="8"/>
    </w:lvl>
  </w:abstractNum>
  <w:abstractNum w:abstractNumId="230">
    <w:nsid w:val="66A48D11"/>
    <w:multiLevelType w:val="hybridMultilevel"/>
    <w:lvl w:ilvl="0">
      <w:lvlJc w:val="left"/>
      <w:lvlText w:val="%1."/>
      <w:numFmt w:val="decimal"/>
      <w:start w:val="9"/>
    </w:lvl>
  </w:abstractNum>
  <w:abstractNum w:abstractNumId="231">
    <w:nsid w:val="56C28E34"/>
    <w:multiLevelType w:val="hybridMultilevel"/>
    <w:lvl w:ilvl="0">
      <w:lvlJc w:val="left"/>
      <w:lvlText w:val="(%1)"/>
      <w:numFmt w:val="lowerLetter"/>
      <w:start w:val="1"/>
    </w:lvl>
  </w:abstractNum>
  <w:abstractNum w:abstractNumId="232">
    <w:nsid w:val="13916F2D"/>
    <w:multiLevelType w:val="hybridMultilevel"/>
    <w:lvl w:ilvl="0">
      <w:lvlJc w:val="left"/>
      <w:lvlText w:val="(%1)"/>
      <w:numFmt w:val="lowerLetter"/>
      <w:start w:val="4"/>
    </w:lvl>
  </w:abstractNum>
  <w:abstractNum w:abstractNumId="233">
    <w:nsid w:val="435D38D"/>
    <w:multiLevelType w:val="hybridMultilevel"/>
    <w:lvl w:ilvl="0">
      <w:lvlJc w:val="left"/>
      <w:lvlText w:val="%1."/>
      <w:numFmt w:val="decimal"/>
      <w:start w:val="10"/>
    </w:lvl>
  </w:abstractNum>
  <w:abstractNum w:abstractNumId="234">
    <w:nsid w:val="822C0EF"/>
    <w:multiLevelType w:val="hybridMultilevel"/>
    <w:lvl w:ilvl="0">
      <w:lvlJc w:val="left"/>
      <w:lvlText w:val="(%1)"/>
      <w:numFmt w:val="lowerLetter"/>
      <w:start w:val="1"/>
    </w:lvl>
  </w:abstractNum>
  <w:abstractNum w:abstractNumId="235">
    <w:nsid w:val="57C5BB4F"/>
    <w:multiLevelType w:val="hybridMultilevel"/>
    <w:lvl w:ilvl="0">
      <w:lvlJc w:val="left"/>
      <w:lvlText w:val="%1."/>
      <w:numFmt w:val="decimal"/>
      <w:start w:val="11"/>
    </w:lvl>
  </w:abstractNum>
  <w:abstractNum w:abstractNumId="236">
    <w:nsid w:val="1803D089"/>
    <w:multiLevelType w:val="hybridMultilevel"/>
    <w:lvl w:ilvl="0">
      <w:lvlJc w:val="left"/>
      <w:lvlText w:val="%1."/>
      <w:numFmt w:val="decimal"/>
      <w:start w:val="12"/>
    </w:lvl>
  </w:abstractNum>
  <w:abstractNum w:abstractNumId="237">
    <w:nsid w:val="4F3A06D4"/>
    <w:multiLevelType w:val="hybridMultilevel"/>
    <w:lvl w:ilvl="0">
      <w:lvlJc w:val="left"/>
      <w:lvlText w:val="(%1)"/>
      <w:numFmt w:val="lowerLetter"/>
      <w:start w:val="1"/>
    </w:lvl>
  </w:abstractNum>
  <w:abstractNum w:abstractNumId="238">
    <w:nsid w:val="59A377B6"/>
    <w:multiLevelType w:val="hybridMultilevel"/>
    <w:lvl w:ilvl="0">
      <w:lvlJc w:val="left"/>
      <w:lvlText w:val="(%1)"/>
      <w:numFmt w:val="lowerLetter"/>
      <w:start w:val="3"/>
    </w:lvl>
  </w:abstractNum>
  <w:abstractNum w:abstractNumId="239">
    <w:nsid w:val="48AEB063"/>
    <w:multiLevelType w:val="hybridMultilevel"/>
    <w:lvl w:ilvl="0">
      <w:lvlJc w:val="left"/>
      <w:lvlText w:val="(%1)"/>
      <w:numFmt w:val="lowerLetter"/>
      <w:start w:val="4"/>
    </w:lvl>
  </w:abstractNum>
  <w:abstractNum w:abstractNumId="240">
    <w:nsid w:val="24E135"/>
    <w:multiLevelType w:val="hybridMultilevel"/>
    <w:lvl w:ilvl="0">
      <w:lvlJc w:val="left"/>
      <w:lvlText w:val="●"/>
      <w:numFmt w:val="bullet"/>
      <w:start w:val="1"/>
    </w:lvl>
  </w:abstractNum>
  <w:abstractNum w:abstractNumId="241">
    <w:nsid w:val="BB13C1"/>
    <w:multiLevelType w:val="hybridMultilevel"/>
    <w:lvl w:ilvl="0">
      <w:lvlJc w:val="left"/>
      <w:lvlText w:val="%1."/>
      <w:numFmt w:val="decimal"/>
      <w:start w:val="1"/>
    </w:lvl>
  </w:abstractNum>
  <w:abstractNum w:abstractNumId="242">
    <w:nsid w:val="271210C7"/>
    <w:multiLevelType w:val="hybridMultilevel"/>
    <w:lvl w:ilvl="0">
      <w:lvlJc w:val="left"/>
      <w:lvlText w:val="(%1)"/>
      <w:numFmt w:val="lowerLetter"/>
      <w:start w:val="1"/>
    </w:lvl>
    <w:lvl w:ilvl="1">
      <w:lvlJc w:val="left"/>
      <w:lvlText w:val="(%2)"/>
      <w:numFmt w:val="lowerRoman"/>
      <w:start w:val="1"/>
    </w:lvl>
  </w:abstractNum>
  <w:abstractNum w:abstractNumId="243">
    <w:nsid w:val="217B22E4"/>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2025-09-12T16:00:57Z</dcterms:created>
  <dcterms:modified xsi:type="dcterms:W3CDTF">2025-09-12T16:00:57Z</dcterms:modified>
</cp:coreProperties>
</file>